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77948" w14:textId="77777777" w:rsidR="00DD2A82" w:rsidRDefault="00DD2A82" w:rsidP="004D2765"/>
    <w:p w14:paraId="2CCB741E" w14:textId="77777777" w:rsidR="0085521F" w:rsidRDefault="0085521F" w:rsidP="004D2765">
      <w:pPr>
        <w:rPr>
          <w:szCs w:val="22"/>
          <w:lang w:val="de-DE"/>
        </w:rPr>
      </w:pPr>
    </w:p>
    <w:p w14:paraId="01D12D9C" w14:textId="08232F68" w:rsidR="009927E5" w:rsidRPr="00435528" w:rsidRDefault="009927E5" w:rsidP="00E61461">
      <w:pPr>
        <w:jc w:val="center"/>
        <w:rPr>
          <w:b/>
          <w:szCs w:val="22"/>
          <w:u w:val="single"/>
          <w:lang w:val="de-DE"/>
        </w:rPr>
      </w:pPr>
      <w:r w:rsidRPr="00435528">
        <w:rPr>
          <w:b/>
          <w:szCs w:val="22"/>
          <w:u w:val="single"/>
          <w:lang w:val="de-DE"/>
        </w:rPr>
        <w:t>SAŽETAK KARAKTERISTIKA LIJEKA</w:t>
      </w:r>
    </w:p>
    <w:p w14:paraId="50CF6A00" w14:textId="77777777" w:rsidR="009927E5" w:rsidRPr="00996FE6" w:rsidRDefault="009927E5" w:rsidP="009927E5">
      <w:pPr>
        <w:tabs>
          <w:tab w:val="clear" w:pos="284"/>
        </w:tabs>
        <w:jc w:val="left"/>
        <w:rPr>
          <w:szCs w:val="22"/>
          <w:lang w:val="de-DE"/>
        </w:rPr>
      </w:pPr>
    </w:p>
    <w:p w14:paraId="402261E9" w14:textId="77777777" w:rsidR="009927E5" w:rsidRPr="00996FE6" w:rsidRDefault="009927E5" w:rsidP="009927E5">
      <w:pPr>
        <w:tabs>
          <w:tab w:val="clear" w:pos="284"/>
        </w:tabs>
        <w:jc w:val="left"/>
        <w:rPr>
          <w:szCs w:val="22"/>
          <w:lang w:val="de-DE"/>
        </w:rPr>
      </w:pPr>
    </w:p>
    <w:p w14:paraId="5497794D" w14:textId="3AC1695F" w:rsidR="00CE09F3" w:rsidRPr="00996FE6" w:rsidRDefault="004D2765" w:rsidP="004D2765">
      <w:pPr>
        <w:pStyle w:val="NASLOV123"/>
        <w:spacing w:before="0" w:after="0"/>
        <w:rPr>
          <w:lang w:val="de-DE"/>
        </w:rPr>
      </w:pPr>
      <w:r w:rsidRPr="00996FE6">
        <w:rPr>
          <w:b w:val="0"/>
          <w:lang w:val="de-DE"/>
        </w:rPr>
        <w:t>1.</w:t>
      </w:r>
      <w:r w:rsidRPr="00996FE6">
        <w:rPr>
          <w:lang w:val="de-DE"/>
        </w:rPr>
        <w:t xml:space="preserve"> </w:t>
      </w:r>
      <w:r w:rsidR="00232498" w:rsidRPr="00996FE6">
        <w:rPr>
          <w:lang w:val="de-DE"/>
        </w:rPr>
        <w:t>NAZIV</w:t>
      </w:r>
      <w:r w:rsidR="00CE09F3" w:rsidRPr="00996FE6">
        <w:rPr>
          <w:lang w:val="de-DE"/>
        </w:rPr>
        <w:t xml:space="preserve"> L</w:t>
      </w:r>
      <w:r w:rsidR="00232498" w:rsidRPr="00996FE6">
        <w:rPr>
          <w:lang w:val="de-DE"/>
        </w:rPr>
        <w:t>IJ</w:t>
      </w:r>
      <w:r w:rsidR="00CE09F3" w:rsidRPr="00996FE6">
        <w:rPr>
          <w:lang w:val="de-DE"/>
        </w:rPr>
        <w:t>EKA</w:t>
      </w:r>
    </w:p>
    <w:p w14:paraId="5E056C91" w14:textId="77777777" w:rsidR="004D2765" w:rsidRPr="00996FE6" w:rsidRDefault="004D2765" w:rsidP="004D2765">
      <w:pPr>
        <w:pStyle w:val="NASLOV123"/>
        <w:spacing w:before="0" w:after="0"/>
        <w:rPr>
          <w:lang w:val="sr-Latn-CS"/>
        </w:rPr>
      </w:pPr>
    </w:p>
    <w:p w14:paraId="7EA94996" w14:textId="0AFD2203" w:rsidR="00A12DFE" w:rsidRPr="00996FE6" w:rsidRDefault="00A12DFE" w:rsidP="004D2765">
      <w:pPr>
        <w:jc w:val="left"/>
        <w:rPr>
          <w:iCs/>
          <w:szCs w:val="22"/>
          <w:lang w:val="sr-Latn-CS"/>
        </w:rPr>
      </w:pPr>
      <w:r w:rsidRPr="00996FE6">
        <w:rPr>
          <w:iCs/>
          <w:szCs w:val="22"/>
          <w:lang w:val="de-DE"/>
        </w:rPr>
        <w:t>Vancomycin</w:t>
      </w:r>
      <w:r w:rsidRPr="00996FE6">
        <w:rPr>
          <w:iCs/>
          <w:szCs w:val="22"/>
          <w:lang w:val="sr-Latn-CS"/>
        </w:rPr>
        <w:t>-</w:t>
      </w:r>
      <w:r w:rsidRPr="00996FE6">
        <w:rPr>
          <w:iCs/>
          <w:szCs w:val="22"/>
          <w:lang w:val="de-DE"/>
        </w:rPr>
        <w:t>MIP</w:t>
      </w:r>
      <w:r w:rsidRPr="00996FE6">
        <w:rPr>
          <w:iCs/>
          <w:szCs w:val="22"/>
          <w:lang w:val="sr-Latn-CS"/>
        </w:rPr>
        <w:t xml:space="preserve">, 500 </w:t>
      </w:r>
      <w:r w:rsidRPr="00996FE6">
        <w:rPr>
          <w:iCs/>
          <w:szCs w:val="22"/>
          <w:lang w:val="de-DE"/>
        </w:rPr>
        <w:t>mg</w:t>
      </w:r>
      <w:r w:rsidRPr="00996FE6">
        <w:rPr>
          <w:iCs/>
          <w:szCs w:val="22"/>
          <w:lang w:val="sr-Latn-CS"/>
        </w:rPr>
        <w:t xml:space="preserve">, </w:t>
      </w:r>
      <w:r w:rsidRPr="00996FE6">
        <w:rPr>
          <w:iCs/>
          <w:szCs w:val="22"/>
          <w:lang w:val="de-DE"/>
        </w:rPr>
        <w:t>pra</w:t>
      </w:r>
      <w:r w:rsidRPr="00996FE6">
        <w:rPr>
          <w:iCs/>
          <w:szCs w:val="22"/>
          <w:lang w:val="sr-Latn-CS"/>
        </w:rPr>
        <w:t>š</w:t>
      </w:r>
      <w:r w:rsidRPr="00996FE6">
        <w:rPr>
          <w:iCs/>
          <w:szCs w:val="22"/>
          <w:lang w:val="de-DE"/>
        </w:rPr>
        <w:t>ak</w:t>
      </w:r>
      <w:r w:rsidRPr="00996FE6">
        <w:rPr>
          <w:iCs/>
          <w:szCs w:val="22"/>
          <w:lang w:val="sr-Latn-CS"/>
        </w:rPr>
        <w:t xml:space="preserve"> </w:t>
      </w:r>
      <w:r w:rsidRPr="00996FE6">
        <w:rPr>
          <w:iCs/>
          <w:szCs w:val="22"/>
          <w:lang w:val="de-DE"/>
        </w:rPr>
        <w:t>za</w:t>
      </w:r>
      <w:r w:rsidRPr="00996FE6">
        <w:rPr>
          <w:iCs/>
          <w:szCs w:val="22"/>
          <w:lang w:val="sr-Latn-CS"/>
        </w:rPr>
        <w:t xml:space="preserve"> </w:t>
      </w:r>
      <w:r w:rsidRPr="00996FE6">
        <w:rPr>
          <w:iCs/>
          <w:szCs w:val="22"/>
          <w:lang w:val="de-DE"/>
        </w:rPr>
        <w:t>rastvor</w:t>
      </w:r>
      <w:r w:rsidRPr="00996FE6">
        <w:rPr>
          <w:iCs/>
          <w:szCs w:val="22"/>
          <w:lang w:val="sr-Latn-CS"/>
        </w:rPr>
        <w:t xml:space="preserve"> </w:t>
      </w:r>
      <w:r w:rsidRPr="00996FE6">
        <w:rPr>
          <w:iCs/>
          <w:szCs w:val="22"/>
          <w:lang w:val="de-DE"/>
        </w:rPr>
        <w:t>za</w:t>
      </w:r>
      <w:r w:rsidRPr="00996FE6">
        <w:rPr>
          <w:iCs/>
          <w:szCs w:val="22"/>
          <w:lang w:val="sr-Latn-CS"/>
        </w:rPr>
        <w:t xml:space="preserve"> </w:t>
      </w:r>
      <w:r w:rsidRPr="00996FE6">
        <w:rPr>
          <w:iCs/>
          <w:szCs w:val="22"/>
          <w:lang w:val="de-DE"/>
        </w:rPr>
        <w:t>infuziju</w:t>
      </w:r>
    </w:p>
    <w:p w14:paraId="54977950" w14:textId="690BAF29" w:rsidR="00CE09F3" w:rsidRPr="00996FE6" w:rsidRDefault="00A12DFE" w:rsidP="004D2765">
      <w:pPr>
        <w:jc w:val="left"/>
        <w:rPr>
          <w:iCs/>
          <w:szCs w:val="22"/>
          <w:lang w:val="sr-Latn-CS"/>
        </w:rPr>
      </w:pPr>
      <w:r w:rsidRPr="00996FE6">
        <w:rPr>
          <w:iCs/>
          <w:szCs w:val="22"/>
        </w:rPr>
        <w:t>Vancomycin</w:t>
      </w:r>
      <w:r w:rsidRPr="00996FE6">
        <w:rPr>
          <w:iCs/>
          <w:szCs w:val="22"/>
          <w:lang w:val="sr-Latn-CS"/>
        </w:rPr>
        <w:t>-</w:t>
      </w:r>
      <w:r w:rsidRPr="00996FE6">
        <w:rPr>
          <w:iCs/>
          <w:szCs w:val="22"/>
        </w:rPr>
        <w:t>MIP</w:t>
      </w:r>
      <w:r w:rsidRPr="00996FE6">
        <w:rPr>
          <w:iCs/>
          <w:szCs w:val="22"/>
          <w:lang w:val="sr-Latn-CS"/>
        </w:rPr>
        <w:t xml:space="preserve">, 1000 </w:t>
      </w:r>
      <w:r w:rsidRPr="00996FE6">
        <w:rPr>
          <w:iCs/>
          <w:szCs w:val="22"/>
        </w:rPr>
        <w:t>mg</w:t>
      </w:r>
      <w:r w:rsidRPr="00996FE6">
        <w:rPr>
          <w:iCs/>
          <w:szCs w:val="22"/>
          <w:lang w:val="sr-Latn-CS"/>
        </w:rPr>
        <w:t xml:space="preserve">, </w:t>
      </w:r>
      <w:r w:rsidRPr="00996FE6">
        <w:rPr>
          <w:iCs/>
          <w:szCs w:val="22"/>
        </w:rPr>
        <w:t>pra</w:t>
      </w:r>
      <w:r w:rsidRPr="00996FE6">
        <w:rPr>
          <w:iCs/>
          <w:szCs w:val="22"/>
          <w:lang w:val="sr-Latn-CS"/>
        </w:rPr>
        <w:t>š</w:t>
      </w:r>
      <w:r w:rsidRPr="00996FE6">
        <w:rPr>
          <w:iCs/>
          <w:szCs w:val="22"/>
        </w:rPr>
        <w:t>ak</w:t>
      </w:r>
      <w:r w:rsidRPr="00996FE6">
        <w:rPr>
          <w:iCs/>
          <w:szCs w:val="22"/>
          <w:lang w:val="sr-Latn-CS"/>
        </w:rPr>
        <w:t xml:space="preserve"> </w:t>
      </w:r>
      <w:r w:rsidRPr="00996FE6">
        <w:rPr>
          <w:iCs/>
          <w:szCs w:val="22"/>
        </w:rPr>
        <w:t>za</w:t>
      </w:r>
      <w:r w:rsidRPr="00996FE6">
        <w:rPr>
          <w:iCs/>
          <w:szCs w:val="22"/>
          <w:lang w:val="sr-Latn-CS"/>
        </w:rPr>
        <w:t xml:space="preserve"> </w:t>
      </w:r>
      <w:r w:rsidRPr="00996FE6">
        <w:rPr>
          <w:iCs/>
          <w:szCs w:val="22"/>
        </w:rPr>
        <w:t>rastvor</w:t>
      </w:r>
      <w:r w:rsidRPr="00996FE6">
        <w:rPr>
          <w:iCs/>
          <w:szCs w:val="22"/>
          <w:lang w:val="sr-Latn-CS"/>
        </w:rPr>
        <w:t xml:space="preserve"> </w:t>
      </w:r>
      <w:r w:rsidRPr="00996FE6">
        <w:rPr>
          <w:iCs/>
          <w:szCs w:val="22"/>
        </w:rPr>
        <w:t>za</w:t>
      </w:r>
      <w:r w:rsidRPr="00996FE6">
        <w:rPr>
          <w:iCs/>
          <w:szCs w:val="22"/>
          <w:lang w:val="sr-Latn-CS"/>
        </w:rPr>
        <w:t xml:space="preserve"> </w:t>
      </w:r>
      <w:r w:rsidRPr="00996FE6">
        <w:rPr>
          <w:iCs/>
          <w:szCs w:val="22"/>
        </w:rPr>
        <w:t>infuziju</w:t>
      </w:r>
      <w:r w:rsidRPr="00996FE6" w:rsidDel="00A12DFE">
        <w:rPr>
          <w:iCs/>
          <w:szCs w:val="22"/>
          <w:lang w:val="sr-Latn-CS"/>
        </w:rPr>
        <w:t xml:space="preserve"> </w:t>
      </w:r>
    </w:p>
    <w:p w14:paraId="756EE6AC" w14:textId="77777777" w:rsidR="008A1C2A" w:rsidRPr="00996FE6" w:rsidRDefault="008A1C2A" w:rsidP="004D2765">
      <w:pPr>
        <w:jc w:val="left"/>
        <w:rPr>
          <w:bCs/>
          <w:szCs w:val="22"/>
          <w:lang w:val="sr-Latn-CS"/>
        </w:rPr>
      </w:pPr>
    </w:p>
    <w:p w14:paraId="54977951" w14:textId="734B1938" w:rsidR="00CE09F3" w:rsidRPr="00996FE6" w:rsidRDefault="00CE09F3" w:rsidP="004D2765">
      <w:pPr>
        <w:jc w:val="left"/>
        <w:rPr>
          <w:szCs w:val="22"/>
          <w:lang w:val="sv-SE"/>
        </w:rPr>
      </w:pPr>
      <w:r w:rsidRPr="00996FE6">
        <w:rPr>
          <w:szCs w:val="22"/>
          <w:lang w:val="sv-SE"/>
        </w:rPr>
        <w:t>INN:</w:t>
      </w:r>
      <w:r w:rsidR="006D145B" w:rsidRPr="00996FE6">
        <w:rPr>
          <w:szCs w:val="22"/>
          <w:lang w:val="sv-SE"/>
        </w:rPr>
        <w:t xml:space="preserve"> </w:t>
      </w:r>
      <w:r w:rsidR="00DE594D" w:rsidRPr="00996FE6">
        <w:rPr>
          <w:szCs w:val="22"/>
          <w:lang w:val="sv-SE"/>
        </w:rPr>
        <w:t>vankomicin</w:t>
      </w:r>
    </w:p>
    <w:p w14:paraId="398DA049" w14:textId="77777777" w:rsidR="004D2765" w:rsidRPr="00996FE6" w:rsidRDefault="004D2765" w:rsidP="004D2765">
      <w:pPr>
        <w:jc w:val="left"/>
        <w:rPr>
          <w:szCs w:val="22"/>
          <w:lang w:val="sv-SE"/>
        </w:rPr>
      </w:pPr>
    </w:p>
    <w:p w14:paraId="1A021D9D" w14:textId="77777777" w:rsidR="004D2765" w:rsidRPr="00996FE6" w:rsidRDefault="004D2765" w:rsidP="004D2765">
      <w:pPr>
        <w:jc w:val="left"/>
        <w:rPr>
          <w:szCs w:val="22"/>
          <w:lang w:val="sv-SE"/>
        </w:rPr>
      </w:pPr>
    </w:p>
    <w:p w14:paraId="54977952" w14:textId="77777777" w:rsidR="00CE09F3" w:rsidRPr="00996FE6" w:rsidRDefault="00CE09F3" w:rsidP="004D2765">
      <w:pPr>
        <w:pStyle w:val="NASLOV123"/>
        <w:spacing w:before="0" w:after="0"/>
        <w:rPr>
          <w:lang w:val="sv-SE"/>
        </w:rPr>
      </w:pPr>
      <w:r w:rsidRPr="00996FE6">
        <w:rPr>
          <w:lang w:val="sv-SE"/>
        </w:rPr>
        <w:t>2. KVALITATIVNI I KVANTITATIVNI SASTAV</w:t>
      </w:r>
    </w:p>
    <w:p w14:paraId="785E6E95" w14:textId="77777777" w:rsidR="004D2765" w:rsidRPr="00996FE6" w:rsidRDefault="004D2765" w:rsidP="004D2765">
      <w:pPr>
        <w:pStyle w:val="NASLOV123"/>
        <w:spacing w:before="0" w:after="0"/>
        <w:rPr>
          <w:lang w:val="sv-SE"/>
        </w:rPr>
      </w:pPr>
    </w:p>
    <w:p w14:paraId="62212B10" w14:textId="77777777" w:rsidR="005A75EA" w:rsidRPr="00996FE6" w:rsidRDefault="005A75EA" w:rsidP="005A75EA">
      <w:pPr>
        <w:jc w:val="left"/>
        <w:rPr>
          <w:i/>
          <w:iCs/>
          <w:szCs w:val="22"/>
          <w:u w:val="single"/>
          <w:lang w:val="sv-SE"/>
        </w:rPr>
      </w:pPr>
      <w:r w:rsidRPr="00996FE6">
        <w:rPr>
          <w:i/>
          <w:iCs/>
          <w:szCs w:val="22"/>
          <w:u w:val="single"/>
          <w:lang w:val="sv-SE"/>
        </w:rPr>
        <w:t>Vancomycin-MIP, 500 mg, prašak za rastvor za infuziju</w:t>
      </w:r>
      <w:r w:rsidRPr="00996FE6">
        <w:rPr>
          <w:i/>
          <w:iCs/>
          <w:szCs w:val="22"/>
          <w:lang w:val="sv-SE"/>
        </w:rPr>
        <w:t>:</w:t>
      </w:r>
    </w:p>
    <w:p w14:paraId="2D7DE22D" w14:textId="7785CEC1" w:rsidR="005A75EA" w:rsidRPr="00996FE6" w:rsidRDefault="005A75EA" w:rsidP="005A75EA">
      <w:pPr>
        <w:jc w:val="left"/>
        <w:rPr>
          <w:szCs w:val="22"/>
          <w:lang w:val="sv-SE"/>
        </w:rPr>
      </w:pPr>
      <w:r w:rsidRPr="00996FE6">
        <w:rPr>
          <w:szCs w:val="22"/>
          <w:lang w:val="sv-SE"/>
        </w:rPr>
        <w:t>Jedna bočica l</w:t>
      </w:r>
      <w:r w:rsidR="009E08FC" w:rsidRPr="00996FE6">
        <w:rPr>
          <w:szCs w:val="22"/>
          <w:lang w:val="sv-SE"/>
        </w:rPr>
        <w:t>ij</w:t>
      </w:r>
      <w:r w:rsidRPr="00996FE6">
        <w:rPr>
          <w:szCs w:val="22"/>
          <w:lang w:val="sv-SE"/>
        </w:rPr>
        <w:t>eka Vancomycin-MIP sadrži 500 mg vankomicina (u obliku vankomicin</w:t>
      </w:r>
      <w:r w:rsidR="00094872" w:rsidRPr="00996FE6">
        <w:rPr>
          <w:szCs w:val="22"/>
          <w:lang w:val="sv-SE"/>
        </w:rPr>
        <w:t xml:space="preserve"> </w:t>
      </w:r>
      <w:r w:rsidRPr="00996FE6">
        <w:rPr>
          <w:szCs w:val="22"/>
          <w:lang w:val="sv-SE"/>
        </w:rPr>
        <w:t>hidrohlorida,</w:t>
      </w:r>
    </w:p>
    <w:p w14:paraId="515A9843" w14:textId="77777777" w:rsidR="005A75EA" w:rsidRPr="00996FE6" w:rsidRDefault="005A75EA" w:rsidP="005A75EA">
      <w:pPr>
        <w:jc w:val="left"/>
        <w:rPr>
          <w:szCs w:val="22"/>
          <w:lang w:val="sv-SE"/>
        </w:rPr>
      </w:pPr>
      <w:r w:rsidRPr="00996FE6">
        <w:rPr>
          <w:szCs w:val="22"/>
          <w:lang w:val="sv-SE"/>
        </w:rPr>
        <w:t>510 mg) sa aktivnošću od najmanje 1050 i.j./mg supstance.</w:t>
      </w:r>
    </w:p>
    <w:p w14:paraId="1B9019DC" w14:textId="77777777" w:rsidR="005A75EA" w:rsidRPr="00996FE6" w:rsidRDefault="005A75EA" w:rsidP="005A75EA">
      <w:pPr>
        <w:jc w:val="left"/>
        <w:rPr>
          <w:szCs w:val="22"/>
          <w:lang w:val="es-ES"/>
        </w:rPr>
      </w:pPr>
      <w:r w:rsidRPr="00996FE6" w:rsidDel="00A12DFE">
        <w:rPr>
          <w:szCs w:val="22"/>
          <w:lang w:val="es-ES"/>
        </w:rPr>
        <w:t xml:space="preserve"> </w:t>
      </w:r>
    </w:p>
    <w:p w14:paraId="023CC665" w14:textId="77777777" w:rsidR="005A75EA" w:rsidRPr="00996FE6" w:rsidRDefault="005A75EA" w:rsidP="005A75EA">
      <w:pPr>
        <w:jc w:val="left"/>
        <w:rPr>
          <w:szCs w:val="22"/>
          <w:lang w:val="es-ES"/>
        </w:rPr>
      </w:pPr>
      <w:r w:rsidRPr="00996FE6">
        <w:rPr>
          <w:i/>
          <w:iCs/>
          <w:szCs w:val="22"/>
          <w:u w:val="single"/>
          <w:lang w:val="es-ES"/>
        </w:rPr>
        <w:t>Vancomycin-MIP, 1000 mg, prašak za rastvor za infuziju</w:t>
      </w:r>
      <w:r w:rsidRPr="00996FE6">
        <w:rPr>
          <w:i/>
          <w:iCs/>
          <w:szCs w:val="22"/>
          <w:lang w:val="es-ES"/>
        </w:rPr>
        <w:t>:</w:t>
      </w:r>
    </w:p>
    <w:p w14:paraId="7093D061" w14:textId="6D2F44A1" w:rsidR="005A75EA" w:rsidRPr="00996FE6" w:rsidRDefault="005A75EA" w:rsidP="005A75EA">
      <w:pPr>
        <w:jc w:val="left"/>
        <w:rPr>
          <w:szCs w:val="22"/>
          <w:lang w:val="es-ES"/>
        </w:rPr>
      </w:pPr>
      <w:r w:rsidRPr="00996FE6">
        <w:rPr>
          <w:szCs w:val="22"/>
          <w:lang w:val="es-ES"/>
        </w:rPr>
        <w:t>Jedna bočica l</w:t>
      </w:r>
      <w:r w:rsidR="009E08FC" w:rsidRPr="00996FE6">
        <w:rPr>
          <w:szCs w:val="22"/>
          <w:lang w:val="es-ES"/>
        </w:rPr>
        <w:t>ij</w:t>
      </w:r>
      <w:r w:rsidRPr="00996FE6">
        <w:rPr>
          <w:szCs w:val="22"/>
          <w:lang w:val="es-ES"/>
        </w:rPr>
        <w:t>eka Vancomycin-MIP sadrži 1000 mg vankomicina (u obliku vankomicin</w:t>
      </w:r>
      <w:r w:rsidR="00094872" w:rsidRPr="00996FE6">
        <w:rPr>
          <w:szCs w:val="22"/>
          <w:lang w:val="es-ES"/>
        </w:rPr>
        <w:t xml:space="preserve"> </w:t>
      </w:r>
      <w:r w:rsidRPr="00996FE6">
        <w:rPr>
          <w:szCs w:val="22"/>
          <w:lang w:val="es-ES"/>
        </w:rPr>
        <w:t>hidrohlorida,</w:t>
      </w:r>
    </w:p>
    <w:p w14:paraId="204ED1CC" w14:textId="77777777" w:rsidR="005A75EA" w:rsidRPr="00996FE6" w:rsidRDefault="005A75EA" w:rsidP="005A75EA">
      <w:pPr>
        <w:jc w:val="left"/>
        <w:rPr>
          <w:szCs w:val="22"/>
          <w:lang w:val="es-ES"/>
        </w:rPr>
      </w:pPr>
      <w:r w:rsidRPr="00996FE6">
        <w:rPr>
          <w:szCs w:val="22"/>
          <w:lang w:val="es-ES"/>
        </w:rPr>
        <w:t>1020 mg) sa aktivnošću od najmanje 1050 i.j./mg supstance.</w:t>
      </w:r>
    </w:p>
    <w:p w14:paraId="3E106766" w14:textId="77777777" w:rsidR="008A1C2A" w:rsidRPr="00996FE6" w:rsidRDefault="008A1C2A" w:rsidP="004D2765">
      <w:pPr>
        <w:jc w:val="left"/>
        <w:rPr>
          <w:szCs w:val="22"/>
          <w:lang w:val="es-ES"/>
        </w:rPr>
      </w:pPr>
    </w:p>
    <w:p w14:paraId="00985D9A" w14:textId="094C4BA8" w:rsidR="005A6BF7" w:rsidRPr="00996FE6" w:rsidRDefault="00232498" w:rsidP="004D2765">
      <w:pPr>
        <w:jc w:val="left"/>
        <w:rPr>
          <w:szCs w:val="22"/>
          <w:lang w:val="es-ES"/>
        </w:rPr>
      </w:pPr>
      <w:r w:rsidRPr="00996FE6">
        <w:rPr>
          <w:szCs w:val="22"/>
          <w:lang w:val="es-ES"/>
        </w:rPr>
        <w:t xml:space="preserve">Za </w:t>
      </w:r>
      <w:r w:rsidR="001C5B35" w:rsidRPr="00996FE6">
        <w:rPr>
          <w:szCs w:val="22"/>
          <w:lang w:val="sr-Latn-CS"/>
        </w:rPr>
        <w:t>spisak svih ekscipijenasa, pogledati dio 6.1.</w:t>
      </w:r>
    </w:p>
    <w:p w14:paraId="00C170A1" w14:textId="77777777" w:rsidR="004D2765" w:rsidRPr="00996FE6" w:rsidRDefault="004D2765" w:rsidP="004D2765">
      <w:pPr>
        <w:jc w:val="left"/>
        <w:rPr>
          <w:szCs w:val="22"/>
          <w:lang w:val="es-ES"/>
        </w:rPr>
      </w:pPr>
    </w:p>
    <w:p w14:paraId="676F8126" w14:textId="77777777" w:rsidR="004D2765" w:rsidRPr="00996FE6" w:rsidRDefault="004D2765" w:rsidP="004D2765">
      <w:pPr>
        <w:jc w:val="left"/>
        <w:rPr>
          <w:szCs w:val="22"/>
          <w:lang w:val="es-ES"/>
        </w:rPr>
      </w:pPr>
    </w:p>
    <w:p w14:paraId="5497795D" w14:textId="77777777" w:rsidR="00CE09F3" w:rsidRPr="00996FE6" w:rsidRDefault="00CE09F3" w:rsidP="004D2765">
      <w:pPr>
        <w:pStyle w:val="NASLOV123"/>
        <w:spacing w:before="0" w:after="0"/>
        <w:rPr>
          <w:lang w:val="es-ES"/>
        </w:rPr>
      </w:pPr>
      <w:r w:rsidRPr="00996FE6">
        <w:rPr>
          <w:lang w:val="es-ES"/>
        </w:rPr>
        <w:t>3. FARMACEUTSKI OBLIK</w:t>
      </w:r>
    </w:p>
    <w:p w14:paraId="7EB8452C" w14:textId="77777777" w:rsidR="004D2765" w:rsidRPr="00996FE6" w:rsidRDefault="004D2765" w:rsidP="004D2765">
      <w:pPr>
        <w:pStyle w:val="NASLOV123"/>
        <w:spacing w:before="0" w:after="0"/>
        <w:rPr>
          <w:lang w:val="es-ES"/>
        </w:rPr>
      </w:pPr>
    </w:p>
    <w:p w14:paraId="07D388E2" w14:textId="77777777" w:rsidR="00232498" w:rsidRPr="00996FE6" w:rsidRDefault="00232498" w:rsidP="004D2765">
      <w:pPr>
        <w:pStyle w:val="Header"/>
        <w:tabs>
          <w:tab w:val="clear" w:pos="4536"/>
          <w:tab w:val="clear" w:pos="9072"/>
          <w:tab w:val="left" w:pos="284"/>
        </w:tabs>
        <w:jc w:val="left"/>
        <w:rPr>
          <w:szCs w:val="22"/>
          <w:lang w:val="pl-PL"/>
        </w:rPr>
      </w:pPr>
      <w:r w:rsidRPr="00996FE6">
        <w:rPr>
          <w:szCs w:val="22"/>
          <w:lang w:val="pl-PL"/>
        </w:rPr>
        <w:t>Prašak za rastvor za infuziju.</w:t>
      </w:r>
    </w:p>
    <w:p w14:paraId="61F0C5CE" w14:textId="53AD019C" w:rsidR="00A12DFE" w:rsidRPr="00996FE6" w:rsidRDefault="00232498" w:rsidP="004D2765">
      <w:pPr>
        <w:pStyle w:val="Header"/>
        <w:tabs>
          <w:tab w:val="left" w:pos="284"/>
        </w:tabs>
        <w:jc w:val="left"/>
        <w:rPr>
          <w:szCs w:val="22"/>
          <w:lang w:val="pl-PL"/>
        </w:rPr>
      </w:pPr>
      <w:r w:rsidRPr="00996FE6">
        <w:rPr>
          <w:szCs w:val="22"/>
          <w:lang w:val="pl-PL"/>
        </w:rPr>
        <w:t>Fini liofilizirani prašak bijele boje, blago ružičastog do smeđeg odsjaja</w:t>
      </w:r>
      <w:r w:rsidR="005A75EA" w:rsidRPr="00996FE6">
        <w:rPr>
          <w:szCs w:val="22"/>
          <w:lang w:val="pl-PL"/>
        </w:rPr>
        <w:t>, bez specifičnog mirisa</w:t>
      </w:r>
      <w:r w:rsidRPr="00996FE6">
        <w:rPr>
          <w:szCs w:val="22"/>
          <w:lang w:val="pl-PL"/>
        </w:rPr>
        <w:t>.</w:t>
      </w:r>
    </w:p>
    <w:p w14:paraId="5EC323C9" w14:textId="77777777" w:rsidR="004D2765" w:rsidRPr="00996FE6" w:rsidRDefault="004D2765" w:rsidP="004D2765">
      <w:pPr>
        <w:pStyle w:val="Header"/>
        <w:tabs>
          <w:tab w:val="left" w:pos="284"/>
        </w:tabs>
        <w:jc w:val="left"/>
        <w:rPr>
          <w:szCs w:val="22"/>
          <w:lang w:val="pl-PL"/>
        </w:rPr>
      </w:pPr>
    </w:p>
    <w:p w14:paraId="72A3FA31" w14:textId="77777777" w:rsidR="004D2765" w:rsidRPr="00996FE6" w:rsidRDefault="004D2765" w:rsidP="004D2765">
      <w:pPr>
        <w:pStyle w:val="Header"/>
        <w:tabs>
          <w:tab w:val="left" w:pos="284"/>
        </w:tabs>
        <w:jc w:val="left"/>
        <w:rPr>
          <w:szCs w:val="22"/>
          <w:lang w:val="pl-PL"/>
        </w:rPr>
      </w:pPr>
    </w:p>
    <w:p w14:paraId="54977960" w14:textId="17C21387" w:rsidR="00CE09F3" w:rsidRPr="00996FE6" w:rsidRDefault="00CE09F3" w:rsidP="00E61461">
      <w:pPr>
        <w:pStyle w:val="NASLOV123"/>
        <w:spacing w:before="0" w:after="0"/>
        <w:jc w:val="both"/>
        <w:rPr>
          <w:lang w:val="pl-PL"/>
        </w:rPr>
      </w:pPr>
      <w:r w:rsidRPr="00996FE6">
        <w:rPr>
          <w:lang w:val="pl-PL"/>
        </w:rPr>
        <w:t>4. KLINIČKI PODACI</w:t>
      </w:r>
    </w:p>
    <w:p w14:paraId="77880D54" w14:textId="77777777" w:rsidR="004D2765" w:rsidRPr="00996FE6" w:rsidRDefault="004D2765" w:rsidP="00E61461">
      <w:pPr>
        <w:pStyle w:val="NASLOV123"/>
        <w:spacing w:before="0" w:after="0"/>
        <w:jc w:val="both"/>
        <w:rPr>
          <w:lang w:val="pl-PL"/>
        </w:rPr>
      </w:pPr>
    </w:p>
    <w:p w14:paraId="54977962" w14:textId="299EA777" w:rsidR="006D145B" w:rsidRPr="00996FE6" w:rsidRDefault="00CE09F3" w:rsidP="00E61461">
      <w:pPr>
        <w:rPr>
          <w:b/>
          <w:bCs/>
          <w:szCs w:val="22"/>
          <w:lang w:val="pl-PL"/>
        </w:rPr>
      </w:pPr>
      <w:r w:rsidRPr="00996FE6">
        <w:rPr>
          <w:b/>
          <w:bCs/>
          <w:szCs w:val="22"/>
          <w:lang w:val="pl-PL"/>
        </w:rPr>
        <w:t>4.1. Terapijske indikacije</w:t>
      </w:r>
    </w:p>
    <w:p w14:paraId="721EC55A" w14:textId="1D65B58D" w:rsidR="00501822" w:rsidRPr="00996FE6" w:rsidRDefault="00501822" w:rsidP="00E61461">
      <w:pPr>
        <w:rPr>
          <w:szCs w:val="22"/>
          <w:lang w:val="pl-PL"/>
        </w:rPr>
      </w:pPr>
    </w:p>
    <w:p w14:paraId="529CA917" w14:textId="59D20E79" w:rsidR="005A75EA" w:rsidRPr="00996FE6" w:rsidRDefault="005A75EA" w:rsidP="00E61461">
      <w:pPr>
        <w:rPr>
          <w:szCs w:val="22"/>
          <w:u w:val="single"/>
          <w:lang w:val="pl-PL"/>
        </w:rPr>
      </w:pPr>
      <w:r w:rsidRPr="00996FE6">
        <w:rPr>
          <w:szCs w:val="22"/>
          <w:u w:val="single"/>
          <w:lang w:val="pl-PL"/>
        </w:rPr>
        <w:t>Intravenska prim</w:t>
      </w:r>
      <w:r w:rsidR="009E08FC" w:rsidRPr="00996FE6">
        <w:rPr>
          <w:szCs w:val="22"/>
          <w:u w:val="single"/>
          <w:lang w:val="pl-PL"/>
        </w:rPr>
        <w:t>j</w:t>
      </w:r>
      <w:r w:rsidRPr="00996FE6">
        <w:rPr>
          <w:szCs w:val="22"/>
          <w:u w:val="single"/>
          <w:lang w:val="pl-PL"/>
        </w:rPr>
        <w:t>ena</w:t>
      </w:r>
    </w:p>
    <w:p w14:paraId="5F0FB9A9" w14:textId="77777777" w:rsidR="005A75EA" w:rsidRPr="00996FE6" w:rsidRDefault="005A75EA" w:rsidP="00E61461">
      <w:pPr>
        <w:rPr>
          <w:szCs w:val="22"/>
          <w:lang w:val="pl-PL"/>
        </w:rPr>
      </w:pPr>
    </w:p>
    <w:p w14:paraId="79526E38" w14:textId="44300128" w:rsidR="005A75EA" w:rsidRPr="00996FE6" w:rsidRDefault="005A75EA" w:rsidP="00E61461">
      <w:pPr>
        <w:rPr>
          <w:szCs w:val="22"/>
          <w:lang w:val="pl-PL"/>
        </w:rPr>
      </w:pPr>
      <w:r w:rsidRPr="00996FE6">
        <w:rPr>
          <w:szCs w:val="22"/>
          <w:lang w:val="sr-Latn-RS"/>
        </w:rPr>
        <w:t>L</w:t>
      </w:r>
      <w:r w:rsidR="009E08FC" w:rsidRPr="00996FE6">
        <w:rPr>
          <w:szCs w:val="22"/>
          <w:lang w:val="sr-Latn-RS"/>
        </w:rPr>
        <w:t>ij</w:t>
      </w:r>
      <w:r w:rsidRPr="00996FE6">
        <w:rPr>
          <w:szCs w:val="22"/>
          <w:lang w:val="sr-Latn-RS"/>
        </w:rPr>
        <w:t xml:space="preserve">ek </w:t>
      </w:r>
      <w:r w:rsidRPr="00996FE6">
        <w:rPr>
          <w:szCs w:val="22"/>
          <w:lang w:val="pl-PL"/>
        </w:rPr>
        <w:t xml:space="preserve">Vancomycin-MIP </w:t>
      </w:r>
      <w:r w:rsidRPr="00996FE6">
        <w:rPr>
          <w:szCs w:val="22"/>
          <w:lang w:val="sr-Latn-RS"/>
        </w:rPr>
        <w:t>je indikovan u svim uzrasnim grupama za l</w:t>
      </w:r>
      <w:r w:rsidR="009E08FC" w:rsidRPr="00996FE6">
        <w:rPr>
          <w:szCs w:val="22"/>
          <w:lang w:val="sr-Latn-RS"/>
        </w:rPr>
        <w:t>ij</w:t>
      </w:r>
      <w:r w:rsidRPr="00996FE6">
        <w:rPr>
          <w:szCs w:val="22"/>
          <w:lang w:val="sr-Latn-RS"/>
        </w:rPr>
        <w:t>ečenje sl</w:t>
      </w:r>
      <w:r w:rsidR="009E08FC" w:rsidRPr="00996FE6">
        <w:rPr>
          <w:szCs w:val="22"/>
          <w:lang w:val="sr-Latn-RS"/>
        </w:rPr>
        <w:t>j</w:t>
      </w:r>
      <w:r w:rsidRPr="00996FE6">
        <w:rPr>
          <w:szCs w:val="22"/>
          <w:lang w:val="sr-Latn-RS"/>
        </w:rPr>
        <w:t xml:space="preserve">edećih infekcija </w:t>
      </w:r>
      <w:r w:rsidRPr="00996FE6">
        <w:rPr>
          <w:szCs w:val="22"/>
          <w:lang w:val="pl-PL"/>
        </w:rPr>
        <w:t>(vid</w:t>
      </w:r>
      <w:r w:rsidR="009E08FC" w:rsidRPr="00996FE6">
        <w:rPr>
          <w:szCs w:val="22"/>
          <w:lang w:val="pl-PL"/>
        </w:rPr>
        <w:t>j</w:t>
      </w:r>
      <w:r w:rsidRPr="00996FE6">
        <w:rPr>
          <w:szCs w:val="22"/>
          <w:lang w:val="pl-PL"/>
        </w:rPr>
        <w:t>eti</w:t>
      </w:r>
      <w:r w:rsidR="006B411D" w:rsidRPr="00996FE6">
        <w:rPr>
          <w:szCs w:val="22"/>
          <w:lang w:val="pl-PL"/>
        </w:rPr>
        <w:t xml:space="preserve"> djelove </w:t>
      </w:r>
      <w:r w:rsidRPr="00996FE6">
        <w:rPr>
          <w:szCs w:val="22"/>
          <w:lang w:val="pl-PL"/>
        </w:rPr>
        <w:t>4.2, 4.4 i 5.1):</w:t>
      </w:r>
    </w:p>
    <w:p w14:paraId="6A5B54C6" w14:textId="77777777" w:rsidR="005A75EA" w:rsidRPr="00996FE6" w:rsidRDefault="005A75EA" w:rsidP="00E61461">
      <w:pPr>
        <w:rPr>
          <w:szCs w:val="22"/>
          <w:lang w:val="pl-PL"/>
        </w:rPr>
      </w:pPr>
    </w:p>
    <w:p w14:paraId="4CD028A4" w14:textId="77777777" w:rsidR="005A75EA" w:rsidRPr="00996FE6" w:rsidRDefault="005A75EA" w:rsidP="00E61461">
      <w:pPr>
        <w:rPr>
          <w:szCs w:val="22"/>
          <w:lang w:val="sr-Latn-RS"/>
        </w:rPr>
      </w:pPr>
      <w:r w:rsidRPr="00996FE6">
        <w:rPr>
          <w:szCs w:val="22"/>
          <w:lang w:val="sv-SE"/>
        </w:rPr>
        <w:t>- komplikovane infekcije ko</w:t>
      </w:r>
      <w:r w:rsidRPr="00996FE6">
        <w:rPr>
          <w:szCs w:val="22"/>
          <w:lang w:val="sr-Latn-RS"/>
        </w:rPr>
        <w:t xml:space="preserve">že i mekih tkiva </w:t>
      </w:r>
      <w:bookmarkStart w:id="0" w:name="_Hlk515271014"/>
      <w:r w:rsidRPr="00996FE6">
        <w:rPr>
          <w:szCs w:val="22"/>
          <w:lang w:val="sr-Latn-RS"/>
        </w:rPr>
        <w:t xml:space="preserve">(engl. </w:t>
      </w:r>
      <w:r w:rsidRPr="00996FE6">
        <w:rPr>
          <w:i/>
          <w:szCs w:val="22"/>
        </w:rPr>
        <w:t>Complicated skin and soft tissue infections</w:t>
      </w:r>
      <w:r w:rsidRPr="00996FE6">
        <w:rPr>
          <w:szCs w:val="22"/>
        </w:rPr>
        <w:t xml:space="preserve">, </w:t>
      </w:r>
      <w:r w:rsidRPr="00996FE6">
        <w:rPr>
          <w:szCs w:val="22"/>
          <w:lang w:val="sr-Latn-RS"/>
        </w:rPr>
        <w:t>cSSTI)</w:t>
      </w:r>
    </w:p>
    <w:bookmarkEnd w:id="0"/>
    <w:p w14:paraId="68B3E6F4" w14:textId="77777777" w:rsidR="005A75EA" w:rsidRPr="00996FE6" w:rsidRDefault="005A75EA" w:rsidP="00E61461">
      <w:pPr>
        <w:rPr>
          <w:szCs w:val="22"/>
          <w:lang w:val="sr-Latn-RS"/>
        </w:rPr>
      </w:pPr>
      <w:r w:rsidRPr="00996FE6">
        <w:rPr>
          <w:szCs w:val="22"/>
          <w:lang w:val="sr-Latn-RS"/>
        </w:rPr>
        <w:t>- infekcije kostiju i zglobova</w:t>
      </w:r>
    </w:p>
    <w:p w14:paraId="58B01480" w14:textId="77777777" w:rsidR="005A75EA" w:rsidRPr="00996FE6" w:rsidRDefault="005A75EA" w:rsidP="00E61461">
      <w:pPr>
        <w:rPr>
          <w:szCs w:val="22"/>
          <w:lang w:val="sr-Latn-RS"/>
        </w:rPr>
      </w:pPr>
      <w:r w:rsidRPr="00996FE6">
        <w:rPr>
          <w:szCs w:val="22"/>
          <w:lang w:val="sr-Latn-RS"/>
        </w:rPr>
        <w:t xml:space="preserve">- vanbolnički stečena pneumonija (engl. </w:t>
      </w:r>
      <w:r w:rsidRPr="00996FE6">
        <w:rPr>
          <w:i/>
          <w:szCs w:val="22"/>
        </w:rPr>
        <w:t>Community acquired pneumonia</w:t>
      </w:r>
      <w:r w:rsidRPr="00996FE6">
        <w:rPr>
          <w:szCs w:val="22"/>
        </w:rPr>
        <w:t xml:space="preserve">, </w:t>
      </w:r>
      <w:r w:rsidRPr="00996FE6">
        <w:rPr>
          <w:szCs w:val="22"/>
          <w:lang w:val="sr-Latn-RS"/>
        </w:rPr>
        <w:t>CAP)</w:t>
      </w:r>
    </w:p>
    <w:p w14:paraId="760F67FC" w14:textId="77777777" w:rsidR="005A75EA" w:rsidRPr="00996FE6" w:rsidRDefault="005A75EA" w:rsidP="00E61461">
      <w:pPr>
        <w:ind w:left="142" w:hanging="142"/>
        <w:rPr>
          <w:szCs w:val="22"/>
          <w:lang w:val="sr-Latn-RS"/>
        </w:rPr>
      </w:pPr>
      <w:r w:rsidRPr="00996FE6">
        <w:rPr>
          <w:szCs w:val="22"/>
          <w:lang w:val="sr-Latn-RS"/>
        </w:rPr>
        <w:t xml:space="preserve">- bolnička pneumonija (engl. </w:t>
      </w:r>
      <w:r w:rsidRPr="00996FE6">
        <w:rPr>
          <w:i/>
          <w:szCs w:val="22"/>
          <w:lang w:val="sr-Latn-RS"/>
        </w:rPr>
        <w:t>Hospital acquired pneumonia</w:t>
      </w:r>
      <w:r w:rsidRPr="00996FE6">
        <w:rPr>
          <w:szCs w:val="22"/>
          <w:lang w:val="sr-Latn-RS"/>
        </w:rPr>
        <w:t>, HAP) uključujući pneumoniju povezanu sa mehaničkom ventilacijom</w:t>
      </w:r>
    </w:p>
    <w:p w14:paraId="4815278E" w14:textId="77777777" w:rsidR="005A75EA" w:rsidRPr="00996FE6" w:rsidRDefault="005A75EA" w:rsidP="00E61461">
      <w:pPr>
        <w:rPr>
          <w:szCs w:val="22"/>
          <w:lang w:val="sr-Latn-RS"/>
        </w:rPr>
      </w:pPr>
      <w:r w:rsidRPr="00996FE6">
        <w:rPr>
          <w:szCs w:val="22"/>
          <w:lang w:val="sr-Latn-RS"/>
        </w:rPr>
        <w:t>- infektivni endokarditis</w:t>
      </w:r>
    </w:p>
    <w:p w14:paraId="6E9B59E9" w14:textId="77777777" w:rsidR="005A75EA" w:rsidRPr="00996FE6" w:rsidRDefault="005A75EA" w:rsidP="00E61461">
      <w:pPr>
        <w:rPr>
          <w:szCs w:val="22"/>
          <w:lang w:val="sr-Latn-RS"/>
        </w:rPr>
      </w:pPr>
    </w:p>
    <w:p w14:paraId="58D52BFD" w14:textId="240468A8" w:rsidR="005A75EA" w:rsidRPr="00996FE6" w:rsidRDefault="005A75EA" w:rsidP="00E61461">
      <w:pPr>
        <w:rPr>
          <w:szCs w:val="22"/>
          <w:lang w:val="sr-Latn-RS"/>
        </w:rPr>
      </w:pPr>
      <w:r w:rsidRPr="00996FE6">
        <w:rPr>
          <w:szCs w:val="22"/>
          <w:lang w:val="sr-Latn-RS"/>
        </w:rPr>
        <w:t>L</w:t>
      </w:r>
      <w:r w:rsidR="009E08FC" w:rsidRPr="00996FE6">
        <w:rPr>
          <w:szCs w:val="22"/>
          <w:lang w:val="sr-Latn-RS"/>
        </w:rPr>
        <w:t>ij</w:t>
      </w:r>
      <w:r w:rsidRPr="00996FE6">
        <w:rPr>
          <w:szCs w:val="22"/>
          <w:lang w:val="sr-Latn-RS"/>
        </w:rPr>
        <w:t xml:space="preserve">ek Vancomycin-MIP je takođe indikovan u svim uzrasnim grupama za </w:t>
      </w:r>
      <w:bookmarkStart w:id="1" w:name="_Hlk515351375"/>
      <w:r w:rsidRPr="00996FE6">
        <w:rPr>
          <w:szCs w:val="22"/>
          <w:lang w:val="sr-Latn-RS"/>
        </w:rPr>
        <w:t>perioperativnu antibakterijsku profilaksu kod pacijenata</w:t>
      </w:r>
      <w:r w:rsidRPr="00996FE6">
        <w:rPr>
          <w:rFonts w:ascii="Arial" w:hAnsi="Arial" w:cs="Arial"/>
          <w:color w:val="545454"/>
          <w:lang w:val="sr-Latn-RS"/>
        </w:rPr>
        <w:t xml:space="preserve"> </w:t>
      </w:r>
      <w:r w:rsidRPr="00996FE6">
        <w:rPr>
          <w:szCs w:val="22"/>
          <w:lang w:val="sr-Latn-RS"/>
        </w:rPr>
        <w:t xml:space="preserve"> koji su u visokom  riziku od razvoja bakterijskog endokarditisa </w:t>
      </w:r>
      <w:bookmarkEnd w:id="1"/>
      <w:r w:rsidRPr="00996FE6">
        <w:rPr>
          <w:szCs w:val="22"/>
          <w:lang w:val="sr-Latn-RS"/>
        </w:rPr>
        <w:t>pri velikim hirurškim intervencijama.</w:t>
      </w:r>
    </w:p>
    <w:p w14:paraId="05057BEE" w14:textId="77777777" w:rsidR="005A75EA" w:rsidRPr="00996FE6" w:rsidRDefault="005A75EA" w:rsidP="00E61461">
      <w:pPr>
        <w:rPr>
          <w:szCs w:val="22"/>
          <w:lang w:val="sr-Latn-RS"/>
        </w:rPr>
      </w:pPr>
    </w:p>
    <w:p w14:paraId="3E7005F8" w14:textId="77777777" w:rsidR="005A75EA" w:rsidRPr="00996FE6" w:rsidRDefault="005A75EA" w:rsidP="00E61461">
      <w:pPr>
        <w:rPr>
          <w:szCs w:val="22"/>
          <w:u w:val="single"/>
          <w:lang w:val="sr-Latn-RS"/>
        </w:rPr>
      </w:pPr>
      <w:r w:rsidRPr="00996FE6">
        <w:rPr>
          <w:szCs w:val="22"/>
          <w:u w:val="single"/>
          <w:lang w:val="sr-Latn-RS"/>
        </w:rPr>
        <w:t>Oralna upotreba</w:t>
      </w:r>
    </w:p>
    <w:p w14:paraId="6AA1D0E2" w14:textId="77777777" w:rsidR="005A75EA" w:rsidRPr="00996FE6" w:rsidRDefault="005A75EA" w:rsidP="00E61461">
      <w:pPr>
        <w:rPr>
          <w:szCs w:val="22"/>
          <w:lang w:val="sr-Latn-RS"/>
        </w:rPr>
      </w:pPr>
    </w:p>
    <w:p w14:paraId="5CD76D7A" w14:textId="47969829" w:rsidR="005A75EA" w:rsidRPr="00996FE6" w:rsidRDefault="005A75EA" w:rsidP="00E61461">
      <w:pPr>
        <w:rPr>
          <w:szCs w:val="22"/>
          <w:lang w:val="sr-Latn-RS"/>
        </w:rPr>
      </w:pPr>
      <w:r w:rsidRPr="00996FE6">
        <w:rPr>
          <w:szCs w:val="22"/>
          <w:lang w:val="sr-Latn-RS"/>
        </w:rPr>
        <w:t>L</w:t>
      </w:r>
      <w:r w:rsidR="009E08FC" w:rsidRPr="00996FE6">
        <w:rPr>
          <w:szCs w:val="22"/>
          <w:lang w:val="sr-Latn-RS"/>
        </w:rPr>
        <w:t>ij</w:t>
      </w:r>
      <w:r w:rsidRPr="00996FE6">
        <w:rPr>
          <w:szCs w:val="22"/>
          <w:lang w:val="sr-Latn-RS"/>
        </w:rPr>
        <w:t>ek Vancomycin-MIP je indikovan u svim uzrasnim grupama za l</w:t>
      </w:r>
      <w:r w:rsidR="009E08FC" w:rsidRPr="00996FE6">
        <w:rPr>
          <w:szCs w:val="22"/>
          <w:lang w:val="sr-Latn-RS"/>
        </w:rPr>
        <w:t>ij</w:t>
      </w:r>
      <w:r w:rsidRPr="00996FE6">
        <w:rPr>
          <w:szCs w:val="22"/>
          <w:lang w:val="sr-Latn-RS"/>
        </w:rPr>
        <w:t xml:space="preserve">ečenje infekcije uzrokovane bakterijom </w:t>
      </w:r>
      <w:r w:rsidRPr="00996FE6">
        <w:rPr>
          <w:i/>
          <w:szCs w:val="22"/>
          <w:lang w:val="sr-Latn-RS"/>
        </w:rPr>
        <w:t>Clostridium difficile</w:t>
      </w:r>
      <w:r w:rsidRPr="00996FE6">
        <w:rPr>
          <w:szCs w:val="22"/>
          <w:lang w:val="sr-Latn-RS"/>
        </w:rPr>
        <w:t xml:space="preserve"> (CDI) (vid</w:t>
      </w:r>
      <w:r w:rsidR="009E08FC" w:rsidRPr="00996FE6">
        <w:rPr>
          <w:szCs w:val="22"/>
          <w:lang w:val="sr-Latn-RS"/>
        </w:rPr>
        <w:t>j</w:t>
      </w:r>
      <w:r w:rsidRPr="00996FE6">
        <w:rPr>
          <w:szCs w:val="22"/>
          <w:lang w:val="sr-Latn-RS"/>
        </w:rPr>
        <w:t xml:space="preserve">eti </w:t>
      </w:r>
      <w:r w:rsidR="006B411D" w:rsidRPr="00996FE6">
        <w:rPr>
          <w:szCs w:val="22"/>
          <w:lang w:val="sr-Latn-RS"/>
        </w:rPr>
        <w:t xml:space="preserve">djelove </w:t>
      </w:r>
      <w:r w:rsidRPr="00996FE6">
        <w:rPr>
          <w:szCs w:val="22"/>
          <w:lang w:val="sr-Latn-RS"/>
        </w:rPr>
        <w:t>4.2, 4.4 i 5.1):</w:t>
      </w:r>
    </w:p>
    <w:p w14:paraId="4F8FD96E" w14:textId="77777777" w:rsidR="005A75EA" w:rsidRPr="00996FE6" w:rsidRDefault="005A75EA" w:rsidP="00E61461">
      <w:pPr>
        <w:rPr>
          <w:szCs w:val="22"/>
          <w:lang w:val="sr-Latn-RS"/>
        </w:rPr>
      </w:pPr>
    </w:p>
    <w:p w14:paraId="6E64D0C7" w14:textId="100263ED" w:rsidR="005A75EA" w:rsidRPr="00996FE6" w:rsidRDefault="005A75EA" w:rsidP="00E61461">
      <w:pPr>
        <w:autoSpaceDE w:val="0"/>
        <w:autoSpaceDN w:val="0"/>
        <w:adjustRightInd w:val="0"/>
        <w:rPr>
          <w:szCs w:val="22"/>
          <w:lang w:val="sr-Latn-RS"/>
        </w:rPr>
      </w:pPr>
      <w:r w:rsidRPr="00996FE6">
        <w:rPr>
          <w:szCs w:val="22"/>
          <w:lang w:val="sr-Latn-RS"/>
        </w:rPr>
        <w:t>Prilikom određivanja terapije treba uzeti u obzir zvanične preporuke za racionalno korišćenje antimikrobnih l</w:t>
      </w:r>
      <w:r w:rsidR="009E08FC" w:rsidRPr="00996FE6">
        <w:rPr>
          <w:szCs w:val="22"/>
          <w:lang w:val="sr-Latn-RS"/>
        </w:rPr>
        <w:t>j</w:t>
      </w:r>
      <w:r w:rsidRPr="00996FE6">
        <w:rPr>
          <w:szCs w:val="22"/>
          <w:lang w:val="sr-Latn-RS"/>
        </w:rPr>
        <w:t>ekova.</w:t>
      </w:r>
    </w:p>
    <w:p w14:paraId="2B55FDD4" w14:textId="77777777" w:rsidR="004A0B5D" w:rsidRPr="00996FE6" w:rsidRDefault="004A0B5D" w:rsidP="00E61461">
      <w:pPr>
        <w:rPr>
          <w:b/>
          <w:bCs/>
          <w:szCs w:val="22"/>
          <w:lang w:val="sr-Latn-RS"/>
        </w:rPr>
      </w:pPr>
    </w:p>
    <w:p w14:paraId="5497796D" w14:textId="7B7967A0" w:rsidR="00CE09F3" w:rsidRPr="00996FE6" w:rsidRDefault="00CE09F3" w:rsidP="00E61461">
      <w:pPr>
        <w:rPr>
          <w:b/>
          <w:bCs/>
          <w:szCs w:val="22"/>
          <w:lang w:val="sr-Latn-CS"/>
        </w:rPr>
      </w:pPr>
      <w:r w:rsidRPr="00996FE6">
        <w:rPr>
          <w:b/>
          <w:bCs/>
          <w:szCs w:val="22"/>
          <w:lang w:val="sr-Latn-RS"/>
        </w:rPr>
        <w:t xml:space="preserve">4.2. </w:t>
      </w:r>
      <w:r w:rsidR="00232498" w:rsidRPr="00996FE6">
        <w:rPr>
          <w:b/>
          <w:bCs/>
          <w:szCs w:val="22"/>
          <w:lang w:val="sr-Latn-CS"/>
        </w:rPr>
        <w:t>Doziranje i način primjene</w:t>
      </w:r>
    </w:p>
    <w:p w14:paraId="56055EBA" w14:textId="77777777" w:rsidR="00E61461" w:rsidRPr="00996FE6" w:rsidRDefault="00E61461" w:rsidP="00E61461">
      <w:pPr>
        <w:rPr>
          <w:b/>
          <w:bCs/>
          <w:szCs w:val="22"/>
          <w:lang w:val="sr-Latn-CS"/>
        </w:rPr>
      </w:pPr>
    </w:p>
    <w:p w14:paraId="6EFC9E8B" w14:textId="77777777" w:rsidR="00E61461" w:rsidRPr="00996FE6" w:rsidRDefault="00E61461" w:rsidP="00E61461">
      <w:pPr>
        <w:rPr>
          <w:szCs w:val="22"/>
          <w:u w:val="single"/>
          <w:lang w:val="sr-Latn-RS"/>
        </w:rPr>
      </w:pPr>
      <w:r w:rsidRPr="00996FE6">
        <w:rPr>
          <w:szCs w:val="22"/>
          <w:u w:val="single"/>
          <w:lang w:val="sr-Latn-RS"/>
        </w:rPr>
        <w:t>Doziranje</w:t>
      </w:r>
    </w:p>
    <w:p w14:paraId="6C5B2771" w14:textId="77777777" w:rsidR="00E61461" w:rsidRPr="00996FE6" w:rsidRDefault="00E61461" w:rsidP="00E61461">
      <w:pPr>
        <w:rPr>
          <w:szCs w:val="22"/>
          <w:lang w:val="sr-Latn-RS"/>
        </w:rPr>
      </w:pPr>
    </w:p>
    <w:p w14:paraId="0004F817" w14:textId="77777777" w:rsidR="00E61461" w:rsidRPr="00996FE6" w:rsidRDefault="00E61461" w:rsidP="00E61461">
      <w:pPr>
        <w:rPr>
          <w:szCs w:val="22"/>
          <w:lang w:val="sr-Latn-RS"/>
        </w:rPr>
      </w:pPr>
      <w:r w:rsidRPr="00996FE6">
        <w:rPr>
          <w:szCs w:val="22"/>
          <w:lang w:val="sr-Latn-RS"/>
        </w:rPr>
        <w:t>Kada je odgovarajuće, vankomicin treba primjeniti u kombinaciji sa drugim antibakterijskim ljekovima.</w:t>
      </w:r>
    </w:p>
    <w:p w14:paraId="59AE3C55" w14:textId="77777777" w:rsidR="00E61461" w:rsidRPr="00996FE6" w:rsidRDefault="00E61461" w:rsidP="00E61461">
      <w:pPr>
        <w:rPr>
          <w:szCs w:val="22"/>
          <w:lang w:val="sr-Latn-RS"/>
        </w:rPr>
      </w:pPr>
    </w:p>
    <w:p w14:paraId="0C4D68A4" w14:textId="77777777" w:rsidR="00E61461" w:rsidRPr="00996FE6" w:rsidRDefault="00E61461" w:rsidP="00E61461">
      <w:pPr>
        <w:rPr>
          <w:i/>
          <w:szCs w:val="22"/>
          <w:lang w:val="sr-Latn-RS"/>
        </w:rPr>
      </w:pPr>
      <w:r w:rsidRPr="00996FE6">
        <w:rPr>
          <w:i/>
          <w:szCs w:val="22"/>
          <w:lang w:val="sr-Latn-RS"/>
        </w:rPr>
        <w:t>Intravenska primjena</w:t>
      </w:r>
    </w:p>
    <w:p w14:paraId="10B4222A" w14:textId="77777777" w:rsidR="00E61461" w:rsidRPr="00996FE6" w:rsidRDefault="00E61461" w:rsidP="00E61461">
      <w:pPr>
        <w:rPr>
          <w:szCs w:val="22"/>
          <w:lang w:val="sr-Latn-RS"/>
        </w:rPr>
      </w:pPr>
    </w:p>
    <w:p w14:paraId="698F5CC7" w14:textId="77777777" w:rsidR="00E61461" w:rsidRPr="00996FE6" w:rsidRDefault="00E61461" w:rsidP="00E61461">
      <w:pPr>
        <w:rPr>
          <w:szCs w:val="22"/>
          <w:lang w:val="sr-Latn-RS"/>
        </w:rPr>
      </w:pPr>
      <w:r w:rsidRPr="00996FE6">
        <w:rPr>
          <w:szCs w:val="22"/>
          <w:lang w:val="sr-Latn-RS"/>
        </w:rPr>
        <w:t>Početna doza treba da bude bazirana na tjelesnoj masi pacijenta. Kasnije prilagođavanje doze bazira se na određivanju  koncentracija lijeka u serumu kako bi se postigla ciljna koncentracija. Prilikom prilagođavanja doze treba uzeti u obzir i funkciju bubrega pacijenta i interval primjene lijeka.</w:t>
      </w:r>
    </w:p>
    <w:p w14:paraId="3BE72EFC" w14:textId="77777777" w:rsidR="00E61461" w:rsidRPr="00996FE6" w:rsidRDefault="00E61461" w:rsidP="00E61461">
      <w:pPr>
        <w:rPr>
          <w:szCs w:val="22"/>
          <w:lang w:val="sr-Latn-RS"/>
        </w:rPr>
      </w:pPr>
    </w:p>
    <w:p w14:paraId="2F025A95" w14:textId="77777777" w:rsidR="00E61461" w:rsidRPr="00996FE6" w:rsidRDefault="00E61461" w:rsidP="00E61461">
      <w:pPr>
        <w:rPr>
          <w:szCs w:val="22"/>
          <w:u w:val="single"/>
          <w:lang w:val="sr-Latn-RS"/>
        </w:rPr>
      </w:pPr>
      <w:r w:rsidRPr="00996FE6">
        <w:rPr>
          <w:szCs w:val="22"/>
          <w:u w:val="single"/>
          <w:lang w:val="sr-Latn-RS"/>
        </w:rPr>
        <w:t>Pacijenti uzrasta 12 godina i stariji</w:t>
      </w:r>
    </w:p>
    <w:p w14:paraId="0859C23A" w14:textId="77777777" w:rsidR="00E61461" w:rsidRPr="00996FE6" w:rsidRDefault="00E61461" w:rsidP="00E61461">
      <w:pPr>
        <w:rPr>
          <w:szCs w:val="22"/>
          <w:lang w:val="sr-Latn-RS"/>
        </w:rPr>
      </w:pPr>
      <w:r w:rsidRPr="00996FE6">
        <w:rPr>
          <w:szCs w:val="22"/>
          <w:lang w:val="sr-Latn-RS"/>
        </w:rPr>
        <w:t>Preporučena doza je 15 do 20 mg/kg tjelesne mase svakih 8 do 12 sati (ne više od 2 g po dozi).</w:t>
      </w:r>
    </w:p>
    <w:p w14:paraId="767CD21B" w14:textId="77777777" w:rsidR="00E61461" w:rsidRPr="00996FE6" w:rsidRDefault="00E61461" w:rsidP="00E61461">
      <w:pPr>
        <w:rPr>
          <w:szCs w:val="22"/>
          <w:lang w:val="sr-Latn-RS"/>
        </w:rPr>
      </w:pPr>
    </w:p>
    <w:p w14:paraId="2D954800" w14:textId="77777777" w:rsidR="00E61461" w:rsidRPr="00996FE6" w:rsidRDefault="00E61461" w:rsidP="00E61461">
      <w:pPr>
        <w:rPr>
          <w:szCs w:val="22"/>
          <w:lang w:val="sr-Latn-RS"/>
        </w:rPr>
      </w:pPr>
      <w:r w:rsidRPr="00996FE6">
        <w:rPr>
          <w:szCs w:val="22"/>
          <w:lang w:val="sr-Latn-RS"/>
        </w:rPr>
        <w:t xml:space="preserve">Kod ozbiljno bolesnih pacijenata, udarna doza od 25-30 mg/kg tjelesne mase može se koristiti za brzo postizanje ciljne terapijske koncentracije vankomicina u serumu. </w:t>
      </w:r>
    </w:p>
    <w:p w14:paraId="52F7FAF2" w14:textId="77777777" w:rsidR="00E61461" w:rsidRPr="00996FE6" w:rsidRDefault="00E61461" w:rsidP="00E61461">
      <w:pPr>
        <w:rPr>
          <w:szCs w:val="22"/>
          <w:lang w:val="sr-Latn-RS"/>
        </w:rPr>
      </w:pPr>
    </w:p>
    <w:p w14:paraId="0E62F2AE" w14:textId="77777777" w:rsidR="00E61461" w:rsidRPr="00996FE6" w:rsidRDefault="00E61461" w:rsidP="00E61461">
      <w:pPr>
        <w:rPr>
          <w:szCs w:val="22"/>
          <w:u w:val="single"/>
          <w:lang w:val="sv-SE"/>
        </w:rPr>
      </w:pPr>
      <w:r w:rsidRPr="00996FE6">
        <w:rPr>
          <w:szCs w:val="22"/>
          <w:u w:val="single"/>
          <w:lang w:val="sv-SE"/>
        </w:rPr>
        <w:t xml:space="preserve">Odojčad i djeca uzrasta od 1 mjeseca do manje od 12 godina </w:t>
      </w:r>
    </w:p>
    <w:p w14:paraId="0504ABBF" w14:textId="77777777" w:rsidR="00E61461" w:rsidRPr="00996FE6" w:rsidRDefault="00E61461" w:rsidP="00E61461">
      <w:pPr>
        <w:rPr>
          <w:szCs w:val="22"/>
          <w:lang w:val="sv-SE"/>
        </w:rPr>
      </w:pPr>
      <w:r w:rsidRPr="00996FE6">
        <w:rPr>
          <w:szCs w:val="22"/>
          <w:lang w:val="sv-SE"/>
        </w:rPr>
        <w:t>Preporučena doza je 10 do 15 mg/kg tjelesne mase svakih šest sati (vidjeti dio 4.4).</w:t>
      </w:r>
    </w:p>
    <w:p w14:paraId="1F3D6A26" w14:textId="77777777" w:rsidR="00E61461" w:rsidRPr="00996FE6" w:rsidRDefault="00E61461" w:rsidP="00E61461">
      <w:pPr>
        <w:rPr>
          <w:szCs w:val="22"/>
          <w:lang w:val="sv-SE"/>
        </w:rPr>
      </w:pPr>
    </w:p>
    <w:p w14:paraId="121DEA48" w14:textId="77777777" w:rsidR="00E61461" w:rsidRPr="00996FE6" w:rsidRDefault="00E61461" w:rsidP="00E61461">
      <w:pPr>
        <w:rPr>
          <w:bCs/>
          <w:i/>
          <w:szCs w:val="22"/>
          <w:u w:val="single"/>
          <w:lang w:val="sv-SE"/>
        </w:rPr>
      </w:pPr>
      <w:r w:rsidRPr="00996FE6">
        <w:rPr>
          <w:i/>
          <w:szCs w:val="22"/>
          <w:u w:val="single"/>
          <w:lang w:val="sv-SE"/>
        </w:rPr>
        <w:t>Novoro</w:t>
      </w:r>
      <w:r w:rsidRPr="00996FE6">
        <w:rPr>
          <w:i/>
          <w:szCs w:val="22"/>
          <w:u w:val="single"/>
          <w:lang w:val="sr-Latn-RS"/>
        </w:rPr>
        <w:t>đ</w:t>
      </w:r>
      <w:r w:rsidRPr="00996FE6">
        <w:rPr>
          <w:i/>
          <w:szCs w:val="22"/>
          <w:u w:val="single"/>
          <w:lang w:val="sv-SE"/>
        </w:rPr>
        <w:t>enčad rođena u terminu</w:t>
      </w:r>
      <w:r w:rsidRPr="00996FE6">
        <w:rPr>
          <w:szCs w:val="22"/>
          <w:u w:val="single"/>
          <w:lang w:val="sv-SE"/>
        </w:rPr>
        <w:t xml:space="preserve">  </w:t>
      </w:r>
      <w:r w:rsidRPr="00996FE6">
        <w:rPr>
          <w:i/>
          <w:szCs w:val="22"/>
          <w:u w:val="single"/>
          <w:lang w:val="sv-SE"/>
        </w:rPr>
        <w:t xml:space="preserve">(od rođenja do 27. postnatalnog dana) i prijevremeno </w:t>
      </w:r>
      <w:r w:rsidRPr="00996FE6">
        <w:rPr>
          <w:bCs/>
          <w:i/>
          <w:szCs w:val="22"/>
          <w:u w:val="single"/>
          <w:lang w:val="sv-SE"/>
        </w:rPr>
        <w:t xml:space="preserve">rođena (od rođenja do očekivanog termina porođaja plus 27 dana) </w:t>
      </w:r>
    </w:p>
    <w:p w14:paraId="20B181A8" w14:textId="77777777" w:rsidR="00E61461" w:rsidRPr="00996FE6" w:rsidRDefault="00E61461" w:rsidP="00E61461">
      <w:pPr>
        <w:rPr>
          <w:bCs/>
          <w:szCs w:val="22"/>
          <w:lang w:val="sv-SE"/>
        </w:rPr>
      </w:pPr>
      <w:r w:rsidRPr="00996FE6">
        <w:rPr>
          <w:bCs/>
          <w:szCs w:val="22"/>
          <w:lang w:val="sv-SE"/>
        </w:rPr>
        <w:t>Za utvrđivanje režima doziranja kod novorođenčadi treba tražiti savjet od ljekara sa iskustvom u oblasti neonatologije. Jedan od mogućih načina doziranja vankomicina kod novorođenčadi je prikazan u sljedećoj tabeli (vidjeti dio 4.4):</w:t>
      </w:r>
    </w:p>
    <w:p w14:paraId="54C7D808" w14:textId="77777777" w:rsidR="00E61461" w:rsidRPr="00996FE6" w:rsidRDefault="00E61461" w:rsidP="00E61461">
      <w:pPr>
        <w:rPr>
          <w:bCs/>
          <w:szCs w:val="22"/>
          <w:lang w:val="sv-SE"/>
        </w:rPr>
      </w:pPr>
    </w:p>
    <w:tbl>
      <w:tblPr>
        <w:tblStyle w:val="TableGrid"/>
        <w:tblW w:w="0" w:type="auto"/>
        <w:tblLayout w:type="fixed"/>
        <w:tblLook w:val="04A0" w:firstRow="1" w:lastRow="0" w:firstColumn="1" w:lastColumn="0" w:noHBand="0" w:noVBand="1"/>
      </w:tblPr>
      <w:tblGrid>
        <w:gridCol w:w="3285"/>
        <w:gridCol w:w="3285"/>
        <w:gridCol w:w="3285"/>
      </w:tblGrid>
      <w:tr w:rsidR="00E61461" w:rsidRPr="00996FE6" w14:paraId="004F2476" w14:textId="77777777" w:rsidTr="0091419D">
        <w:tc>
          <w:tcPr>
            <w:tcW w:w="3285" w:type="dxa"/>
          </w:tcPr>
          <w:p w14:paraId="11B7881F" w14:textId="77777777" w:rsidR="00E61461" w:rsidRPr="00996FE6" w:rsidRDefault="00E61461" w:rsidP="0091419D">
            <w:pPr>
              <w:rPr>
                <w:szCs w:val="22"/>
                <w:lang w:val="sv-SE"/>
              </w:rPr>
            </w:pPr>
            <w:r w:rsidRPr="00996FE6">
              <w:rPr>
                <w:szCs w:val="22"/>
                <w:lang w:val="sv-SE"/>
              </w:rPr>
              <w:t xml:space="preserve">PMA </w:t>
            </w:r>
            <w:r w:rsidRPr="00996FE6">
              <w:rPr>
                <w:bCs/>
                <w:szCs w:val="22"/>
                <w:lang w:val="sv-SE"/>
              </w:rPr>
              <w:t>(nedjelje)</w:t>
            </w:r>
          </w:p>
        </w:tc>
        <w:tc>
          <w:tcPr>
            <w:tcW w:w="3285" w:type="dxa"/>
          </w:tcPr>
          <w:p w14:paraId="48EDBF3D" w14:textId="77777777" w:rsidR="00E61461" w:rsidRPr="00996FE6" w:rsidRDefault="00E61461" w:rsidP="0091419D">
            <w:pPr>
              <w:rPr>
                <w:szCs w:val="22"/>
                <w:lang w:val="sv-SE"/>
              </w:rPr>
            </w:pPr>
            <w:r w:rsidRPr="00996FE6">
              <w:rPr>
                <w:szCs w:val="22"/>
                <w:lang w:val="sv-SE"/>
              </w:rPr>
              <w:t xml:space="preserve">Doza </w:t>
            </w:r>
            <w:r w:rsidRPr="00996FE6">
              <w:rPr>
                <w:bCs/>
                <w:szCs w:val="22"/>
                <w:lang w:val="sv-SE"/>
              </w:rPr>
              <w:t>(mg/kg)</w:t>
            </w:r>
          </w:p>
        </w:tc>
        <w:tc>
          <w:tcPr>
            <w:tcW w:w="3285" w:type="dxa"/>
          </w:tcPr>
          <w:p w14:paraId="63CE66EB" w14:textId="77777777" w:rsidR="00E61461" w:rsidRPr="00996FE6" w:rsidRDefault="00E61461" w:rsidP="0091419D">
            <w:pPr>
              <w:rPr>
                <w:szCs w:val="22"/>
                <w:lang w:val="sv-SE"/>
              </w:rPr>
            </w:pPr>
            <w:r w:rsidRPr="00996FE6">
              <w:rPr>
                <w:bCs/>
                <w:szCs w:val="22"/>
                <w:lang w:val="sv-SE"/>
              </w:rPr>
              <w:t>Interval primjene (sati)</w:t>
            </w:r>
          </w:p>
        </w:tc>
      </w:tr>
      <w:tr w:rsidR="00E61461" w:rsidRPr="00996FE6" w14:paraId="1A612EBB" w14:textId="77777777" w:rsidTr="0091419D">
        <w:tc>
          <w:tcPr>
            <w:tcW w:w="3285" w:type="dxa"/>
          </w:tcPr>
          <w:p w14:paraId="7736633C" w14:textId="77777777" w:rsidR="00E61461" w:rsidRPr="00996FE6" w:rsidRDefault="00E61461" w:rsidP="0091419D">
            <w:pPr>
              <w:rPr>
                <w:szCs w:val="22"/>
                <w:lang w:val="sv-SE"/>
              </w:rPr>
            </w:pPr>
            <w:r w:rsidRPr="00996FE6">
              <w:rPr>
                <w:szCs w:val="22"/>
                <w:lang w:val="sv-SE"/>
              </w:rPr>
              <w:t>˂ 29</w:t>
            </w:r>
          </w:p>
        </w:tc>
        <w:tc>
          <w:tcPr>
            <w:tcW w:w="3285" w:type="dxa"/>
          </w:tcPr>
          <w:p w14:paraId="7C89E09E" w14:textId="77777777" w:rsidR="00E61461" w:rsidRPr="00996FE6" w:rsidRDefault="00E61461" w:rsidP="0091419D">
            <w:pPr>
              <w:rPr>
                <w:szCs w:val="22"/>
                <w:lang w:val="sv-SE"/>
              </w:rPr>
            </w:pPr>
            <w:r w:rsidRPr="00996FE6">
              <w:rPr>
                <w:szCs w:val="22"/>
                <w:lang w:val="sv-SE"/>
              </w:rPr>
              <w:t>15</w:t>
            </w:r>
          </w:p>
        </w:tc>
        <w:tc>
          <w:tcPr>
            <w:tcW w:w="3285" w:type="dxa"/>
          </w:tcPr>
          <w:p w14:paraId="507B044F" w14:textId="77777777" w:rsidR="00E61461" w:rsidRPr="00996FE6" w:rsidRDefault="00E61461" w:rsidP="0091419D">
            <w:pPr>
              <w:rPr>
                <w:szCs w:val="22"/>
                <w:lang w:val="sv-SE"/>
              </w:rPr>
            </w:pPr>
            <w:r w:rsidRPr="00996FE6">
              <w:rPr>
                <w:szCs w:val="22"/>
                <w:lang w:val="sv-SE"/>
              </w:rPr>
              <w:t>24</w:t>
            </w:r>
          </w:p>
        </w:tc>
      </w:tr>
      <w:tr w:rsidR="00E61461" w:rsidRPr="00996FE6" w14:paraId="0B09138D" w14:textId="77777777" w:rsidTr="0091419D">
        <w:tc>
          <w:tcPr>
            <w:tcW w:w="3285" w:type="dxa"/>
          </w:tcPr>
          <w:p w14:paraId="1D4A8238" w14:textId="77777777" w:rsidR="00E61461" w:rsidRPr="00996FE6" w:rsidRDefault="00E61461" w:rsidP="0091419D">
            <w:pPr>
              <w:rPr>
                <w:szCs w:val="22"/>
                <w:lang w:val="sv-SE"/>
              </w:rPr>
            </w:pPr>
            <w:r w:rsidRPr="00996FE6">
              <w:rPr>
                <w:szCs w:val="22"/>
                <w:lang w:val="sv-SE"/>
              </w:rPr>
              <w:t>29-35</w:t>
            </w:r>
          </w:p>
        </w:tc>
        <w:tc>
          <w:tcPr>
            <w:tcW w:w="3285" w:type="dxa"/>
          </w:tcPr>
          <w:p w14:paraId="4E72605B" w14:textId="77777777" w:rsidR="00E61461" w:rsidRPr="00996FE6" w:rsidRDefault="00E61461" w:rsidP="0091419D">
            <w:pPr>
              <w:rPr>
                <w:szCs w:val="22"/>
                <w:lang w:val="sv-SE"/>
              </w:rPr>
            </w:pPr>
            <w:r w:rsidRPr="00996FE6">
              <w:rPr>
                <w:szCs w:val="22"/>
                <w:lang w:val="sv-SE"/>
              </w:rPr>
              <w:t>15</w:t>
            </w:r>
          </w:p>
        </w:tc>
        <w:tc>
          <w:tcPr>
            <w:tcW w:w="3285" w:type="dxa"/>
          </w:tcPr>
          <w:p w14:paraId="14E75DE0" w14:textId="77777777" w:rsidR="00E61461" w:rsidRPr="00996FE6" w:rsidRDefault="00E61461" w:rsidP="0091419D">
            <w:pPr>
              <w:rPr>
                <w:szCs w:val="22"/>
                <w:lang w:val="sv-SE"/>
              </w:rPr>
            </w:pPr>
            <w:r w:rsidRPr="00996FE6">
              <w:rPr>
                <w:szCs w:val="22"/>
                <w:lang w:val="sv-SE"/>
              </w:rPr>
              <w:t>12</w:t>
            </w:r>
          </w:p>
        </w:tc>
      </w:tr>
      <w:tr w:rsidR="00E61461" w:rsidRPr="00996FE6" w14:paraId="574E2396" w14:textId="77777777" w:rsidTr="0091419D">
        <w:tc>
          <w:tcPr>
            <w:tcW w:w="3285" w:type="dxa"/>
          </w:tcPr>
          <w:p w14:paraId="763FAC09" w14:textId="77777777" w:rsidR="00E61461" w:rsidRPr="00996FE6" w:rsidRDefault="00E61461" w:rsidP="0091419D">
            <w:pPr>
              <w:rPr>
                <w:szCs w:val="22"/>
                <w:lang w:val="sv-SE"/>
              </w:rPr>
            </w:pPr>
            <w:r w:rsidRPr="00996FE6">
              <w:rPr>
                <w:szCs w:val="22"/>
                <w:lang w:val="sv-SE"/>
              </w:rPr>
              <w:t>˃ 35</w:t>
            </w:r>
          </w:p>
        </w:tc>
        <w:tc>
          <w:tcPr>
            <w:tcW w:w="3285" w:type="dxa"/>
          </w:tcPr>
          <w:p w14:paraId="03B7CEBB" w14:textId="77777777" w:rsidR="00E61461" w:rsidRPr="00996FE6" w:rsidRDefault="00E61461" w:rsidP="0091419D">
            <w:pPr>
              <w:rPr>
                <w:szCs w:val="22"/>
                <w:lang w:val="sv-SE"/>
              </w:rPr>
            </w:pPr>
            <w:r w:rsidRPr="00996FE6">
              <w:rPr>
                <w:szCs w:val="22"/>
                <w:lang w:val="sv-SE"/>
              </w:rPr>
              <w:t>15</w:t>
            </w:r>
          </w:p>
        </w:tc>
        <w:tc>
          <w:tcPr>
            <w:tcW w:w="3285" w:type="dxa"/>
          </w:tcPr>
          <w:p w14:paraId="3D82A058" w14:textId="77777777" w:rsidR="00E61461" w:rsidRPr="00996FE6" w:rsidRDefault="00E61461" w:rsidP="0091419D">
            <w:pPr>
              <w:rPr>
                <w:szCs w:val="22"/>
                <w:lang w:val="sv-SE"/>
              </w:rPr>
            </w:pPr>
            <w:r w:rsidRPr="00996FE6">
              <w:rPr>
                <w:szCs w:val="22"/>
                <w:lang w:val="sv-SE"/>
              </w:rPr>
              <w:t>8</w:t>
            </w:r>
          </w:p>
        </w:tc>
      </w:tr>
    </w:tbl>
    <w:p w14:paraId="6BB8269A" w14:textId="77777777" w:rsidR="00E61461" w:rsidRPr="00986F86" w:rsidRDefault="00E61461" w:rsidP="00E61461">
      <w:pPr>
        <w:rPr>
          <w:szCs w:val="22"/>
        </w:rPr>
      </w:pPr>
      <w:r w:rsidRPr="00986F86">
        <w:rPr>
          <w:szCs w:val="22"/>
        </w:rPr>
        <w:t>PMA: postmenstrualna starost [</w:t>
      </w:r>
      <w:r w:rsidRPr="00986F86">
        <w:rPr>
          <w:szCs w:val="22"/>
          <w:u w:val="single"/>
        </w:rPr>
        <w:t xml:space="preserve">vrijeme proteklo </w:t>
      </w:r>
      <w:proofErr w:type="gramStart"/>
      <w:r w:rsidRPr="00986F86">
        <w:rPr>
          <w:szCs w:val="22"/>
          <w:u w:val="single"/>
        </w:rPr>
        <w:t>od</w:t>
      </w:r>
      <w:proofErr w:type="gramEnd"/>
      <w:r w:rsidRPr="00986F86">
        <w:rPr>
          <w:szCs w:val="22"/>
          <w:u w:val="single"/>
        </w:rPr>
        <w:t xml:space="preserve"> prvog dana posljednje menstruacije i ro</w:t>
      </w:r>
      <w:r w:rsidRPr="00996FE6">
        <w:rPr>
          <w:szCs w:val="22"/>
          <w:u w:val="single"/>
          <w:lang w:val="sr-Latn-RS"/>
        </w:rPr>
        <w:t>đ</w:t>
      </w:r>
      <w:r w:rsidRPr="00986F86">
        <w:rPr>
          <w:szCs w:val="22"/>
          <w:u w:val="single"/>
        </w:rPr>
        <w:t>enja</w:t>
      </w:r>
      <w:r w:rsidRPr="00986F86">
        <w:rPr>
          <w:szCs w:val="22"/>
        </w:rPr>
        <w:t xml:space="preserve"> </w:t>
      </w:r>
      <w:r w:rsidRPr="00986F86">
        <w:rPr>
          <w:szCs w:val="22"/>
          <w:u w:val="single"/>
        </w:rPr>
        <w:t>(gestacijska starost) plus vrijeme nakon rođenja (postnatalna starost)</w:t>
      </w:r>
      <w:r w:rsidRPr="00986F86">
        <w:rPr>
          <w:szCs w:val="22"/>
        </w:rPr>
        <w:t>].</w:t>
      </w:r>
    </w:p>
    <w:p w14:paraId="12ADDE7B" w14:textId="77777777" w:rsidR="00E61461" w:rsidRPr="00986F86" w:rsidRDefault="00E61461" w:rsidP="00E61461">
      <w:pPr>
        <w:rPr>
          <w:i/>
          <w:szCs w:val="22"/>
        </w:rPr>
      </w:pPr>
    </w:p>
    <w:p w14:paraId="333CC3F7" w14:textId="77777777" w:rsidR="00E61461" w:rsidRPr="00996FE6" w:rsidRDefault="00E61461" w:rsidP="00E61461">
      <w:pPr>
        <w:rPr>
          <w:i/>
          <w:szCs w:val="22"/>
          <w:u w:val="single"/>
          <w:lang w:val="sv-SE"/>
        </w:rPr>
      </w:pPr>
      <w:r w:rsidRPr="00996FE6">
        <w:rPr>
          <w:i/>
          <w:szCs w:val="22"/>
          <w:u w:val="single"/>
          <w:lang w:val="sr-Latn-RS"/>
        </w:rPr>
        <w:t xml:space="preserve">Perioperativna profilaksa kod </w:t>
      </w:r>
      <w:r w:rsidRPr="00996FE6">
        <w:rPr>
          <w:i/>
          <w:szCs w:val="22"/>
          <w:u w:val="single"/>
          <w:lang w:val="sv-SE"/>
        </w:rPr>
        <w:t>bakterijskog endokarditisa u svim uzrasnim grupama</w:t>
      </w:r>
    </w:p>
    <w:p w14:paraId="3D36A5CF" w14:textId="77777777" w:rsidR="00E61461" w:rsidRPr="00996FE6" w:rsidRDefault="00E61461" w:rsidP="00E61461">
      <w:pPr>
        <w:rPr>
          <w:szCs w:val="22"/>
          <w:lang w:val="sv-SE"/>
        </w:rPr>
      </w:pPr>
      <w:r w:rsidRPr="00996FE6">
        <w:rPr>
          <w:szCs w:val="22"/>
          <w:lang w:val="sv-SE"/>
        </w:rPr>
        <w:t>Preporučena doza je inicijalna doza od 15 mg/kg prije indukcije anestezije. U zavisnosti od trajanja operacije, može biti potrebna druga doza vankomicina.</w:t>
      </w:r>
    </w:p>
    <w:p w14:paraId="7483D02F" w14:textId="77777777" w:rsidR="00E61461" w:rsidRPr="00996FE6" w:rsidRDefault="00E61461" w:rsidP="00E61461">
      <w:pPr>
        <w:rPr>
          <w:szCs w:val="22"/>
          <w:lang w:val="sv-SE"/>
        </w:rPr>
      </w:pPr>
    </w:p>
    <w:p w14:paraId="7FD6A10B" w14:textId="77777777" w:rsidR="00E61461" w:rsidRPr="00996FE6" w:rsidRDefault="00E61461" w:rsidP="00E61461">
      <w:pPr>
        <w:rPr>
          <w:i/>
          <w:szCs w:val="22"/>
          <w:u w:val="single"/>
          <w:lang w:val="sv-SE"/>
        </w:rPr>
      </w:pPr>
      <w:r w:rsidRPr="00996FE6">
        <w:rPr>
          <w:i/>
          <w:szCs w:val="22"/>
          <w:u w:val="single"/>
          <w:lang w:val="sv-SE"/>
        </w:rPr>
        <w:t>Trajanje terapije</w:t>
      </w:r>
    </w:p>
    <w:p w14:paraId="67ED1A81" w14:textId="77777777" w:rsidR="00E61461" w:rsidRPr="00996FE6" w:rsidRDefault="00E61461" w:rsidP="00E61461">
      <w:pPr>
        <w:rPr>
          <w:szCs w:val="22"/>
          <w:lang w:val="sv-SE"/>
        </w:rPr>
      </w:pPr>
    </w:p>
    <w:p w14:paraId="0E1EBC47" w14:textId="77777777" w:rsidR="00E61461" w:rsidRPr="00996FE6" w:rsidRDefault="00E61461" w:rsidP="00E61461">
      <w:pPr>
        <w:rPr>
          <w:szCs w:val="22"/>
          <w:lang w:val="sv-SE"/>
        </w:rPr>
      </w:pPr>
      <w:r w:rsidRPr="00996FE6">
        <w:rPr>
          <w:szCs w:val="22"/>
          <w:lang w:val="sv-SE"/>
        </w:rPr>
        <w:t>Predloženo trajanje terapije je dato u tabeli u nastavku. U svakom slučaju, trajanje terapije treba da bude prilagođeno tipu i težini infekcije i individualnom kliničkom odgovoru.</w:t>
      </w:r>
    </w:p>
    <w:p w14:paraId="4C29BB78" w14:textId="77777777" w:rsidR="00E61461" w:rsidRPr="00996FE6" w:rsidRDefault="00E61461" w:rsidP="00E61461">
      <w:pPr>
        <w:rPr>
          <w:szCs w:val="22"/>
          <w:lang w:val="sv-SE"/>
        </w:rPr>
      </w:pPr>
    </w:p>
    <w:tbl>
      <w:tblPr>
        <w:tblStyle w:val="TableGrid"/>
        <w:tblW w:w="0" w:type="auto"/>
        <w:tblLayout w:type="fixed"/>
        <w:tblLook w:val="04A0" w:firstRow="1" w:lastRow="0" w:firstColumn="1" w:lastColumn="0" w:noHBand="0" w:noVBand="1"/>
      </w:tblPr>
      <w:tblGrid>
        <w:gridCol w:w="7338"/>
        <w:gridCol w:w="2517"/>
      </w:tblGrid>
      <w:tr w:rsidR="00E61461" w:rsidRPr="00996FE6" w14:paraId="51B38571" w14:textId="77777777" w:rsidTr="0091419D">
        <w:tc>
          <w:tcPr>
            <w:tcW w:w="7338" w:type="dxa"/>
          </w:tcPr>
          <w:p w14:paraId="7809D5F7" w14:textId="77777777" w:rsidR="00E61461" w:rsidRPr="00996FE6" w:rsidRDefault="00E61461" w:rsidP="0091419D">
            <w:pPr>
              <w:rPr>
                <w:szCs w:val="22"/>
              </w:rPr>
            </w:pPr>
            <w:r w:rsidRPr="00996FE6">
              <w:rPr>
                <w:szCs w:val="22"/>
              </w:rPr>
              <w:t>Indikacija</w:t>
            </w:r>
          </w:p>
        </w:tc>
        <w:tc>
          <w:tcPr>
            <w:tcW w:w="2517" w:type="dxa"/>
          </w:tcPr>
          <w:p w14:paraId="2C6249BC" w14:textId="77777777" w:rsidR="00E61461" w:rsidRPr="00996FE6" w:rsidRDefault="00E61461" w:rsidP="0091419D">
            <w:pPr>
              <w:rPr>
                <w:szCs w:val="22"/>
              </w:rPr>
            </w:pPr>
            <w:r w:rsidRPr="00996FE6">
              <w:rPr>
                <w:szCs w:val="22"/>
              </w:rPr>
              <w:t>Trajanje terapije</w:t>
            </w:r>
          </w:p>
        </w:tc>
      </w:tr>
      <w:tr w:rsidR="00E61461" w:rsidRPr="00996FE6" w14:paraId="6013E57D" w14:textId="77777777" w:rsidTr="0091419D">
        <w:tc>
          <w:tcPr>
            <w:tcW w:w="7338" w:type="dxa"/>
          </w:tcPr>
          <w:p w14:paraId="6F131937" w14:textId="77777777" w:rsidR="00E61461" w:rsidRPr="00996FE6" w:rsidRDefault="00E61461" w:rsidP="0091419D">
            <w:pPr>
              <w:rPr>
                <w:szCs w:val="22"/>
                <w:lang w:val="sr-Latn-RS"/>
              </w:rPr>
            </w:pPr>
            <w:r w:rsidRPr="00996FE6">
              <w:rPr>
                <w:szCs w:val="22"/>
                <w:lang w:val="sv-SE"/>
              </w:rPr>
              <w:t>Komplikovane infekcije ko</w:t>
            </w:r>
            <w:r w:rsidRPr="00996FE6">
              <w:rPr>
                <w:szCs w:val="22"/>
                <w:lang w:val="sr-Latn-RS"/>
              </w:rPr>
              <w:t>že i mekih tkiva</w:t>
            </w:r>
          </w:p>
          <w:p w14:paraId="4ABB32AA" w14:textId="77777777" w:rsidR="00E61461" w:rsidRPr="00996FE6" w:rsidRDefault="00E61461" w:rsidP="0091419D">
            <w:pPr>
              <w:pStyle w:val="ListParagraph"/>
              <w:numPr>
                <w:ilvl w:val="0"/>
                <w:numId w:val="9"/>
              </w:numPr>
              <w:rPr>
                <w:szCs w:val="22"/>
              </w:rPr>
            </w:pPr>
            <w:r w:rsidRPr="00996FE6">
              <w:rPr>
                <w:szCs w:val="22"/>
              </w:rPr>
              <w:t>Nenekrotizirajuće</w:t>
            </w:r>
          </w:p>
          <w:p w14:paraId="0A937BF4" w14:textId="77777777" w:rsidR="00E61461" w:rsidRPr="00996FE6" w:rsidRDefault="00E61461" w:rsidP="0091419D">
            <w:pPr>
              <w:pStyle w:val="ListParagraph"/>
              <w:numPr>
                <w:ilvl w:val="0"/>
                <w:numId w:val="9"/>
              </w:numPr>
              <w:rPr>
                <w:szCs w:val="22"/>
              </w:rPr>
            </w:pPr>
            <w:r w:rsidRPr="00996FE6">
              <w:rPr>
                <w:szCs w:val="22"/>
              </w:rPr>
              <w:t>Nekrotizirajuće</w:t>
            </w:r>
          </w:p>
        </w:tc>
        <w:tc>
          <w:tcPr>
            <w:tcW w:w="2517" w:type="dxa"/>
          </w:tcPr>
          <w:p w14:paraId="5706EB19" w14:textId="77777777" w:rsidR="00E61461" w:rsidRPr="00996FE6" w:rsidRDefault="00E61461" w:rsidP="0091419D">
            <w:pPr>
              <w:rPr>
                <w:szCs w:val="22"/>
              </w:rPr>
            </w:pPr>
          </w:p>
          <w:p w14:paraId="3F760569" w14:textId="77777777" w:rsidR="00E61461" w:rsidRPr="00996FE6" w:rsidRDefault="00E61461" w:rsidP="0091419D">
            <w:pPr>
              <w:rPr>
                <w:szCs w:val="22"/>
              </w:rPr>
            </w:pPr>
            <w:r w:rsidRPr="00996FE6">
              <w:rPr>
                <w:szCs w:val="22"/>
              </w:rPr>
              <w:t>7 do 14 dana</w:t>
            </w:r>
          </w:p>
          <w:p w14:paraId="2DBA5321" w14:textId="77777777" w:rsidR="00E61461" w:rsidRPr="00996FE6" w:rsidRDefault="00E61461" w:rsidP="0091419D">
            <w:pPr>
              <w:rPr>
                <w:szCs w:val="22"/>
                <w:vertAlign w:val="superscript"/>
              </w:rPr>
            </w:pPr>
            <w:r w:rsidRPr="00996FE6">
              <w:rPr>
                <w:szCs w:val="22"/>
              </w:rPr>
              <w:t>4 do 6 nedjelja*</w:t>
            </w:r>
          </w:p>
        </w:tc>
      </w:tr>
      <w:tr w:rsidR="00E61461" w:rsidRPr="00996FE6" w14:paraId="15F2D5BA" w14:textId="77777777" w:rsidTr="0091419D">
        <w:tc>
          <w:tcPr>
            <w:tcW w:w="7338" w:type="dxa"/>
          </w:tcPr>
          <w:p w14:paraId="7657D7B4" w14:textId="77777777" w:rsidR="00E61461" w:rsidRPr="00996FE6" w:rsidRDefault="00E61461" w:rsidP="0091419D">
            <w:pPr>
              <w:rPr>
                <w:szCs w:val="22"/>
              </w:rPr>
            </w:pPr>
            <w:r w:rsidRPr="00996FE6">
              <w:rPr>
                <w:szCs w:val="22"/>
              </w:rPr>
              <w:t>Infekcije kostiju i zglobova</w:t>
            </w:r>
          </w:p>
        </w:tc>
        <w:tc>
          <w:tcPr>
            <w:tcW w:w="2517" w:type="dxa"/>
          </w:tcPr>
          <w:p w14:paraId="22FB18CB" w14:textId="77777777" w:rsidR="00E61461" w:rsidRPr="00996FE6" w:rsidRDefault="00E61461" w:rsidP="0091419D">
            <w:pPr>
              <w:rPr>
                <w:szCs w:val="22"/>
                <w:vertAlign w:val="superscript"/>
              </w:rPr>
            </w:pPr>
            <w:r w:rsidRPr="00996FE6">
              <w:rPr>
                <w:szCs w:val="22"/>
              </w:rPr>
              <w:t>4 do 6 nedjelja</w:t>
            </w:r>
            <w:r w:rsidRPr="00996FE6">
              <w:rPr>
                <w:szCs w:val="22"/>
                <w:vertAlign w:val="superscript"/>
              </w:rPr>
              <w:t>**</w:t>
            </w:r>
          </w:p>
        </w:tc>
      </w:tr>
      <w:tr w:rsidR="00E61461" w:rsidRPr="00996FE6" w14:paraId="4A14B3A8" w14:textId="77777777" w:rsidTr="0091419D">
        <w:tc>
          <w:tcPr>
            <w:tcW w:w="7338" w:type="dxa"/>
          </w:tcPr>
          <w:p w14:paraId="1FFDF9F8" w14:textId="77777777" w:rsidR="00E61461" w:rsidRPr="00996FE6" w:rsidRDefault="00E61461" w:rsidP="0091419D">
            <w:pPr>
              <w:rPr>
                <w:szCs w:val="22"/>
              </w:rPr>
            </w:pPr>
            <w:r w:rsidRPr="00996FE6">
              <w:rPr>
                <w:szCs w:val="22"/>
                <w:lang w:val="sr-Latn-RS"/>
              </w:rPr>
              <w:t>Vanbolnička pneumonija</w:t>
            </w:r>
          </w:p>
        </w:tc>
        <w:tc>
          <w:tcPr>
            <w:tcW w:w="2517" w:type="dxa"/>
          </w:tcPr>
          <w:p w14:paraId="6D6B57D0" w14:textId="77777777" w:rsidR="00E61461" w:rsidRPr="00996FE6" w:rsidRDefault="00E61461" w:rsidP="0091419D">
            <w:pPr>
              <w:rPr>
                <w:szCs w:val="22"/>
              </w:rPr>
            </w:pPr>
            <w:r w:rsidRPr="00996FE6">
              <w:rPr>
                <w:szCs w:val="22"/>
              </w:rPr>
              <w:t>7 do 14 dana</w:t>
            </w:r>
          </w:p>
        </w:tc>
      </w:tr>
      <w:tr w:rsidR="00E61461" w:rsidRPr="00996FE6" w14:paraId="3E6659B9" w14:textId="77777777" w:rsidTr="0091419D">
        <w:tc>
          <w:tcPr>
            <w:tcW w:w="7338" w:type="dxa"/>
          </w:tcPr>
          <w:p w14:paraId="173D1FDB" w14:textId="77777777" w:rsidR="00E61461" w:rsidRPr="00996FE6" w:rsidRDefault="00E61461" w:rsidP="0091419D">
            <w:pPr>
              <w:rPr>
                <w:szCs w:val="22"/>
              </w:rPr>
            </w:pPr>
            <w:r w:rsidRPr="00996FE6">
              <w:rPr>
                <w:szCs w:val="22"/>
                <w:lang w:val="sr-Latn-RS"/>
              </w:rPr>
              <w:t xml:space="preserve">Bolnička pneumonija, </w:t>
            </w:r>
            <w:r w:rsidRPr="00996FE6">
              <w:rPr>
                <w:szCs w:val="22"/>
              </w:rPr>
              <w:t xml:space="preserve">pneumonija povezana sa mehaničkom ventilacijom </w:t>
            </w:r>
          </w:p>
        </w:tc>
        <w:tc>
          <w:tcPr>
            <w:tcW w:w="2517" w:type="dxa"/>
          </w:tcPr>
          <w:p w14:paraId="1EFBD6A6" w14:textId="77777777" w:rsidR="00E61461" w:rsidRPr="00996FE6" w:rsidRDefault="00E61461" w:rsidP="0091419D">
            <w:pPr>
              <w:rPr>
                <w:szCs w:val="22"/>
              </w:rPr>
            </w:pPr>
            <w:r w:rsidRPr="00996FE6">
              <w:rPr>
                <w:szCs w:val="22"/>
              </w:rPr>
              <w:t>7 do 14 dana</w:t>
            </w:r>
          </w:p>
        </w:tc>
      </w:tr>
      <w:tr w:rsidR="00E61461" w:rsidRPr="00996FE6" w14:paraId="23824A14" w14:textId="77777777" w:rsidTr="0091419D">
        <w:tc>
          <w:tcPr>
            <w:tcW w:w="7338" w:type="dxa"/>
          </w:tcPr>
          <w:p w14:paraId="778CE99E" w14:textId="77777777" w:rsidR="00E61461" w:rsidRPr="00996FE6" w:rsidRDefault="00E61461" w:rsidP="0091419D">
            <w:pPr>
              <w:rPr>
                <w:szCs w:val="22"/>
              </w:rPr>
            </w:pPr>
            <w:r w:rsidRPr="00996FE6">
              <w:rPr>
                <w:szCs w:val="22"/>
              </w:rPr>
              <w:t>Infektivni endokarditis</w:t>
            </w:r>
          </w:p>
        </w:tc>
        <w:tc>
          <w:tcPr>
            <w:tcW w:w="2517" w:type="dxa"/>
          </w:tcPr>
          <w:p w14:paraId="73EB4350" w14:textId="77777777" w:rsidR="00E61461" w:rsidRPr="00996FE6" w:rsidRDefault="00E61461" w:rsidP="0091419D">
            <w:pPr>
              <w:rPr>
                <w:szCs w:val="22"/>
                <w:vertAlign w:val="superscript"/>
              </w:rPr>
            </w:pPr>
            <w:r w:rsidRPr="00996FE6">
              <w:rPr>
                <w:szCs w:val="22"/>
              </w:rPr>
              <w:t>4 do 6 nedjelja</w:t>
            </w:r>
            <w:r w:rsidRPr="00996FE6">
              <w:rPr>
                <w:szCs w:val="22"/>
                <w:vertAlign w:val="superscript"/>
              </w:rPr>
              <w:t>***</w:t>
            </w:r>
          </w:p>
        </w:tc>
      </w:tr>
    </w:tbl>
    <w:p w14:paraId="58609809" w14:textId="77777777" w:rsidR="00E61461" w:rsidRPr="00996FE6" w:rsidRDefault="00E61461" w:rsidP="00E61461">
      <w:pPr>
        <w:rPr>
          <w:szCs w:val="22"/>
        </w:rPr>
      </w:pPr>
    </w:p>
    <w:p w14:paraId="0CB58902" w14:textId="77777777" w:rsidR="00E61461" w:rsidRPr="00996FE6" w:rsidRDefault="00E61461" w:rsidP="00E61461">
      <w:pPr>
        <w:ind w:left="177" w:hanging="177"/>
        <w:rPr>
          <w:szCs w:val="22"/>
        </w:rPr>
      </w:pPr>
      <w:r w:rsidRPr="00996FE6">
        <w:rPr>
          <w:szCs w:val="22"/>
        </w:rPr>
        <w:t>*Nastaviti terapiju dok debridman postane nepotreban, do kliničkog poboljšanja pacijenta i kada je pacijent afebrilan 48 do 72 sata</w:t>
      </w:r>
    </w:p>
    <w:p w14:paraId="2B55CF3F" w14:textId="77777777" w:rsidR="00E61461" w:rsidRPr="00996FE6" w:rsidRDefault="00E61461" w:rsidP="00E61461">
      <w:pPr>
        <w:ind w:left="177" w:hanging="177"/>
        <w:rPr>
          <w:szCs w:val="22"/>
          <w:lang w:val="sr-Latn-RS"/>
        </w:rPr>
      </w:pPr>
      <w:r w:rsidRPr="00996FE6">
        <w:rPr>
          <w:szCs w:val="22"/>
        </w:rPr>
        <w:t xml:space="preserve">**U slučaju protetskih zglobnih infekcija treba razmotriti dugotrajniju oralnu supresivnu terapiju </w:t>
      </w:r>
      <w:r w:rsidRPr="00996FE6">
        <w:rPr>
          <w:szCs w:val="22"/>
          <w:lang w:val="sr-Latn-RS"/>
        </w:rPr>
        <w:t>odgovarajućim antibiotikom</w:t>
      </w:r>
    </w:p>
    <w:p w14:paraId="15FC5C3C" w14:textId="77777777" w:rsidR="00E61461" w:rsidRPr="00996FE6" w:rsidRDefault="00E61461" w:rsidP="00E61461">
      <w:pPr>
        <w:rPr>
          <w:szCs w:val="22"/>
          <w:lang w:val="sr-Latn-RS"/>
        </w:rPr>
      </w:pPr>
      <w:r w:rsidRPr="00996FE6">
        <w:rPr>
          <w:szCs w:val="22"/>
          <w:lang w:val="sr-Latn-RS"/>
        </w:rPr>
        <w:t>***Trajanje i potreba za kombinovanom terapijom je bazirana na tipu valvule i vrsti mikroorganizma.</w:t>
      </w:r>
    </w:p>
    <w:p w14:paraId="0D6B340E" w14:textId="77777777" w:rsidR="00E61461" w:rsidRPr="00996FE6" w:rsidRDefault="00E61461" w:rsidP="00E61461">
      <w:pPr>
        <w:rPr>
          <w:szCs w:val="22"/>
          <w:lang w:val="sr-Latn-RS"/>
        </w:rPr>
      </w:pPr>
    </w:p>
    <w:p w14:paraId="64B8B0C9" w14:textId="77777777" w:rsidR="00E61461" w:rsidRPr="00996FE6" w:rsidRDefault="00E61461" w:rsidP="00E61461">
      <w:pPr>
        <w:rPr>
          <w:szCs w:val="22"/>
          <w:u w:val="single"/>
          <w:lang w:val="sr-Latn-RS"/>
        </w:rPr>
      </w:pPr>
      <w:r w:rsidRPr="00996FE6">
        <w:rPr>
          <w:szCs w:val="22"/>
          <w:u w:val="single"/>
          <w:lang w:val="sr-Latn-RS"/>
        </w:rPr>
        <w:t>Posebne populacije</w:t>
      </w:r>
    </w:p>
    <w:p w14:paraId="1C62F599" w14:textId="77777777" w:rsidR="00E61461" w:rsidRPr="00996FE6" w:rsidRDefault="00E61461" w:rsidP="00E61461">
      <w:pPr>
        <w:rPr>
          <w:szCs w:val="22"/>
          <w:lang w:val="sr-Latn-RS"/>
        </w:rPr>
      </w:pPr>
    </w:p>
    <w:p w14:paraId="1B74BB9C" w14:textId="77777777" w:rsidR="00E61461" w:rsidRPr="00996FE6" w:rsidRDefault="00E61461" w:rsidP="00E61461">
      <w:pPr>
        <w:rPr>
          <w:i/>
          <w:szCs w:val="22"/>
          <w:lang w:val="sr-Latn-RS"/>
        </w:rPr>
      </w:pPr>
      <w:r w:rsidRPr="00996FE6">
        <w:rPr>
          <w:i/>
          <w:szCs w:val="22"/>
          <w:lang w:val="sr-Latn-RS"/>
        </w:rPr>
        <w:t>Stariji pacijenti</w:t>
      </w:r>
    </w:p>
    <w:p w14:paraId="684E1F05" w14:textId="77777777" w:rsidR="00E61461" w:rsidRPr="00996FE6" w:rsidRDefault="00E61461" w:rsidP="00E61461">
      <w:pPr>
        <w:rPr>
          <w:szCs w:val="22"/>
          <w:lang w:val="sr-Latn-RS"/>
        </w:rPr>
      </w:pPr>
      <w:r w:rsidRPr="00996FE6">
        <w:rPr>
          <w:szCs w:val="22"/>
          <w:lang w:val="sr-Latn-RS"/>
        </w:rPr>
        <w:t>Mogu biti potrebne manje doze održavanja zbog smanjenja funkcije bubrega kod starijih pacijenata.</w:t>
      </w:r>
    </w:p>
    <w:p w14:paraId="1808EA5F" w14:textId="77777777" w:rsidR="00E61461" w:rsidRPr="00996FE6" w:rsidRDefault="00E61461" w:rsidP="00E61461">
      <w:pPr>
        <w:rPr>
          <w:szCs w:val="22"/>
          <w:lang w:val="sr-Latn-RS"/>
        </w:rPr>
      </w:pPr>
    </w:p>
    <w:p w14:paraId="2913F30A" w14:textId="77777777" w:rsidR="00E61461" w:rsidRPr="00996FE6" w:rsidRDefault="00E61461" w:rsidP="00E61461">
      <w:pPr>
        <w:rPr>
          <w:i/>
          <w:szCs w:val="22"/>
          <w:lang w:val="sr-Latn-RS"/>
        </w:rPr>
      </w:pPr>
      <w:r w:rsidRPr="00996FE6">
        <w:rPr>
          <w:i/>
          <w:szCs w:val="22"/>
          <w:lang w:val="sr-Latn-RS"/>
        </w:rPr>
        <w:t xml:space="preserve">Pacijenti sa oštećenjem funkcije bubrega </w:t>
      </w:r>
    </w:p>
    <w:p w14:paraId="7D5F86C5" w14:textId="77777777" w:rsidR="00E61461" w:rsidRPr="00996FE6" w:rsidRDefault="00E61461" w:rsidP="00E61461">
      <w:pPr>
        <w:rPr>
          <w:iCs/>
          <w:szCs w:val="22"/>
          <w:lang w:val="sr-Latn-RS"/>
        </w:rPr>
      </w:pPr>
      <w:r w:rsidRPr="00996FE6">
        <w:rPr>
          <w:szCs w:val="22"/>
          <w:lang w:val="sr-Latn-RS"/>
        </w:rPr>
        <w:t xml:space="preserve">Kod odraslih i pedijatrijskih pacijenata sa oštećenjem funkcije bubrega inicijalno treba razmotriti primjenu početne doze i potom pratiti minimalne koncentracije vankomicina u serumu, a ne planirati režim doziranja, posebno kod pacijenata sa teškim oštećenjem funkcije bubrega ili onih kod kojih se primjenjuje terapija zbog transplantacije bubrega </w:t>
      </w:r>
      <w:r w:rsidRPr="00996FE6">
        <w:rPr>
          <w:iCs/>
          <w:szCs w:val="22"/>
          <w:lang w:val="sr-Latn-RS"/>
        </w:rPr>
        <w:t>(</w:t>
      </w:r>
      <w:hyperlink r:id="rId8" w:tooltip="English language" w:history="1">
        <w:r w:rsidRPr="00996FE6">
          <w:rPr>
            <w:rStyle w:val="Hyperlink"/>
            <w:iCs/>
            <w:color w:val="auto"/>
            <w:szCs w:val="22"/>
            <w:u w:val="none"/>
            <w:lang w:val="sr-Latn-RS"/>
          </w:rPr>
          <w:t>engl</w:t>
        </w:r>
      </w:hyperlink>
      <w:r w:rsidRPr="00996FE6">
        <w:rPr>
          <w:iCs/>
          <w:szCs w:val="22"/>
          <w:lang w:val="sr-Latn-RS"/>
        </w:rPr>
        <w:t xml:space="preserve">. </w:t>
      </w:r>
      <w:r w:rsidRPr="00996FE6">
        <w:rPr>
          <w:i/>
          <w:iCs/>
          <w:szCs w:val="22"/>
          <w:lang w:val="sr-Latn-RS"/>
        </w:rPr>
        <w:t xml:space="preserve">Renal replacement therapy, </w:t>
      </w:r>
      <w:r w:rsidRPr="00996FE6">
        <w:rPr>
          <w:iCs/>
          <w:szCs w:val="22"/>
          <w:lang w:val="sr-Latn-RS"/>
        </w:rPr>
        <w:t>RRT), zbog različitih faktora koji mogu uticati na koncentraciju vankomicina.</w:t>
      </w:r>
    </w:p>
    <w:p w14:paraId="54C21FFD" w14:textId="77777777" w:rsidR="00E61461" w:rsidRPr="00996FE6" w:rsidRDefault="00E61461" w:rsidP="00E61461">
      <w:pPr>
        <w:rPr>
          <w:iCs/>
          <w:szCs w:val="22"/>
          <w:lang w:val="sr-Latn-RS"/>
        </w:rPr>
      </w:pPr>
    </w:p>
    <w:p w14:paraId="36520075" w14:textId="77777777" w:rsidR="00E61461" w:rsidRPr="00996FE6" w:rsidRDefault="00E61461" w:rsidP="00E61461">
      <w:pPr>
        <w:rPr>
          <w:iCs/>
          <w:szCs w:val="22"/>
          <w:lang w:val="sr-Latn-RS"/>
        </w:rPr>
      </w:pPr>
      <w:r w:rsidRPr="00996FE6">
        <w:rPr>
          <w:iCs/>
          <w:szCs w:val="22"/>
          <w:lang w:val="sr-Latn-RS"/>
        </w:rPr>
        <w:t>Kod pacijenata sa blagim ili umjerenim oštećenjem funkcije bubrega, početna doza se ne smije smanjiti. Kod pacijenata sa teškim oštećenjem funkcije bubrega poželjnije je produžiti interval između doza nego primjeniti manju dnevnu dozu.</w:t>
      </w:r>
    </w:p>
    <w:p w14:paraId="02E8504A" w14:textId="77777777" w:rsidR="00E61461" w:rsidRPr="00996FE6" w:rsidRDefault="00E61461" w:rsidP="00E61461">
      <w:pPr>
        <w:rPr>
          <w:iCs/>
          <w:szCs w:val="22"/>
          <w:lang w:val="sr-Latn-RS"/>
        </w:rPr>
      </w:pPr>
    </w:p>
    <w:p w14:paraId="255CDACF" w14:textId="77777777" w:rsidR="00E61461" w:rsidRPr="00996FE6" w:rsidRDefault="00E61461" w:rsidP="00E61461">
      <w:pPr>
        <w:rPr>
          <w:iCs/>
          <w:szCs w:val="22"/>
          <w:lang w:val="sr-Latn-RS"/>
        </w:rPr>
      </w:pPr>
      <w:r w:rsidRPr="00996FE6">
        <w:rPr>
          <w:iCs/>
          <w:szCs w:val="22"/>
          <w:lang w:val="sr-Latn-RS"/>
        </w:rPr>
        <w:t>Treba razmotriti istovremenu primjenu ljekova koji mogu da smanje klirens vankomicina i/ili potenciraju njegova neželjena dejstva (vidjeti dio 4.4).</w:t>
      </w:r>
    </w:p>
    <w:p w14:paraId="76430C51" w14:textId="77777777" w:rsidR="00E61461" w:rsidRPr="00996FE6" w:rsidRDefault="00E61461" w:rsidP="00E61461">
      <w:pPr>
        <w:rPr>
          <w:iCs/>
          <w:szCs w:val="22"/>
          <w:lang w:val="sr-Latn-RS"/>
        </w:rPr>
      </w:pPr>
    </w:p>
    <w:p w14:paraId="053C7D76" w14:textId="77777777" w:rsidR="00E61461" w:rsidRPr="00996FE6" w:rsidRDefault="00E61461" w:rsidP="00E61461">
      <w:pPr>
        <w:rPr>
          <w:iCs/>
          <w:szCs w:val="22"/>
          <w:lang w:val="sv-SE"/>
        </w:rPr>
      </w:pPr>
      <w:r w:rsidRPr="00996FE6">
        <w:rPr>
          <w:iCs/>
          <w:szCs w:val="22"/>
          <w:lang w:val="sv-SE"/>
        </w:rPr>
        <w:t xml:space="preserve">Lijek </w:t>
      </w:r>
      <w:r w:rsidRPr="00996FE6">
        <w:rPr>
          <w:szCs w:val="22"/>
          <w:lang w:val="sv-SE"/>
        </w:rPr>
        <w:t xml:space="preserve">Vankomicin-MIP </w:t>
      </w:r>
      <w:r w:rsidRPr="00996FE6">
        <w:rPr>
          <w:iCs/>
          <w:szCs w:val="22"/>
          <w:lang w:val="sv-SE"/>
        </w:rPr>
        <w:t>se slabo dijalizuje intermitentnom hemodijalizom. Me</w:t>
      </w:r>
      <w:r w:rsidRPr="00996FE6">
        <w:rPr>
          <w:iCs/>
          <w:szCs w:val="22"/>
          <w:lang w:val="sr-Latn-RS"/>
        </w:rPr>
        <w:t xml:space="preserve">đutim, korišćenje visoko permeabilnih membrana i kontinuirana terapija zbog transplantacije bubrega </w:t>
      </w:r>
      <w:r w:rsidRPr="00996FE6">
        <w:rPr>
          <w:iCs/>
          <w:szCs w:val="22"/>
          <w:lang w:val="sv-SE"/>
        </w:rPr>
        <w:t xml:space="preserve">(engl. </w:t>
      </w:r>
      <w:r w:rsidRPr="00996FE6">
        <w:rPr>
          <w:i/>
          <w:szCs w:val="22"/>
          <w:lang w:val="sv-SE"/>
        </w:rPr>
        <w:t>continuous renal replacement therapy,</w:t>
      </w:r>
      <w:r w:rsidRPr="00996FE6">
        <w:rPr>
          <w:szCs w:val="22"/>
          <w:lang w:val="sv-SE"/>
        </w:rPr>
        <w:t xml:space="preserve"> </w:t>
      </w:r>
      <w:r w:rsidRPr="00996FE6">
        <w:rPr>
          <w:iCs/>
          <w:szCs w:val="22"/>
          <w:lang w:val="sv-SE"/>
        </w:rPr>
        <w:t>CRRT) pove</w:t>
      </w:r>
      <w:r w:rsidRPr="00996FE6">
        <w:rPr>
          <w:iCs/>
          <w:szCs w:val="22"/>
          <w:lang w:val="sr-Latn-RS"/>
        </w:rPr>
        <w:t>ćava klirens vankomicina i generalno zahtijeva zamjenu doziranja (obično nakon terapije hemodijalize u slučaju intermitentne hemodijalize).</w:t>
      </w:r>
    </w:p>
    <w:p w14:paraId="7CA5B90F" w14:textId="77777777" w:rsidR="00E61461" w:rsidRPr="00996FE6" w:rsidRDefault="00E61461" w:rsidP="00E61461">
      <w:pPr>
        <w:rPr>
          <w:szCs w:val="22"/>
          <w:lang w:val="sv-SE"/>
        </w:rPr>
      </w:pPr>
    </w:p>
    <w:p w14:paraId="7CB96031" w14:textId="77777777" w:rsidR="00E61461" w:rsidRPr="00996FE6" w:rsidRDefault="00E61461" w:rsidP="00E61461">
      <w:pPr>
        <w:rPr>
          <w:i/>
          <w:szCs w:val="22"/>
          <w:lang w:val="sv-SE"/>
        </w:rPr>
      </w:pPr>
      <w:r w:rsidRPr="00996FE6">
        <w:rPr>
          <w:i/>
          <w:szCs w:val="22"/>
          <w:lang w:val="sv-SE"/>
        </w:rPr>
        <w:t>Odrasli</w:t>
      </w:r>
    </w:p>
    <w:p w14:paraId="6EAC3FCB" w14:textId="77777777" w:rsidR="00E61461" w:rsidRPr="00996FE6" w:rsidRDefault="00E61461" w:rsidP="00E61461">
      <w:pPr>
        <w:rPr>
          <w:szCs w:val="22"/>
          <w:lang w:val="sv-SE"/>
        </w:rPr>
      </w:pPr>
      <w:r w:rsidRPr="00996FE6">
        <w:rPr>
          <w:szCs w:val="22"/>
          <w:lang w:val="sv-SE"/>
        </w:rPr>
        <w:t xml:space="preserve">Prilagođavanje doze kod odraslih pacijenata može se bazirati na procjeni brzine glomerularne filtracije (engl. </w:t>
      </w:r>
      <w:r w:rsidRPr="00996FE6">
        <w:rPr>
          <w:i/>
          <w:szCs w:val="22"/>
          <w:lang w:val="sv-SE"/>
        </w:rPr>
        <w:t>glomerular filtration rate estimated</w:t>
      </w:r>
      <w:r w:rsidRPr="00996FE6">
        <w:rPr>
          <w:szCs w:val="22"/>
          <w:lang w:val="sv-SE"/>
        </w:rPr>
        <w:t>, eGFR) prema sljedećoj formuli:</w:t>
      </w:r>
    </w:p>
    <w:p w14:paraId="611842A9" w14:textId="77777777" w:rsidR="00E61461" w:rsidRPr="00996FE6" w:rsidRDefault="00E61461" w:rsidP="00E61461">
      <w:pPr>
        <w:rPr>
          <w:szCs w:val="22"/>
          <w:lang w:val="sv-SE"/>
        </w:rPr>
      </w:pPr>
    </w:p>
    <w:p w14:paraId="7AC2273B" w14:textId="77777777" w:rsidR="00E61461" w:rsidRPr="00996FE6" w:rsidRDefault="00E61461" w:rsidP="00E61461">
      <w:pPr>
        <w:rPr>
          <w:szCs w:val="22"/>
          <w:lang w:val="sv-SE"/>
        </w:rPr>
      </w:pPr>
      <w:r w:rsidRPr="00996FE6">
        <w:rPr>
          <w:szCs w:val="22"/>
          <w:lang w:val="sv-SE"/>
        </w:rPr>
        <w:t xml:space="preserve">Muškarci:  [Tjelesna masa (kg) x (140 – godine </w:t>
      </w:r>
      <w:r w:rsidRPr="00996FE6">
        <w:rPr>
          <w:szCs w:val="22"/>
          <w:lang w:val="sr-Latn-RS"/>
        </w:rPr>
        <w:t>(uzrast))</w:t>
      </w:r>
      <w:r w:rsidRPr="00996FE6">
        <w:rPr>
          <w:szCs w:val="22"/>
          <w:lang w:val="sv-SE"/>
        </w:rPr>
        <w:t>] / 72 x kreatinin u serumu (mg/dl)</w:t>
      </w:r>
    </w:p>
    <w:p w14:paraId="0567FA79" w14:textId="77777777" w:rsidR="00E61461" w:rsidRPr="00996FE6" w:rsidRDefault="00E61461" w:rsidP="00E61461">
      <w:pPr>
        <w:rPr>
          <w:szCs w:val="22"/>
          <w:lang w:val="sv-SE"/>
        </w:rPr>
      </w:pPr>
    </w:p>
    <w:p w14:paraId="0100A723" w14:textId="77777777" w:rsidR="00E61461" w:rsidRPr="00996FE6" w:rsidRDefault="00E61461" w:rsidP="00E61461">
      <w:pPr>
        <w:rPr>
          <w:szCs w:val="22"/>
          <w:lang w:val="sv-SE"/>
        </w:rPr>
      </w:pPr>
      <w:r w:rsidRPr="00996FE6">
        <w:rPr>
          <w:szCs w:val="22"/>
          <w:lang w:val="sv-SE"/>
        </w:rPr>
        <w:t>Žene: 0,85 x izračunata vrijednost dobijena upotrebom formule za muškarce</w:t>
      </w:r>
    </w:p>
    <w:p w14:paraId="11189F84" w14:textId="77777777" w:rsidR="00E61461" w:rsidRPr="00996FE6" w:rsidRDefault="00E61461" w:rsidP="00E61461">
      <w:pPr>
        <w:rPr>
          <w:szCs w:val="22"/>
          <w:lang w:val="sv-SE"/>
        </w:rPr>
      </w:pPr>
    </w:p>
    <w:p w14:paraId="78AC4E76" w14:textId="77777777" w:rsidR="00E61461" w:rsidRPr="00996FE6" w:rsidRDefault="00E61461" w:rsidP="00E61461">
      <w:pPr>
        <w:rPr>
          <w:szCs w:val="22"/>
          <w:lang w:val="sr-Latn-RS"/>
        </w:rPr>
      </w:pPr>
      <w:r w:rsidRPr="00996FE6">
        <w:rPr>
          <w:szCs w:val="22"/>
          <w:lang w:val="sv-SE"/>
        </w:rPr>
        <w:t>Uobi</w:t>
      </w:r>
      <w:r w:rsidRPr="00996FE6">
        <w:rPr>
          <w:szCs w:val="22"/>
          <w:lang w:val="sr-Latn-RS"/>
        </w:rPr>
        <w:t>čajena početna doza kod odraslih pacijenata je 15 do 20 mg/kg koja se može primjenjivati na svaka 24 sata kod pacijenata sa klirensom kreatinina između 20 i 49 ml/min. Kod pacijenata sa teškim oštećenjem funkcije bubrega (klirens kreatinina ispod 20 ml/min) ili onih koji su na terapiji zbog transplantacije bubrega, režim doziranja u velikoj mjeri zavisi od modaliteta RRT i treba da bude baziran na koncentraciji vankomicina u serumu i rezidualnoj funkciji bubrega (vidjeti dio 4.4). U zavisnosti od kliničke situacije, trebalo bi razmotriti odlaganje naredne doze lijeka, dok se čekaju rezultati koncentracije vankomicina u serumu.</w:t>
      </w:r>
    </w:p>
    <w:p w14:paraId="054B0376" w14:textId="77777777" w:rsidR="00E61461" w:rsidRPr="00996FE6" w:rsidRDefault="00E61461" w:rsidP="00E61461">
      <w:pPr>
        <w:rPr>
          <w:szCs w:val="22"/>
          <w:lang w:val="sr-Latn-RS"/>
        </w:rPr>
      </w:pPr>
    </w:p>
    <w:p w14:paraId="29D08808" w14:textId="77777777" w:rsidR="00E61461" w:rsidRPr="00996FE6" w:rsidRDefault="00E61461" w:rsidP="00E61461">
      <w:pPr>
        <w:rPr>
          <w:szCs w:val="22"/>
          <w:lang w:val="sr-Latn-RS"/>
        </w:rPr>
      </w:pPr>
      <w:r w:rsidRPr="00996FE6">
        <w:rPr>
          <w:szCs w:val="22"/>
          <w:lang w:val="sr-Latn-RS"/>
        </w:rPr>
        <w:t xml:space="preserve">Kod pacijenata u kritičnoj fazi bolesti koji imaju insuficijenciju bubrega, inicijalna udarna doza (25 do 30 mg/kg) ne treba da se smanjuje. </w:t>
      </w:r>
    </w:p>
    <w:p w14:paraId="3FFF5D4B" w14:textId="77777777" w:rsidR="00E61461" w:rsidRPr="00996FE6" w:rsidRDefault="00E61461" w:rsidP="00E61461">
      <w:pPr>
        <w:rPr>
          <w:szCs w:val="22"/>
          <w:lang w:val="sr-Latn-RS"/>
        </w:rPr>
      </w:pPr>
    </w:p>
    <w:p w14:paraId="42AADD8A" w14:textId="77777777" w:rsidR="00E61461" w:rsidRPr="00996FE6" w:rsidRDefault="00E61461" w:rsidP="00E61461">
      <w:pPr>
        <w:rPr>
          <w:rStyle w:val="Emphasis"/>
          <w:lang w:val="sr-Latn-RS"/>
        </w:rPr>
      </w:pPr>
      <w:r w:rsidRPr="00996FE6">
        <w:rPr>
          <w:rStyle w:val="Emphasis"/>
          <w:lang w:val="sr-Latn-RS"/>
        </w:rPr>
        <w:t>Pedijatrijska populacija</w:t>
      </w:r>
    </w:p>
    <w:p w14:paraId="3001C210" w14:textId="77777777" w:rsidR="00E61461" w:rsidRPr="00996FE6" w:rsidRDefault="00E61461" w:rsidP="00E61461">
      <w:pPr>
        <w:rPr>
          <w:szCs w:val="22"/>
          <w:lang w:val="sr-Latn-RS"/>
        </w:rPr>
      </w:pPr>
      <w:r w:rsidRPr="00996FE6">
        <w:rPr>
          <w:szCs w:val="22"/>
          <w:lang w:val="sr-Latn-RS"/>
        </w:rPr>
        <w:t xml:space="preserve">Prilagođavanje doze kod pedijatrijskih pacijenata uzrasta od 1 godine i više, može se bazirati na procjeni brzine glomerularne filtracije (eGFR) prema revidiranoj </w:t>
      </w:r>
      <w:r w:rsidRPr="00996FE6">
        <w:rPr>
          <w:i/>
          <w:szCs w:val="22"/>
          <w:lang w:val="sr-Latn-RS"/>
        </w:rPr>
        <w:t>Schwartz</w:t>
      </w:r>
      <w:r w:rsidRPr="00996FE6">
        <w:rPr>
          <w:szCs w:val="22"/>
          <w:lang w:val="sr-Latn-RS"/>
        </w:rPr>
        <w:t xml:space="preserve"> formuli:</w:t>
      </w:r>
    </w:p>
    <w:p w14:paraId="4E7EABDD" w14:textId="77777777" w:rsidR="00E61461" w:rsidRPr="00996FE6" w:rsidRDefault="00E61461" w:rsidP="00E61461">
      <w:pPr>
        <w:rPr>
          <w:szCs w:val="22"/>
          <w:lang w:val="sr-Latn-RS"/>
        </w:rPr>
      </w:pPr>
    </w:p>
    <w:p w14:paraId="6C942522" w14:textId="77777777" w:rsidR="00E61461" w:rsidRPr="00996FE6" w:rsidRDefault="00E61461" w:rsidP="00E61461">
      <w:pPr>
        <w:rPr>
          <w:szCs w:val="22"/>
          <w:lang w:val="sv-SE"/>
        </w:rPr>
      </w:pPr>
      <w:r w:rsidRPr="00996FE6">
        <w:rPr>
          <w:szCs w:val="22"/>
          <w:lang w:val="sv-SE"/>
        </w:rPr>
        <w:t>eGFR (ml/min/1,73m</w:t>
      </w:r>
      <w:r w:rsidRPr="00996FE6">
        <w:rPr>
          <w:szCs w:val="22"/>
          <w:vertAlign w:val="superscript"/>
          <w:lang w:val="sv-SE"/>
        </w:rPr>
        <w:t>2</w:t>
      </w:r>
      <w:r w:rsidRPr="00996FE6">
        <w:rPr>
          <w:szCs w:val="22"/>
          <w:lang w:val="sv-SE"/>
        </w:rPr>
        <w:t>) = (Visina (cm) x 0,413) / kreatinin u serumu (mg/dl)</w:t>
      </w:r>
    </w:p>
    <w:p w14:paraId="0A61801E" w14:textId="77777777" w:rsidR="00E61461" w:rsidRPr="00996FE6" w:rsidRDefault="00E61461" w:rsidP="00E61461">
      <w:pPr>
        <w:rPr>
          <w:szCs w:val="22"/>
          <w:lang w:val="sv-SE"/>
        </w:rPr>
      </w:pPr>
      <w:r w:rsidRPr="00996FE6">
        <w:rPr>
          <w:szCs w:val="22"/>
          <w:lang w:val="sv-SE"/>
        </w:rPr>
        <w:t>eGFR (ml/min/1,73m</w:t>
      </w:r>
      <w:r w:rsidRPr="00996FE6">
        <w:rPr>
          <w:szCs w:val="22"/>
          <w:vertAlign w:val="superscript"/>
          <w:lang w:val="sv-SE"/>
        </w:rPr>
        <w:t>2</w:t>
      </w:r>
      <w:r w:rsidRPr="00996FE6">
        <w:rPr>
          <w:szCs w:val="22"/>
          <w:lang w:val="sv-SE"/>
        </w:rPr>
        <w:t>) = (Visina (cm) x 36,2) / kreatinin u serumu (mikromol/l)</w:t>
      </w:r>
    </w:p>
    <w:p w14:paraId="597CAEA0" w14:textId="77777777" w:rsidR="00E61461" w:rsidRPr="00996FE6" w:rsidRDefault="00E61461" w:rsidP="00E61461">
      <w:pPr>
        <w:rPr>
          <w:szCs w:val="22"/>
          <w:lang w:val="sv-SE"/>
        </w:rPr>
      </w:pPr>
    </w:p>
    <w:p w14:paraId="1F442504" w14:textId="77777777" w:rsidR="00E61461" w:rsidRPr="00996FE6" w:rsidRDefault="00E61461" w:rsidP="00E61461">
      <w:pPr>
        <w:rPr>
          <w:szCs w:val="22"/>
          <w:lang w:val="sr-Latn-RS"/>
        </w:rPr>
      </w:pPr>
      <w:r w:rsidRPr="00996FE6">
        <w:rPr>
          <w:szCs w:val="22"/>
          <w:lang w:val="sv-SE"/>
        </w:rPr>
        <w:lastRenderedPageBreak/>
        <w:t xml:space="preserve">Revidirana </w:t>
      </w:r>
      <w:r w:rsidRPr="00996FE6">
        <w:rPr>
          <w:i/>
          <w:szCs w:val="22"/>
          <w:lang w:val="sv-SE"/>
        </w:rPr>
        <w:t>Schwartz</w:t>
      </w:r>
      <w:r w:rsidRPr="00996FE6">
        <w:rPr>
          <w:szCs w:val="22"/>
          <w:lang w:val="sv-SE"/>
        </w:rPr>
        <w:t xml:space="preserve"> formula nije primjenljiva za </w:t>
      </w:r>
      <w:r w:rsidRPr="00996FE6">
        <w:rPr>
          <w:szCs w:val="22"/>
          <w:lang w:val="sr-Latn-RS"/>
        </w:rPr>
        <w:t>novorođenčad i odojčad uzrasta mlađeg od 1 godine, te je potrebno potražiti stručni savjet.</w:t>
      </w:r>
    </w:p>
    <w:p w14:paraId="144CCBB8" w14:textId="77777777" w:rsidR="00E61461" w:rsidRPr="00996FE6" w:rsidRDefault="00E61461" w:rsidP="00E61461">
      <w:pPr>
        <w:rPr>
          <w:szCs w:val="22"/>
          <w:lang w:val="sr-Latn-RS"/>
        </w:rPr>
      </w:pPr>
    </w:p>
    <w:p w14:paraId="61300D56" w14:textId="77777777" w:rsidR="00E61461" w:rsidRPr="00996FE6" w:rsidRDefault="00E61461" w:rsidP="00E61461">
      <w:pPr>
        <w:rPr>
          <w:szCs w:val="22"/>
          <w:lang w:val="sr-Latn-RS"/>
        </w:rPr>
      </w:pPr>
      <w:r w:rsidRPr="00996FE6">
        <w:rPr>
          <w:szCs w:val="22"/>
          <w:lang w:val="sr-Latn-RS"/>
        </w:rPr>
        <w:t>Orijentacione preporuke za doziranje kod pedijatrijske populacije prikazane su u sljedećoj tabeli na osnovu istih principa kao kod odraslih pacijenata.</w:t>
      </w:r>
    </w:p>
    <w:p w14:paraId="0B7C7EA0" w14:textId="77777777" w:rsidR="00E61461" w:rsidRPr="00996FE6" w:rsidRDefault="00E61461" w:rsidP="00E61461">
      <w:pPr>
        <w:rPr>
          <w:szCs w:val="22"/>
          <w:lang w:val="sr-Latn-RS"/>
        </w:rPr>
      </w:pPr>
    </w:p>
    <w:tbl>
      <w:tblPr>
        <w:tblStyle w:val="TableGrid"/>
        <w:tblW w:w="0" w:type="auto"/>
        <w:tblLayout w:type="fixed"/>
        <w:tblLook w:val="04A0" w:firstRow="1" w:lastRow="0" w:firstColumn="1" w:lastColumn="0" w:noHBand="0" w:noVBand="1"/>
      </w:tblPr>
      <w:tblGrid>
        <w:gridCol w:w="3285"/>
        <w:gridCol w:w="3285"/>
        <w:gridCol w:w="3285"/>
      </w:tblGrid>
      <w:tr w:rsidR="00E61461" w:rsidRPr="00996FE6" w14:paraId="4D3310E8" w14:textId="77777777" w:rsidTr="0091419D">
        <w:tc>
          <w:tcPr>
            <w:tcW w:w="3285" w:type="dxa"/>
          </w:tcPr>
          <w:p w14:paraId="4212868F" w14:textId="77777777" w:rsidR="00E61461" w:rsidRPr="00996FE6" w:rsidRDefault="00E61461" w:rsidP="0091419D">
            <w:pPr>
              <w:jc w:val="left"/>
              <w:rPr>
                <w:szCs w:val="22"/>
                <w:lang w:val="sr-Latn-RS"/>
              </w:rPr>
            </w:pPr>
            <w:r w:rsidRPr="00996FE6">
              <w:rPr>
                <w:szCs w:val="22"/>
              </w:rPr>
              <w:t>GFR  (ml/min/1,73m</w:t>
            </w:r>
            <w:r w:rsidRPr="00996FE6">
              <w:rPr>
                <w:szCs w:val="22"/>
                <w:vertAlign w:val="superscript"/>
              </w:rPr>
              <w:t>2</w:t>
            </w:r>
            <w:r w:rsidRPr="00996FE6">
              <w:rPr>
                <w:szCs w:val="22"/>
              </w:rPr>
              <w:t>)</w:t>
            </w:r>
          </w:p>
        </w:tc>
        <w:tc>
          <w:tcPr>
            <w:tcW w:w="3285" w:type="dxa"/>
          </w:tcPr>
          <w:p w14:paraId="5BC0EBE5" w14:textId="77777777" w:rsidR="00E61461" w:rsidRPr="00996FE6" w:rsidRDefault="00E61461" w:rsidP="0091419D">
            <w:pPr>
              <w:jc w:val="left"/>
              <w:rPr>
                <w:szCs w:val="22"/>
              </w:rPr>
            </w:pPr>
            <w:r w:rsidRPr="00996FE6">
              <w:rPr>
                <w:szCs w:val="22"/>
                <w:lang w:val="sr-Latn-RS"/>
              </w:rPr>
              <w:t>IV doza</w:t>
            </w:r>
          </w:p>
        </w:tc>
        <w:tc>
          <w:tcPr>
            <w:tcW w:w="3285" w:type="dxa"/>
          </w:tcPr>
          <w:p w14:paraId="1326A921" w14:textId="77777777" w:rsidR="00E61461" w:rsidRPr="00996FE6" w:rsidRDefault="00E61461" w:rsidP="0091419D">
            <w:pPr>
              <w:jc w:val="left"/>
              <w:rPr>
                <w:szCs w:val="22"/>
                <w:lang w:val="sr-Latn-RS"/>
              </w:rPr>
            </w:pPr>
            <w:r w:rsidRPr="00996FE6">
              <w:rPr>
                <w:szCs w:val="22"/>
                <w:lang w:val="sr-Latn-RS"/>
              </w:rPr>
              <w:t>Učestalost doziranja</w:t>
            </w:r>
          </w:p>
        </w:tc>
      </w:tr>
      <w:tr w:rsidR="00E61461" w:rsidRPr="00996FE6" w14:paraId="1C9E1496" w14:textId="77777777" w:rsidTr="0091419D">
        <w:tc>
          <w:tcPr>
            <w:tcW w:w="3285" w:type="dxa"/>
          </w:tcPr>
          <w:p w14:paraId="3B1C7DC8" w14:textId="77777777" w:rsidR="00E61461" w:rsidRPr="00996FE6" w:rsidRDefault="00E61461" w:rsidP="0091419D">
            <w:pPr>
              <w:jc w:val="left"/>
              <w:rPr>
                <w:szCs w:val="22"/>
                <w:lang w:val="sr-Latn-RS"/>
              </w:rPr>
            </w:pPr>
            <w:r w:rsidRPr="00996FE6">
              <w:rPr>
                <w:szCs w:val="22"/>
                <w:lang w:val="sr-Latn-RS"/>
              </w:rPr>
              <w:t>50-30</w:t>
            </w:r>
          </w:p>
        </w:tc>
        <w:tc>
          <w:tcPr>
            <w:tcW w:w="3285" w:type="dxa"/>
          </w:tcPr>
          <w:p w14:paraId="4F1231E7" w14:textId="77777777" w:rsidR="00E61461" w:rsidRPr="00996FE6" w:rsidRDefault="00E61461" w:rsidP="0091419D">
            <w:pPr>
              <w:jc w:val="left"/>
              <w:rPr>
                <w:szCs w:val="22"/>
                <w:lang w:val="sr-Latn-RS"/>
              </w:rPr>
            </w:pPr>
            <w:r w:rsidRPr="00996FE6">
              <w:rPr>
                <w:szCs w:val="22"/>
                <w:lang w:val="sr-Latn-RS"/>
              </w:rPr>
              <w:t>15 mg/kg</w:t>
            </w:r>
          </w:p>
        </w:tc>
        <w:tc>
          <w:tcPr>
            <w:tcW w:w="3285" w:type="dxa"/>
          </w:tcPr>
          <w:p w14:paraId="0811595E" w14:textId="77777777" w:rsidR="00E61461" w:rsidRPr="00996FE6" w:rsidRDefault="00E61461" w:rsidP="0091419D">
            <w:pPr>
              <w:jc w:val="left"/>
              <w:rPr>
                <w:szCs w:val="22"/>
                <w:lang w:val="sr-Latn-RS"/>
              </w:rPr>
            </w:pPr>
            <w:r w:rsidRPr="00996FE6">
              <w:rPr>
                <w:szCs w:val="22"/>
              </w:rPr>
              <w:t>svakih 12 sati</w:t>
            </w:r>
          </w:p>
        </w:tc>
      </w:tr>
      <w:tr w:rsidR="00E61461" w:rsidRPr="00996FE6" w14:paraId="478FD3BF" w14:textId="77777777" w:rsidTr="0091419D">
        <w:tc>
          <w:tcPr>
            <w:tcW w:w="3285" w:type="dxa"/>
          </w:tcPr>
          <w:p w14:paraId="77888320" w14:textId="77777777" w:rsidR="00E61461" w:rsidRPr="00996FE6" w:rsidRDefault="00E61461" w:rsidP="0091419D">
            <w:pPr>
              <w:jc w:val="left"/>
              <w:rPr>
                <w:szCs w:val="22"/>
                <w:lang w:val="sr-Latn-RS"/>
              </w:rPr>
            </w:pPr>
            <w:r w:rsidRPr="00996FE6">
              <w:rPr>
                <w:szCs w:val="22"/>
                <w:lang w:val="sr-Latn-RS"/>
              </w:rPr>
              <w:t>29-10</w:t>
            </w:r>
          </w:p>
        </w:tc>
        <w:tc>
          <w:tcPr>
            <w:tcW w:w="3285" w:type="dxa"/>
          </w:tcPr>
          <w:p w14:paraId="4B1B4B26" w14:textId="77777777" w:rsidR="00E61461" w:rsidRPr="00996FE6" w:rsidRDefault="00E61461" w:rsidP="0091419D">
            <w:pPr>
              <w:jc w:val="left"/>
              <w:rPr>
                <w:szCs w:val="22"/>
                <w:lang w:val="sr-Latn-RS"/>
              </w:rPr>
            </w:pPr>
            <w:r w:rsidRPr="00996FE6">
              <w:rPr>
                <w:szCs w:val="22"/>
                <w:lang w:val="sr-Latn-RS"/>
              </w:rPr>
              <w:t>15 mg/kg</w:t>
            </w:r>
          </w:p>
        </w:tc>
        <w:tc>
          <w:tcPr>
            <w:tcW w:w="3285" w:type="dxa"/>
          </w:tcPr>
          <w:p w14:paraId="711ED9A0" w14:textId="77777777" w:rsidR="00E61461" w:rsidRPr="00996FE6" w:rsidRDefault="00E61461" w:rsidP="0091419D">
            <w:pPr>
              <w:jc w:val="left"/>
              <w:rPr>
                <w:szCs w:val="22"/>
                <w:lang w:val="sr-Latn-RS"/>
              </w:rPr>
            </w:pPr>
            <w:r w:rsidRPr="00996FE6">
              <w:rPr>
                <w:szCs w:val="22"/>
              </w:rPr>
              <w:t>svaka 24 sata</w:t>
            </w:r>
          </w:p>
        </w:tc>
      </w:tr>
      <w:tr w:rsidR="00E61461" w:rsidRPr="00986F86" w14:paraId="6B576144" w14:textId="77777777" w:rsidTr="0091419D">
        <w:tc>
          <w:tcPr>
            <w:tcW w:w="3285" w:type="dxa"/>
          </w:tcPr>
          <w:p w14:paraId="73BB33B4" w14:textId="77777777" w:rsidR="00E61461" w:rsidRPr="00996FE6" w:rsidRDefault="00E61461" w:rsidP="0091419D">
            <w:pPr>
              <w:jc w:val="left"/>
              <w:rPr>
                <w:szCs w:val="22"/>
                <w:lang w:val="sr-Latn-RS"/>
              </w:rPr>
            </w:pPr>
            <w:r w:rsidRPr="00996FE6">
              <w:rPr>
                <w:szCs w:val="22"/>
                <w:lang w:val="sr-Latn-RS"/>
              </w:rPr>
              <w:t>˂10</w:t>
            </w:r>
          </w:p>
        </w:tc>
        <w:tc>
          <w:tcPr>
            <w:tcW w:w="3285" w:type="dxa"/>
            <w:vMerge w:val="restart"/>
          </w:tcPr>
          <w:p w14:paraId="6FBB811D" w14:textId="77777777" w:rsidR="00E61461" w:rsidRPr="00996FE6" w:rsidRDefault="00E61461" w:rsidP="0091419D">
            <w:pPr>
              <w:jc w:val="left"/>
              <w:rPr>
                <w:szCs w:val="22"/>
                <w:lang w:val="sr-Latn-RS"/>
              </w:rPr>
            </w:pPr>
            <w:r w:rsidRPr="00996FE6">
              <w:rPr>
                <w:szCs w:val="22"/>
                <w:lang w:val="sr-Latn-RS"/>
              </w:rPr>
              <w:t>10-15 mg/kg</w:t>
            </w:r>
          </w:p>
        </w:tc>
        <w:tc>
          <w:tcPr>
            <w:tcW w:w="3285" w:type="dxa"/>
            <w:vMerge w:val="restart"/>
          </w:tcPr>
          <w:p w14:paraId="07553824" w14:textId="77777777" w:rsidR="00E61461" w:rsidRPr="00996FE6" w:rsidRDefault="00E61461" w:rsidP="0091419D">
            <w:pPr>
              <w:jc w:val="left"/>
              <w:rPr>
                <w:szCs w:val="22"/>
                <w:lang w:val="sr-Latn-RS"/>
              </w:rPr>
            </w:pPr>
            <w:r w:rsidRPr="00996FE6">
              <w:rPr>
                <w:szCs w:val="22"/>
                <w:lang w:val="sr-Latn-RS"/>
              </w:rPr>
              <w:t>Ponovno doziranje zasnovano na koncentracijama vankomicina*</w:t>
            </w:r>
          </w:p>
        </w:tc>
      </w:tr>
      <w:tr w:rsidR="00E61461" w:rsidRPr="00996FE6" w14:paraId="2E218923" w14:textId="77777777" w:rsidTr="0091419D">
        <w:tc>
          <w:tcPr>
            <w:tcW w:w="3285" w:type="dxa"/>
          </w:tcPr>
          <w:p w14:paraId="123B63A5" w14:textId="77777777" w:rsidR="00E61461" w:rsidRPr="00996FE6" w:rsidRDefault="00E61461" w:rsidP="0091419D">
            <w:pPr>
              <w:jc w:val="left"/>
              <w:rPr>
                <w:szCs w:val="22"/>
                <w:lang w:val="sr-Latn-RS"/>
              </w:rPr>
            </w:pPr>
            <w:r w:rsidRPr="00996FE6">
              <w:rPr>
                <w:szCs w:val="22"/>
                <w:lang w:val="sr-Latn-RS"/>
              </w:rPr>
              <w:t>Intermitentna hemodijaliza</w:t>
            </w:r>
          </w:p>
        </w:tc>
        <w:tc>
          <w:tcPr>
            <w:tcW w:w="3285" w:type="dxa"/>
            <w:vMerge/>
          </w:tcPr>
          <w:p w14:paraId="0B6A60D3" w14:textId="77777777" w:rsidR="00E61461" w:rsidRPr="00996FE6" w:rsidRDefault="00E61461" w:rsidP="0091419D">
            <w:pPr>
              <w:jc w:val="left"/>
              <w:rPr>
                <w:szCs w:val="22"/>
                <w:lang w:val="sr-Latn-RS"/>
              </w:rPr>
            </w:pPr>
          </w:p>
        </w:tc>
        <w:tc>
          <w:tcPr>
            <w:tcW w:w="3285" w:type="dxa"/>
            <w:vMerge/>
          </w:tcPr>
          <w:p w14:paraId="0B1134C1" w14:textId="77777777" w:rsidR="00E61461" w:rsidRPr="00996FE6" w:rsidRDefault="00E61461" w:rsidP="0091419D">
            <w:pPr>
              <w:jc w:val="left"/>
              <w:rPr>
                <w:szCs w:val="22"/>
                <w:lang w:val="sr-Latn-RS"/>
              </w:rPr>
            </w:pPr>
          </w:p>
        </w:tc>
      </w:tr>
      <w:tr w:rsidR="00E61461" w:rsidRPr="00996FE6" w14:paraId="1680BF49" w14:textId="77777777" w:rsidTr="0091419D">
        <w:tc>
          <w:tcPr>
            <w:tcW w:w="3285" w:type="dxa"/>
          </w:tcPr>
          <w:p w14:paraId="5796BFF5" w14:textId="77777777" w:rsidR="00E61461" w:rsidRPr="00996FE6" w:rsidRDefault="00E61461" w:rsidP="0091419D">
            <w:pPr>
              <w:jc w:val="left"/>
              <w:rPr>
                <w:szCs w:val="22"/>
                <w:lang w:val="sr-Latn-RS"/>
              </w:rPr>
            </w:pPr>
            <w:r w:rsidRPr="00996FE6">
              <w:rPr>
                <w:szCs w:val="22"/>
                <w:lang w:val="sr-Latn-RS"/>
              </w:rPr>
              <w:t>Peritonealna dijaliza</w:t>
            </w:r>
          </w:p>
        </w:tc>
        <w:tc>
          <w:tcPr>
            <w:tcW w:w="3285" w:type="dxa"/>
            <w:vMerge/>
          </w:tcPr>
          <w:p w14:paraId="4D4EF557" w14:textId="77777777" w:rsidR="00E61461" w:rsidRPr="00996FE6" w:rsidRDefault="00E61461" w:rsidP="0091419D">
            <w:pPr>
              <w:jc w:val="left"/>
              <w:rPr>
                <w:szCs w:val="22"/>
                <w:lang w:val="sr-Latn-RS"/>
              </w:rPr>
            </w:pPr>
          </w:p>
        </w:tc>
        <w:tc>
          <w:tcPr>
            <w:tcW w:w="3285" w:type="dxa"/>
            <w:vMerge/>
          </w:tcPr>
          <w:p w14:paraId="6926F48D" w14:textId="77777777" w:rsidR="00E61461" w:rsidRPr="00996FE6" w:rsidRDefault="00E61461" w:rsidP="0091419D">
            <w:pPr>
              <w:jc w:val="left"/>
              <w:rPr>
                <w:szCs w:val="22"/>
                <w:lang w:val="sr-Latn-RS"/>
              </w:rPr>
            </w:pPr>
          </w:p>
        </w:tc>
      </w:tr>
      <w:tr w:rsidR="00E61461" w:rsidRPr="00986F86" w14:paraId="4B7F5B6E" w14:textId="77777777" w:rsidTr="0091419D">
        <w:tc>
          <w:tcPr>
            <w:tcW w:w="3285" w:type="dxa"/>
          </w:tcPr>
          <w:p w14:paraId="643702DF" w14:textId="77777777" w:rsidR="00E61461" w:rsidRPr="00996FE6" w:rsidRDefault="00E61461" w:rsidP="0091419D">
            <w:pPr>
              <w:jc w:val="left"/>
              <w:rPr>
                <w:szCs w:val="22"/>
                <w:lang w:val="sr-Latn-RS"/>
              </w:rPr>
            </w:pPr>
            <w:r w:rsidRPr="00996FE6">
              <w:rPr>
                <w:iCs/>
                <w:szCs w:val="22"/>
                <w:lang w:val="sr-Latn-RS"/>
              </w:rPr>
              <w:t xml:space="preserve">Kontinuirana terapija zbog transplantacije bubrega </w:t>
            </w:r>
            <w:r w:rsidRPr="00996FE6">
              <w:rPr>
                <w:iCs/>
                <w:szCs w:val="22"/>
              </w:rPr>
              <w:t>(CRRT)</w:t>
            </w:r>
          </w:p>
        </w:tc>
        <w:tc>
          <w:tcPr>
            <w:tcW w:w="3285" w:type="dxa"/>
          </w:tcPr>
          <w:p w14:paraId="2D761D6C" w14:textId="77777777" w:rsidR="00E61461" w:rsidRPr="00996FE6" w:rsidRDefault="00E61461" w:rsidP="0091419D">
            <w:pPr>
              <w:jc w:val="left"/>
              <w:rPr>
                <w:szCs w:val="22"/>
                <w:lang w:val="sr-Latn-RS"/>
              </w:rPr>
            </w:pPr>
            <w:r w:rsidRPr="00996FE6">
              <w:rPr>
                <w:szCs w:val="22"/>
                <w:lang w:val="sr-Latn-RS"/>
              </w:rPr>
              <w:t>15 mg/kg</w:t>
            </w:r>
          </w:p>
        </w:tc>
        <w:tc>
          <w:tcPr>
            <w:tcW w:w="3285" w:type="dxa"/>
          </w:tcPr>
          <w:p w14:paraId="27538E1B" w14:textId="77777777" w:rsidR="00E61461" w:rsidRPr="00996FE6" w:rsidRDefault="00E61461" w:rsidP="0091419D">
            <w:pPr>
              <w:jc w:val="left"/>
              <w:rPr>
                <w:szCs w:val="22"/>
                <w:lang w:val="sr-Latn-RS"/>
              </w:rPr>
            </w:pPr>
            <w:r w:rsidRPr="00996FE6">
              <w:rPr>
                <w:szCs w:val="22"/>
                <w:lang w:val="sr-Latn-RS"/>
              </w:rPr>
              <w:t>Ponovno doziranje zasnovano na koncentracijama vankomicina*</w:t>
            </w:r>
          </w:p>
        </w:tc>
      </w:tr>
    </w:tbl>
    <w:p w14:paraId="6FE35896" w14:textId="77777777" w:rsidR="00E61461" w:rsidRPr="00996FE6" w:rsidRDefault="00E61461" w:rsidP="00E61461">
      <w:pPr>
        <w:rPr>
          <w:szCs w:val="22"/>
          <w:lang w:val="sr-Latn-RS"/>
        </w:rPr>
      </w:pPr>
    </w:p>
    <w:p w14:paraId="7FCA5339" w14:textId="77777777" w:rsidR="00E61461" w:rsidRPr="00996FE6" w:rsidRDefault="00E61461" w:rsidP="00E61461">
      <w:pPr>
        <w:rPr>
          <w:szCs w:val="22"/>
          <w:lang w:val="sr-Latn-RS"/>
        </w:rPr>
      </w:pPr>
      <w:r w:rsidRPr="00996FE6">
        <w:rPr>
          <w:szCs w:val="22"/>
          <w:lang w:val="sr-Latn-RS"/>
        </w:rPr>
        <w:t>*Odgovarajući vremenski period i količina naknadnih doza u velikoj mjeri zavisi od modaliteta RRT i treba da se zasniva na koncentracijama vankomicina u serumu izmjerenih prije doziranja i rezidualnoj funkciji bubrega. U zavisnosti od kliničke situacije, trebalo bi razmotriti odlaganje naredne doze lijeka, dok se čekaju rezultati mjerenja koncentracija vankomicina u serumu.</w:t>
      </w:r>
    </w:p>
    <w:p w14:paraId="0FE79EBB" w14:textId="77777777" w:rsidR="00E61461" w:rsidRPr="00996FE6" w:rsidRDefault="00E61461" w:rsidP="00E61461">
      <w:pPr>
        <w:rPr>
          <w:szCs w:val="22"/>
          <w:lang w:val="sr-Latn-RS"/>
        </w:rPr>
      </w:pPr>
    </w:p>
    <w:p w14:paraId="43C12A80" w14:textId="77777777" w:rsidR="00E61461" w:rsidRPr="00996FE6" w:rsidRDefault="00E61461" w:rsidP="00E61461">
      <w:pPr>
        <w:rPr>
          <w:i/>
          <w:szCs w:val="22"/>
          <w:lang w:val="sr-Latn-RS"/>
        </w:rPr>
      </w:pPr>
      <w:r w:rsidRPr="00996FE6">
        <w:rPr>
          <w:i/>
          <w:szCs w:val="22"/>
          <w:lang w:val="sr-Latn-RS"/>
        </w:rPr>
        <w:t>Pacijenti sa oštećenjem funkcije jetre:</w:t>
      </w:r>
    </w:p>
    <w:p w14:paraId="64883DAD" w14:textId="77777777" w:rsidR="00E61461" w:rsidRPr="00996FE6" w:rsidRDefault="00E61461" w:rsidP="00E61461">
      <w:pPr>
        <w:rPr>
          <w:szCs w:val="22"/>
          <w:lang w:val="sr-Latn-RS"/>
        </w:rPr>
      </w:pPr>
      <w:r w:rsidRPr="00996FE6">
        <w:rPr>
          <w:szCs w:val="22"/>
          <w:lang w:val="sr-Latn-RS"/>
        </w:rPr>
        <w:t>Kod pacijenata sa oštećenjem funkcije jetre nije potrebno prilagođavanje doze.</w:t>
      </w:r>
    </w:p>
    <w:p w14:paraId="59B2F322" w14:textId="77777777" w:rsidR="00E61461" w:rsidRPr="00996FE6" w:rsidRDefault="00E61461" w:rsidP="00E61461">
      <w:pPr>
        <w:rPr>
          <w:szCs w:val="22"/>
          <w:u w:val="single"/>
          <w:lang w:val="sr-Latn-RS"/>
        </w:rPr>
      </w:pPr>
    </w:p>
    <w:p w14:paraId="41263EA9" w14:textId="77777777" w:rsidR="00E61461" w:rsidRPr="00996FE6" w:rsidRDefault="00E61461" w:rsidP="00E61461">
      <w:pPr>
        <w:rPr>
          <w:i/>
          <w:szCs w:val="22"/>
          <w:lang w:val="sr-Latn-RS"/>
        </w:rPr>
      </w:pPr>
      <w:r w:rsidRPr="00996FE6">
        <w:rPr>
          <w:i/>
          <w:szCs w:val="22"/>
          <w:lang w:val="sr-Latn-RS"/>
        </w:rPr>
        <w:t>Trudnoća</w:t>
      </w:r>
    </w:p>
    <w:p w14:paraId="733EB507" w14:textId="77777777" w:rsidR="00E61461" w:rsidRPr="00996FE6" w:rsidRDefault="00E61461" w:rsidP="00E61461">
      <w:pPr>
        <w:rPr>
          <w:lang w:val="sr-Latn-RS"/>
        </w:rPr>
      </w:pPr>
      <w:r w:rsidRPr="00996FE6">
        <w:rPr>
          <w:szCs w:val="22"/>
          <w:lang w:val="sr-Latn-RS"/>
        </w:rPr>
        <w:t xml:space="preserve">Postizanje terapijske koncentracije u serumu kod trudnica može zahtijevati značajno povećanje doza </w:t>
      </w:r>
      <w:r w:rsidRPr="00996FE6">
        <w:rPr>
          <w:lang w:val="sr-Latn-RS"/>
        </w:rPr>
        <w:t>(vidjeti dio 4.6).</w:t>
      </w:r>
    </w:p>
    <w:p w14:paraId="47B3D35D" w14:textId="77777777" w:rsidR="00E61461" w:rsidRPr="00996FE6" w:rsidRDefault="00E61461" w:rsidP="00E61461">
      <w:pPr>
        <w:rPr>
          <w:szCs w:val="22"/>
          <w:lang w:val="sr-Latn-RS"/>
        </w:rPr>
      </w:pPr>
    </w:p>
    <w:p w14:paraId="58C08082" w14:textId="77777777" w:rsidR="00E61461" w:rsidRPr="00996FE6" w:rsidRDefault="00E61461" w:rsidP="00E61461">
      <w:pPr>
        <w:rPr>
          <w:i/>
          <w:szCs w:val="22"/>
          <w:lang w:val="sr-Latn-RS"/>
        </w:rPr>
      </w:pPr>
      <w:r w:rsidRPr="00996FE6">
        <w:rPr>
          <w:i/>
          <w:szCs w:val="22"/>
          <w:lang w:val="sr-Latn-RS"/>
        </w:rPr>
        <w:t>Gojazni pacijenti</w:t>
      </w:r>
    </w:p>
    <w:p w14:paraId="6C0EE061" w14:textId="77777777" w:rsidR="00E61461" w:rsidRPr="00996FE6" w:rsidRDefault="00E61461" w:rsidP="00E61461">
      <w:pPr>
        <w:rPr>
          <w:szCs w:val="22"/>
          <w:lang w:val="sr-Latn-RS"/>
        </w:rPr>
      </w:pPr>
      <w:r w:rsidRPr="00996FE6">
        <w:rPr>
          <w:szCs w:val="22"/>
          <w:lang w:val="sr-Latn-RS"/>
        </w:rPr>
        <w:t>Kod gojaznih pacijenata, početnu dozu treba individualno prilagoditi prema ukupnoj tjelesnoj masi kao kod pacijenata koji nijesu gojazni.</w:t>
      </w:r>
    </w:p>
    <w:p w14:paraId="11C2CB53" w14:textId="77777777" w:rsidR="00E61461" w:rsidRPr="00996FE6" w:rsidRDefault="00E61461" w:rsidP="00E61461">
      <w:pPr>
        <w:rPr>
          <w:szCs w:val="22"/>
          <w:lang w:val="sr-Latn-RS"/>
        </w:rPr>
      </w:pPr>
    </w:p>
    <w:p w14:paraId="78FED9C9" w14:textId="77777777" w:rsidR="00E61461" w:rsidRPr="00996FE6" w:rsidRDefault="00E61461" w:rsidP="00E61461">
      <w:pPr>
        <w:rPr>
          <w:b/>
          <w:szCs w:val="22"/>
          <w:u w:val="single"/>
          <w:lang w:val="sv-SE"/>
        </w:rPr>
      </w:pPr>
      <w:r w:rsidRPr="00996FE6">
        <w:rPr>
          <w:b/>
          <w:szCs w:val="22"/>
          <w:u w:val="single"/>
          <w:lang w:val="sv-SE"/>
        </w:rPr>
        <w:t>Oralna upotreba</w:t>
      </w:r>
    </w:p>
    <w:p w14:paraId="63F5DB6B" w14:textId="77777777" w:rsidR="00E61461" w:rsidRPr="00996FE6" w:rsidRDefault="00E61461" w:rsidP="00E61461">
      <w:pPr>
        <w:rPr>
          <w:szCs w:val="22"/>
          <w:lang w:val="sv-SE"/>
        </w:rPr>
      </w:pPr>
    </w:p>
    <w:p w14:paraId="69EF8B2F" w14:textId="77777777" w:rsidR="00E61461" w:rsidRPr="00996FE6" w:rsidRDefault="00E61461" w:rsidP="00E61461">
      <w:pPr>
        <w:rPr>
          <w:i/>
          <w:szCs w:val="22"/>
          <w:lang w:val="sv-SE"/>
        </w:rPr>
      </w:pPr>
      <w:r w:rsidRPr="00996FE6">
        <w:rPr>
          <w:i/>
          <w:szCs w:val="22"/>
          <w:lang w:val="sv-SE"/>
        </w:rPr>
        <w:t>Pacijenti uzrasta 12 godina i stariji</w:t>
      </w:r>
    </w:p>
    <w:p w14:paraId="25BB78D2" w14:textId="77777777" w:rsidR="00E61461" w:rsidRPr="00996FE6" w:rsidRDefault="00E61461" w:rsidP="00E61461">
      <w:pPr>
        <w:rPr>
          <w:szCs w:val="22"/>
          <w:lang w:val="sv-SE"/>
        </w:rPr>
      </w:pPr>
    </w:p>
    <w:p w14:paraId="2416D59A" w14:textId="77777777" w:rsidR="00E61461" w:rsidRPr="00996FE6" w:rsidRDefault="00E61461" w:rsidP="00E61461">
      <w:pPr>
        <w:rPr>
          <w:szCs w:val="22"/>
          <w:lang w:val="sv-SE"/>
        </w:rPr>
      </w:pPr>
      <w:r w:rsidRPr="00996FE6">
        <w:rPr>
          <w:szCs w:val="22"/>
          <w:lang w:val="sr-Latn-RS"/>
        </w:rPr>
        <w:t xml:space="preserve">Liječenje infekcija uzrokovanih bakterijom </w:t>
      </w:r>
      <w:r w:rsidRPr="00996FE6">
        <w:rPr>
          <w:i/>
          <w:szCs w:val="22"/>
          <w:lang w:val="sr-Latn-RS"/>
        </w:rPr>
        <w:t>Clostridium difficile</w:t>
      </w:r>
      <w:r w:rsidRPr="00996FE6">
        <w:rPr>
          <w:szCs w:val="22"/>
          <w:lang w:val="sr-Latn-RS"/>
        </w:rPr>
        <w:t xml:space="preserve"> (CDI)</w:t>
      </w:r>
      <w:r w:rsidRPr="00996FE6">
        <w:rPr>
          <w:szCs w:val="22"/>
          <w:lang w:val="sv-SE"/>
        </w:rPr>
        <w:t>:</w:t>
      </w:r>
    </w:p>
    <w:p w14:paraId="1B0D2919" w14:textId="54DC913A" w:rsidR="00E61461" w:rsidRPr="00996FE6" w:rsidRDefault="00E61461" w:rsidP="00E61461">
      <w:pPr>
        <w:rPr>
          <w:szCs w:val="22"/>
          <w:lang w:val="sr-Latn-RS"/>
        </w:rPr>
      </w:pPr>
      <w:r w:rsidRPr="00996FE6">
        <w:rPr>
          <w:szCs w:val="22"/>
          <w:lang w:val="sv-SE"/>
        </w:rPr>
        <w:t xml:space="preserve">Preporučena doza vankomicina je 125 mg svakih 6 sati tokom 10 dana za prvu epizodu blagih do umjerenih </w:t>
      </w:r>
      <w:r w:rsidRPr="00996FE6">
        <w:rPr>
          <w:szCs w:val="22"/>
          <w:lang w:val="sr-Latn-RS"/>
        </w:rPr>
        <w:t xml:space="preserve">infekcija uzrokovanih bakterijom </w:t>
      </w:r>
      <w:r w:rsidRPr="00996FE6">
        <w:rPr>
          <w:i/>
          <w:szCs w:val="22"/>
          <w:lang w:val="sr-Latn-RS"/>
        </w:rPr>
        <w:t xml:space="preserve">Clostridium difficile </w:t>
      </w:r>
      <w:r w:rsidRPr="00996FE6">
        <w:rPr>
          <w:szCs w:val="22"/>
          <w:lang w:val="sr-Latn-RS"/>
        </w:rPr>
        <w:t>(CDI). Ova doza se može povećati na 500 mg svakih 6 sati tokom 10 dana, u slučaju teške ili komplikovane bolesti. Maksimalna dnevna doza ne treba biti veća od 2</w:t>
      </w:r>
      <w:r w:rsidR="00986F86">
        <w:rPr>
          <w:szCs w:val="22"/>
          <w:lang w:val="sr-Latn-RS"/>
        </w:rPr>
        <w:t> </w:t>
      </w:r>
      <w:r w:rsidRPr="00996FE6">
        <w:rPr>
          <w:szCs w:val="22"/>
          <w:lang w:val="sr-Latn-RS"/>
        </w:rPr>
        <w:t>g.</w:t>
      </w:r>
    </w:p>
    <w:p w14:paraId="62EE67BE" w14:textId="77777777" w:rsidR="00E61461" w:rsidRPr="00996FE6" w:rsidRDefault="00E61461" w:rsidP="00E61461">
      <w:pPr>
        <w:rPr>
          <w:szCs w:val="22"/>
          <w:lang w:val="sr-Latn-RS"/>
        </w:rPr>
      </w:pPr>
    </w:p>
    <w:p w14:paraId="6F0EBEAF" w14:textId="77777777" w:rsidR="00E61461" w:rsidRPr="00996FE6" w:rsidRDefault="00E61461" w:rsidP="00E61461">
      <w:pPr>
        <w:rPr>
          <w:szCs w:val="22"/>
          <w:lang w:val="sr-Latn-RS"/>
        </w:rPr>
      </w:pPr>
      <w:r w:rsidRPr="00996FE6">
        <w:rPr>
          <w:szCs w:val="22"/>
          <w:lang w:val="sr-Latn-RS"/>
        </w:rPr>
        <w:t>Kod pacijenata sa višestrukim recidivom, za terapiju trenutne epizode CDI može se razmotriti primjena vankomicina od 125 mg četiri puta dnevno tokom deset dana, nakon čega slijedi smanjenje doze, doza se postepeno smanjuje do 125 mg dnevno ili se primjenjuje „</w:t>
      </w:r>
      <w:r w:rsidRPr="00996FE6">
        <w:rPr>
          <w:i/>
          <w:szCs w:val="22"/>
          <w:lang w:val="sr-Latn-RS"/>
        </w:rPr>
        <w:t>pulse</w:t>
      </w:r>
      <w:r w:rsidRPr="00996FE6">
        <w:rPr>
          <w:szCs w:val="22"/>
          <w:lang w:val="sr-Latn-RS"/>
        </w:rPr>
        <w:t xml:space="preserve"> </w:t>
      </w:r>
      <w:r w:rsidRPr="00996FE6">
        <w:rPr>
          <w:i/>
          <w:szCs w:val="22"/>
          <w:lang w:val="sr-Latn-RS"/>
        </w:rPr>
        <w:t>regimen</w:t>
      </w:r>
      <w:r w:rsidRPr="00996FE6">
        <w:rPr>
          <w:szCs w:val="22"/>
          <w:lang w:val="sr-Latn-RS"/>
        </w:rPr>
        <w:t>" tj. dnevna doza 125-500 mg svaka 2-3 dana u trajanju od najmanje 3 nedjelje.</w:t>
      </w:r>
    </w:p>
    <w:p w14:paraId="23B63789" w14:textId="77777777" w:rsidR="00E61461" w:rsidRPr="00996FE6" w:rsidRDefault="00E61461" w:rsidP="00E61461">
      <w:pPr>
        <w:rPr>
          <w:szCs w:val="22"/>
          <w:lang w:val="sr-Latn-RS"/>
        </w:rPr>
      </w:pPr>
    </w:p>
    <w:p w14:paraId="207D5545" w14:textId="77777777" w:rsidR="00E61461" w:rsidRPr="00996FE6" w:rsidRDefault="00E61461" w:rsidP="00E61461">
      <w:pPr>
        <w:rPr>
          <w:i/>
          <w:szCs w:val="22"/>
          <w:lang w:val="sr-Latn-RS"/>
        </w:rPr>
      </w:pPr>
      <w:r w:rsidRPr="00996FE6">
        <w:rPr>
          <w:i/>
          <w:szCs w:val="22"/>
          <w:lang w:val="sr-Latn-RS"/>
        </w:rPr>
        <w:t>Novorođenčad, odojčad i djeca uzrasta do 12 godina</w:t>
      </w:r>
    </w:p>
    <w:p w14:paraId="033CEB06" w14:textId="77777777" w:rsidR="00E61461" w:rsidRPr="00996FE6" w:rsidRDefault="00E61461" w:rsidP="00E61461">
      <w:pPr>
        <w:rPr>
          <w:szCs w:val="22"/>
          <w:lang w:val="sr-Latn-RS"/>
        </w:rPr>
      </w:pPr>
    </w:p>
    <w:p w14:paraId="5310E613" w14:textId="77777777" w:rsidR="00E61461" w:rsidRPr="00996FE6" w:rsidRDefault="00E61461" w:rsidP="00E61461">
      <w:pPr>
        <w:rPr>
          <w:szCs w:val="22"/>
          <w:lang w:val="sr-Latn-RS"/>
        </w:rPr>
      </w:pPr>
      <w:r w:rsidRPr="00996FE6">
        <w:rPr>
          <w:szCs w:val="22"/>
          <w:lang w:val="sr-Latn-RS"/>
        </w:rPr>
        <w:t>Preporučena doza vankomicina je 10 mg/kg, oralno, svakih 6 sati tokom 10 dana. Maksimalna dnevna doza ne treba da bude veća od 2g.</w:t>
      </w:r>
    </w:p>
    <w:p w14:paraId="4A5736C7" w14:textId="77777777" w:rsidR="00E61461" w:rsidRPr="00996FE6" w:rsidRDefault="00E61461" w:rsidP="00E61461">
      <w:pPr>
        <w:rPr>
          <w:szCs w:val="22"/>
          <w:lang w:val="sr-Latn-RS"/>
        </w:rPr>
      </w:pPr>
    </w:p>
    <w:p w14:paraId="0EDD52E7" w14:textId="77777777" w:rsidR="00E61461" w:rsidRPr="00996FE6" w:rsidRDefault="00E61461" w:rsidP="00E61461">
      <w:pPr>
        <w:rPr>
          <w:szCs w:val="22"/>
          <w:lang w:val="sr-Latn-RS"/>
        </w:rPr>
      </w:pPr>
      <w:r w:rsidRPr="00996FE6">
        <w:rPr>
          <w:szCs w:val="22"/>
          <w:lang w:val="sr-Latn-RS"/>
        </w:rPr>
        <w:t>Trajanje liječenja sa vankomicinom se individualno prilagođava kliničkom toku svakog pacijenta. Kada god je to moguće, liječenje antibiotikom za kog se sumnja da je izazvao CDI, treba prekinuti. Treba obezbjediti odgovarajuću nadoknadu tečnosti i elektrolita.</w:t>
      </w:r>
    </w:p>
    <w:p w14:paraId="5BC21CE4" w14:textId="77777777" w:rsidR="00E61461" w:rsidRPr="00996FE6" w:rsidRDefault="00E61461" w:rsidP="00E61461">
      <w:pPr>
        <w:rPr>
          <w:szCs w:val="22"/>
          <w:lang w:val="sr-Latn-RS"/>
        </w:rPr>
      </w:pPr>
    </w:p>
    <w:p w14:paraId="40DB40C7" w14:textId="77777777" w:rsidR="00E61461" w:rsidRPr="00996FE6" w:rsidRDefault="00E61461" w:rsidP="00E61461">
      <w:pPr>
        <w:rPr>
          <w:szCs w:val="22"/>
          <w:u w:val="single"/>
          <w:lang w:val="sr-Latn-RS"/>
        </w:rPr>
      </w:pPr>
      <w:r w:rsidRPr="00996FE6">
        <w:rPr>
          <w:szCs w:val="22"/>
          <w:u w:val="single"/>
          <w:lang w:val="sr-Latn-RS"/>
        </w:rPr>
        <w:lastRenderedPageBreak/>
        <w:t>Praćenje koncentracije vankomicina u serumu</w:t>
      </w:r>
    </w:p>
    <w:p w14:paraId="3650E5FD" w14:textId="77777777" w:rsidR="00E61461" w:rsidRPr="00996FE6" w:rsidRDefault="00E61461" w:rsidP="00E61461">
      <w:pPr>
        <w:rPr>
          <w:szCs w:val="22"/>
          <w:lang w:val="sr-Latn-RS"/>
        </w:rPr>
      </w:pPr>
    </w:p>
    <w:p w14:paraId="5893F0A0" w14:textId="77777777" w:rsidR="00E61461" w:rsidRPr="00996FE6" w:rsidRDefault="00E61461" w:rsidP="00E61461">
      <w:pPr>
        <w:rPr>
          <w:szCs w:val="22"/>
          <w:u w:val="single"/>
          <w:lang w:val="sr-Latn-RS"/>
        </w:rPr>
      </w:pPr>
      <w:r w:rsidRPr="00996FE6">
        <w:rPr>
          <w:szCs w:val="22"/>
          <w:lang w:val="sr-Latn-RS"/>
        </w:rPr>
        <w:t xml:space="preserve">Učestalost terapijskog monitoringa ljekova (engl. </w:t>
      </w:r>
      <w:r w:rsidRPr="00996FE6">
        <w:rPr>
          <w:i/>
          <w:szCs w:val="22"/>
          <w:lang w:val="sr-Latn-RS"/>
        </w:rPr>
        <w:t>therapeutic drug monitoring,</w:t>
      </w:r>
      <w:r w:rsidRPr="00996FE6">
        <w:rPr>
          <w:szCs w:val="22"/>
          <w:lang w:val="sr-Latn-RS"/>
        </w:rPr>
        <w:t xml:space="preserve"> TDM) treba da bude određena individualno, prema kliničkoj situaciji i odgovoru na terapiju i od svakodnevnog uzimanja uzoraka koji je potreban kod nekih hemodinamski nestabilnih pacijenata do najmanje jednom nedjeljno kod stabilnih pacijenata koji pokazuju odgovor na terapiju. Kod pacijenata sa očuvanom funkcijom bubrega, koncentraciju vankomicina u serumu treba odrediti drugog dana liječenja, neposredno prije sljedeće doze.</w:t>
      </w:r>
    </w:p>
    <w:p w14:paraId="3E832289" w14:textId="77777777" w:rsidR="00E61461" w:rsidRPr="00996FE6" w:rsidRDefault="00E61461" w:rsidP="00E61461">
      <w:pPr>
        <w:rPr>
          <w:szCs w:val="22"/>
          <w:lang w:val="sr-Latn-RS"/>
        </w:rPr>
      </w:pPr>
      <w:r w:rsidRPr="00996FE6">
        <w:rPr>
          <w:iCs/>
          <w:szCs w:val="22"/>
          <w:lang w:val="sr-Latn-RS"/>
        </w:rPr>
        <w:t>Kod pacijenata na intermitentnoj hemodijalizi, koncentracija vankomicina se obično kontroliše prije početka sljedeće terapije hemodijalize.</w:t>
      </w:r>
    </w:p>
    <w:p w14:paraId="47D0B7A3" w14:textId="77777777" w:rsidR="00E61461" w:rsidRPr="00996FE6" w:rsidRDefault="00E61461" w:rsidP="00E61461">
      <w:pPr>
        <w:rPr>
          <w:szCs w:val="22"/>
          <w:lang w:val="sr-Latn-RS"/>
        </w:rPr>
      </w:pPr>
      <w:r w:rsidRPr="00996FE6">
        <w:rPr>
          <w:szCs w:val="22"/>
          <w:lang w:val="sr-Latn-RS"/>
        </w:rPr>
        <w:t>Nakon oralne primjene, treba pratiti koncentracije vankomicina u serumu kod pacijenata sa intestinalnim inflamatornim bolestima (vidjeti dio 4.4).</w:t>
      </w:r>
    </w:p>
    <w:p w14:paraId="2D21C833" w14:textId="77777777" w:rsidR="00E61461" w:rsidRPr="00996FE6" w:rsidRDefault="00E61461" w:rsidP="00E61461">
      <w:pPr>
        <w:rPr>
          <w:szCs w:val="22"/>
          <w:lang w:val="sr-Latn-RS"/>
        </w:rPr>
      </w:pPr>
    </w:p>
    <w:p w14:paraId="040A1A28" w14:textId="77777777" w:rsidR="00E61461" w:rsidRPr="00996FE6" w:rsidRDefault="00E61461" w:rsidP="00E61461">
      <w:pPr>
        <w:rPr>
          <w:szCs w:val="22"/>
          <w:lang w:val="sr-Latn-RS"/>
        </w:rPr>
      </w:pPr>
      <w:r w:rsidRPr="00996FE6">
        <w:rPr>
          <w:szCs w:val="22"/>
          <w:lang w:val="sr-Latn-RS"/>
        </w:rPr>
        <w:t xml:space="preserve">Terapijske (minimalne) koncentracije vankomicina u krvi trebalo bi da budu 10-20 mg/l, zavisno od mjesta infekcije i osjetljivosti mikroorganizama. Kliničke laboratorije obično preporučuju vrijednosti minimalne koncentracije vankomicina u krvi od 15-20 mg/l da bi se bolje obuhvatili mikroorganizmi čija je osjetljivost klasifikovana MIC ≥ 1mg/l (vidjeti djelove 4.4 i 5.1).   </w:t>
      </w:r>
    </w:p>
    <w:p w14:paraId="129A2AE7" w14:textId="77777777" w:rsidR="00E61461" w:rsidRPr="00996FE6" w:rsidRDefault="00E61461" w:rsidP="00E61461">
      <w:pPr>
        <w:rPr>
          <w:szCs w:val="22"/>
          <w:lang w:val="sr-Latn-RS"/>
        </w:rPr>
      </w:pPr>
    </w:p>
    <w:p w14:paraId="3F6CA680" w14:textId="77777777" w:rsidR="00E61461" w:rsidRPr="00996FE6" w:rsidRDefault="00E61461" w:rsidP="00E61461">
      <w:pPr>
        <w:rPr>
          <w:b/>
          <w:bCs/>
          <w:szCs w:val="22"/>
          <w:lang w:val="sr-Latn-RS"/>
        </w:rPr>
      </w:pPr>
      <w:r w:rsidRPr="00996FE6">
        <w:rPr>
          <w:szCs w:val="22"/>
          <w:lang w:val="sr-Latn-RS"/>
        </w:rPr>
        <w:t>Metode zasnovane na modelu mogu biti korisne u predviđanju individualnih doza potrebnih za postizanje odgovarajuće vrijednosti PIK. Pristup zasnovan na modelu može se koristiti i za izračunavanje individualne početne doze i za prilagođavanje doze zasnovane na TDM rezultatima (vidjeti dio 5.1).</w:t>
      </w:r>
    </w:p>
    <w:p w14:paraId="463C5A63" w14:textId="77777777" w:rsidR="00E61461" w:rsidRPr="00996FE6" w:rsidRDefault="00E61461" w:rsidP="00E61461">
      <w:pPr>
        <w:autoSpaceDE w:val="0"/>
        <w:autoSpaceDN w:val="0"/>
        <w:adjustRightInd w:val="0"/>
        <w:rPr>
          <w:szCs w:val="22"/>
          <w:lang w:val="pl-PL"/>
        </w:rPr>
      </w:pPr>
    </w:p>
    <w:p w14:paraId="1464524C" w14:textId="77777777" w:rsidR="00E61461" w:rsidRPr="00996FE6" w:rsidRDefault="00E61461" w:rsidP="00E61461">
      <w:pPr>
        <w:rPr>
          <w:szCs w:val="22"/>
          <w:u w:val="single"/>
          <w:lang w:val="sr-Latn-RS"/>
        </w:rPr>
      </w:pPr>
      <w:r w:rsidRPr="00996FE6">
        <w:rPr>
          <w:szCs w:val="22"/>
          <w:u w:val="single"/>
          <w:lang w:val="sr-Latn-RS"/>
        </w:rPr>
        <w:t>Način primjene</w:t>
      </w:r>
    </w:p>
    <w:p w14:paraId="67B5E847" w14:textId="77777777" w:rsidR="00E61461" w:rsidRPr="00996FE6" w:rsidRDefault="00E61461" w:rsidP="00E61461">
      <w:pPr>
        <w:rPr>
          <w:szCs w:val="22"/>
          <w:lang w:val="sr-Latn-RS"/>
        </w:rPr>
      </w:pPr>
    </w:p>
    <w:p w14:paraId="489CCE40" w14:textId="77777777" w:rsidR="00E61461" w:rsidRPr="00996FE6" w:rsidRDefault="00E61461" w:rsidP="00E61461">
      <w:pPr>
        <w:rPr>
          <w:i/>
          <w:szCs w:val="22"/>
          <w:lang w:val="sr-Latn-RS"/>
        </w:rPr>
      </w:pPr>
      <w:r w:rsidRPr="00996FE6">
        <w:rPr>
          <w:i/>
          <w:szCs w:val="22"/>
          <w:lang w:val="sr-Latn-RS"/>
        </w:rPr>
        <w:t>Intravenska primjena</w:t>
      </w:r>
    </w:p>
    <w:p w14:paraId="42A13AA7" w14:textId="77777777" w:rsidR="00E61461" w:rsidRPr="00996FE6" w:rsidRDefault="00E61461" w:rsidP="00E61461">
      <w:pPr>
        <w:rPr>
          <w:szCs w:val="22"/>
          <w:lang w:val="sr-Latn-RS"/>
        </w:rPr>
      </w:pPr>
      <w:r w:rsidRPr="00996FE6">
        <w:rPr>
          <w:szCs w:val="22"/>
          <w:lang w:val="sr-Latn-RS"/>
        </w:rPr>
        <w:t>Intravenski vankomicin se obično primjenjuje kao intermitentna infuzija i preporuke za doziranje koje su predstavljene u ovom dijelu za intravensku primjenu odgovaraju ovom načinu primjene.</w:t>
      </w:r>
    </w:p>
    <w:p w14:paraId="3E53E47F" w14:textId="77777777" w:rsidR="00E61461" w:rsidRPr="00996FE6" w:rsidRDefault="00E61461" w:rsidP="00E61461">
      <w:pPr>
        <w:rPr>
          <w:szCs w:val="22"/>
          <w:lang w:val="sr-Latn-RS"/>
        </w:rPr>
      </w:pPr>
      <w:r w:rsidRPr="00996FE6">
        <w:rPr>
          <w:bCs/>
          <w:szCs w:val="22"/>
          <w:lang w:val="sr-Latn-RS"/>
        </w:rPr>
        <w:t>Vankomicin treba primjenjivati samo sporom intravenskom infuzijom tokom vremenskog perioda koji nije kraći od sat vremena ili maksimalnom brzinom od 10 mg/min u razblaženom rastvoru (najmanje 100 ml na 500 mg ili 200 ml na 1000 mg) (vidjeti dio 4.4).</w:t>
      </w:r>
    </w:p>
    <w:p w14:paraId="3371AF15" w14:textId="77777777" w:rsidR="00E61461" w:rsidRPr="00996FE6" w:rsidRDefault="00E61461" w:rsidP="00E61461">
      <w:pPr>
        <w:rPr>
          <w:szCs w:val="22"/>
          <w:lang w:val="sr-Latn-RS"/>
        </w:rPr>
      </w:pPr>
    </w:p>
    <w:p w14:paraId="2B569564" w14:textId="77777777" w:rsidR="00E61461" w:rsidRPr="00996FE6" w:rsidRDefault="00E61461" w:rsidP="00E61461">
      <w:pPr>
        <w:rPr>
          <w:szCs w:val="22"/>
          <w:lang w:val="sr-Latn-RS"/>
        </w:rPr>
      </w:pPr>
      <w:r w:rsidRPr="00996FE6">
        <w:rPr>
          <w:szCs w:val="22"/>
          <w:lang w:val="sr-Latn-RS"/>
        </w:rPr>
        <w:t>Kod pacijenata kojima se mora ograničiti unos tečnosti, takođe se može primjeniti rastvor koncentracije 500 mg/50 ml ili 1000 mg/100 ml, iako upotreba ovako visokih koncentracija može povećati rizik od neželjenih dejstava povezanih sa infuzijom.</w:t>
      </w:r>
    </w:p>
    <w:p w14:paraId="33ADF239" w14:textId="77777777" w:rsidR="00E61461" w:rsidRPr="00996FE6" w:rsidRDefault="00E61461" w:rsidP="00E61461">
      <w:pPr>
        <w:rPr>
          <w:szCs w:val="22"/>
          <w:lang w:val="sr-Latn-RS"/>
        </w:rPr>
      </w:pPr>
    </w:p>
    <w:p w14:paraId="333246D4" w14:textId="77777777" w:rsidR="00E61461" w:rsidRPr="00996FE6" w:rsidRDefault="00E61461" w:rsidP="00E61461">
      <w:pPr>
        <w:rPr>
          <w:bCs/>
          <w:szCs w:val="22"/>
          <w:lang w:val="sr-Latn-RS"/>
        </w:rPr>
      </w:pPr>
      <w:r w:rsidRPr="00996FE6">
        <w:rPr>
          <w:szCs w:val="22"/>
          <w:lang w:val="sr-Latn-RS"/>
        </w:rPr>
        <w:t xml:space="preserve">Za informacije o pripremi rastvora za infuziju vidjeti </w:t>
      </w:r>
      <w:r w:rsidRPr="00996FE6">
        <w:rPr>
          <w:bCs/>
          <w:szCs w:val="22"/>
          <w:lang w:val="sr-Latn-RS"/>
        </w:rPr>
        <w:t>dio 6.6.</w:t>
      </w:r>
    </w:p>
    <w:p w14:paraId="2AD40FDA" w14:textId="77777777" w:rsidR="00E61461" w:rsidRPr="00996FE6" w:rsidRDefault="00E61461" w:rsidP="00E61461">
      <w:pPr>
        <w:rPr>
          <w:bCs/>
          <w:szCs w:val="22"/>
          <w:lang w:val="sr-Latn-RS"/>
        </w:rPr>
      </w:pPr>
    </w:p>
    <w:p w14:paraId="2470FA0F" w14:textId="77777777" w:rsidR="00E61461" w:rsidRPr="00996FE6" w:rsidRDefault="00E61461" w:rsidP="00E61461">
      <w:pPr>
        <w:rPr>
          <w:bCs/>
          <w:szCs w:val="22"/>
          <w:lang w:val="sr-Latn-RS"/>
        </w:rPr>
      </w:pPr>
      <w:r w:rsidRPr="00996FE6">
        <w:rPr>
          <w:bCs/>
          <w:szCs w:val="22"/>
          <w:lang w:val="sr-Latn-RS"/>
        </w:rPr>
        <w:t>Kontinuirana infuzija vankomicina se može razmotriti kod pacijenata sa nestabilnim klirensom vankomicina.</w:t>
      </w:r>
    </w:p>
    <w:p w14:paraId="1D35DF74" w14:textId="77777777" w:rsidR="00E61461" w:rsidRPr="00996FE6" w:rsidRDefault="00E61461" w:rsidP="00E61461">
      <w:pPr>
        <w:rPr>
          <w:szCs w:val="22"/>
          <w:lang w:val="sr-Latn-RS"/>
        </w:rPr>
      </w:pPr>
    </w:p>
    <w:p w14:paraId="36CA1BFD" w14:textId="77777777" w:rsidR="00E61461" w:rsidRPr="00996FE6" w:rsidRDefault="00E61461" w:rsidP="00E61461">
      <w:pPr>
        <w:rPr>
          <w:szCs w:val="22"/>
          <w:lang w:val="sr-Latn-RS"/>
        </w:rPr>
      </w:pPr>
      <w:r w:rsidRPr="00996FE6">
        <w:rPr>
          <w:i/>
          <w:szCs w:val="22"/>
          <w:lang w:val="sr-Latn-RS"/>
        </w:rPr>
        <w:t>Oralna upotreba</w:t>
      </w:r>
    </w:p>
    <w:p w14:paraId="02A09141" w14:textId="77777777" w:rsidR="00E61461" w:rsidRPr="00996FE6" w:rsidRDefault="00E61461" w:rsidP="00E61461">
      <w:pPr>
        <w:rPr>
          <w:szCs w:val="22"/>
          <w:lang w:val="sr-Latn-RS"/>
        </w:rPr>
      </w:pPr>
      <w:r w:rsidRPr="00996FE6">
        <w:rPr>
          <w:szCs w:val="22"/>
          <w:lang w:val="sr-Latn-RS"/>
        </w:rPr>
        <w:t>Sadržaj bočica za parenteralnu primjenu, može se primjeniti i za oralnu primjenu.</w:t>
      </w:r>
    </w:p>
    <w:p w14:paraId="64F12402" w14:textId="77777777" w:rsidR="00E61461" w:rsidRPr="00996FE6" w:rsidRDefault="00E61461" w:rsidP="00E61461">
      <w:pPr>
        <w:rPr>
          <w:szCs w:val="22"/>
          <w:lang w:val="sr-Latn-RS"/>
        </w:rPr>
      </w:pPr>
    </w:p>
    <w:p w14:paraId="11FF3FD1" w14:textId="77777777" w:rsidR="00E61461" w:rsidRPr="00996FE6" w:rsidRDefault="00E61461" w:rsidP="00E61461">
      <w:pPr>
        <w:autoSpaceDE w:val="0"/>
        <w:autoSpaceDN w:val="0"/>
        <w:adjustRightInd w:val="0"/>
        <w:rPr>
          <w:szCs w:val="22"/>
          <w:lang w:val="pl-PL"/>
        </w:rPr>
      </w:pPr>
      <w:r w:rsidRPr="00996FE6">
        <w:rPr>
          <w:szCs w:val="22"/>
          <w:lang w:val="sr-Latn-RS"/>
        </w:rPr>
        <w:t>Dozu treba rekonstituisati u 30 ml vode i dati pacijentu da popije ili primjeniti pomoću nazogastrične cijevi (vidjeti dio 6.6).</w:t>
      </w:r>
    </w:p>
    <w:p w14:paraId="083FEC4D" w14:textId="77777777" w:rsidR="00E61461" w:rsidRPr="00996FE6" w:rsidRDefault="00E61461" w:rsidP="00E61461">
      <w:pPr>
        <w:autoSpaceDE w:val="0"/>
        <w:autoSpaceDN w:val="0"/>
        <w:adjustRightInd w:val="0"/>
        <w:rPr>
          <w:szCs w:val="22"/>
          <w:lang w:val="pl-PL"/>
        </w:rPr>
      </w:pPr>
    </w:p>
    <w:p w14:paraId="1759025E" w14:textId="77777777" w:rsidR="00E61461" w:rsidRPr="00996FE6" w:rsidRDefault="00E61461" w:rsidP="00E61461">
      <w:pPr>
        <w:autoSpaceDE w:val="0"/>
        <w:autoSpaceDN w:val="0"/>
        <w:adjustRightInd w:val="0"/>
        <w:rPr>
          <w:b/>
          <w:szCs w:val="22"/>
          <w:lang w:val="pl-PL"/>
        </w:rPr>
      </w:pPr>
      <w:r w:rsidRPr="00996FE6">
        <w:rPr>
          <w:b/>
          <w:szCs w:val="22"/>
          <w:lang w:val="pl-PL"/>
        </w:rPr>
        <w:t>Trajanje primjene</w:t>
      </w:r>
    </w:p>
    <w:p w14:paraId="4CBC930F" w14:textId="77777777" w:rsidR="00E61461" w:rsidRPr="00996FE6" w:rsidRDefault="00E61461" w:rsidP="00E61461">
      <w:pPr>
        <w:autoSpaceDE w:val="0"/>
        <w:autoSpaceDN w:val="0"/>
        <w:adjustRightInd w:val="0"/>
        <w:rPr>
          <w:b/>
          <w:szCs w:val="22"/>
          <w:lang w:val="pl-PL"/>
        </w:rPr>
      </w:pPr>
    </w:p>
    <w:p w14:paraId="79628827" w14:textId="77777777" w:rsidR="00E61461" w:rsidRPr="00996FE6" w:rsidRDefault="00E61461" w:rsidP="00E61461">
      <w:pPr>
        <w:rPr>
          <w:szCs w:val="22"/>
          <w:lang w:val="pl-PL"/>
        </w:rPr>
      </w:pPr>
      <w:r w:rsidRPr="00996FE6">
        <w:rPr>
          <w:szCs w:val="22"/>
          <w:lang w:val="pl-PL"/>
        </w:rPr>
        <w:t>Dužina terapije zavisi od težine infekcije, kao i od kliničkog i bakterijskog odgovora.</w:t>
      </w:r>
    </w:p>
    <w:p w14:paraId="540E3AF9" w14:textId="77777777" w:rsidR="00E61461" w:rsidRPr="00996FE6" w:rsidRDefault="00E61461" w:rsidP="00E61461">
      <w:pPr>
        <w:rPr>
          <w:b/>
          <w:bCs/>
          <w:szCs w:val="22"/>
          <w:lang w:val="pl-PL"/>
        </w:rPr>
      </w:pPr>
    </w:p>
    <w:p w14:paraId="2F882531" w14:textId="40F95792" w:rsidR="00E61461" w:rsidRPr="00996FE6" w:rsidRDefault="00E61461" w:rsidP="00E61461">
      <w:pPr>
        <w:rPr>
          <w:b/>
          <w:bCs/>
          <w:szCs w:val="22"/>
          <w:lang w:val="sr-Latn-RS"/>
        </w:rPr>
      </w:pPr>
      <w:r w:rsidRPr="00986F86">
        <w:rPr>
          <w:b/>
          <w:bCs/>
          <w:szCs w:val="22"/>
          <w:lang w:val="pl-PL"/>
        </w:rPr>
        <w:t>4.3. Kontraindikacije</w:t>
      </w:r>
    </w:p>
    <w:p w14:paraId="549779D5" w14:textId="794EF99E" w:rsidR="00CE09F3" w:rsidRPr="00986F86" w:rsidRDefault="00CE09F3" w:rsidP="004D2765">
      <w:pPr>
        <w:jc w:val="left"/>
        <w:rPr>
          <w:b/>
          <w:bCs/>
          <w:szCs w:val="22"/>
          <w:lang w:val="pl-PL"/>
        </w:rPr>
      </w:pPr>
    </w:p>
    <w:p w14:paraId="63D2E01A" w14:textId="0677B321" w:rsidR="008A1C2A" w:rsidRPr="00996FE6" w:rsidRDefault="00232498" w:rsidP="004D2765">
      <w:pPr>
        <w:jc w:val="left"/>
        <w:rPr>
          <w:szCs w:val="22"/>
          <w:lang w:val="it-IT"/>
        </w:rPr>
      </w:pPr>
      <w:r w:rsidRPr="00996FE6">
        <w:rPr>
          <w:szCs w:val="22"/>
          <w:lang w:val="it-IT"/>
        </w:rPr>
        <w:t>Preosjetljivost na vankomicin.</w:t>
      </w:r>
    </w:p>
    <w:p w14:paraId="5737E975" w14:textId="10BCAFB8" w:rsidR="00B97F2C" w:rsidRPr="00996FE6" w:rsidRDefault="00B97F2C" w:rsidP="004D2765">
      <w:pPr>
        <w:jc w:val="left"/>
        <w:rPr>
          <w:szCs w:val="22"/>
          <w:lang w:val="it-IT"/>
        </w:rPr>
      </w:pPr>
      <w:r w:rsidRPr="00996FE6">
        <w:rPr>
          <w:szCs w:val="22"/>
          <w:lang w:val="it-IT"/>
        </w:rPr>
        <w:t>Vankomicin se ne sm</w:t>
      </w:r>
      <w:r w:rsidR="006A36E2" w:rsidRPr="00996FE6">
        <w:rPr>
          <w:szCs w:val="22"/>
          <w:lang w:val="it-IT"/>
        </w:rPr>
        <w:t>ij</w:t>
      </w:r>
      <w:r w:rsidRPr="00996FE6">
        <w:rPr>
          <w:szCs w:val="22"/>
          <w:lang w:val="it-IT"/>
        </w:rPr>
        <w:t>e prim</w:t>
      </w:r>
      <w:r w:rsidR="006A36E2" w:rsidRPr="00996FE6">
        <w:rPr>
          <w:szCs w:val="22"/>
          <w:lang w:val="it-IT"/>
        </w:rPr>
        <w:t>j</w:t>
      </w:r>
      <w:r w:rsidRPr="00996FE6">
        <w:rPr>
          <w:szCs w:val="22"/>
          <w:lang w:val="it-IT"/>
        </w:rPr>
        <w:t>enjivati intramuskularno zbog rizika od nekroze na m</w:t>
      </w:r>
      <w:r w:rsidR="006A36E2" w:rsidRPr="00996FE6">
        <w:rPr>
          <w:szCs w:val="22"/>
          <w:lang w:val="it-IT"/>
        </w:rPr>
        <w:t>j</w:t>
      </w:r>
      <w:r w:rsidRPr="00996FE6">
        <w:rPr>
          <w:szCs w:val="22"/>
          <w:lang w:val="it-IT"/>
        </w:rPr>
        <w:t>estu prim</w:t>
      </w:r>
      <w:r w:rsidR="006A36E2" w:rsidRPr="00996FE6">
        <w:rPr>
          <w:szCs w:val="22"/>
          <w:lang w:val="it-IT"/>
        </w:rPr>
        <w:t>j</w:t>
      </w:r>
      <w:r w:rsidRPr="00996FE6">
        <w:rPr>
          <w:szCs w:val="22"/>
          <w:lang w:val="it-IT"/>
        </w:rPr>
        <w:t>ene.</w:t>
      </w:r>
    </w:p>
    <w:p w14:paraId="549779DA" w14:textId="77777777" w:rsidR="00CE09F3" w:rsidRPr="00996FE6" w:rsidRDefault="00CE09F3" w:rsidP="004D2765">
      <w:pPr>
        <w:jc w:val="left"/>
        <w:rPr>
          <w:szCs w:val="22"/>
          <w:lang w:val="it-IT"/>
        </w:rPr>
      </w:pPr>
    </w:p>
    <w:p w14:paraId="549779DB" w14:textId="3C90875D" w:rsidR="00CE09F3" w:rsidRPr="00996FE6" w:rsidRDefault="00CE09F3" w:rsidP="00996FE6">
      <w:pPr>
        <w:keepNext/>
        <w:keepLines/>
        <w:jc w:val="left"/>
        <w:rPr>
          <w:b/>
          <w:bCs/>
          <w:szCs w:val="22"/>
          <w:lang w:val="ru-RU"/>
        </w:rPr>
      </w:pPr>
      <w:r w:rsidRPr="00996FE6">
        <w:rPr>
          <w:b/>
          <w:bCs/>
          <w:szCs w:val="22"/>
          <w:lang w:val="ru-RU"/>
        </w:rPr>
        <w:lastRenderedPageBreak/>
        <w:t xml:space="preserve">4.4. </w:t>
      </w:r>
      <w:r w:rsidR="00232498" w:rsidRPr="00996FE6">
        <w:rPr>
          <w:b/>
          <w:bCs/>
          <w:szCs w:val="22"/>
          <w:lang w:val="it-IT"/>
        </w:rPr>
        <w:t>Posebna upozorenja i mjere opreza pri upotrebi lijeka</w:t>
      </w:r>
    </w:p>
    <w:p w14:paraId="549779DC" w14:textId="5059830A" w:rsidR="006D145B" w:rsidRPr="00996FE6" w:rsidRDefault="006D145B" w:rsidP="00996FE6">
      <w:pPr>
        <w:keepNext/>
        <w:keepLines/>
        <w:jc w:val="left"/>
        <w:rPr>
          <w:szCs w:val="22"/>
          <w:lang w:val="sr-Latn-CS"/>
        </w:rPr>
      </w:pPr>
    </w:p>
    <w:p w14:paraId="79D3BCE7" w14:textId="31ADD25A" w:rsidR="00B97F2C" w:rsidRPr="00996FE6" w:rsidRDefault="00B97F2C" w:rsidP="00996FE6">
      <w:pPr>
        <w:keepNext/>
        <w:keepLines/>
        <w:rPr>
          <w:szCs w:val="22"/>
          <w:u w:val="single"/>
          <w:lang w:val="sr-Latn-CS"/>
        </w:rPr>
      </w:pPr>
      <w:r w:rsidRPr="00996FE6">
        <w:rPr>
          <w:szCs w:val="22"/>
          <w:u w:val="single"/>
          <w:lang w:val="sr-Latn-CS"/>
        </w:rPr>
        <w:t>Reakcije preos</w:t>
      </w:r>
      <w:r w:rsidR="006A36E2" w:rsidRPr="00996FE6">
        <w:rPr>
          <w:szCs w:val="22"/>
          <w:u w:val="single"/>
          <w:lang w:val="sr-Latn-CS"/>
        </w:rPr>
        <w:t>j</w:t>
      </w:r>
      <w:r w:rsidRPr="00996FE6">
        <w:rPr>
          <w:szCs w:val="22"/>
          <w:u w:val="single"/>
          <w:lang w:val="sr-Latn-CS"/>
        </w:rPr>
        <w:t>etljivosti</w:t>
      </w:r>
    </w:p>
    <w:p w14:paraId="4B02F2F6" w14:textId="6D97C89F" w:rsidR="00B97F2C" w:rsidRPr="00996FE6" w:rsidRDefault="00B97F2C" w:rsidP="00996FE6">
      <w:pPr>
        <w:keepNext/>
        <w:keepLines/>
        <w:rPr>
          <w:szCs w:val="22"/>
          <w:lang w:val="sr-Latn-CS"/>
        </w:rPr>
      </w:pPr>
      <w:r w:rsidRPr="00996FE6">
        <w:rPr>
          <w:szCs w:val="22"/>
          <w:lang w:val="sr-Latn-CS"/>
        </w:rPr>
        <w:t>Moguće su teške i povremen</w:t>
      </w:r>
      <w:r w:rsidR="006A36E2" w:rsidRPr="00996FE6">
        <w:rPr>
          <w:szCs w:val="22"/>
          <w:lang w:val="sr-Latn-CS"/>
        </w:rPr>
        <w:t>e</w:t>
      </w:r>
      <w:r w:rsidRPr="00996FE6">
        <w:rPr>
          <w:szCs w:val="22"/>
          <w:lang w:val="sr-Latn-CS"/>
        </w:rPr>
        <w:t xml:space="preserve"> reakcije preos</w:t>
      </w:r>
      <w:r w:rsidR="006A36E2" w:rsidRPr="00996FE6">
        <w:rPr>
          <w:szCs w:val="22"/>
          <w:lang w:val="sr-Latn-CS"/>
        </w:rPr>
        <w:t>j</w:t>
      </w:r>
      <w:r w:rsidRPr="00996FE6">
        <w:rPr>
          <w:szCs w:val="22"/>
          <w:lang w:val="sr-Latn-CS"/>
        </w:rPr>
        <w:t>etljivosti sa smrtnim ishodom (</w:t>
      </w:r>
      <w:r w:rsidRPr="00996FE6">
        <w:rPr>
          <w:szCs w:val="22"/>
        </w:rPr>
        <w:t>vid</w:t>
      </w:r>
      <w:r w:rsidR="006A36E2" w:rsidRPr="00996FE6">
        <w:rPr>
          <w:szCs w:val="22"/>
        </w:rPr>
        <w:t>j</w:t>
      </w:r>
      <w:r w:rsidRPr="00996FE6">
        <w:rPr>
          <w:szCs w:val="22"/>
        </w:rPr>
        <w:t>eti</w:t>
      </w:r>
      <w:r w:rsidRPr="00996FE6">
        <w:rPr>
          <w:szCs w:val="22"/>
          <w:lang w:val="sr-Latn-CS"/>
        </w:rPr>
        <w:t xml:space="preserve"> </w:t>
      </w:r>
      <w:r w:rsidR="00635E94" w:rsidRPr="00996FE6">
        <w:rPr>
          <w:szCs w:val="22"/>
        </w:rPr>
        <w:t>dje</w:t>
      </w:r>
      <w:r w:rsidR="007D0F04" w:rsidRPr="00996FE6">
        <w:rPr>
          <w:szCs w:val="22"/>
        </w:rPr>
        <w:t>love</w:t>
      </w:r>
      <w:r w:rsidR="007D0F04" w:rsidRPr="00996FE6">
        <w:rPr>
          <w:szCs w:val="22"/>
          <w:lang w:val="sr-Latn-CS"/>
        </w:rPr>
        <w:t xml:space="preserve"> </w:t>
      </w:r>
      <w:r w:rsidRPr="00996FE6">
        <w:rPr>
          <w:szCs w:val="22"/>
          <w:lang w:val="sr-Latn-CS"/>
        </w:rPr>
        <w:t xml:space="preserve">4.3 </w:t>
      </w:r>
      <w:r w:rsidRPr="00996FE6">
        <w:rPr>
          <w:szCs w:val="22"/>
        </w:rPr>
        <w:t>i</w:t>
      </w:r>
      <w:r w:rsidRPr="00996FE6">
        <w:rPr>
          <w:szCs w:val="22"/>
          <w:lang w:val="sr-Latn-CS"/>
        </w:rPr>
        <w:t xml:space="preserve"> 4.8). </w:t>
      </w:r>
      <w:r w:rsidRPr="00996FE6">
        <w:rPr>
          <w:szCs w:val="22"/>
          <w:lang w:val="sr-Latn-RS"/>
        </w:rPr>
        <w:t xml:space="preserve"> U</w:t>
      </w:r>
      <w:r w:rsidR="007D0F04" w:rsidRPr="00996FE6">
        <w:rPr>
          <w:szCs w:val="22"/>
          <w:lang w:val="sr-Latn-RS"/>
        </w:rPr>
        <w:t xml:space="preserve"> </w:t>
      </w:r>
      <w:r w:rsidRPr="00996FE6">
        <w:rPr>
          <w:szCs w:val="22"/>
          <w:lang w:val="sr-Latn-RS"/>
        </w:rPr>
        <w:t>slučaju reakcija preos</w:t>
      </w:r>
      <w:r w:rsidR="006A36E2" w:rsidRPr="00996FE6">
        <w:rPr>
          <w:szCs w:val="22"/>
          <w:lang w:val="sr-Latn-RS"/>
        </w:rPr>
        <w:t>j</w:t>
      </w:r>
      <w:r w:rsidRPr="00996FE6">
        <w:rPr>
          <w:szCs w:val="22"/>
          <w:lang w:val="sr-Latn-RS"/>
        </w:rPr>
        <w:t>etljivosti, terapija vankomicinom se mora odmah prekinuti i preduzeti odgovarajuće hitne m</w:t>
      </w:r>
      <w:r w:rsidR="006A36E2" w:rsidRPr="00996FE6">
        <w:rPr>
          <w:szCs w:val="22"/>
          <w:lang w:val="sr-Latn-RS"/>
        </w:rPr>
        <w:t>j</w:t>
      </w:r>
      <w:r w:rsidRPr="00996FE6">
        <w:rPr>
          <w:szCs w:val="22"/>
          <w:lang w:val="sr-Latn-RS"/>
        </w:rPr>
        <w:t xml:space="preserve">ere. </w:t>
      </w:r>
    </w:p>
    <w:p w14:paraId="4B2FA9BF" w14:textId="77777777" w:rsidR="00B97F2C" w:rsidRPr="00996FE6" w:rsidRDefault="00B97F2C" w:rsidP="00B97F2C">
      <w:pPr>
        <w:jc w:val="left"/>
        <w:rPr>
          <w:szCs w:val="22"/>
          <w:lang w:val="sr-Latn-CS"/>
        </w:rPr>
      </w:pPr>
    </w:p>
    <w:p w14:paraId="7E8FF12E" w14:textId="15032962" w:rsidR="00B97F2C" w:rsidRPr="00996FE6" w:rsidRDefault="00B97F2C" w:rsidP="00E61461">
      <w:pPr>
        <w:rPr>
          <w:szCs w:val="22"/>
          <w:lang w:val="sr-Latn-CS"/>
        </w:rPr>
      </w:pPr>
      <w:r w:rsidRPr="00996FE6">
        <w:rPr>
          <w:szCs w:val="22"/>
          <w:lang w:val="sr-Latn-CS"/>
        </w:rPr>
        <w:t>Kod pacijenata koji su na terapiji vankomicinom tokom dužeg vremenskog perioda ili istovremeno sa drugim l</w:t>
      </w:r>
      <w:r w:rsidR="006A36E2" w:rsidRPr="00996FE6">
        <w:rPr>
          <w:szCs w:val="22"/>
          <w:lang w:val="sr-Latn-CS"/>
        </w:rPr>
        <w:t>j</w:t>
      </w:r>
      <w:r w:rsidRPr="00996FE6">
        <w:rPr>
          <w:szCs w:val="22"/>
          <w:lang w:val="sr-Latn-CS"/>
        </w:rPr>
        <w:t>ekovima koji mogu uzrokovati neutropeniju ili agranulocitozu</w:t>
      </w:r>
      <w:r w:rsidR="007D0F04" w:rsidRPr="00996FE6">
        <w:rPr>
          <w:szCs w:val="22"/>
          <w:lang w:val="sr-Latn-CS"/>
        </w:rPr>
        <w:t xml:space="preserve"> treba pratiti</w:t>
      </w:r>
      <w:r w:rsidRPr="00996FE6">
        <w:rPr>
          <w:szCs w:val="22"/>
          <w:lang w:val="sr-Latn-CS"/>
        </w:rPr>
        <w:t xml:space="preserve"> broj leukocita u redovnim vremenskim intervalima. </w:t>
      </w:r>
      <w:r w:rsidRPr="00996FE6">
        <w:rPr>
          <w:szCs w:val="22"/>
        </w:rPr>
        <w:t>Kod</w:t>
      </w:r>
      <w:r w:rsidRPr="00996FE6">
        <w:rPr>
          <w:szCs w:val="22"/>
          <w:lang w:val="sr-Latn-CS"/>
        </w:rPr>
        <w:t xml:space="preserve"> </w:t>
      </w:r>
      <w:r w:rsidRPr="00996FE6">
        <w:rPr>
          <w:szCs w:val="22"/>
        </w:rPr>
        <w:t>svih</w:t>
      </w:r>
      <w:r w:rsidRPr="00996FE6">
        <w:rPr>
          <w:szCs w:val="22"/>
          <w:lang w:val="sr-Latn-CS"/>
        </w:rPr>
        <w:t xml:space="preserve"> </w:t>
      </w:r>
      <w:r w:rsidRPr="00996FE6">
        <w:rPr>
          <w:szCs w:val="22"/>
        </w:rPr>
        <w:t>pacijenata</w:t>
      </w:r>
      <w:r w:rsidRPr="00996FE6">
        <w:rPr>
          <w:szCs w:val="22"/>
          <w:lang w:val="sr-Latn-CS"/>
        </w:rPr>
        <w:t xml:space="preserve"> </w:t>
      </w:r>
      <w:r w:rsidRPr="00996FE6">
        <w:rPr>
          <w:szCs w:val="22"/>
        </w:rPr>
        <w:t>koji</w:t>
      </w:r>
      <w:r w:rsidRPr="00996FE6">
        <w:rPr>
          <w:szCs w:val="22"/>
          <w:lang w:val="sr-Latn-CS"/>
        </w:rPr>
        <w:t xml:space="preserve"> </w:t>
      </w:r>
      <w:r w:rsidRPr="00996FE6">
        <w:rPr>
          <w:szCs w:val="22"/>
        </w:rPr>
        <w:t>primaju</w:t>
      </w:r>
      <w:r w:rsidRPr="00996FE6">
        <w:rPr>
          <w:szCs w:val="22"/>
          <w:lang w:val="sr-Latn-CS"/>
        </w:rPr>
        <w:t xml:space="preserve"> </w:t>
      </w:r>
      <w:r w:rsidRPr="00996FE6">
        <w:rPr>
          <w:szCs w:val="22"/>
        </w:rPr>
        <w:t>vankomicin</w:t>
      </w:r>
      <w:r w:rsidRPr="00996FE6">
        <w:rPr>
          <w:szCs w:val="22"/>
          <w:lang w:val="sr-Latn-CS"/>
        </w:rPr>
        <w:t xml:space="preserve"> </w:t>
      </w:r>
      <w:r w:rsidRPr="00996FE6">
        <w:rPr>
          <w:szCs w:val="22"/>
        </w:rPr>
        <w:t>treba</w:t>
      </w:r>
      <w:r w:rsidRPr="00996FE6">
        <w:rPr>
          <w:szCs w:val="22"/>
          <w:lang w:val="sr-Latn-CS"/>
        </w:rPr>
        <w:t xml:space="preserve"> </w:t>
      </w:r>
      <w:r w:rsidRPr="00996FE6">
        <w:rPr>
          <w:szCs w:val="22"/>
        </w:rPr>
        <w:t>redovno</w:t>
      </w:r>
      <w:r w:rsidRPr="00996FE6">
        <w:rPr>
          <w:szCs w:val="22"/>
          <w:lang w:val="sr-Latn-CS"/>
        </w:rPr>
        <w:t xml:space="preserve"> </w:t>
      </w:r>
      <w:r w:rsidRPr="00996FE6">
        <w:rPr>
          <w:szCs w:val="22"/>
        </w:rPr>
        <w:t>sprovoditi</w:t>
      </w:r>
      <w:r w:rsidRPr="00996FE6">
        <w:rPr>
          <w:szCs w:val="22"/>
          <w:lang w:val="sr-Latn-CS"/>
        </w:rPr>
        <w:t xml:space="preserve"> </w:t>
      </w:r>
      <w:r w:rsidRPr="00996FE6">
        <w:rPr>
          <w:szCs w:val="22"/>
        </w:rPr>
        <w:t>hematolo</w:t>
      </w:r>
      <w:r w:rsidRPr="00996FE6">
        <w:rPr>
          <w:szCs w:val="22"/>
          <w:lang w:val="sr-Latn-CS"/>
        </w:rPr>
        <w:t>š</w:t>
      </w:r>
      <w:r w:rsidRPr="00996FE6">
        <w:rPr>
          <w:szCs w:val="22"/>
        </w:rPr>
        <w:t>ka</w:t>
      </w:r>
      <w:r w:rsidRPr="00996FE6">
        <w:rPr>
          <w:szCs w:val="22"/>
          <w:lang w:val="sr-Latn-CS"/>
        </w:rPr>
        <w:t xml:space="preserve"> </w:t>
      </w:r>
      <w:r w:rsidRPr="00996FE6">
        <w:rPr>
          <w:szCs w:val="22"/>
        </w:rPr>
        <w:t>ispitivanja</w:t>
      </w:r>
      <w:r w:rsidRPr="00996FE6">
        <w:rPr>
          <w:szCs w:val="22"/>
          <w:lang w:val="sr-Latn-CS"/>
        </w:rPr>
        <w:t xml:space="preserve">, </w:t>
      </w:r>
      <w:r w:rsidRPr="00996FE6">
        <w:rPr>
          <w:szCs w:val="22"/>
        </w:rPr>
        <w:t>analize</w:t>
      </w:r>
      <w:r w:rsidRPr="00996FE6">
        <w:rPr>
          <w:szCs w:val="22"/>
          <w:lang w:val="sr-Latn-CS"/>
        </w:rPr>
        <w:t xml:space="preserve"> </w:t>
      </w:r>
      <w:r w:rsidRPr="00996FE6">
        <w:rPr>
          <w:szCs w:val="22"/>
        </w:rPr>
        <w:t>urina</w:t>
      </w:r>
      <w:r w:rsidRPr="00996FE6">
        <w:rPr>
          <w:szCs w:val="22"/>
          <w:lang w:val="sr-Latn-CS"/>
        </w:rPr>
        <w:t xml:space="preserve"> </w:t>
      </w:r>
      <w:r w:rsidRPr="00996FE6">
        <w:rPr>
          <w:szCs w:val="22"/>
        </w:rPr>
        <w:t>i</w:t>
      </w:r>
      <w:r w:rsidRPr="00996FE6">
        <w:rPr>
          <w:szCs w:val="22"/>
          <w:lang w:val="sr-Latn-CS"/>
        </w:rPr>
        <w:t xml:space="preserve"> </w:t>
      </w:r>
      <w:r w:rsidRPr="00996FE6">
        <w:rPr>
          <w:szCs w:val="22"/>
        </w:rPr>
        <w:t>testove</w:t>
      </w:r>
      <w:r w:rsidRPr="00996FE6">
        <w:rPr>
          <w:szCs w:val="22"/>
          <w:lang w:val="sr-Latn-CS"/>
        </w:rPr>
        <w:t xml:space="preserve"> </w:t>
      </w:r>
      <w:r w:rsidRPr="00996FE6">
        <w:rPr>
          <w:szCs w:val="22"/>
        </w:rPr>
        <w:t>funkcije</w:t>
      </w:r>
      <w:r w:rsidRPr="00996FE6">
        <w:rPr>
          <w:szCs w:val="22"/>
          <w:lang w:val="sr-Latn-CS"/>
        </w:rPr>
        <w:t xml:space="preserve"> </w:t>
      </w:r>
      <w:r w:rsidRPr="00996FE6">
        <w:rPr>
          <w:szCs w:val="22"/>
        </w:rPr>
        <w:t>jetre</w:t>
      </w:r>
      <w:r w:rsidRPr="00996FE6">
        <w:rPr>
          <w:szCs w:val="22"/>
          <w:lang w:val="sr-Latn-CS"/>
        </w:rPr>
        <w:t xml:space="preserve"> </w:t>
      </w:r>
      <w:r w:rsidRPr="00996FE6">
        <w:rPr>
          <w:szCs w:val="22"/>
        </w:rPr>
        <w:t>i</w:t>
      </w:r>
      <w:r w:rsidRPr="00996FE6">
        <w:rPr>
          <w:szCs w:val="22"/>
          <w:lang w:val="sr-Latn-CS"/>
        </w:rPr>
        <w:t xml:space="preserve"> </w:t>
      </w:r>
      <w:r w:rsidRPr="00996FE6">
        <w:rPr>
          <w:szCs w:val="22"/>
        </w:rPr>
        <w:t>bubrega</w:t>
      </w:r>
      <w:r w:rsidR="007D0F04" w:rsidRPr="00996FE6">
        <w:rPr>
          <w:szCs w:val="22"/>
          <w:lang w:val="sr-Latn-CS"/>
        </w:rPr>
        <w:t>.</w:t>
      </w:r>
    </w:p>
    <w:p w14:paraId="73246805" w14:textId="77777777" w:rsidR="00B97F2C" w:rsidRPr="00996FE6" w:rsidRDefault="00B97F2C" w:rsidP="00E61461">
      <w:pPr>
        <w:rPr>
          <w:szCs w:val="22"/>
          <w:lang w:val="sr-Latn-CS"/>
        </w:rPr>
      </w:pPr>
    </w:p>
    <w:p w14:paraId="56B780D3" w14:textId="7D8025CB" w:rsidR="00B97F2C" w:rsidRPr="00996FE6" w:rsidRDefault="00B97F2C" w:rsidP="00E61461">
      <w:pPr>
        <w:rPr>
          <w:szCs w:val="22"/>
          <w:lang w:val="sr-Latn-CS"/>
        </w:rPr>
      </w:pPr>
      <w:r w:rsidRPr="00996FE6">
        <w:rPr>
          <w:szCs w:val="22"/>
        </w:rPr>
        <w:t>Treba</w:t>
      </w:r>
      <w:r w:rsidRPr="00996FE6">
        <w:rPr>
          <w:szCs w:val="22"/>
          <w:lang w:val="sr-Latn-CS"/>
        </w:rPr>
        <w:t xml:space="preserve"> </w:t>
      </w:r>
      <w:r w:rsidRPr="00996FE6">
        <w:rPr>
          <w:szCs w:val="22"/>
        </w:rPr>
        <w:t>biti</w:t>
      </w:r>
      <w:r w:rsidRPr="00996FE6">
        <w:rPr>
          <w:szCs w:val="22"/>
          <w:lang w:val="sr-Latn-CS"/>
        </w:rPr>
        <w:t xml:space="preserve"> </w:t>
      </w:r>
      <w:r w:rsidRPr="00996FE6">
        <w:rPr>
          <w:szCs w:val="22"/>
        </w:rPr>
        <w:t>oprezan</w:t>
      </w:r>
      <w:r w:rsidRPr="00996FE6">
        <w:rPr>
          <w:szCs w:val="22"/>
          <w:lang w:val="sr-Latn-CS"/>
        </w:rPr>
        <w:t xml:space="preserve"> </w:t>
      </w:r>
      <w:r w:rsidRPr="00996FE6">
        <w:rPr>
          <w:szCs w:val="22"/>
        </w:rPr>
        <w:t>pri</w:t>
      </w:r>
      <w:r w:rsidRPr="00996FE6">
        <w:rPr>
          <w:szCs w:val="22"/>
          <w:lang w:val="sr-Latn-CS"/>
        </w:rPr>
        <w:t xml:space="preserve"> </w:t>
      </w:r>
      <w:r w:rsidRPr="00996FE6">
        <w:rPr>
          <w:szCs w:val="22"/>
        </w:rPr>
        <w:t>prim</w:t>
      </w:r>
      <w:r w:rsidR="006A36E2" w:rsidRPr="00996FE6">
        <w:rPr>
          <w:szCs w:val="22"/>
        </w:rPr>
        <w:t>j</w:t>
      </w:r>
      <w:r w:rsidRPr="00996FE6">
        <w:rPr>
          <w:szCs w:val="22"/>
        </w:rPr>
        <w:t>eni</w:t>
      </w:r>
      <w:r w:rsidRPr="00996FE6">
        <w:rPr>
          <w:szCs w:val="22"/>
          <w:lang w:val="sr-Latn-CS"/>
        </w:rPr>
        <w:t xml:space="preserve"> </w:t>
      </w:r>
      <w:r w:rsidRPr="00996FE6">
        <w:rPr>
          <w:szCs w:val="22"/>
        </w:rPr>
        <w:t>vankomicina</w:t>
      </w:r>
      <w:r w:rsidRPr="00996FE6">
        <w:rPr>
          <w:szCs w:val="22"/>
          <w:lang w:val="sr-Latn-CS"/>
        </w:rPr>
        <w:t xml:space="preserve"> </w:t>
      </w:r>
      <w:r w:rsidRPr="00996FE6">
        <w:rPr>
          <w:szCs w:val="22"/>
        </w:rPr>
        <w:t>kod</w:t>
      </w:r>
      <w:r w:rsidRPr="00996FE6">
        <w:rPr>
          <w:szCs w:val="22"/>
          <w:lang w:val="sr-Latn-CS"/>
        </w:rPr>
        <w:t xml:space="preserve"> </w:t>
      </w:r>
      <w:r w:rsidRPr="00996FE6">
        <w:rPr>
          <w:szCs w:val="22"/>
        </w:rPr>
        <w:t>pacijenata</w:t>
      </w:r>
      <w:r w:rsidRPr="00996FE6">
        <w:rPr>
          <w:szCs w:val="22"/>
          <w:lang w:val="sr-Latn-CS"/>
        </w:rPr>
        <w:t xml:space="preserve"> </w:t>
      </w:r>
      <w:r w:rsidRPr="00996FE6">
        <w:rPr>
          <w:szCs w:val="22"/>
        </w:rPr>
        <w:t>koji</w:t>
      </w:r>
      <w:r w:rsidRPr="00996FE6">
        <w:rPr>
          <w:szCs w:val="22"/>
          <w:lang w:val="sr-Latn-CS"/>
        </w:rPr>
        <w:t xml:space="preserve"> </w:t>
      </w:r>
      <w:r w:rsidRPr="00996FE6">
        <w:rPr>
          <w:szCs w:val="22"/>
        </w:rPr>
        <w:t>su</w:t>
      </w:r>
      <w:r w:rsidRPr="00996FE6">
        <w:rPr>
          <w:szCs w:val="22"/>
          <w:lang w:val="sr-Latn-CS"/>
        </w:rPr>
        <w:t xml:space="preserve"> </w:t>
      </w:r>
      <w:r w:rsidRPr="00996FE6">
        <w:rPr>
          <w:szCs w:val="22"/>
        </w:rPr>
        <w:t>alergi</w:t>
      </w:r>
      <w:r w:rsidRPr="00996FE6">
        <w:rPr>
          <w:szCs w:val="22"/>
          <w:lang w:val="sr-Latn-CS"/>
        </w:rPr>
        <w:t>č</w:t>
      </w:r>
      <w:r w:rsidRPr="00996FE6">
        <w:rPr>
          <w:szCs w:val="22"/>
        </w:rPr>
        <w:t>ni</w:t>
      </w:r>
      <w:r w:rsidRPr="00996FE6">
        <w:rPr>
          <w:szCs w:val="22"/>
          <w:lang w:val="sr-Latn-CS"/>
        </w:rPr>
        <w:t xml:space="preserve"> </w:t>
      </w:r>
      <w:proofErr w:type="gramStart"/>
      <w:r w:rsidRPr="00996FE6">
        <w:rPr>
          <w:szCs w:val="22"/>
        </w:rPr>
        <w:t>na</w:t>
      </w:r>
      <w:proofErr w:type="gramEnd"/>
      <w:r w:rsidRPr="00996FE6">
        <w:rPr>
          <w:szCs w:val="22"/>
          <w:lang w:val="sr-Latn-CS"/>
        </w:rPr>
        <w:t xml:space="preserve"> </w:t>
      </w:r>
      <w:r w:rsidRPr="00996FE6">
        <w:rPr>
          <w:szCs w:val="22"/>
        </w:rPr>
        <w:t>teikoplanin</w:t>
      </w:r>
      <w:r w:rsidRPr="00996FE6">
        <w:rPr>
          <w:szCs w:val="22"/>
          <w:lang w:val="sr-Latn-CS"/>
        </w:rPr>
        <w:t xml:space="preserve">, </w:t>
      </w:r>
      <w:r w:rsidRPr="00996FE6">
        <w:rPr>
          <w:szCs w:val="22"/>
        </w:rPr>
        <w:t>jer</w:t>
      </w:r>
      <w:r w:rsidRPr="00996FE6">
        <w:rPr>
          <w:szCs w:val="22"/>
          <w:lang w:val="sr-Latn-CS"/>
        </w:rPr>
        <w:t xml:space="preserve"> </w:t>
      </w:r>
      <w:r w:rsidRPr="00996FE6">
        <w:rPr>
          <w:szCs w:val="22"/>
        </w:rPr>
        <w:t>mo</w:t>
      </w:r>
      <w:r w:rsidRPr="00996FE6">
        <w:rPr>
          <w:szCs w:val="22"/>
          <w:lang w:val="sr-Latn-CS"/>
        </w:rPr>
        <w:t>ž</w:t>
      </w:r>
      <w:r w:rsidRPr="00996FE6">
        <w:rPr>
          <w:szCs w:val="22"/>
        </w:rPr>
        <w:t>e</w:t>
      </w:r>
      <w:r w:rsidRPr="00996FE6">
        <w:rPr>
          <w:szCs w:val="22"/>
          <w:lang w:val="sr-Latn-CS"/>
        </w:rPr>
        <w:t xml:space="preserve"> </w:t>
      </w:r>
      <w:r w:rsidRPr="00996FE6">
        <w:rPr>
          <w:szCs w:val="22"/>
        </w:rPr>
        <w:t>do</w:t>
      </w:r>
      <w:r w:rsidRPr="00996FE6">
        <w:rPr>
          <w:szCs w:val="22"/>
          <w:lang w:val="sr-Latn-CS"/>
        </w:rPr>
        <w:t>ć</w:t>
      </w:r>
      <w:r w:rsidRPr="00996FE6">
        <w:rPr>
          <w:szCs w:val="22"/>
        </w:rPr>
        <w:t>i</w:t>
      </w:r>
      <w:r w:rsidRPr="00996FE6">
        <w:rPr>
          <w:szCs w:val="22"/>
          <w:lang w:val="sr-Latn-CS"/>
        </w:rPr>
        <w:t xml:space="preserve"> </w:t>
      </w:r>
      <w:r w:rsidRPr="00996FE6">
        <w:rPr>
          <w:szCs w:val="22"/>
        </w:rPr>
        <w:t>do</w:t>
      </w:r>
      <w:r w:rsidRPr="00996FE6">
        <w:rPr>
          <w:szCs w:val="22"/>
          <w:lang w:val="sr-Latn-CS"/>
        </w:rPr>
        <w:t xml:space="preserve"> </w:t>
      </w:r>
      <w:r w:rsidRPr="00996FE6">
        <w:rPr>
          <w:szCs w:val="22"/>
        </w:rPr>
        <w:t>unakrsne</w:t>
      </w:r>
      <w:r w:rsidRPr="00996FE6">
        <w:rPr>
          <w:szCs w:val="22"/>
          <w:lang w:val="sr-Latn-CS"/>
        </w:rPr>
        <w:t xml:space="preserve"> </w:t>
      </w:r>
      <w:r w:rsidRPr="00996FE6">
        <w:rPr>
          <w:szCs w:val="22"/>
        </w:rPr>
        <w:t>alergijske</w:t>
      </w:r>
      <w:r w:rsidRPr="00996FE6">
        <w:rPr>
          <w:szCs w:val="22"/>
          <w:lang w:val="sr-Latn-CS"/>
        </w:rPr>
        <w:t xml:space="preserve"> </w:t>
      </w:r>
      <w:r w:rsidRPr="00996FE6">
        <w:rPr>
          <w:szCs w:val="22"/>
        </w:rPr>
        <w:t>reakcije</w:t>
      </w:r>
      <w:r w:rsidRPr="00996FE6">
        <w:rPr>
          <w:szCs w:val="22"/>
          <w:lang w:val="sr-Latn-CS"/>
        </w:rPr>
        <w:t xml:space="preserve"> </w:t>
      </w:r>
      <w:r w:rsidRPr="00996FE6">
        <w:rPr>
          <w:szCs w:val="22"/>
        </w:rPr>
        <w:t>uklju</w:t>
      </w:r>
      <w:r w:rsidRPr="00996FE6">
        <w:rPr>
          <w:szCs w:val="22"/>
          <w:lang w:val="sr-Latn-CS"/>
        </w:rPr>
        <w:t>č</w:t>
      </w:r>
      <w:r w:rsidRPr="00996FE6">
        <w:rPr>
          <w:szCs w:val="22"/>
        </w:rPr>
        <w:t>uju</w:t>
      </w:r>
      <w:r w:rsidRPr="00996FE6">
        <w:rPr>
          <w:szCs w:val="22"/>
          <w:lang w:val="sr-Latn-CS"/>
        </w:rPr>
        <w:t>ć</w:t>
      </w:r>
      <w:r w:rsidRPr="00996FE6">
        <w:rPr>
          <w:szCs w:val="22"/>
        </w:rPr>
        <w:t>i</w:t>
      </w:r>
      <w:r w:rsidRPr="00996FE6">
        <w:rPr>
          <w:szCs w:val="22"/>
          <w:lang w:val="sr-Latn-CS"/>
        </w:rPr>
        <w:t xml:space="preserve"> </w:t>
      </w:r>
      <w:r w:rsidRPr="00996FE6">
        <w:rPr>
          <w:szCs w:val="22"/>
        </w:rPr>
        <w:t>anafilakti</w:t>
      </w:r>
      <w:r w:rsidRPr="00996FE6">
        <w:rPr>
          <w:szCs w:val="22"/>
          <w:lang w:val="sr-Latn-CS"/>
        </w:rPr>
        <w:t>č</w:t>
      </w:r>
      <w:r w:rsidRPr="00996FE6">
        <w:rPr>
          <w:szCs w:val="22"/>
        </w:rPr>
        <w:t>ki</w:t>
      </w:r>
      <w:r w:rsidRPr="00996FE6">
        <w:rPr>
          <w:szCs w:val="22"/>
          <w:lang w:val="sr-Latn-CS"/>
        </w:rPr>
        <w:t xml:space="preserve"> š</w:t>
      </w:r>
      <w:r w:rsidRPr="00996FE6">
        <w:rPr>
          <w:szCs w:val="22"/>
        </w:rPr>
        <w:t>ok</w:t>
      </w:r>
      <w:r w:rsidRPr="00996FE6">
        <w:rPr>
          <w:szCs w:val="22"/>
          <w:lang w:val="sr-Latn-CS"/>
        </w:rPr>
        <w:t xml:space="preserve"> </w:t>
      </w:r>
      <w:r w:rsidRPr="00996FE6">
        <w:rPr>
          <w:szCs w:val="22"/>
        </w:rPr>
        <w:t>sa</w:t>
      </w:r>
      <w:r w:rsidRPr="00996FE6">
        <w:rPr>
          <w:szCs w:val="22"/>
          <w:lang w:val="sr-Latn-CS"/>
        </w:rPr>
        <w:t xml:space="preserve"> </w:t>
      </w:r>
      <w:r w:rsidRPr="00996FE6">
        <w:rPr>
          <w:szCs w:val="22"/>
        </w:rPr>
        <w:t>smrtnim</w:t>
      </w:r>
      <w:r w:rsidRPr="00996FE6">
        <w:rPr>
          <w:szCs w:val="22"/>
          <w:lang w:val="sr-Latn-CS"/>
        </w:rPr>
        <w:t xml:space="preserve"> </w:t>
      </w:r>
      <w:r w:rsidRPr="00996FE6">
        <w:rPr>
          <w:szCs w:val="22"/>
        </w:rPr>
        <w:t>ishodom</w:t>
      </w:r>
      <w:r w:rsidRPr="00996FE6">
        <w:rPr>
          <w:szCs w:val="22"/>
          <w:lang w:val="sr-Latn-CS"/>
        </w:rPr>
        <w:t>.</w:t>
      </w:r>
    </w:p>
    <w:p w14:paraId="58D605FA" w14:textId="77777777" w:rsidR="00B97F2C" w:rsidRPr="00996FE6" w:rsidRDefault="00B97F2C" w:rsidP="00E61461">
      <w:pPr>
        <w:rPr>
          <w:szCs w:val="22"/>
          <w:lang w:val="sr-Latn-CS"/>
        </w:rPr>
      </w:pPr>
    </w:p>
    <w:p w14:paraId="25B0342B" w14:textId="77777777" w:rsidR="00B97F2C" w:rsidRPr="00996FE6" w:rsidRDefault="00B97F2C" w:rsidP="00E61461">
      <w:pPr>
        <w:rPr>
          <w:szCs w:val="22"/>
          <w:u w:val="single"/>
          <w:lang w:val="sr-Latn-CS"/>
        </w:rPr>
      </w:pPr>
      <w:r w:rsidRPr="00996FE6">
        <w:rPr>
          <w:szCs w:val="22"/>
          <w:u w:val="single"/>
          <w:lang w:val="sr-Latn-CS"/>
        </w:rPr>
        <w:t>Spektar antibakterijske aktivnosti</w:t>
      </w:r>
    </w:p>
    <w:p w14:paraId="73CE221F" w14:textId="2B42EDFA" w:rsidR="00B97F2C" w:rsidRPr="00996FE6" w:rsidRDefault="00B97F2C" w:rsidP="00E61461">
      <w:pPr>
        <w:rPr>
          <w:szCs w:val="22"/>
          <w:lang w:val="sv-SE"/>
        </w:rPr>
      </w:pPr>
      <w:r w:rsidRPr="00996FE6">
        <w:rPr>
          <w:szCs w:val="22"/>
          <w:lang w:val="sr-Latn-CS"/>
        </w:rPr>
        <w:t xml:space="preserve">Vankomicin ima spektar antibakterijske aktivnosti ograničen na </w:t>
      </w:r>
      <w:r w:rsidRPr="00996FE6">
        <w:rPr>
          <w:szCs w:val="22"/>
          <w:lang w:val="sv-SE"/>
        </w:rPr>
        <w:t>Gram-pozitivne bakterije. Nije indikovan kao monoterapija za l</w:t>
      </w:r>
      <w:r w:rsidR="006A36E2" w:rsidRPr="00996FE6">
        <w:rPr>
          <w:szCs w:val="22"/>
          <w:lang w:val="sv-SE"/>
        </w:rPr>
        <w:t>ij</w:t>
      </w:r>
      <w:r w:rsidRPr="00996FE6">
        <w:rPr>
          <w:szCs w:val="22"/>
          <w:lang w:val="sv-SE"/>
        </w:rPr>
        <w:t>ečenje nekih infekcija, osim ako je dokumentovano, poznato ili postoji velika sumnja da se radi o infekcijama izazvanim mikroorganizmima os</w:t>
      </w:r>
      <w:r w:rsidR="006A36E2" w:rsidRPr="00996FE6">
        <w:rPr>
          <w:szCs w:val="22"/>
          <w:lang w:val="sv-SE"/>
        </w:rPr>
        <w:t>j</w:t>
      </w:r>
      <w:r w:rsidRPr="00996FE6">
        <w:rPr>
          <w:szCs w:val="22"/>
          <w:lang w:val="sv-SE"/>
        </w:rPr>
        <w:t>etljivim na vankomicin.</w:t>
      </w:r>
    </w:p>
    <w:p w14:paraId="45FFEA8F" w14:textId="77777777" w:rsidR="00B97F2C" w:rsidRPr="00996FE6" w:rsidRDefault="00B97F2C" w:rsidP="00E61461">
      <w:pPr>
        <w:rPr>
          <w:szCs w:val="22"/>
          <w:lang w:val="sr-Latn-CS"/>
        </w:rPr>
      </w:pPr>
    </w:p>
    <w:p w14:paraId="05D64DFD" w14:textId="4A4A1350" w:rsidR="00B97F2C" w:rsidRPr="00996FE6" w:rsidRDefault="00B97F2C" w:rsidP="00E61461">
      <w:pPr>
        <w:rPr>
          <w:szCs w:val="22"/>
          <w:lang w:val="sr-Latn-CS"/>
        </w:rPr>
      </w:pPr>
      <w:r w:rsidRPr="00996FE6">
        <w:rPr>
          <w:szCs w:val="22"/>
          <w:lang w:val="sr-Latn-CS"/>
        </w:rPr>
        <w:t xml:space="preserve">Racionalna upotreba vankomicina treba da uzme u obzir spektar antibakterijske aktivnosti, </w:t>
      </w:r>
      <w:r w:rsidRPr="00996FE6">
        <w:rPr>
          <w:bCs/>
          <w:szCs w:val="22"/>
        </w:rPr>
        <w:t>bezb</w:t>
      </w:r>
      <w:r w:rsidR="006A36E2" w:rsidRPr="00996FE6">
        <w:rPr>
          <w:bCs/>
          <w:szCs w:val="22"/>
        </w:rPr>
        <w:t>j</w:t>
      </w:r>
      <w:r w:rsidRPr="00996FE6">
        <w:rPr>
          <w:bCs/>
          <w:szCs w:val="22"/>
        </w:rPr>
        <w:t>ednosni</w:t>
      </w:r>
      <w:r w:rsidRPr="00996FE6">
        <w:rPr>
          <w:bCs/>
          <w:szCs w:val="22"/>
          <w:lang w:val="sr-Latn-CS"/>
        </w:rPr>
        <w:t xml:space="preserve"> </w:t>
      </w:r>
      <w:r w:rsidRPr="00996FE6">
        <w:rPr>
          <w:bCs/>
          <w:szCs w:val="22"/>
        </w:rPr>
        <w:t>profil</w:t>
      </w:r>
      <w:r w:rsidRPr="00996FE6">
        <w:rPr>
          <w:szCs w:val="22"/>
          <w:lang w:val="sr-Latn-CS"/>
        </w:rPr>
        <w:t xml:space="preserve"> </w:t>
      </w:r>
      <w:r w:rsidRPr="00996FE6">
        <w:rPr>
          <w:szCs w:val="22"/>
        </w:rPr>
        <w:t>l</w:t>
      </w:r>
      <w:r w:rsidR="006A36E2" w:rsidRPr="00996FE6">
        <w:rPr>
          <w:szCs w:val="22"/>
        </w:rPr>
        <w:t>ij</w:t>
      </w:r>
      <w:r w:rsidRPr="00996FE6">
        <w:rPr>
          <w:szCs w:val="22"/>
        </w:rPr>
        <w:t>eka</w:t>
      </w:r>
      <w:r w:rsidRPr="00996FE6">
        <w:rPr>
          <w:szCs w:val="22"/>
          <w:lang w:val="sr-Latn-CS"/>
        </w:rPr>
        <w:t xml:space="preserve"> </w:t>
      </w:r>
      <w:r w:rsidRPr="00996FE6">
        <w:rPr>
          <w:szCs w:val="22"/>
        </w:rPr>
        <w:t>i</w:t>
      </w:r>
      <w:r w:rsidRPr="00996FE6">
        <w:rPr>
          <w:szCs w:val="22"/>
          <w:lang w:val="sr-Latn-CS"/>
        </w:rPr>
        <w:t xml:space="preserve"> </w:t>
      </w:r>
      <w:r w:rsidRPr="00996FE6">
        <w:rPr>
          <w:szCs w:val="22"/>
        </w:rPr>
        <w:t>pogodnost</w:t>
      </w:r>
      <w:r w:rsidRPr="00996FE6">
        <w:rPr>
          <w:szCs w:val="22"/>
          <w:lang w:val="sr-Latn-CS"/>
        </w:rPr>
        <w:t xml:space="preserve"> </w:t>
      </w:r>
      <w:r w:rsidRPr="00996FE6">
        <w:rPr>
          <w:szCs w:val="22"/>
        </w:rPr>
        <w:t>standardne</w:t>
      </w:r>
      <w:r w:rsidRPr="00996FE6">
        <w:rPr>
          <w:szCs w:val="22"/>
          <w:lang w:val="sr-Latn-CS"/>
        </w:rPr>
        <w:t xml:space="preserve"> </w:t>
      </w:r>
      <w:r w:rsidRPr="00996FE6">
        <w:rPr>
          <w:szCs w:val="22"/>
        </w:rPr>
        <w:t>antibakterijske</w:t>
      </w:r>
      <w:r w:rsidRPr="00996FE6">
        <w:rPr>
          <w:szCs w:val="22"/>
          <w:lang w:val="sr-Latn-CS"/>
        </w:rPr>
        <w:t xml:space="preserve"> </w:t>
      </w:r>
      <w:r w:rsidRPr="00996FE6">
        <w:rPr>
          <w:szCs w:val="22"/>
        </w:rPr>
        <w:t>terapije</w:t>
      </w:r>
      <w:r w:rsidRPr="00996FE6">
        <w:rPr>
          <w:szCs w:val="22"/>
          <w:lang w:val="sr-Latn-CS"/>
        </w:rPr>
        <w:t xml:space="preserve">  </w:t>
      </w:r>
      <w:r w:rsidRPr="00996FE6">
        <w:rPr>
          <w:szCs w:val="22"/>
        </w:rPr>
        <w:t>za</w:t>
      </w:r>
      <w:r w:rsidRPr="00996FE6">
        <w:rPr>
          <w:szCs w:val="22"/>
          <w:lang w:val="sr-Latn-CS"/>
        </w:rPr>
        <w:t xml:space="preserve"> </w:t>
      </w:r>
      <w:r w:rsidRPr="00996FE6">
        <w:rPr>
          <w:szCs w:val="22"/>
        </w:rPr>
        <w:t>l</w:t>
      </w:r>
      <w:r w:rsidR="006A36E2" w:rsidRPr="00996FE6">
        <w:rPr>
          <w:szCs w:val="22"/>
        </w:rPr>
        <w:t>ij</w:t>
      </w:r>
      <w:r w:rsidRPr="00996FE6">
        <w:rPr>
          <w:szCs w:val="22"/>
        </w:rPr>
        <w:t>e</w:t>
      </w:r>
      <w:r w:rsidRPr="00996FE6">
        <w:rPr>
          <w:szCs w:val="22"/>
          <w:lang w:val="sr-Latn-CS"/>
        </w:rPr>
        <w:t>č</w:t>
      </w:r>
      <w:r w:rsidRPr="00996FE6">
        <w:rPr>
          <w:szCs w:val="22"/>
        </w:rPr>
        <w:t>enje</w:t>
      </w:r>
      <w:r w:rsidRPr="00996FE6">
        <w:rPr>
          <w:szCs w:val="22"/>
          <w:lang w:val="sr-Latn-CS"/>
        </w:rPr>
        <w:t xml:space="preserve"> </w:t>
      </w:r>
      <w:r w:rsidRPr="00996FE6">
        <w:rPr>
          <w:szCs w:val="22"/>
        </w:rPr>
        <w:t>odre</w:t>
      </w:r>
      <w:r w:rsidRPr="00996FE6">
        <w:rPr>
          <w:szCs w:val="22"/>
          <w:lang w:val="sr-Latn-CS"/>
        </w:rPr>
        <w:t>đ</w:t>
      </w:r>
      <w:r w:rsidRPr="00996FE6">
        <w:rPr>
          <w:szCs w:val="22"/>
        </w:rPr>
        <w:t>enog</w:t>
      </w:r>
      <w:r w:rsidRPr="00996FE6">
        <w:rPr>
          <w:szCs w:val="22"/>
          <w:lang w:val="sr-Latn-CS"/>
        </w:rPr>
        <w:t xml:space="preserve"> </w:t>
      </w:r>
      <w:r w:rsidRPr="00996FE6">
        <w:rPr>
          <w:szCs w:val="22"/>
        </w:rPr>
        <w:t>pacijenta</w:t>
      </w:r>
      <w:r w:rsidRPr="00996FE6">
        <w:rPr>
          <w:szCs w:val="22"/>
          <w:lang w:val="sr-Latn-CS"/>
        </w:rPr>
        <w:t>.</w:t>
      </w:r>
    </w:p>
    <w:p w14:paraId="097A94D1" w14:textId="77777777" w:rsidR="00B97F2C" w:rsidRPr="00996FE6" w:rsidRDefault="00B97F2C" w:rsidP="00E61461">
      <w:pPr>
        <w:rPr>
          <w:szCs w:val="22"/>
          <w:lang w:val="sr-Latn-CS"/>
        </w:rPr>
      </w:pPr>
    </w:p>
    <w:p w14:paraId="3EABC85A" w14:textId="77777777" w:rsidR="00B97F2C" w:rsidRPr="00996FE6" w:rsidRDefault="00B97F2C" w:rsidP="00E61461">
      <w:pPr>
        <w:rPr>
          <w:szCs w:val="22"/>
          <w:u w:val="single"/>
          <w:lang w:val="sr-Latn-CS"/>
        </w:rPr>
      </w:pPr>
      <w:r w:rsidRPr="00996FE6">
        <w:rPr>
          <w:szCs w:val="22"/>
          <w:u w:val="single"/>
          <w:lang w:val="sr-Latn-CS"/>
        </w:rPr>
        <w:t>Ototoksičnost</w:t>
      </w:r>
    </w:p>
    <w:p w14:paraId="5F3207E6" w14:textId="0A92378F" w:rsidR="00B97F2C" w:rsidRPr="00996FE6" w:rsidRDefault="00B97F2C" w:rsidP="00E61461">
      <w:pPr>
        <w:rPr>
          <w:bCs/>
          <w:szCs w:val="22"/>
          <w:lang w:val="sr-Latn-CS"/>
        </w:rPr>
      </w:pPr>
      <w:r w:rsidRPr="00996FE6">
        <w:rPr>
          <w:szCs w:val="22"/>
        </w:rPr>
        <w:t>Ototoksi</w:t>
      </w:r>
      <w:r w:rsidRPr="00996FE6">
        <w:rPr>
          <w:szCs w:val="22"/>
          <w:lang w:val="sr-Latn-CS"/>
        </w:rPr>
        <w:t>č</w:t>
      </w:r>
      <w:r w:rsidRPr="00996FE6">
        <w:rPr>
          <w:szCs w:val="22"/>
        </w:rPr>
        <w:t>nost</w:t>
      </w:r>
      <w:r w:rsidRPr="00996FE6">
        <w:rPr>
          <w:szCs w:val="22"/>
          <w:lang w:val="sr-Latn-CS"/>
        </w:rPr>
        <w:t xml:space="preserve">, </w:t>
      </w:r>
      <w:r w:rsidRPr="00996FE6">
        <w:rPr>
          <w:szCs w:val="22"/>
        </w:rPr>
        <w:t>koja</w:t>
      </w:r>
      <w:r w:rsidRPr="00996FE6">
        <w:rPr>
          <w:szCs w:val="22"/>
          <w:lang w:val="sr-Latn-CS"/>
        </w:rPr>
        <w:t xml:space="preserve"> </w:t>
      </w:r>
      <w:r w:rsidRPr="00996FE6">
        <w:rPr>
          <w:szCs w:val="22"/>
        </w:rPr>
        <w:t>mo</w:t>
      </w:r>
      <w:r w:rsidRPr="00996FE6">
        <w:rPr>
          <w:szCs w:val="22"/>
          <w:lang w:val="sr-Latn-CS"/>
        </w:rPr>
        <w:t>ž</w:t>
      </w:r>
      <w:r w:rsidRPr="00996FE6">
        <w:rPr>
          <w:szCs w:val="22"/>
        </w:rPr>
        <w:t>e</w:t>
      </w:r>
      <w:r w:rsidRPr="00996FE6">
        <w:rPr>
          <w:szCs w:val="22"/>
          <w:lang w:val="sr-Latn-CS"/>
        </w:rPr>
        <w:t xml:space="preserve"> </w:t>
      </w:r>
      <w:r w:rsidRPr="00996FE6">
        <w:rPr>
          <w:szCs w:val="22"/>
        </w:rPr>
        <w:t>biti</w:t>
      </w:r>
      <w:r w:rsidRPr="00996FE6">
        <w:rPr>
          <w:szCs w:val="22"/>
          <w:lang w:val="sr-Latn-CS"/>
        </w:rPr>
        <w:t xml:space="preserve"> </w:t>
      </w:r>
      <w:r w:rsidRPr="00996FE6">
        <w:rPr>
          <w:szCs w:val="22"/>
        </w:rPr>
        <w:t>prolazna</w:t>
      </w:r>
      <w:r w:rsidRPr="00996FE6">
        <w:rPr>
          <w:szCs w:val="22"/>
          <w:lang w:val="sr-Latn-CS"/>
        </w:rPr>
        <w:t xml:space="preserve"> </w:t>
      </w:r>
      <w:proofErr w:type="gramStart"/>
      <w:r w:rsidRPr="00996FE6">
        <w:rPr>
          <w:szCs w:val="22"/>
        </w:rPr>
        <w:t>ili</w:t>
      </w:r>
      <w:proofErr w:type="gramEnd"/>
      <w:r w:rsidRPr="00996FE6">
        <w:rPr>
          <w:szCs w:val="22"/>
          <w:lang w:val="sr-Latn-CS"/>
        </w:rPr>
        <w:t xml:space="preserve"> </w:t>
      </w:r>
      <w:r w:rsidRPr="00996FE6">
        <w:rPr>
          <w:szCs w:val="22"/>
        </w:rPr>
        <w:t>trajna</w:t>
      </w:r>
      <w:r w:rsidRPr="00996FE6">
        <w:rPr>
          <w:szCs w:val="22"/>
          <w:lang w:val="sr-Latn-CS"/>
        </w:rPr>
        <w:t xml:space="preserve"> (</w:t>
      </w:r>
      <w:r w:rsidRPr="00996FE6">
        <w:rPr>
          <w:szCs w:val="22"/>
        </w:rPr>
        <w:t>vid</w:t>
      </w:r>
      <w:r w:rsidR="006A36E2" w:rsidRPr="00996FE6">
        <w:rPr>
          <w:szCs w:val="22"/>
        </w:rPr>
        <w:t>j</w:t>
      </w:r>
      <w:r w:rsidRPr="00996FE6">
        <w:rPr>
          <w:szCs w:val="22"/>
        </w:rPr>
        <w:t>eti</w:t>
      </w:r>
      <w:r w:rsidRPr="00996FE6">
        <w:rPr>
          <w:szCs w:val="22"/>
          <w:lang w:val="sr-Latn-CS"/>
        </w:rPr>
        <w:t xml:space="preserve"> </w:t>
      </w:r>
      <w:r w:rsidR="007D0F04" w:rsidRPr="00996FE6">
        <w:rPr>
          <w:szCs w:val="22"/>
        </w:rPr>
        <w:t>dio</w:t>
      </w:r>
      <w:r w:rsidR="007D0F04" w:rsidRPr="00996FE6">
        <w:rPr>
          <w:szCs w:val="22"/>
          <w:lang w:val="sr-Latn-CS"/>
        </w:rPr>
        <w:t xml:space="preserve"> </w:t>
      </w:r>
      <w:r w:rsidRPr="00996FE6">
        <w:rPr>
          <w:szCs w:val="22"/>
          <w:lang w:val="sr-Latn-CS"/>
        </w:rPr>
        <w:t xml:space="preserve">4.8), </w:t>
      </w:r>
      <w:r w:rsidRPr="00996FE6">
        <w:rPr>
          <w:szCs w:val="22"/>
        </w:rPr>
        <w:t>prijavljena</w:t>
      </w:r>
      <w:r w:rsidRPr="00996FE6">
        <w:rPr>
          <w:szCs w:val="22"/>
          <w:lang w:val="sr-Latn-CS"/>
        </w:rPr>
        <w:t xml:space="preserve"> </w:t>
      </w:r>
      <w:r w:rsidRPr="00996FE6">
        <w:rPr>
          <w:szCs w:val="22"/>
        </w:rPr>
        <w:t>je</w:t>
      </w:r>
      <w:r w:rsidRPr="00996FE6">
        <w:rPr>
          <w:szCs w:val="22"/>
          <w:lang w:val="sr-Latn-CS"/>
        </w:rPr>
        <w:t xml:space="preserve"> </w:t>
      </w:r>
      <w:r w:rsidRPr="00996FE6">
        <w:rPr>
          <w:szCs w:val="22"/>
        </w:rPr>
        <w:t>kod</w:t>
      </w:r>
      <w:r w:rsidRPr="00996FE6">
        <w:rPr>
          <w:szCs w:val="22"/>
          <w:lang w:val="sr-Latn-CS"/>
        </w:rPr>
        <w:t xml:space="preserve"> </w:t>
      </w:r>
      <w:r w:rsidRPr="00996FE6">
        <w:rPr>
          <w:szCs w:val="22"/>
        </w:rPr>
        <w:t>pacijenata</w:t>
      </w:r>
      <w:r w:rsidRPr="00996FE6">
        <w:rPr>
          <w:szCs w:val="22"/>
          <w:lang w:val="sr-Latn-CS"/>
        </w:rPr>
        <w:t xml:space="preserve"> </w:t>
      </w:r>
      <w:r w:rsidRPr="00996FE6">
        <w:rPr>
          <w:szCs w:val="22"/>
        </w:rPr>
        <w:t>sa</w:t>
      </w:r>
      <w:r w:rsidRPr="00996FE6">
        <w:rPr>
          <w:szCs w:val="22"/>
          <w:lang w:val="sr-Latn-CS"/>
        </w:rPr>
        <w:t xml:space="preserve"> </w:t>
      </w:r>
      <w:r w:rsidRPr="00996FE6">
        <w:rPr>
          <w:szCs w:val="22"/>
        </w:rPr>
        <w:t>prethodno</w:t>
      </w:r>
      <w:r w:rsidRPr="00996FE6">
        <w:rPr>
          <w:szCs w:val="22"/>
          <w:lang w:val="sr-Latn-CS"/>
        </w:rPr>
        <w:t xml:space="preserve"> </w:t>
      </w:r>
      <w:r w:rsidRPr="00996FE6">
        <w:rPr>
          <w:szCs w:val="22"/>
        </w:rPr>
        <w:t>postoje</w:t>
      </w:r>
      <w:r w:rsidRPr="00996FE6">
        <w:rPr>
          <w:szCs w:val="22"/>
          <w:lang w:val="sr-Latn-CS"/>
        </w:rPr>
        <w:t>ć</w:t>
      </w:r>
      <w:r w:rsidRPr="00996FE6">
        <w:rPr>
          <w:szCs w:val="22"/>
        </w:rPr>
        <w:t>im</w:t>
      </w:r>
      <w:r w:rsidRPr="00996FE6">
        <w:rPr>
          <w:szCs w:val="22"/>
          <w:lang w:val="sr-Latn-CS"/>
        </w:rPr>
        <w:t xml:space="preserve"> </w:t>
      </w:r>
      <w:r w:rsidRPr="00996FE6">
        <w:rPr>
          <w:szCs w:val="22"/>
        </w:rPr>
        <w:t>o</w:t>
      </w:r>
      <w:r w:rsidRPr="00996FE6">
        <w:rPr>
          <w:szCs w:val="22"/>
          <w:lang w:val="sr-Latn-RS"/>
        </w:rPr>
        <w:t xml:space="preserve">štećenjem </w:t>
      </w:r>
      <w:r w:rsidRPr="00996FE6">
        <w:rPr>
          <w:szCs w:val="22"/>
        </w:rPr>
        <w:t>sluha</w:t>
      </w:r>
      <w:r w:rsidRPr="00996FE6">
        <w:rPr>
          <w:szCs w:val="22"/>
          <w:lang w:val="sr-Latn-CS"/>
        </w:rPr>
        <w:t xml:space="preserve">, </w:t>
      </w:r>
      <w:r w:rsidRPr="00996FE6">
        <w:rPr>
          <w:szCs w:val="22"/>
        </w:rPr>
        <w:t>pacijenata</w:t>
      </w:r>
      <w:r w:rsidRPr="00996FE6">
        <w:rPr>
          <w:szCs w:val="22"/>
          <w:lang w:val="sr-Latn-CS"/>
        </w:rPr>
        <w:t xml:space="preserve"> </w:t>
      </w:r>
      <w:r w:rsidRPr="00996FE6">
        <w:rPr>
          <w:bCs/>
          <w:szCs w:val="22"/>
        </w:rPr>
        <w:t>kojima</w:t>
      </w:r>
      <w:r w:rsidRPr="00996FE6">
        <w:rPr>
          <w:bCs/>
          <w:szCs w:val="22"/>
          <w:lang w:val="sr-Latn-CS"/>
        </w:rPr>
        <w:t xml:space="preserve"> </w:t>
      </w:r>
      <w:r w:rsidRPr="00996FE6">
        <w:rPr>
          <w:bCs/>
          <w:szCs w:val="22"/>
        </w:rPr>
        <w:t>su</w:t>
      </w:r>
      <w:r w:rsidRPr="00996FE6">
        <w:rPr>
          <w:bCs/>
          <w:szCs w:val="22"/>
          <w:lang w:val="sr-Latn-CS"/>
        </w:rPr>
        <w:t xml:space="preserve"> </w:t>
      </w:r>
      <w:r w:rsidRPr="00996FE6">
        <w:rPr>
          <w:bCs/>
          <w:szCs w:val="22"/>
        </w:rPr>
        <w:t>prim</w:t>
      </w:r>
      <w:r w:rsidR="006A36E2" w:rsidRPr="00996FE6">
        <w:rPr>
          <w:bCs/>
          <w:szCs w:val="22"/>
        </w:rPr>
        <w:t>j</w:t>
      </w:r>
      <w:r w:rsidRPr="00996FE6">
        <w:rPr>
          <w:bCs/>
          <w:szCs w:val="22"/>
        </w:rPr>
        <w:t>enjivane</w:t>
      </w:r>
      <w:r w:rsidRPr="00996FE6">
        <w:rPr>
          <w:bCs/>
          <w:szCs w:val="22"/>
          <w:lang w:val="sr-Latn-CS"/>
        </w:rPr>
        <w:t xml:space="preserve"> </w:t>
      </w:r>
      <w:r w:rsidRPr="00996FE6">
        <w:rPr>
          <w:bCs/>
          <w:szCs w:val="22"/>
        </w:rPr>
        <w:t>velike</w:t>
      </w:r>
      <w:r w:rsidRPr="00996FE6">
        <w:rPr>
          <w:bCs/>
          <w:szCs w:val="22"/>
          <w:lang w:val="sr-Latn-CS"/>
        </w:rPr>
        <w:t xml:space="preserve"> </w:t>
      </w:r>
      <w:r w:rsidRPr="00996FE6">
        <w:rPr>
          <w:bCs/>
          <w:szCs w:val="22"/>
        </w:rPr>
        <w:t>intravenske</w:t>
      </w:r>
      <w:r w:rsidRPr="00996FE6">
        <w:rPr>
          <w:bCs/>
          <w:szCs w:val="22"/>
          <w:lang w:val="sr-Latn-CS"/>
        </w:rPr>
        <w:t xml:space="preserve"> </w:t>
      </w:r>
      <w:r w:rsidRPr="00996FE6">
        <w:rPr>
          <w:bCs/>
          <w:szCs w:val="22"/>
        </w:rPr>
        <w:t>doze</w:t>
      </w:r>
      <w:r w:rsidRPr="00996FE6">
        <w:rPr>
          <w:bCs/>
          <w:szCs w:val="22"/>
          <w:lang w:val="sr-Latn-CS"/>
        </w:rPr>
        <w:t xml:space="preserve"> </w:t>
      </w:r>
      <w:r w:rsidRPr="00996FE6">
        <w:rPr>
          <w:bCs/>
          <w:szCs w:val="22"/>
        </w:rPr>
        <w:t>ili</w:t>
      </w:r>
      <w:r w:rsidRPr="00996FE6">
        <w:rPr>
          <w:bCs/>
          <w:szCs w:val="22"/>
          <w:lang w:val="sr-Latn-CS"/>
        </w:rPr>
        <w:t xml:space="preserve"> </w:t>
      </w:r>
      <w:r w:rsidRPr="00996FE6">
        <w:rPr>
          <w:bCs/>
          <w:szCs w:val="22"/>
        </w:rPr>
        <w:t>pacijenata</w:t>
      </w:r>
      <w:r w:rsidRPr="00996FE6">
        <w:rPr>
          <w:bCs/>
          <w:szCs w:val="22"/>
          <w:lang w:val="sr-Latn-CS"/>
        </w:rPr>
        <w:t xml:space="preserve"> </w:t>
      </w:r>
      <w:r w:rsidRPr="00996FE6">
        <w:rPr>
          <w:bCs/>
          <w:szCs w:val="22"/>
        </w:rPr>
        <w:t>koji</w:t>
      </w:r>
      <w:r w:rsidRPr="00996FE6">
        <w:rPr>
          <w:bCs/>
          <w:szCs w:val="22"/>
          <w:lang w:val="sr-Latn-CS"/>
        </w:rPr>
        <w:t xml:space="preserve"> </w:t>
      </w:r>
      <w:r w:rsidRPr="00996FE6">
        <w:rPr>
          <w:bCs/>
          <w:szCs w:val="22"/>
        </w:rPr>
        <w:t>su</w:t>
      </w:r>
      <w:r w:rsidRPr="00996FE6">
        <w:rPr>
          <w:bCs/>
          <w:szCs w:val="22"/>
          <w:lang w:val="sr-Latn-CS"/>
        </w:rPr>
        <w:t xml:space="preserve"> </w:t>
      </w:r>
      <w:r w:rsidRPr="00996FE6">
        <w:rPr>
          <w:bCs/>
          <w:szCs w:val="22"/>
        </w:rPr>
        <w:t>bili</w:t>
      </w:r>
      <w:r w:rsidRPr="00996FE6">
        <w:rPr>
          <w:bCs/>
          <w:szCs w:val="22"/>
          <w:lang w:val="sr-Latn-CS"/>
        </w:rPr>
        <w:t xml:space="preserve"> </w:t>
      </w:r>
      <w:r w:rsidRPr="00996FE6">
        <w:rPr>
          <w:bCs/>
          <w:szCs w:val="22"/>
        </w:rPr>
        <w:t>na</w:t>
      </w:r>
      <w:r w:rsidRPr="00996FE6">
        <w:rPr>
          <w:bCs/>
          <w:szCs w:val="22"/>
          <w:lang w:val="sr-Latn-CS"/>
        </w:rPr>
        <w:t xml:space="preserve"> </w:t>
      </w:r>
      <w:r w:rsidRPr="00996FE6">
        <w:rPr>
          <w:bCs/>
          <w:szCs w:val="22"/>
        </w:rPr>
        <w:t>istovremenoj</w:t>
      </w:r>
      <w:r w:rsidRPr="00996FE6">
        <w:rPr>
          <w:bCs/>
          <w:szCs w:val="22"/>
          <w:lang w:val="sr-Latn-CS"/>
        </w:rPr>
        <w:t xml:space="preserve"> </w:t>
      </w:r>
      <w:r w:rsidRPr="00996FE6">
        <w:rPr>
          <w:bCs/>
          <w:szCs w:val="22"/>
        </w:rPr>
        <w:t>terapiji</w:t>
      </w:r>
      <w:r w:rsidRPr="00996FE6">
        <w:rPr>
          <w:bCs/>
          <w:szCs w:val="22"/>
          <w:lang w:val="sr-Latn-CS"/>
        </w:rPr>
        <w:t xml:space="preserve"> </w:t>
      </w:r>
      <w:r w:rsidRPr="00996FE6">
        <w:rPr>
          <w:bCs/>
          <w:szCs w:val="22"/>
        </w:rPr>
        <w:t>sa</w:t>
      </w:r>
      <w:r w:rsidRPr="00996FE6">
        <w:rPr>
          <w:bCs/>
          <w:szCs w:val="22"/>
          <w:lang w:val="sr-Latn-CS"/>
        </w:rPr>
        <w:t xml:space="preserve"> </w:t>
      </w:r>
      <w:r w:rsidRPr="00996FE6">
        <w:rPr>
          <w:bCs/>
          <w:szCs w:val="22"/>
        </w:rPr>
        <w:t>drugim</w:t>
      </w:r>
      <w:r w:rsidRPr="00996FE6">
        <w:rPr>
          <w:bCs/>
          <w:szCs w:val="22"/>
          <w:lang w:val="sr-Latn-CS"/>
        </w:rPr>
        <w:t xml:space="preserve"> </w:t>
      </w:r>
      <w:r w:rsidRPr="00996FE6">
        <w:rPr>
          <w:bCs/>
          <w:szCs w:val="22"/>
        </w:rPr>
        <w:t>ototoksi</w:t>
      </w:r>
      <w:r w:rsidRPr="00996FE6">
        <w:rPr>
          <w:bCs/>
          <w:szCs w:val="22"/>
          <w:lang w:val="sr-Latn-CS"/>
        </w:rPr>
        <w:t>č</w:t>
      </w:r>
      <w:r w:rsidRPr="00996FE6">
        <w:rPr>
          <w:bCs/>
          <w:szCs w:val="22"/>
        </w:rPr>
        <w:t>nim</w:t>
      </w:r>
      <w:r w:rsidRPr="00996FE6">
        <w:rPr>
          <w:bCs/>
          <w:szCs w:val="22"/>
          <w:lang w:val="sr-Latn-CS"/>
        </w:rPr>
        <w:t xml:space="preserve"> </w:t>
      </w:r>
      <w:r w:rsidRPr="00996FE6">
        <w:rPr>
          <w:bCs/>
          <w:szCs w:val="22"/>
        </w:rPr>
        <w:t>l</w:t>
      </w:r>
      <w:r w:rsidR="006A36E2" w:rsidRPr="00996FE6">
        <w:rPr>
          <w:bCs/>
          <w:szCs w:val="22"/>
        </w:rPr>
        <w:t>j</w:t>
      </w:r>
      <w:r w:rsidRPr="00996FE6">
        <w:rPr>
          <w:bCs/>
          <w:szCs w:val="22"/>
        </w:rPr>
        <w:t>ekovima</w:t>
      </w:r>
      <w:r w:rsidRPr="00996FE6">
        <w:rPr>
          <w:bCs/>
          <w:szCs w:val="22"/>
          <w:lang w:val="sr-Latn-CS"/>
        </w:rPr>
        <w:t xml:space="preserve">, </w:t>
      </w:r>
      <w:r w:rsidRPr="00996FE6">
        <w:rPr>
          <w:bCs/>
          <w:szCs w:val="22"/>
        </w:rPr>
        <w:t>kao</w:t>
      </w:r>
      <w:r w:rsidRPr="00996FE6">
        <w:rPr>
          <w:bCs/>
          <w:szCs w:val="22"/>
          <w:lang w:val="sr-Latn-CS"/>
        </w:rPr>
        <w:t xml:space="preserve"> š</w:t>
      </w:r>
      <w:r w:rsidRPr="00996FE6">
        <w:rPr>
          <w:bCs/>
          <w:szCs w:val="22"/>
        </w:rPr>
        <w:t>to</w:t>
      </w:r>
      <w:r w:rsidRPr="00996FE6">
        <w:rPr>
          <w:bCs/>
          <w:szCs w:val="22"/>
          <w:lang w:val="sr-Latn-CS"/>
        </w:rPr>
        <w:t xml:space="preserve"> </w:t>
      </w:r>
      <w:r w:rsidRPr="00996FE6">
        <w:rPr>
          <w:bCs/>
          <w:szCs w:val="22"/>
        </w:rPr>
        <w:t>su</w:t>
      </w:r>
      <w:r w:rsidRPr="00996FE6">
        <w:rPr>
          <w:bCs/>
          <w:szCs w:val="22"/>
          <w:lang w:val="sr-Latn-CS"/>
        </w:rPr>
        <w:t xml:space="preserve"> </w:t>
      </w:r>
      <w:r w:rsidRPr="00996FE6">
        <w:rPr>
          <w:bCs/>
          <w:szCs w:val="22"/>
        </w:rPr>
        <w:t>aminoglikozidi</w:t>
      </w:r>
      <w:r w:rsidRPr="00996FE6">
        <w:rPr>
          <w:bCs/>
          <w:szCs w:val="22"/>
          <w:lang w:val="sr-Latn-CS"/>
        </w:rPr>
        <w:t xml:space="preserve">. </w:t>
      </w:r>
      <w:r w:rsidR="007D0F04" w:rsidRPr="00996FE6">
        <w:rPr>
          <w:bCs/>
          <w:szCs w:val="22"/>
          <w:lang w:val="sr-Latn-CS"/>
        </w:rPr>
        <w:t xml:space="preserve">Lijek </w:t>
      </w:r>
      <w:r w:rsidRPr="00996FE6">
        <w:rPr>
          <w:bCs/>
          <w:szCs w:val="22"/>
        </w:rPr>
        <w:t>Vankomicin</w:t>
      </w:r>
      <w:r w:rsidR="007D0F04" w:rsidRPr="00996FE6">
        <w:rPr>
          <w:bCs/>
          <w:szCs w:val="22"/>
          <w:lang w:val="sr-Latn-CS"/>
        </w:rPr>
        <w:t xml:space="preserve"> </w:t>
      </w:r>
      <w:r w:rsidR="007D0F04" w:rsidRPr="00996FE6">
        <w:rPr>
          <w:bCs/>
          <w:szCs w:val="22"/>
        </w:rPr>
        <w:t>MIP</w:t>
      </w:r>
      <w:r w:rsidRPr="00996FE6">
        <w:rPr>
          <w:bCs/>
          <w:szCs w:val="22"/>
          <w:lang w:val="sr-Latn-CS"/>
        </w:rPr>
        <w:t xml:space="preserve"> </w:t>
      </w:r>
      <w:r w:rsidRPr="00996FE6">
        <w:rPr>
          <w:bCs/>
          <w:szCs w:val="22"/>
        </w:rPr>
        <w:t>tako</w:t>
      </w:r>
      <w:r w:rsidRPr="00996FE6">
        <w:rPr>
          <w:bCs/>
          <w:szCs w:val="22"/>
          <w:lang w:val="sr-Latn-CS"/>
        </w:rPr>
        <w:t>đ</w:t>
      </w:r>
      <w:r w:rsidRPr="00996FE6">
        <w:rPr>
          <w:bCs/>
          <w:szCs w:val="22"/>
        </w:rPr>
        <w:t>e</w:t>
      </w:r>
      <w:r w:rsidRPr="00996FE6">
        <w:rPr>
          <w:bCs/>
          <w:szCs w:val="22"/>
          <w:lang w:val="sr-Latn-CS"/>
        </w:rPr>
        <w:t xml:space="preserve"> </w:t>
      </w:r>
      <w:r w:rsidRPr="00996FE6">
        <w:rPr>
          <w:bCs/>
          <w:szCs w:val="22"/>
        </w:rPr>
        <w:t>treba</w:t>
      </w:r>
      <w:r w:rsidRPr="00996FE6">
        <w:rPr>
          <w:bCs/>
          <w:szCs w:val="22"/>
          <w:lang w:val="sr-Latn-CS"/>
        </w:rPr>
        <w:t xml:space="preserve"> </w:t>
      </w:r>
      <w:r w:rsidRPr="00996FE6">
        <w:rPr>
          <w:bCs/>
          <w:szCs w:val="22"/>
        </w:rPr>
        <w:t>izb</w:t>
      </w:r>
      <w:r w:rsidR="006A36E2" w:rsidRPr="00996FE6">
        <w:rPr>
          <w:bCs/>
          <w:szCs w:val="22"/>
        </w:rPr>
        <w:t>j</w:t>
      </w:r>
      <w:r w:rsidRPr="00996FE6">
        <w:rPr>
          <w:bCs/>
          <w:szCs w:val="22"/>
        </w:rPr>
        <w:t>egavati</w:t>
      </w:r>
      <w:r w:rsidRPr="00996FE6">
        <w:rPr>
          <w:bCs/>
          <w:szCs w:val="22"/>
          <w:lang w:val="sr-Latn-CS"/>
        </w:rPr>
        <w:t xml:space="preserve"> </w:t>
      </w:r>
      <w:r w:rsidRPr="00996FE6">
        <w:rPr>
          <w:bCs/>
          <w:szCs w:val="22"/>
        </w:rPr>
        <w:t>kod</w:t>
      </w:r>
      <w:r w:rsidRPr="00996FE6">
        <w:rPr>
          <w:bCs/>
          <w:szCs w:val="22"/>
          <w:lang w:val="sr-Latn-CS"/>
        </w:rPr>
        <w:t xml:space="preserve"> </w:t>
      </w:r>
      <w:r w:rsidRPr="00996FE6">
        <w:rPr>
          <w:bCs/>
          <w:szCs w:val="22"/>
        </w:rPr>
        <w:t>pacijenata</w:t>
      </w:r>
      <w:r w:rsidRPr="00996FE6">
        <w:rPr>
          <w:bCs/>
          <w:szCs w:val="22"/>
          <w:lang w:val="sr-Latn-CS"/>
        </w:rPr>
        <w:t xml:space="preserve"> </w:t>
      </w:r>
      <w:r w:rsidRPr="00996FE6">
        <w:rPr>
          <w:bCs/>
          <w:szCs w:val="22"/>
        </w:rPr>
        <w:t>sa</w:t>
      </w:r>
      <w:r w:rsidRPr="00996FE6">
        <w:rPr>
          <w:bCs/>
          <w:szCs w:val="22"/>
          <w:lang w:val="sr-Latn-CS"/>
        </w:rPr>
        <w:t xml:space="preserve"> </w:t>
      </w:r>
      <w:r w:rsidRPr="00996FE6">
        <w:rPr>
          <w:bCs/>
          <w:szCs w:val="22"/>
        </w:rPr>
        <w:t>prethodnim</w:t>
      </w:r>
      <w:r w:rsidRPr="00996FE6">
        <w:rPr>
          <w:bCs/>
          <w:szCs w:val="22"/>
          <w:lang w:val="sr-Latn-CS"/>
        </w:rPr>
        <w:t xml:space="preserve"> </w:t>
      </w:r>
      <w:r w:rsidRPr="00996FE6">
        <w:rPr>
          <w:bCs/>
          <w:szCs w:val="22"/>
        </w:rPr>
        <w:t>gubitkom</w:t>
      </w:r>
      <w:r w:rsidRPr="00996FE6">
        <w:rPr>
          <w:bCs/>
          <w:szCs w:val="22"/>
          <w:lang w:val="sr-Latn-CS"/>
        </w:rPr>
        <w:t xml:space="preserve"> </w:t>
      </w:r>
      <w:r w:rsidRPr="00996FE6">
        <w:rPr>
          <w:bCs/>
          <w:szCs w:val="22"/>
        </w:rPr>
        <w:t>sluha</w:t>
      </w:r>
      <w:r w:rsidRPr="00996FE6">
        <w:rPr>
          <w:bCs/>
          <w:szCs w:val="22"/>
          <w:lang w:val="sr-Latn-CS"/>
        </w:rPr>
        <w:t xml:space="preserve">. </w:t>
      </w:r>
      <w:r w:rsidRPr="00996FE6">
        <w:rPr>
          <w:bCs/>
          <w:szCs w:val="22"/>
        </w:rPr>
        <w:t>Gluvo</w:t>
      </w:r>
      <w:r w:rsidRPr="00996FE6">
        <w:rPr>
          <w:bCs/>
          <w:szCs w:val="22"/>
          <w:lang w:val="sr-Latn-CS"/>
        </w:rPr>
        <w:t>ć</w:t>
      </w:r>
      <w:r w:rsidRPr="00996FE6">
        <w:rPr>
          <w:bCs/>
          <w:szCs w:val="22"/>
        </w:rPr>
        <w:t>i</w:t>
      </w:r>
      <w:r w:rsidRPr="00996FE6">
        <w:rPr>
          <w:bCs/>
          <w:szCs w:val="22"/>
          <w:lang w:val="sr-Latn-CS"/>
        </w:rPr>
        <w:t xml:space="preserve"> </w:t>
      </w:r>
      <w:r w:rsidRPr="00996FE6">
        <w:rPr>
          <w:bCs/>
          <w:szCs w:val="22"/>
        </w:rPr>
        <w:t>mo</w:t>
      </w:r>
      <w:r w:rsidRPr="00996FE6">
        <w:rPr>
          <w:bCs/>
          <w:szCs w:val="22"/>
          <w:lang w:val="sr-Latn-CS"/>
        </w:rPr>
        <w:t>ž</w:t>
      </w:r>
      <w:r w:rsidRPr="00996FE6">
        <w:rPr>
          <w:bCs/>
          <w:szCs w:val="22"/>
        </w:rPr>
        <w:t>e</w:t>
      </w:r>
      <w:r w:rsidRPr="00996FE6">
        <w:rPr>
          <w:bCs/>
          <w:szCs w:val="22"/>
          <w:lang w:val="sr-Latn-CS"/>
        </w:rPr>
        <w:t xml:space="preserve"> </w:t>
      </w:r>
      <w:r w:rsidRPr="00996FE6">
        <w:rPr>
          <w:bCs/>
          <w:szCs w:val="22"/>
        </w:rPr>
        <w:t>prethoditi</w:t>
      </w:r>
      <w:r w:rsidRPr="00996FE6">
        <w:rPr>
          <w:bCs/>
          <w:szCs w:val="22"/>
          <w:lang w:val="sr-Latn-CS"/>
        </w:rPr>
        <w:t xml:space="preserve"> </w:t>
      </w:r>
      <w:r w:rsidRPr="00996FE6">
        <w:rPr>
          <w:bCs/>
          <w:szCs w:val="22"/>
        </w:rPr>
        <w:t>tinitus</w:t>
      </w:r>
      <w:r w:rsidRPr="00996FE6">
        <w:rPr>
          <w:bCs/>
          <w:szCs w:val="22"/>
          <w:lang w:val="sr-Latn-CS"/>
        </w:rPr>
        <w:t xml:space="preserve">. </w:t>
      </w:r>
      <w:r w:rsidRPr="00996FE6">
        <w:rPr>
          <w:bCs/>
          <w:szCs w:val="22"/>
        </w:rPr>
        <w:t>Iskustva</w:t>
      </w:r>
      <w:r w:rsidRPr="00996FE6">
        <w:rPr>
          <w:bCs/>
          <w:szCs w:val="22"/>
          <w:lang w:val="sr-Latn-CS"/>
        </w:rPr>
        <w:t xml:space="preserve"> </w:t>
      </w:r>
      <w:proofErr w:type="gramStart"/>
      <w:r w:rsidRPr="00996FE6">
        <w:rPr>
          <w:bCs/>
          <w:szCs w:val="22"/>
        </w:rPr>
        <w:t>sa</w:t>
      </w:r>
      <w:proofErr w:type="gramEnd"/>
      <w:r w:rsidRPr="00996FE6">
        <w:rPr>
          <w:bCs/>
          <w:szCs w:val="22"/>
          <w:lang w:val="sr-Latn-CS"/>
        </w:rPr>
        <w:t xml:space="preserve"> </w:t>
      </w:r>
      <w:r w:rsidRPr="00996FE6">
        <w:rPr>
          <w:bCs/>
          <w:szCs w:val="22"/>
        </w:rPr>
        <w:t>drugim</w:t>
      </w:r>
      <w:r w:rsidRPr="00996FE6">
        <w:rPr>
          <w:bCs/>
          <w:szCs w:val="22"/>
          <w:lang w:val="sr-Latn-CS"/>
        </w:rPr>
        <w:t xml:space="preserve"> </w:t>
      </w:r>
      <w:r w:rsidRPr="00996FE6">
        <w:rPr>
          <w:bCs/>
          <w:szCs w:val="22"/>
        </w:rPr>
        <w:t>antibioticima</w:t>
      </w:r>
      <w:r w:rsidRPr="00996FE6">
        <w:rPr>
          <w:bCs/>
          <w:szCs w:val="22"/>
          <w:lang w:val="sr-Latn-CS"/>
        </w:rPr>
        <w:t xml:space="preserve"> </w:t>
      </w:r>
      <w:r w:rsidRPr="00996FE6">
        <w:rPr>
          <w:bCs/>
          <w:szCs w:val="22"/>
        </w:rPr>
        <w:t>ukazuju</w:t>
      </w:r>
      <w:r w:rsidRPr="00996FE6">
        <w:rPr>
          <w:bCs/>
          <w:szCs w:val="22"/>
          <w:lang w:val="sr-Latn-CS"/>
        </w:rPr>
        <w:t xml:space="preserve"> </w:t>
      </w:r>
      <w:r w:rsidRPr="00996FE6">
        <w:rPr>
          <w:bCs/>
          <w:szCs w:val="22"/>
        </w:rPr>
        <w:t>da</w:t>
      </w:r>
      <w:r w:rsidRPr="00996FE6">
        <w:rPr>
          <w:bCs/>
          <w:szCs w:val="22"/>
          <w:lang w:val="sr-Latn-CS"/>
        </w:rPr>
        <w:t xml:space="preserve"> </w:t>
      </w:r>
      <w:r w:rsidRPr="00996FE6">
        <w:rPr>
          <w:bCs/>
          <w:szCs w:val="22"/>
        </w:rPr>
        <w:t>gluvo</w:t>
      </w:r>
      <w:r w:rsidRPr="00996FE6">
        <w:rPr>
          <w:bCs/>
          <w:szCs w:val="22"/>
          <w:lang w:val="sr-Latn-CS"/>
        </w:rPr>
        <w:t>ć</w:t>
      </w:r>
      <w:r w:rsidRPr="00996FE6">
        <w:rPr>
          <w:bCs/>
          <w:szCs w:val="22"/>
        </w:rPr>
        <w:t>a</w:t>
      </w:r>
      <w:r w:rsidRPr="00996FE6">
        <w:rPr>
          <w:bCs/>
          <w:szCs w:val="22"/>
          <w:lang w:val="sr-Latn-CS"/>
        </w:rPr>
        <w:t xml:space="preserve"> </w:t>
      </w:r>
      <w:r w:rsidRPr="00996FE6">
        <w:rPr>
          <w:bCs/>
          <w:szCs w:val="22"/>
        </w:rPr>
        <w:t>mo</w:t>
      </w:r>
      <w:r w:rsidRPr="00996FE6">
        <w:rPr>
          <w:bCs/>
          <w:szCs w:val="22"/>
          <w:lang w:val="sr-Latn-CS"/>
        </w:rPr>
        <w:t>ž</w:t>
      </w:r>
      <w:r w:rsidRPr="00996FE6">
        <w:rPr>
          <w:bCs/>
          <w:szCs w:val="22"/>
        </w:rPr>
        <w:t>e</w:t>
      </w:r>
      <w:r w:rsidRPr="00996FE6">
        <w:rPr>
          <w:bCs/>
          <w:szCs w:val="22"/>
          <w:lang w:val="sr-Latn-CS"/>
        </w:rPr>
        <w:t xml:space="preserve"> </w:t>
      </w:r>
      <w:r w:rsidRPr="00996FE6">
        <w:rPr>
          <w:bCs/>
          <w:szCs w:val="22"/>
        </w:rPr>
        <w:t>biti</w:t>
      </w:r>
      <w:r w:rsidRPr="00996FE6">
        <w:rPr>
          <w:bCs/>
          <w:szCs w:val="22"/>
          <w:lang w:val="sr-Latn-CS"/>
        </w:rPr>
        <w:t xml:space="preserve"> </w:t>
      </w:r>
      <w:r w:rsidRPr="00996FE6">
        <w:rPr>
          <w:bCs/>
          <w:szCs w:val="22"/>
        </w:rPr>
        <w:t>progresivna</w:t>
      </w:r>
      <w:r w:rsidRPr="00996FE6">
        <w:rPr>
          <w:bCs/>
          <w:szCs w:val="22"/>
          <w:lang w:val="sr-Latn-CS"/>
        </w:rPr>
        <w:t xml:space="preserve"> </w:t>
      </w:r>
      <w:r w:rsidRPr="00996FE6">
        <w:rPr>
          <w:bCs/>
          <w:szCs w:val="22"/>
        </w:rPr>
        <w:t>bez</w:t>
      </w:r>
      <w:r w:rsidRPr="00996FE6">
        <w:rPr>
          <w:bCs/>
          <w:szCs w:val="22"/>
          <w:lang w:val="sr-Latn-CS"/>
        </w:rPr>
        <w:t xml:space="preserve"> </w:t>
      </w:r>
      <w:r w:rsidRPr="00996FE6">
        <w:rPr>
          <w:bCs/>
          <w:szCs w:val="22"/>
        </w:rPr>
        <w:t>obzira</w:t>
      </w:r>
      <w:r w:rsidRPr="00996FE6">
        <w:rPr>
          <w:bCs/>
          <w:szCs w:val="22"/>
          <w:lang w:val="sr-Latn-CS"/>
        </w:rPr>
        <w:t xml:space="preserve"> </w:t>
      </w:r>
      <w:r w:rsidRPr="00996FE6">
        <w:rPr>
          <w:bCs/>
          <w:szCs w:val="22"/>
        </w:rPr>
        <w:t>na</w:t>
      </w:r>
      <w:r w:rsidRPr="00996FE6">
        <w:rPr>
          <w:bCs/>
          <w:szCs w:val="22"/>
          <w:lang w:val="sr-Latn-CS"/>
        </w:rPr>
        <w:t xml:space="preserve"> </w:t>
      </w:r>
      <w:r w:rsidRPr="00996FE6">
        <w:rPr>
          <w:bCs/>
          <w:szCs w:val="22"/>
        </w:rPr>
        <w:t>prekid</w:t>
      </w:r>
      <w:r w:rsidRPr="00996FE6">
        <w:rPr>
          <w:bCs/>
          <w:szCs w:val="22"/>
          <w:lang w:val="sr-Latn-CS"/>
        </w:rPr>
        <w:t xml:space="preserve"> </w:t>
      </w:r>
      <w:r w:rsidRPr="00996FE6">
        <w:rPr>
          <w:bCs/>
          <w:szCs w:val="22"/>
        </w:rPr>
        <w:t>terapije</w:t>
      </w:r>
      <w:r w:rsidRPr="00996FE6">
        <w:rPr>
          <w:bCs/>
          <w:szCs w:val="22"/>
          <w:lang w:val="sr-Latn-CS"/>
        </w:rPr>
        <w:t xml:space="preserve">. </w:t>
      </w:r>
      <w:r w:rsidRPr="00996FE6">
        <w:rPr>
          <w:bCs/>
          <w:szCs w:val="22"/>
        </w:rPr>
        <w:t>Da</w:t>
      </w:r>
      <w:r w:rsidRPr="00996FE6">
        <w:rPr>
          <w:bCs/>
          <w:szCs w:val="22"/>
          <w:lang w:val="sr-Latn-CS"/>
        </w:rPr>
        <w:t xml:space="preserve"> </w:t>
      </w:r>
      <w:r w:rsidRPr="00996FE6">
        <w:rPr>
          <w:bCs/>
          <w:szCs w:val="22"/>
        </w:rPr>
        <w:t>bi</w:t>
      </w:r>
      <w:r w:rsidRPr="00996FE6">
        <w:rPr>
          <w:bCs/>
          <w:szCs w:val="22"/>
          <w:lang w:val="sr-Latn-CS"/>
        </w:rPr>
        <w:t xml:space="preserve"> </w:t>
      </w:r>
      <w:r w:rsidRPr="00996FE6">
        <w:rPr>
          <w:bCs/>
          <w:szCs w:val="22"/>
        </w:rPr>
        <w:t>se</w:t>
      </w:r>
      <w:r w:rsidRPr="00996FE6">
        <w:rPr>
          <w:bCs/>
          <w:szCs w:val="22"/>
          <w:lang w:val="sr-Latn-CS"/>
        </w:rPr>
        <w:t xml:space="preserve"> </w:t>
      </w:r>
      <w:r w:rsidRPr="00996FE6">
        <w:rPr>
          <w:bCs/>
          <w:szCs w:val="22"/>
        </w:rPr>
        <w:t>umanjio</w:t>
      </w:r>
      <w:r w:rsidRPr="00996FE6">
        <w:rPr>
          <w:bCs/>
          <w:szCs w:val="22"/>
          <w:lang w:val="sr-Latn-CS"/>
        </w:rPr>
        <w:t xml:space="preserve"> </w:t>
      </w:r>
      <w:r w:rsidRPr="00996FE6">
        <w:rPr>
          <w:bCs/>
          <w:szCs w:val="22"/>
        </w:rPr>
        <w:t>rizik</w:t>
      </w:r>
      <w:r w:rsidRPr="00996FE6">
        <w:rPr>
          <w:bCs/>
          <w:szCs w:val="22"/>
          <w:lang w:val="sr-Latn-CS"/>
        </w:rPr>
        <w:t xml:space="preserve"> </w:t>
      </w:r>
      <w:proofErr w:type="gramStart"/>
      <w:r w:rsidRPr="00996FE6">
        <w:rPr>
          <w:bCs/>
          <w:szCs w:val="22"/>
        </w:rPr>
        <w:t>od</w:t>
      </w:r>
      <w:proofErr w:type="gramEnd"/>
      <w:r w:rsidRPr="00996FE6">
        <w:rPr>
          <w:bCs/>
          <w:szCs w:val="22"/>
          <w:lang w:val="sr-Latn-CS"/>
        </w:rPr>
        <w:t xml:space="preserve"> </w:t>
      </w:r>
      <w:r w:rsidRPr="00996FE6">
        <w:rPr>
          <w:bCs/>
          <w:szCs w:val="22"/>
        </w:rPr>
        <w:t>ototoksi</w:t>
      </w:r>
      <w:r w:rsidRPr="00996FE6">
        <w:rPr>
          <w:bCs/>
          <w:szCs w:val="22"/>
          <w:lang w:val="sr-Latn-CS"/>
        </w:rPr>
        <w:t>č</w:t>
      </w:r>
      <w:r w:rsidRPr="00996FE6">
        <w:rPr>
          <w:bCs/>
          <w:szCs w:val="22"/>
        </w:rPr>
        <w:t>nosti</w:t>
      </w:r>
      <w:r w:rsidRPr="00996FE6">
        <w:rPr>
          <w:bCs/>
          <w:szCs w:val="22"/>
          <w:lang w:val="sr-Latn-CS"/>
        </w:rPr>
        <w:t xml:space="preserve">, </w:t>
      </w:r>
      <w:r w:rsidRPr="00996FE6">
        <w:rPr>
          <w:bCs/>
          <w:szCs w:val="22"/>
        </w:rPr>
        <w:t>neophodno</w:t>
      </w:r>
      <w:r w:rsidRPr="00996FE6">
        <w:rPr>
          <w:bCs/>
          <w:szCs w:val="22"/>
          <w:lang w:val="sr-Latn-CS"/>
        </w:rPr>
        <w:t xml:space="preserve"> </w:t>
      </w:r>
      <w:r w:rsidRPr="00996FE6">
        <w:rPr>
          <w:bCs/>
          <w:szCs w:val="22"/>
        </w:rPr>
        <w:t>je</w:t>
      </w:r>
      <w:r w:rsidRPr="00996FE6">
        <w:rPr>
          <w:bCs/>
          <w:szCs w:val="22"/>
          <w:lang w:val="sr-Latn-CS"/>
        </w:rPr>
        <w:t xml:space="preserve"> </w:t>
      </w:r>
      <w:r w:rsidRPr="00996FE6">
        <w:rPr>
          <w:bCs/>
          <w:szCs w:val="22"/>
        </w:rPr>
        <w:t>periodi</w:t>
      </w:r>
      <w:r w:rsidRPr="00996FE6">
        <w:rPr>
          <w:bCs/>
          <w:szCs w:val="22"/>
          <w:lang w:val="sr-Latn-CS"/>
        </w:rPr>
        <w:t>č</w:t>
      </w:r>
      <w:r w:rsidRPr="00996FE6">
        <w:rPr>
          <w:bCs/>
          <w:szCs w:val="22"/>
        </w:rPr>
        <w:t>no</w:t>
      </w:r>
      <w:r w:rsidRPr="00996FE6">
        <w:rPr>
          <w:bCs/>
          <w:szCs w:val="22"/>
          <w:lang w:val="sr-Latn-CS"/>
        </w:rPr>
        <w:t xml:space="preserve"> </w:t>
      </w:r>
      <w:r w:rsidRPr="00996FE6">
        <w:rPr>
          <w:bCs/>
          <w:szCs w:val="22"/>
        </w:rPr>
        <w:t>pra</w:t>
      </w:r>
      <w:r w:rsidRPr="00996FE6">
        <w:rPr>
          <w:bCs/>
          <w:szCs w:val="22"/>
          <w:lang w:val="sr-Latn-CS"/>
        </w:rPr>
        <w:t>ć</w:t>
      </w:r>
      <w:r w:rsidRPr="00996FE6">
        <w:rPr>
          <w:bCs/>
          <w:szCs w:val="22"/>
        </w:rPr>
        <w:t>enje</w:t>
      </w:r>
      <w:r w:rsidRPr="00996FE6">
        <w:rPr>
          <w:bCs/>
          <w:szCs w:val="22"/>
          <w:lang w:val="sr-Latn-CS"/>
        </w:rPr>
        <w:t xml:space="preserve"> </w:t>
      </w:r>
      <w:r w:rsidRPr="00996FE6">
        <w:rPr>
          <w:bCs/>
          <w:szCs w:val="22"/>
        </w:rPr>
        <w:t>koncentracije</w:t>
      </w:r>
      <w:r w:rsidRPr="00996FE6">
        <w:rPr>
          <w:bCs/>
          <w:szCs w:val="22"/>
          <w:lang w:val="sr-Latn-CS"/>
        </w:rPr>
        <w:t xml:space="preserve"> </w:t>
      </w:r>
      <w:r w:rsidRPr="00996FE6">
        <w:rPr>
          <w:bCs/>
          <w:szCs w:val="22"/>
        </w:rPr>
        <w:t>l</w:t>
      </w:r>
      <w:r w:rsidR="006A36E2" w:rsidRPr="00996FE6">
        <w:rPr>
          <w:bCs/>
          <w:szCs w:val="22"/>
        </w:rPr>
        <w:t>ij</w:t>
      </w:r>
      <w:r w:rsidRPr="00996FE6">
        <w:rPr>
          <w:bCs/>
          <w:szCs w:val="22"/>
        </w:rPr>
        <w:t>eka</w:t>
      </w:r>
      <w:r w:rsidRPr="00996FE6">
        <w:rPr>
          <w:bCs/>
          <w:szCs w:val="22"/>
          <w:lang w:val="sr-Latn-CS"/>
        </w:rPr>
        <w:t xml:space="preserve"> </w:t>
      </w:r>
      <w:r w:rsidRPr="00996FE6">
        <w:rPr>
          <w:bCs/>
          <w:szCs w:val="22"/>
        </w:rPr>
        <w:t>u</w:t>
      </w:r>
      <w:r w:rsidRPr="00996FE6">
        <w:rPr>
          <w:bCs/>
          <w:szCs w:val="22"/>
          <w:lang w:val="sr-Latn-CS"/>
        </w:rPr>
        <w:t xml:space="preserve"> </w:t>
      </w:r>
      <w:r w:rsidRPr="00996FE6">
        <w:rPr>
          <w:bCs/>
          <w:szCs w:val="22"/>
        </w:rPr>
        <w:t>krvi</w:t>
      </w:r>
      <w:r w:rsidRPr="00996FE6">
        <w:rPr>
          <w:bCs/>
          <w:szCs w:val="22"/>
          <w:lang w:val="sr-Latn-CS"/>
        </w:rPr>
        <w:t xml:space="preserve"> </w:t>
      </w:r>
      <w:r w:rsidRPr="00996FE6">
        <w:rPr>
          <w:bCs/>
          <w:szCs w:val="22"/>
        </w:rPr>
        <w:t>i</w:t>
      </w:r>
      <w:r w:rsidRPr="00996FE6">
        <w:rPr>
          <w:bCs/>
          <w:szCs w:val="22"/>
          <w:lang w:val="sr-Latn-CS"/>
        </w:rPr>
        <w:t xml:space="preserve"> </w:t>
      </w:r>
      <w:r w:rsidRPr="00996FE6">
        <w:rPr>
          <w:bCs/>
          <w:szCs w:val="22"/>
        </w:rPr>
        <w:t>sprovo</w:t>
      </w:r>
      <w:r w:rsidRPr="00996FE6">
        <w:rPr>
          <w:bCs/>
          <w:szCs w:val="22"/>
          <w:lang w:val="sr-Latn-CS"/>
        </w:rPr>
        <w:t>đ</w:t>
      </w:r>
      <w:r w:rsidRPr="00996FE6">
        <w:rPr>
          <w:bCs/>
          <w:szCs w:val="22"/>
        </w:rPr>
        <w:t>enje</w:t>
      </w:r>
      <w:r w:rsidRPr="00996FE6">
        <w:rPr>
          <w:bCs/>
          <w:szCs w:val="22"/>
          <w:lang w:val="sr-Latn-CS"/>
        </w:rPr>
        <w:t xml:space="preserve"> </w:t>
      </w:r>
      <w:r w:rsidRPr="00996FE6">
        <w:rPr>
          <w:bCs/>
          <w:szCs w:val="22"/>
        </w:rPr>
        <w:t>testova</w:t>
      </w:r>
      <w:r w:rsidRPr="00996FE6">
        <w:rPr>
          <w:bCs/>
          <w:szCs w:val="22"/>
          <w:lang w:val="sr-Latn-CS"/>
        </w:rPr>
        <w:t xml:space="preserve"> </w:t>
      </w:r>
      <w:r w:rsidRPr="00996FE6">
        <w:rPr>
          <w:bCs/>
          <w:szCs w:val="22"/>
        </w:rPr>
        <w:t>za</w:t>
      </w:r>
      <w:r w:rsidRPr="00996FE6">
        <w:rPr>
          <w:bCs/>
          <w:szCs w:val="22"/>
          <w:lang w:val="sr-Latn-CS"/>
        </w:rPr>
        <w:t xml:space="preserve"> </w:t>
      </w:r>
      <w:r w:rsidRPr="00996FE6">
        <w:rPr>
          <w:bCs/>
          <w:szCs w:val="22"/>
        </w:rPr>
        <w:t>prov</w:t>
      </w:r>
      <w:r w:rsidR="006A36E2" w:rsidRPr="00996FE6">
        <w:rPr>
          <w:bCs/>
          <w:szCs w:val="22"/>
        </w:rPr>
        <w:t>j</w:t>
      </w:r>
      <w:r w:rsidRPr="00996FE6">
        <w:rPr>
          <w:bCs/>
          <w:szCs w:val="22"/>
        </w:rPr>
        <w:t>eru</w:t>
      </w:r>
      <w:r w:rsidRPr="00996FE6">
        <w:rPr>
          <w:bCs/>
          <w:szCs w:val="22"/>
          <w:lang w:val="sr-Latn-CS"/>
        </w:rPr>
        <w:t xml:space="preserve"> </w:t>
      </w:r>
      <w:r w:rsidRPr="00996FE6">
        <w:rPr>
          <w:bCs/>
          <w:szCs w:val="22"/>
        </w:rPr>
        <w:t>sluha</w:t>
      </w:r>
      <w:r w:rsidRPr="00996FE6">
        <w:rPr>
          <w:bCs/>
          <w:szCs w:val="22"/>
          <w:lang w:val="sr-Latn-CS"/>
        </w:rPr>
        <w:t>.</w:t>
      </w:r>
    </w:p>
    <w:p w14:paraId="1D65EF47" w14:textId="36A8B346" w:rsidR="00B97F2C" w:rsidRPr="00996FE6" w:rsidRDefault="00B97F2C" w:rsidP="00E61461">
      <w:pPr>
        <w:rPr>
          <w:bCs/>
          <w:szCs w:val="22"/>
          <w:lang w:val="sr-Latn-CS"/>
        </w:rPr>
      </w:pPr>
      <w:r w:rsidRPr="00996FE6">
        <w:rPr>
          <w:bCs/>
          <w:szCs w:val="22"/>
        </w:rPr>
        <w:t>Stariji</w:t>
      </w:r>
      <w:r w:rsidRPr="00996FE6">
        <w:rPr>
          <w:bCs/>
          <w:szCs w:val="22"/>
          <w:lang w:val="sr-Latn-CS"/>
        </w:rPr>
        <w:t xml:space="preserve"> </w:t>
      </w:r>
      <w:r w:rsidRPr="00996FE6">
        <w:rPr>
          <w:bCs/>
          <w:szCs w:val="22"/>
        </w:rPr>
        <w:t>pacijenti</w:t>
      </w:r>
      <w:r w:rsidRPr="00996FE6">
        <w:rPr>
          <w:bCs/>
          <w:szCs w:val="22"/>
          <w:lang w:val="sr-Latn-CS"/>
        </w:rPr>
        <w:t xml:space="preserve"> </w:t>
      </w:r>
      <w:r w:rsidRPr="00996FE6">
        <w:rPr>
          <w:bCs/>
          <w:szCs w:val="22"/>
        </w:rPr>
        <w:t>su</w:t>
      </w:r>
      <w:r w:rsidRPr="00996FE6">
        <w:rPr>
          <w:bCs/>
          <w:szCs w:val="22"/>
          <w:lang w:val="sr-Latn-CS"/>
        </w:rPr>
        <w:t xml:space="preserve"> </w:t>
      </w:r>
      <w:r w:rsidRPr="00996FE6">
        <w:rPr>
          <w:bCs/>
          <w:szCs w:val="22"/>
        </w:rPr>
        <w:t>posebno</w:t>
      </w:r>
      <w:r w:rsidRPr="00996FE6">
        <w:rPr>
          <w:bCs/>
          <w:szCs w:val="22"/>
          <w:lang w:val="sr-Latn-CS"/>
        </w:rPr>
        <w:t xml:space="preserve"> </w:t>
      </w:r>
      <w:r w:rsidRPr="00996FE6">
        <w:rPr>
          <w:bCs/>
          <w:szCs w:val="22"/>
        </w:rPr>
        <w:t>os</w:t>
      </w:r>
      <w:r w:rsidR="006A36E2" w:rsidRPr="00996FE6">
        <w:rPr>
          <w:bCs/>
          <w:szCs w:val="22"/>
        </w:rPr>
        <w:t>j</w:t>
      </w:r>
      <w:r w:rsidRPr="00996FE6">
        <w:rPr>
          <w:bCs/>
          <w:szCs w:val="22"/>
        </w:rPr>
        <w:t>etljiviji</w:t>
      </w:r>
      <w:r w:rsidRPr="00996FE6">
        <w:rPr>
          <w:bCs/>
          <w:szCs w:val="22"/>
          <w:lang w:val="sr-Latn-CS"/>
        </w:rPr>
        <w:t xml:space="preserve"> </w:t>
      </w:r>
      <w:proofErr w:type="gramStart"/>
      <w:r w:rsidRPr="00996FE6">
        <w:rPr>
          <w:bCs/>
          <w:szCs w:val="22"/>
        </w:rPr>
        <w:t>na</w:t>
      </w:r>
      <w:proofErr w:type="gramEnd"/>
      <w:r w:rsidRPr="00996FE6">
        <w:rPr>
          <w:bCs/>
          <w:szCs w:val="22"/>
          <w:lang w:val="sr-Latn-CS"/>
        </w:rPr>
        <w:t xml:space="preserve"> </w:t>
      </w:r>
      <w:r w:rsidRPr="00996FE6">
        <w:rPr>
          <w:bCs/>
          <w:szCs w:val="22"/>
        </w:rPr>
        <w:t>o</w:t>
      </w:r>
      <w:r w:rsidRPr="00996FE6">
        <w:rPr>
          <w:bCs/>
          <w:szCs w:val="22"/>
          <w:lang w:val="sr-Latn-CS"/>
        </w:rPr>
        <w:t>š</w:t>
      </w:r>
      <w:r w:rsidRPr="00996FE6">
        <w:rPr>
          <w:bCs/>
          <w:szCs w:val="22"/>
        </w:rPr>
        <w:t>te</w:t>
      </w:r>
      <w:r w:rsidRPr="00996FE6">
        <w:rPr>
          <w:bCs/>
          <w:szCs w:val="22"/>
          <w:lang w:val="sr-Latn-CS"/>
        </w:rPr>
        <w:t>ć</w:t>
      </w:r>
      <w:r w:rsidRPr="00996FE6">
        <w:rPr>
          <w:bCs/>
          <w:szCs w:val="22"/>
        </w:rPr>
        <w:t>enje</w:t>
      </w:r>
      <w:r w:rsidRPr="00996FE6">
        <w:rPr>
          <w:bCs/>
          <w:szCs w:val="22"/>
          <w:lang w:val="sr-Latn-CS"/>
        </w:rPr>
        <w:t xml:space="preserve"> </w:t>
      </w:r>
      <w:r w:rsidRPr="00996FE6">
        <w:rPr>
          <w:bCs/>
          <w:szCs w:val="22"/>
        </w:rPr>
        <w:t>sluha</w:t>
      </w:r>
      <w:r w:rsidRPr="00996FE6">
        <w:rPr>
          <w:bCs/>
          <w:szCs w:val="22"/>
          <w:lang w:val="sr-Latn-CS"/>
        </w:rPr>
        <w:t xml:space="preserve">. </w:t>
      </w:r>
      <w:r w:rsidRPr="00996FE6">
        <w:rPr>
          <w:bCs/>
          <w:szCs w:val="22"/>
        </w:rPr>
        <w:t>Pra</w:t>
      </w:r>
      <w:r w:rsidRPr="00996FE6">
        <w:rPr>
          <w:bCs/>
          <w:szCs w:val="22"/>
          <w:lang w:val="sr-Latn-CS"/>
        </w:rPr>
        <w:t>ć</w:t>
      </w:r>
      <w:r w:rsidRPr="00996FE6">
        <w:rPr>
          <w:bCs/>
          <w:szCs w:val="22"/>
        </w:rPr>
        <w:t>enje</w:t>
      </w:r>
      <w:r w:rsidRPr="00996FE6">
        <w:rPr>
          <w:bCs/>
          <w:szCs w:val="22"/>
          <w:lang w:val="sr-Latn-CS"/>
        </w:rPr>
        <w:t xml:space="preserve"> </w:t>
      </w:r>
      <w:r w:rsidRPr="00996FE6">
        <w:rPr>
          <w:bCs/>
          <w:szCs w:val="22"/>
        </w:rPr>
        <w:t>vestibularne</w:t>
      </w:r>
      <w:r w:rsidRPr="00996FE6">
        <w:rPr>
          <w:bCs/>
          <w:szCs w:val="22"/>
          <w:lang w:val="sr-Latn-CS"/>
        </w:rPr>
        <w:t xml:space="preserve"> </w:t>
      </w:r>
      <w:r w:rsidRPr="00996FE6">
        <w:rPr>
          <w:bCs/>
          <w:szCs w:val="22"/>
        </w:rPr>
        <w:t>i</w:t>
      </w:r>
      <w:r w:rsidRPr="00996FE6">
        <w:rPr>
          <w:bCs/>
          <w:szCs w:val="22"/>
          <w:lang w:val="sr-Latn-CS"/>
        </w:rPr>
        <w:t xml:space="preserve"> </w:t>
      </w:r>
      <w:r w:rsidRPr="00996FE6">
        <w:rPr>
          <w:bCs/>
          <w:szCs w:val="22"/>
        </w:rPr>
        <w:t>slu</w:t>
      </w:r>
      <w:r w:rsidRPr="00996FE6">
        <w:rPr>
          <w:bCs/>
          <w:szCs w:val="22"/>
          <w:lang w:val="sr-Latn-CS"/>
        </w:rPr>
        <w:t>š</w:t>
      </w:r>
      <w:r w:rsidRPr="00996FE6">
        <w:rPr>
          <w:bCs/>
          <w:szCs w:val="22"/>
        </w:rPr>
        <w:t>ne</w:t>
      </w:r>
      <w:r w:rsidRPr="00996FE6">
        <w:rPr>
          <w:bCs/>
          <w:szCs w:val="22"/>
          <w:lang w:val="sr-Latn-CS"/>
        </w:rPr>
        <w:t xml:space="preserve"> </w:t>
      </w:r>
      <w:r w:rsidRPr="00996FE6">
        <w:rPr>
          <w:bCs/>
          <w:szCs w:val="22"/>
        </w:rPr>
        <w:t>funkcije</w:t>
      </w:r>
      <w:r w:rsidRPr="00996FE6">
        <w:rPr>
          <w:bCs/>
          <w:szCs w:val="22"/>
          <w:lang w:val="sr-Latn-CS"/>
        </w:rPr>
        <w:t xml:space="preserve"> </w:t>
      </w:r>
      <w:r w:rsidRPr="00996FE6">
        <w:rPr>
          <w:bCs/>
          <w:szCs w:val="22"/>
        </w:rPr>
        <w:t>kod</w:t>
      </w:r>
      <w:r w:rsidRPr="00996FE6">
        <w:rPr>
          <w:bCs/>
          <w:szCs w:val="22"/>
          <w:lang w:val="sr-Latn-CS"/>
        </w:rPr>
        <w:t xml:space="preserve"> </w:t>
      </w:r>
      <w:r w:rsidRPr="00996FE6">
        <w:rPr>
          <w:bCs/>
          <w:szCs w:val="22"/>
        </w:rPr>
        <w:t>starijih</w:t>
      </w:r>
      <w:r w:rsidRPr="00996FE6">
        <w:rPr>
          <w:bCs/>
          <w:szCs w:val="22"/>
          <w:lang w:val="sr-Latn-CS"/>
        </w:rPr>
        <w:t xml:space="preserve"> </w:t>
      </w:r>
      <w:r w:rsidRPr="00996FE6">
        <w:rPr>
          <w:bCs/>
          <w:szCs w:val="22"/>
        </w:rPr>
        <w:t>pacijenata</w:t>
      </w:r>
      <w:r w:rsidRPr="00996FE6">
        <w:rPr>
          <w:bCs/>
          <w:szCs w:val="22"/>
          <w:lang w:val="sr-Latn-CS"/>
        </w:rPr>
        <w:t xml:space="preserve"> </w:t>
      </w:r>
      <w:r w:rsidRPr="00996FE6">
        <w:rPr>
          <w:bCs/>
          <w:szCs w:val="22"/>
        </w:rPr>
        <w:t>neophodno</w:t>
      </w:r>
      <w:r w:rsidRPr="00996FE6">
        <w:rPr>
          <w:bCs/>
          <w:szCs w:val="22"/>
          <w:lang w:val="sr-Latn-CS"/>
        </w:rPr>
        <w:t xml:space="preserve"> </w:t>
      </w:r>
      <w:r w:rsidRPr="00996FE6">
        <w:rPr>
          <w:bCs/>
          <w:szCs w:val="22"/>
        </w:rPr>
        <w:t>je</w:t>
      </w:r>
      <w:r w:rsidRPr="00996FE6">
        <w:rPr>
          <w:bCs/>
          <w:szCs w:val="22"/>
          <w:lang w:val="sr-Latn-CS"/>
        </w:rPr>
        <w:t xml:space="preserve"> </w:t>
      </w:r>
      <w:r w:rsidRPr="00996FE6">
        <w:rPr>
          <w:bCs/>
          <w:szCs w:val="22"/>
        </w:rPr>
        <w:t>tokom</w:t>
      </w:r>
      <w:r w:rsidRPr="00996FE6">
        <w:rPr>
          <w:bCs/>
          <w:szCs w:val="22"/>
          <w:lang w:val="sr-Latn-CS"/>
        </w:rPr>
        <w:t xml:space="preserve"> </w:t>
      </w:r>
      <w:r w:rsidRPr="00996FE6">
        <w:rPr>
          <w:bCs/>
          <w:szCs w:val="22"/>
        </w:rPr>
        <w:t>i</w:t>
      </w:r>
      <w:r w:rsidRPr="00996FE6">
        <w:rPr>
          <w:bCs/>
          <w:szCs w:val="22"/>
          <w:lang w:val="sr-Latn-CS"/>
        </w:rPr>
        <w:t xml:space="preserve"> </w:t>
      </w:r>
      <w:r w:rsidRPr="00996FE6">
        <w:rPr>
          <w:bCs/>
          <w:szCs w:val="22"/>
        </w:rPr>
        <w:t>nakon</w:t>
      </w:r>
      <w:r w:rsidRPr="00996FE6">
        <w:rPr>
          <w:bCs/>
          <w:szCs w:val="22"/>
          <w:lang w:val="sr-Latn-CS"/>
        </w:rPr>
        <w:t xml:space="preserve"> </w:t>
      </w:r>
      <w:r w:rsidRPr="00996FE6">
        <w:rPr>
          <w:bCs/>
          <w:szCs w:val="22"/>
        </w:rPr>
        <w:t>terapije</w:t>
      </w:r>
      <w:r w:rsidRPr="00996FE6">
        <w:rPr>
          <w:bCs/>
          <w:szCs w:val="22"/>
          <w:lang w:val="sr-Latn-CS"/>
        </w:rPr>
        <w:t xml:space="preserve">. </w:t>
      </w:r>
      <w:r w:rsidRPr="00996FE6">
        <w:rPr>
          <w:bCs/>
          <w:szCs w:val="22"/>
        </w:rPr>
        <w:t>Treba</w:t>
      </w:r>
      <w:r w:rsidRPr="00996FE6">
        <w:rPr>
          <w:bCs/>
          <w:szCs w:val="22"/>
          <w:lang w:val="sr-Latn-CS"/>
        </w:rPr>
        <w:t xml:space="preserve"> </w:t>
      </w:r>
      <w:r w:rsidRPr="00996FE6">
        <w:rPr>
          <w:bCs/>
          <w:szCs w:val="22"/>
        </w:rPr>
        <w:t>izb</w:t>
      </w:r>
      <w:r w:rsidR="00EC2C74" w:rsidRPr="00996FE6">
        <w:rPr>
          <w:bCs/>
          <w:szCs w:val="22"/>
        </w:rPr>
        <w:t>j</w:t>
      </w:r>
      <w:r w:rsidRPr="00996FE6">
        <w:rPr>
          <w:bCs/>
          <w:szCs w:val="22"/>
        </w:rPr>
        <w:t>egavati</w:t>
      </w:r>
      <w:r w:rsidRPr="00996FE6">
        <w:rPr>
          <w:bCs/>
          <w:szCs w:val="22"/>
          <w:lang w:val="sr-Latn-CS"/>
        </w:rPr>
        <w:t xml:space="preserve"> </w:t>
      </w:r>
      <w:r w:rsidRPr="00996FE6">
        <w:rPr>
          <w:bCs/>
          <w:szCs w:val="22"/>
        </w:rPr>
        <w:t>istovremenu</w:t>
      </w:r>
      <w:r w:rsidRPr="00996FE6">
        <w:rPr>
          <w:bCs/>
          <w:szCs w:val="22"/>
          <w:lang w:val="sr-Latn-CS"/>
        </w:rPr>
        <w:t xml:space="preserve"> </w:t>
      </w:r>
      <w:proofErr w:type="gramStart"/>
      <w:r w:rsidRPr="00996FE6">
        <w:rPr>
          <w:bCs/>
          <w:szCs w:val="22"/>
        </w:rPr>
        <w:t>ili</w:t>
      </w:r>
      <w:proofErr w:type="gramEnd"/>
      <w:r w:rsidRPr="00996FE6">
        <w:rPr>
          <w:bCs/>
          <w:szCs w:val="22"/>
          <w:lang w:val="sr-Latn-CS"/>
        </w:rPr>
        <w:t xml:space="preserve"> </w:t>
      </w:r>
      <w:r w:rsidRPr="00996FE6">
        <w:rPr>
          <w:bCs/>
          <w:szCs w:val="22"/>
        </w:rPr>
        <w:t>uzastopnu</w:t>
      </w:r>
      <w:r w:rsidRPr="00996FE6">
        <w:rPr>
          <w:bCs/>
          <w:szCs w:val="22"/>
          <w:lang w:val="sr-Latn-CS"/>
        </w:rPr>
        <w:t xml:space="preserve"> </w:t>
      </w:r>
      <w:r w:rsidRPr="00996FE6">
        <w:rPr>
          <w:bCs/>
          <w:szCs w:val="22"/>
        </w:rPr>
        <w:t>prim</w:t>
      </w:r>
      <w:r w:rsidR="006A36E2" w:rsidRPr="00996FE6">
        <w:rPr>
          <w:bCs/>
          <w:szCs w:val="22"/>
        </w:rPr>
        <w:t>j</w:t>
      </w:r>
      <w:r w:rsidRPr="00996FE6">
        <w:rPr>
          <w:bCs/>
          <w:szCs w:val="22"/>
        </w:rPr>
        <w:t>enu</w:t>
      </w:r>
      <w:r w:rsidRPr="00996FE6">
        <w:rPr>
          <w:bCs/>
          <w:szCs w:val="22"/>
          <w:lang w:val="sr-Latn-CS"/>
        </w:rPr>
        <w:t xml:space="preserve"> </w:t>
      </w:r>
      <w:r w:rsidRPr="00996FE6">
        <w:rPr>
          <w:bCs/>
          <w:szCs w:val="22"/>
        </w:rPr>
        <w:t>drugih</w:t>
      </w:r>
      <w:r w:rsidRPr="00996FE6">
        <w:rPr>
          <w:bCs/>
          <w:szCs w:val="22"/>
          <w:lang w:val="sr-Latn-CS"/>
        </w:rPr>
        <w:t xml:space="preserve"> </w:t>
      </w:r>
      <w:r w:rsidRPr="00996FE6">
        <w:rPr>
          <w:bCs/>
          <w:szCs w:val="22"/>
        </w:rPr>
        <w:t>ototoksi</w:t>
      </w:r>
      <w:r w:rsidRPr="00996FE6">
        <w:rPr>
          <w:bCs/>
          <w:szCs w:val="22"/>
          <w:lang w:val="sr-Latn-CS"/>
        </w:rPr>
        <w:t>č</w:t>
      </w:r>
      <w:r w:rsidRPr="00996FE6">
        <w:rPr>
          <w:bCs/>
          <w:szCs w:val="22"/>
        </w:rPr>
        <w:t>nih</w:t>
      </w:r>
      <w:r w:rsidRPr="00996FE6">
        <w:rPr>
          <w:bCs/>
          <w:szCs w:val="22"/>
          <w:lang w:val="sr-Latn-CS"/>
        </w:rPr>
        <w:t xml:space="preserve"> </w:t>
      </w:r>
      <w:r w:rsidRPr="00996FE6">
        <w:rPr>
          <w:bCs/>
          <w:szCs w:val="22"/>
        </w:rPr>
        <w:t>l</w:t>
      </w:r>
      <w:r w:rsidR="006A36E2" w:rsidRPr="00996FE6">
        <w:rPr>
          <w:bCs/>
          <w:szCs w:val="22"/>
        </w:rPr>
        <w:t>j</w:t>
      </w:r>
      <w:r w:rsidRPr="00996FE6">
        <w:rPr>
          <w:bCs/>
          <w:szCs w:val="22"/>
        </w:rPr>
        <w:t>ekova</w:t>
      </w:r>
      <w:r w:rsidRPr="00996FE6">
        <w:rPr>
          <w:bCs/>
          <w:szCs w:val="22"/>
          <w:lang w:val="sr-Latn-CS"/>
        </w:rPr>
        <w:t>.</w:t>
      </w:r>
    </w:p>
    <w:p w14:paraId="6A993FC5" w14:textId="77777777" w:rsidR="00B97F2C" w:rsidRPr="00996FE6" w:rsidRDefault="00B97F2C" w:rsidP="00E61461">
      <w:pPr>
        <w:rPr>
          <w:szCs w:val="22"/>
          <w:lang w:val="sr-Latn-CS"/>
        </w:rPr>
      </w:pPr>
    </w:p>
    <w:p w14:paraId="143065A0" w14:textId="77777777" w:rsidR="00B97F2C" w:rsidRPr="00996FE6" w:rsidRDefault="00B97F2C" w:rsidP="00E61461">
      <w:pPr>
        <w:rPr>
          <w:szCs w:val="22"/>
          <w:u w:val="single"/>
          <w:lang w:val="sr-Latn-CS"/>
        </w:rPr>
      </w:pPr>
      <w:r w:rsidRPr="00996FE6">
        <w:rPr>
          <w:szCs w:val="22"/>
          <w:u w:val="single"/>
        </w:rPr>
        <w:t>Reakcije</w:t>
      </w:r>
      <w:r w:rsidRPr="00996FE6">
        <w:rPr>
          <w:szCs w:val="22"/>
          <w:u w:val="single"/>
          <w:lang w:val="sr-Latn-CS"/>
        </w:rPr>
        <w:t xml:space="preserve"> </w:t>
      </w:r>
      <w:r w:rsidRPr="00996FE6">
        <w:rPr>
          <w:szCs w:val="22"/>
          <w:u w:val="single"/>
        </w:rPr>
        <w:t>povezane</w:t>
      </w:r>
      <w:r w:rsidRPr="00996FE6">
        <w:rPr>
          <w:szCs w:val="22"/>
          <w:u w:val="single"/>
          <w:lang w:val="sr-Latn-CS"/>
        </w:rPr>
        <w:t xml:space="preserve"> </w:t>
      </w:r>
      <w:proofErr w:type="gramStart"/>
      <w:r w:rsidRPr="00996FE6">
        <w:rPr>
          <w:szCs w:val="22"/>
          <w:u w:val="single"/>
        </w:rPr>
        <w:t>sa</w:t>
      </w:r>
      <w:proofErr w:type="gramEnd"/>
      <w:r w:rsidRPr="00996FE6">
        <w:rPr>
          <w:szCs w:val="22"/>
          <w:u w:val="single"/>
          <w:lang w:val="sr-Latn-CS"/>
        </w:rPr>
        <w:t xml:space="preserve"> </w:t>
      </w:r>
      <w:r w:rsidRPr="00996FE6">
        <w:rPr>
          <w:szCs w:val="22"/>
          <w:u w:val="single"/>
        </w:rPr>
        <w:t>intravenskom</w:t>
      </w:r>
      <w:r w:rsidRPr="00996FE6">
        <w:rPr>
          <w:szCs w:val="22"/>
          <w:u w:val="single"/>
          <w:lang w:val="sr-Latn-CS"/>
        </w:rPr>
        <w:t xml:space="preserve"> </w:t>
      </w:r>
      <w:r w:rsidRPr="00996FE6">
        <w:rPr>
          <w:szCs w:val="22"/>
          <w:u w:val="single"/>
        </w:rPr>
        <w:t>infuzijom</w:t>
      </w:r>
    </w:p>
    <w:p w14:paraId="599DE124" w14:textId="17F6F898" w:rsidR="00B97F2C" w:rsidRPr="00986F86" w:rsidRDefault="00B97F2C" w:rsidP="00E61461">
      <w:pPr>
        <w:rPr>
          <w:szCs w:val="22"/>
          <w:lang w:val="sr-Latn-CS"/>
        </w:rPr>
      </w:pPr>
      <w:r w:rsidRPr="00996FE6">
        <w:rPr>
          <w:szCs w:val="22"/>
        </w:rPr>
        <w:t>Brza</w:t>
      </w:r>
      <w:r w:rsidRPr="00996FE6">
        <w:rPr>
          <w:szCs w:val="22"/>
          <w:lang w:val="sr-Latn-CS"/>
        </w:rPr>
        <w:t xml:space="preserve"> </w:t>
      </w:r>
      <w:r w:rsidRPr="00996FE6">
        <w:rPr>
          <w:szCs w:val="22"/>
        </w:rPr>
        <w:t>bolus</w:t>
      </w:r>
      <w:r w:rsidRPr="00996FE6">
        <w:rPr>
          <w:szCs w:val="22"/>
          <w:lang w:val="sr-Latn-CS"/>
        </w:rPr>
        <w:t xml:space="preserve"> </w:t>
      </w:r>
      <w:r w:rsidRPr="00996FE6">
        <w:rPr>
          <w:szCs w:val="22"/>
        </w:rPr>
        <w:t>injekcija</w:t>
      </w:r>
      <w:r w:rsidRPr="00996FE6">
        <w:rPr>
          <w:szCs w:val="22"/>
          <w:lang w:val="sr-Latn-CS"/>
        </w:rPr>
        <w:t xml:space="preserve"> (</w:t>
      </w:r>
      <w:r w:rsidRPr="00996FE6">
        <w:rPr>
          <w:szCs w:val="22"/>
        </w:rPr>
        <w:t>tokom</w:t>
      </w:r>
      <w:r w:rsidRPr="00996FE6">
        <w:rPr>
          <w:szCs w:val="22"/>
          <w:lang w:val="sr-Latn-CS"/>
        </w:rPr>
        <w:t xml:space="preserve"> </w:t>
      </w:r>
      <w:r w:rsidRPr="00996FE6">
        <w:rPr>
          <w:szCs w:val="22"/>
        </w:rPr>
        <w:t>nekoliko</w:t>
      </w:r>
      <w:r w:rsidRPr="00996FE6">
        <w:rPr>
          <w:szCs w:val="22"/>
          <w:lang w:val="sr-Latn-CS"/>
        </w:rPr>
        <w:t xml:space="preserve"> </w:t>
      </w:r>
      <w:r w:rsidRPr="00996FE6">
        <w:rPr>
          <w:szCs w:val="22"/>
        </w:rPr>
        <w:t>minuta</w:t>
      </w:r>
      <w:r w:rsidRPr="00996FE6">
        <w:rPr>
          <w:szCs w:val="22"/>
          <w:lang w:val="sr-Latn-CS"/>
        </w:rPr>
        <w:t xml:space="preserve">) </w:t>
      </w:r>
      <w:r w:rsidRPr="00996FE6">
        <w:rPr>
          <w:szCs w:val="22"/>
        </w:rPr>
        <w:t>mo</w:t>
      </w:r>
      <w:r w:rsidRPr="00996FE6">
        <w:rPr>
          <w:szCs w:val="22"/>
          <w:lang w:val="sr-Latn-CS"/>
        </w:rPr>
        <w:t>ž</w:t>
      </w:r>
      <w:r w:rsidRPr="00996FE6">
        <w:rPr>
          <w:szCs w:val="22"/>
        </w:rPr>
        <w:t>e</w:t>
      </w:r>
      <w:r w:rsidRPr="00996FE6">
        <w:rPr>
          <w:szCs w:val="22"/>
          <w:lang w:val="sr-Latn-CS"/>
        </w:rPr>
        <w:t xml:space="preserve"> </w:t>
      </w:r>
      <w:r w:rsidRPr="00996FE6">
        <w:rPr>
          <w:szCs w:val="22"/>
        </w:rPr>
        <w:t>izazvati</w:t>
      </w:r>
      <w:r w:rsidRPr="00996FE6">
        <w:rPr>
          <w:szCs w:val="22"/>
          <w:lang w:val="sr-Latn-CS"/>
        </w:rPr>
        <w:t xml:space="preserve"> </w:t>
      </w:r>
      <w:r w:rsidRPr="00996FE6">
        <w:rPr>
          <w:szCs w:val="22"/>
        </w:rPr>
        <w:t>prekom</w:t>
      </w:r>
      <w:r w:rsidR="006A36E2" w:rsidRPr="00996FE6">
        <w:rPr>
          <w:szCs w:val="22"/>
        </w:rPr>
        <w:t>j</w:t>
      </w:r>
      <w:r w:rsidRPr="00996FE6">
        <w:rPr>
          <w:szCs w:val="22"/>
        </w:rPr>
        <w:t>ernu</w:t>
      </w:r>
      <w:r w:rsidRPr="00996FE6">
        <w:rPr>
          <w:szCs w:val="22"/>
          <w:lang w:val="sr-Latn-CS"/>
        </w:rPr>
        <w:t xml:space="preserve"> </w:t>
      </w:r>
      <w:r w:rsidRPr="00996FE6">
        <w:rPr>
          <w:szCs w:val="22"/>
        </w:rPr>
        <w:t>hipotenziju</w:t>
      </w:r>
      <w:r w:rsidRPr="00996FE6">
        <w:rPr>
          <w:szCs w:val="22"/>
          <w:lang w:val="sr-Latn-CS"/>
        </w:rPr>
        <w:t xml:space="preserve"> (</w:t>
      </w:r>
      <w:r w:rsidRPr="00996FE6">
        <w:rPr>
          <w:szCs w:val="22"/>
        </w:rPr>
        <w:t>uklju</w:t>
      </w:r>
      <w:r w:rsidRPr="00996FE6">
        <w:rPr>
          <w:szCs w:val="22"/>
          <w:lang w:val="sr-Latn-CS"/>
        </w:rPr>
        <w:t>č</w:t>
      </w:r>
      <w:r w:rsidRPr="00996FE6">
        <w:rPr>
          <w:szCs w:val="22"/>
        </w:rPr>
        <w:t>uju</w:t>
      </w:r>
      <w:r w:rsidRPr="00996FE6">
        <w:rPr>
          <w:szCs w:val="22"/>
          <w:lang w:val="sr-Latn-CS"/>
        </w:rPr>
        <w:t>ć</w:t>
      </w:r>
      <w:r w:rsidRPr="00996FE6">
        <w:rPr>
          <w:szCs w:val="22"/>
        </w:rPr>
        <w:t>i</w:t>
      </w:r>
      <w:r w:rsidRPr="00996FE6">
        <w:rPr>
          <w:szCs w:val="22"/>
          <w:lang w:val="sr-Latn-CS"/>
        </w:rPr>
        <w:t xml:space="preserve"> š</w:t>
      </w:r>
      <w:r w:rsidRPr="00996FE6">
        <w:rPr>
          <w:szCs w:val="22"/>
        </w:rPr>
        <w:t>ok</w:t>
      </w:r>
      <w:r w:rsidRPr="00996FE6">
        <w:rPr>
          <w:szCs w:val="22"/>
          <w:lang w:val="sr-Latn-CS"/>
        </w:rPr>
        <w:t xml:space="preserve"> </w:t>
      </w:r>
      <w:r w:rsidRPr="00996FE6">
        <w:rPr>
          <w:szCs w:val="22"/>
        </w:rPr>
        <w:t>i</w:t>
      </w:r>
      <w:r w:rsidRPr="00996FE6">
        <w:rPr>
          <w:szCs w:val="22"/>
          <w:lang w:val="sr-Latn-CS"/>
        </w:rPr>
        <w:t xml:space="preserve"> </w:t>
      </w:r>
      <w:r w:rsidRPr="00996FE6">
        <w:rPr>
          <w:szCs w:val="22"/>
        </w:rPr>
        <w:t>r</w:t>
      </w:r>
      <w:r w:rsidR="006A36E2" w:rsidRPr="00996FE6">
        <w:rPr>
          <w:szCs w:val="22"/>
        </w:rPr>
        <w:t>ij</w:t>
      </w:r>
      <w:r w:rsidRPr="00996FE6">
        <w:rPr>
          <w:szCs w:val="22"/>
        </w:rPr>
        <w:t>etko</w:t>
      </w:r>
      <w:r w:rsidRPr="00996FE6">
        <w:rPr>
          <w:szCs w:val="22"/>
          <w:lang w:val="sr-Latn-CS"/>
        </w:rPr>
        <w:t xml:space="preserve"> </w:t>
      </w:r>
      <w:r w:rsidRPr="00996FE6">
        <w:rPr>
          <w:szCs w:val="22"/>
        </w:rPr>
        <w:t>sr</w:t>
      </w:r>
      <w:r w:rsidRPr="00996FE6">
        <w:rPr>
          <w:szCs w:val="22"/>
          <w:lang w:val="sr-Latn-CS"/>
        </w:rPr>
        <w:t>č</w:t>
      </w:r>
      <w:r w:rsidRPr="00996FE6">
        <w:rPr>
          <w:szCs w:val="22"/>
        </w:rPr>
        <w:t>ani</w:t>
      </w:r>
      <w:r w:rsidRPr="00996FE6">
        <w:rPr>
          <w:szCs w:val="22"/>
          <w:lang w:val="sr-Latn-CS"/>
        </w:rPr>
        <w:t xml:space="preserve"> </w:t>
      </w:r>
      <w:r w:rsidRPr="00996FE6">
        <w:rPr>
          <w:szCs w:val="22"/>
        </w:rPr>
        <w:t>zastoj</w:t>
      </w:r>
      <w:r w:rsidRPr="00996FE6">
        <w:rPr>
          <w:szCs w:val="22"/>
          <w:lang w:val="sr-Latn-CS"/>
        </w:rPr>
        <w:t xml:space="preserve">), </w:t>
      </w:r>
      <w:r w:rsidRPr="00996FE6">
        <w:rPr>
          <w:szCs w:val="22"/>
        </w:rPr>
        <w:t>odgovora</w:t>
      </w:r>
      <w:r w:rsidRPr="00996FE6">
        <w:rPr>
          <w:szCs w:val="22"/>
          <w:lang w:val="sr-Latn-CS"/>
        </w:rPr>
        <w:t xml:space="preserve"> </w:t>
      </w:r>
      <w:r w:rsidRPr="00996FE6">
        <w:rPr>
          <w:szCs w:val="22"/>
        </w:rPr>
        <w:t>sli</w:t>
      </w:r>
      <w:r w:rsidRPr="00996FE6">
        <w:rPr>
          <w:szCs w:val="22"/>
          <w:lang w:val="sr-Latn-CS"/>
        </w:rPr>
        <w:t>č</w:t>
      </w:r>
      <w:r w:rsidRPr="00996FE6">
        <w:rPr>
          <w:szCs w:val="22"/>
        </w:rPr>
        <w:t>nog</w:t>
      </w:r>
      <w:r w:rsidRPr="00996FE6">
        <w:rPr>
          <w:szCs w:val="22"/>
          <w:lang w:val="sr-Latn-CS"/>
        </w:rPr>
        <w:t xml:space="preserve"> </w:t>
      </w:r>
      <w:r w:rsidRPr="00996FE6">
        <w:rPr>
          <w:szCs w:val="22"/>
        </w:rPr>
        <w:t>onom</w:t>
      </w:r>
      <w:r w:rsidRPr="00996FE6">
        <w:rPr>
          <w:szCs w:val="22"/>
          <w:lang w:val="sr-Latn-CS"/>
        </w:rPr>
        <w:t xml:space="preserve"> </w:t>
      </w:r>
      <w:r w:rsidRPr="00996FE6">
        <w:rPr>
          <w:szCs w:val="22"/>
        </w:rPr>
        <w:t>koji</w:t>
      </w:r>
      <w:r w:rsidRPr="00996FE6">
        <w:rPr>
          <w:szCs w:val="22"/>
          <w:lang w:val="sr-Latn-CS"/>
        </w:rPr>
        <w:t xml:space="preserve"> </w:t>
      </w:r>
      <w:r w:rsidRPr="00996FE6">
        <w:rPr>
          <w:szCs w:val="22"/>
        </w:rPr>
        <w:t>izaziva</w:t>
      </w:r>
      <w:r w:rsidRPr="00996FE6">
        <w:rPr>
          <w:szCs w:val="22"/>
          <w:lang w:val="sr-Latn-CS"/>
        </w:rPr>
        <w:t xml:space="preserve"> </w:t>
      </w:r>
      <w:r w:rsidRPr="00996FE6">
        <w:rPr>
          <w:szCs w:val="22"/>
        </w:rPr>
        <w:t>histamin</w:t>
      </w:r>
      <w:r w:rsidRPr="00996FE6">
        <w:rPr>
          <w:szCs w:val="22"/>
          <w:lang w:val="sr-Latn-CS"/>
        </w:rPr>
        <w:t xml:space="preserve"> </w:t>
      </w:r>
      <w:r w:rsidRPr="00996FE6">
        <w:rPr>
          <w:szCs w:val="22"/>
        </w:rPr>
        <w:t>i</w:t>
      </w:r>
      <w:r w:rsidRPr="00996FE6">
        <w:rPr>
          <w:szCs w:val="22"/>
          <w:lang w:val="sr-Latn-CS"/>
        </w:rPr>
        <w:t xml:space="preserve"> </w:t>
      </w:r>
      <w:r w:rsidRPr="00996FE6">
        <w:rPr>
          <w:szCs w:val="22"/>
        </w:rPr>
        <w:t>makulopapulozni</w:t>
      </w:r>
      <w:r w:rsidRPr="00996FE6">
        <w:rPr>
          <w:szCs w:val="22"/>
          <w:lang w:val="sr-Latn-CS"/>
        </w:rPr>
        <w:t xml:space="preserve"> </w:t>
      </w:r>
      <w:r w:rsidRPr="00996FE6">
        <w:rPr>
          <w:szCs w:val="22"/>
        </w:rPr>
        <w:t>ili</w:t>
      </w:r>
      <w:r w:rsidRPr="00996FE6">
        <w:rPr>
          <w:szCs w:val="22"/>
          <w:lang w:val="sr-Latn-CS"/>
        </w:rPr>
        <w:t xml:space="preserve"> </w:t>
      </w:r>
      <w:r w:rsidRPr="00996FE6">
        <w:rPr>
          <w:szCs w:val="22"/>
        </w:rPr>
        <w:t>eritematozni</w:t>
      </w:r>
      <w:r w:rsidRPr="00996FE6">
        <w:rPr>
          <w:szCs w:val="22"/>
          <w:lang w:val="sr-Latn-CS"/>
        </w:rPr>
        <w:t xml:space="preserve"> </w:t>
      </w:r>
      <w:proofErr w:type="gramStart"/>
      <w:r w:rsidRPr="00996FE6">
        <w:rPr>
          <w:szCs w:val="22"/>
        </w:rPr>
        <w:t>osip</w:t>
      </w:r>
      <w:r w:rsidRPr="00996FE6">
        <w:rPr>
          <w:szCs w:val="22"/>
          <w:lang w:val="sr-Latn-CS"/>
        </w:rPr>
        <w:t xml:space="preserve">  </w:t>
      </w:r>
      <w:r w:rsidRPr="00996FE6">
        <w:rPr>
          <w:szCs w:val="22"/>
          <w:lang w:val="sr-Latn-RS"/>
        </w:rPr>
        <w:t>(</w:t>
      </w:r>
      <w:proofErr w:type="gramEnd"/>
      <w:r w:rsidRPr="00996FE6">
        <w:rPr>
          <w:szCs w:val="22"/>
          <w:lang w:val="sr-Latn-CS"/>
        </w:rPr>
        <w:t>„</w:t>
      </w:r>
      <w:r w:rsidRPr="00996FE6">
        <w:rPr>
          <w:szCs w:val="22"/>
          <w:lang w:val="sv-SE"/>
        </w:rPr>
        <w:t>red</w:t>
      </w:r>
      <w:r w:rsidRPr="00996FE6">
        <w:rPr>
          <w:szCs w:val="22"/>
          <w:lang w:val="sr-Latn-CS"/>
        </w:rPr>
        <w:t xml:space="preserve"> </w:t>
      </w:r>
      <w:r w:rsidRPr="00996FE6">
        <w:rPr>
          <w:szCs w:val="22"/>
          <w:lang w:val="sv-SE"/>
        </w:rPr>
        <w:t>man</w:t>
      </w:r>
      <w:r w:rsidRPr="00996FE6">
        <w:rPr>
          <w:szCs w:val="22"/>
          <w:lang w:val="sr-Latn-CS"/>
        </w:rPr>
        <w:t xml:space="preserve"> </w:t>
      </w:r>
      <w:r w:rsidRPr="00996FE6">
        <w:rPr>
          <w:szCs w:val="22"/>
          <w:lang w:val="sv-SE"/>
        </w:rPr>
        <w:t>syndrome</w:t>
      </w:r>
      <w:r w:rsidRPr="00996FE6">
        <w:rPr>
          <w:szCs w:val="22"/>
          <w:lang w:val="sr-Latn-CS"/>
        </w:rPr>
        <w:t xml:space="preserve">” </w:t>
      </w:r>
      <w:r w:rsidRPr="00996FE6">
        <w:rPr>
          <w:szCs w:val="22"/>
          <w:lang w:val="sv-SE"/>
        </w:rPr>
        <w:t>ili</w:t>
      </w:r>
      <w:r w:rsidRPr="00996FE6">
        <w:rPr>
          <w:szCs w:val="22"/>
          <w:lang w:val="sr-Latn-CS"/>
        </w:rPr>
        <w:t xml:space="preserve"> „</w:t>
      </w:r>
      <w:r w:rsidRPr="00996FE6">
        <w:rPr>
          <w:szCs w:val="22"/>
          <w:lang w:val="sv-SE"/>
        </w:rPr>
        <w:t>red</w:t>
      </w:r>
      <w:r w:rsidRPr="00996FE6">
        <w:rPr>
          <w:szCs w:val="22"/>
          <w:lang w:val="sr-Latn-CS"/>
        </w:rPr>
        <w:t xml:space="preserve"> </w:t>
      </w:r>
      <w:r w:rsidRPr="00996FE6">
        <w:rPr>
          <w:szCs w:val="22"/>
          <w:lang w:val="sv-SE"/>
        </w:rPr>
        <w:t>neck</w:t>
      </w:r>
      <w:r w:rsidRPr="00996FE6">
        <w:rPr>
          <w:szCs w:val="22"/>
          <w:lang w:val="sr-Latn-CS"/>
        </w:rPr>
        <w:t xml:space="preserve"> </w:t>
      </w:r>
      <w:r w:rsidRPr="00996FE6">
        <w:rPr>
          <w:szCs w:val="22"/>
          <w:lang w:val="sv-SE"/>
        </w:rPr>
        <w:t>syndrome</w:t>
      </w:r>
      <w:r w:rsidRPr="00996FE6">
        <w:rPr>
          <w:szCs w:val="22"/>
          <w:lang w:val="sr-Latn-CS"/>
        </w:rPr>
        <w:t xml:space="preserve">”). </w:t>
      </w:r>
      <w:r w:rsidRPr="00996FE6">
        <w:rPr>
          <w:szCs w:val="22"/>
          <w:lang w:val="sv-SE"/>
        </w:rPr>
        <w:t>Vankomicin</w:t>
      </w:r>
      <w:r w:rsidRPr="00996FE6">
        <w:rPr>
          <w:szCs w:val="22"/>
          <w:lang w:val="sr-Latn-CS"/>
        </w:rPr>
        <w:t xml:space="preserve"> </w:t>
      </w:r>
      <w:r w:rsidRPr="00996FE6">
        <w:rPr>
          <w:szCs w:val="22"/>
          <w:lang w:val="sv-SE"/>
        </w:rPr>
        <w:t>treba</w:t>
      </w:r>
      <w:r w:rsidRPr="00996FE6">
        <w:rPr>
          <w:szCs w:val="22"/>
          <w:lang w:val="sr-Latn-CS"/>
        </w:rPr>
        <w:t xml:space="preserve"> </w:t>
      </w:r>
      <w:r w:rsidRPr="00996FE6">
        <w:rPr>
          <w:szCs w:val="22"/>
          <w:lang w:val="sv-SE"/>
        </w:rPr>
        <w:t>prim</w:t>
      </w:r>
      <w:r w:rsidR="006A36E2" w:rsidRPr="00996FE6">
        <w:rPr>
          <w:szCs w:val="22"/>
          <w:lang w:val="sv-SE"/>
        </w:rPr>
        <w:t>j</w:t>
      </w:r>
      <w:r w:rsidRPr="00996FE6">
        <w:rPr>
          <w:szCs w:val="22"/>
          <w:lang w:val="sv-SE"/>
        </w:rPr>
        <w:t>enjivati</w:t>
      </w:r>
      <w:r w:rsidRPr="00996FE6">
        <w:rPr>
          <w:szCs w:val="22"/>
          <w:lang w:val="sr-Latn-CS"/>
        </w:rPr>
        <w:t xml:space="preserve"> </w:t>
      </w:r>
      <w:r w:rsidRPr="00996FE6">
        <w:rPr>
          <w:szCs w:val="22"/>
          <w:lang w:val="sv-SE"/>
        </w:rPr>
        <w:t>kao</w:t>
      </w:r>
      <w:r w:rsidRPr="00996FE6">
        <w:rPr>
          <w:szCs w:val="22"/>
          <w:lang w:val="sr-Latn-CS"/>
        </w:rPr>
        <w:t xml:space="preserve"> </w:t>
      </w:r>
      <w:r w:rsidRPr="00996FE6">
        <w:rPr>
          <w:szCs w:val="22"/>
          <w:lang w:val="sv-SE"/>
        </w:rPr>
        <w:t>sporu</w:t>
      </w:r>
      <w:r w:rsidRPr="00996FE6">
        <w:rPr>
          <w:szCs w:val="22"/>
          <w:lang w:val="sr-Latn-CS"/>
        </w:rPr>
        <w:t xml:space="preserve"> </w:t>
      </w:r>
      <w:r w:rsidRPr="00996FE6">
        <w:rPr>
          <w:szCs w:val="22"/>
          <w:lang w:val="sv-SE"/>
        </w:rPr>
        <w:t>infuziju</w:t>
      </w:r>
      <w:r w:rsidRPr="00996FE6">
        <w:rPr>
          <w:szCs w:val="22"/>
          <w:lang w:val="sr-Latn-CS"/>
        </w:rPr>
        <w:t xml:space="preserve">, </w:t>
      </w:r>
      <w:r w:rsidRPr="00996FE6">
        <w:rPr>
          <w:szCs w:val="22"/>
          <w:lang w:val="sv-SE"/>
        </w:rPr>
        <w:t>u</w:t>
      </w:r>
      <w:r w:rsidRPr="00996FE6">
        <w:rPr>
          <w:szCs w:val="22"/>
          <w:lang w:val="sr-Latn-CS"/>
        </w:rPr>
        <w:t xml:space="preserve"> </w:t>
      </w:r>
      <w:r w:rsidRPr="00996FE6">
        <w:rPr>
          <w:szCs w:val="22"/>
          <w:lang w:val="sv-SE"/>
        </w:rPr>
        <w:t>razbla</w:t>
      </w:r>
      <w:r w:rsidRPr="00996FE6">
        <w:rPr>
          <w:szCs w:val="22"/>
          <w:lang w:val="sr-Latn-CS"/>
        </w:rPr>
        <w:t>ž</w:t>
      </w:r>
      <w:r w:rsidRPr="00996FE6">
        <w:rPr>
          <w:szCs w:val="22"/>
          <w:lang w:val="sv-SE"/>
        </w:rPr>
        <w:t>enom</w:t>
      </w:r>
      <w:r w:rsidRPr="00996FE6">
        <w:rPr>
          <w:szCs w:val="22"/>
          <w:lang w:val="sr-Latn-CS"/>
        </w:rPr>
        <w:t xml:space="preserve"> </w:t>
      </w:r>
      <w:r w:rsidRPr="00996FE6">
        <w:rPr>
          <w:szCs w:val="22"/>
          <w:lang w:val="sv-SE"/>
        </w:rPr>
        <w:t>rastvoru</w:t>
      </w:r>
      <w:r w:rsidRPr="00996FE6">
        <w:rPr>
          <w:szCs w:val="22"/>
          <w:lang w:val="sr-Latn-CS"/>
        </w:rPr>
        <w:t xml:space="preserve"> (2,5 - 5 </w:t>
      </w:r>
      <w:r w:rsidRPr="00996FE6">
        <w:rPr>
          <w:szCs w:val="22"/>
          <w:lang w:val="sv-SE"/>
        </w:rPr>
        <w:t>mg</w:t>
      </w:r>
      <w:r w:rsidRPr="00996FE6">
        <w:rPr>
          <w:szCs w:val="22"/>
          <w:lang w:val="sr-Latn-CS"/>
        </w:rPr>
        <w:t>/</w:t>
      </w:r>
      <w:r w:rsidRPr="00996FE6">
        <w:rPr>
          <w:szCs w:val="22"/>
          <w:lang w:val="sv-SE"/>
        </w:rPr>
        <w:t>m</w:t>
      </w:r>
      <w:r w:rsidR="00EC2C74" w:rsidRPr="00996FE6">
        <w:rPr>
          <w:szCs w:val="22"/>
          <w:lang w:val="sv-SE"/>
        </w:rPr>
        <w:t>l</w:t>
      </w:r>
      <w:r w:rsidRPr="00996FE6">
        <w:rPr>
          <w:szCs w:val="22"/>
          <w:lang w:val="sr-Latn-CS"/>
        </w:rPr>
        <w:t xml:space="preserve">), </w:t>
      </w:r>
      <w:r w:rsidRPr="00996FE6">
        <w:rPr>
          <w:szCs w:val="22"/>
          <w:lang w:val="sv-SE"/>
        </w:rPr>
        <w:t>brzinom</w:t>
      </w:r>
      <w:r w:rsidRPr="00996FE6">
        <w:rPr>
          <w:szCs w:val="22"/>
          <w:lang w:val="sr-Latn-CS"/>
        </w:rPr>
        <w:t xml:space="preserve"> </w:t>
      </w:r>
      <w:r w:rsidRPr="00996FE6">
        <w:rPr>
          <w:szCs w:val="22"/>
          <w:lang w:val="sv-SE"/>
        </w:rPr>
        <w:t>ne</w:t>
      </w:r>
      <w:r w:rsidRPr="00996FE6">
        <w:rPr>
          <w:szCs w:val="22"/>
          <w:lang w:val="sr-Latn-CS"/>
        </w:rPr>
        <w:t xml:space="preserve"> </w:t>
      </w:r>
      <w:r w:rsidRPr="00996FE6">
        <w:rPr>
          <w:szCs w:val="22"/>
          <w:lang w:val="sv-SE"/>
        </w:rPr>
        <w:t>ve</w:t>
      </w:r>
      <w:r w:rsidRPr="00996FE6">
        <w:rPr>
          <w:szCs w:val="22"/>
          <w:lang w:val="sr-Latn-CS"/>
        </w:rPr>
        <w:t>ć</w:t>
      </w:r>
      <w:r w:rsidRPr="00996FE6">
        <w:rPr>
          <w:szCs w:val="22"/>
          <w:lang w:val="sv-SE"/>
        </w:rPr>
        <w:t>om</w:t>
      </w:r>
      <w:r w:rsidRPr="00996FE6">
        <w:rPr>
          <w:szCs w:val="22"/>
          <w:lang w:val="sr-Latn-CS"/>
        </w:rPr>
        <w:t xml:space="preserve"> </w:t>
      </w:r>
      <w:r w:rsidRPr="00996FE6">
        <w:rPr>
          <w:szCs w:val="22"/>
          <w:lang w:val="sv-SE"/>
        </w:rPr>
        <w:t>od</w:t>
      </w:r>
      <w:r w:rsidRPr="00996FE6">
        <w:rPr>
          <w:szCs w:val="22"/>
          <w:lang w:val="sr-Latn-CS"/>
        </w:rPr>
        <w:t xml:space="preserve"> 10 </w:t>
      </w:r>
      <w:r w:rsidRPr="00996FE6">
        <w:rPr>
          <w:szCs w:val="22"/>
          <w:lang w:val="sv-SE"/>
        </w:rPr>
        <w:t>mg</w:t>
      </w:r>
      <w:r w:rsidRPr="00996FE6">
        <w:rPr>
          <w:szCs w:val="22"/>
          <w:lang w:val="sr-Latn-CS"/>
        </w:rPr>
        <w:t>/</w:t>
      </w:r>
      <w:r w:rsidRPr="00996FE6">
        <w:rPr>
          <w:szCs w:val="22"/>
          <w:lang w:val="sv-SE"/>
        </w:rPr>
        <w:t>min</w:t>
      </w:r>
      <w:r w:rsidRPr="00996FE6">
        <w:rPr>
          <w:szCs w:val="22"/>
          <w:lang w:val="sr-Latn-CS"/>
        </w:rPr>
        <w:t xml:space="preserve"> </w:t>
      </w:r>
      <w:r w:rsidRPr="00996FE6">
        <w:rPr>
          <w:szCs w:val="22"/>
          <w:lang w:val="sv-SE"/>
        </w:rPr>
        <w:t>i</w:t>
      </w:r>
      <w:r w:rsidRPr="00996FE6">
        <w:rPr>
          <w:szCs w:val="22"/>
          <w:lang w:val="sr-Latn-CS"/>
        </w:rPr>
        <w:t xml:space="preserve"> </w:t>
      </w:r>
      <w:r w:rsidRPr="00996FE6">
        <w:rPr>
          <w:szCs w:val="22"/>
          <w:lang w:val="sv-SE"/>
        </w:rPr>
        <w:t>tokom</w:t>
      </w:r>
      <w:r w:rsidRPr="00996FE6">
        <w:rPr>
          <w:szCs w:val="22"/>
          <w:lang w:val="sr-Latn-CS"/>
        </w:rPr>
        <w:t xml:space="preserve"> </w:t>
      </w:r>
      <w:r w:rsidRPr="00996FE6">
        <w:rPr>
          <w:szCs w:val="22"/>
          <w:lang w:val="sv-SE"/>
        </w:rPr>
        <w:t>vremenskog</w:t>
      </w:r>
      <w:r w:rsidRPr="00996FE6">
        <w:rPr>
          <w:szCs w:val="22"/>
          <w:lang w:val="sr-Latn-CS"/>
        </w:rPr>
        <w:t xml:space="preserve"> </w:t>
      </w:r>
      <w:r w:rsidRPr="00996FE6">
        <w:rPr>
          <w:szCs w:val="22"/>
          <w:lang w:val="sv-SE"/>
        </w:rPr>
        <w:t>perioda</w:t>
      </w:r>
      <w:r w:rsidRPr="00996FE6">
        <w:rPr>
          <w:szCs w:val="22"/>
          <w:lang w:val="sr-Latn-CS"/>
        </w:rPr>
        <w:t xml:space="preserve"> </w:t>
      </w:r>
      <w:r w:rsidRPr="00996FE6">
        <w:rPr>
          <w:szCs w:val="22"/>
          <w:lang w:val="sv-SE"/>
        </w:rPr>
        <w:t>koji</w:t>
      </w:r>
      <w:r w:rsidRPr="00996FE6">
        <w:rPr>
          <w:szCs w:val="22"/>
          <w:lang w:val="sr-Latn-CS"/>
        </w:rPr>
        <w:t xml:space="preserve"> </w:t>
      </w:r>
      <w:r w:rsidRPr="00996FE6">
        <w:rPr>
          <w:szCs w:val="22"/>
          <w:lang w:val="sv-SE"/>
        </w:rPr>
        <w:t>nije</w:t>
      </w:r>
      <w:r w:rsidRPr="00996FE6">
        <w:rPr>
          <w:szCs w:val="22"/>
          <w:lang w:val="sr-Latn-CS"/>
        </w:rPr>
        <w:t xml:space="preserve"> </w:t>
      </w:r>
      <w:r w:rsidRPr="00996FE6">
        <w:rPr>
          <w:szCs w:val="22"/>
          <w:lang w:val="sv-SE"/>
        </w:rPr>
        <w:t>kra</w:t>
      </w:r>
      <w:r w:rsidRPr="00996FE6">
        <w:rPr>
          <w:szCs w:val="22"/>
          <w:lang w:val="sr-Latn-CS"/>
        </w:rPr>
        <w:t>ć</w:t>
      </w:r>
      <w:r w:rsidRPr="00996FE6">
        <w:rPr>
          <w:szCs w:val="22"/>
          <w:lang w:val="sv-SE"/>
        </w:rPr>
        <w:t>i</w:t>
      </w:r>
      <w:r w:rsidRPr="00996FE6">
        <w:rPr>
          <w:szCs w:val="22"/>
          <w:lang w:val="sr-Latn-CS"/>
        </w:rPr>
        <w:t xml:space="preserve"> </w:t>
      </w:r>
      <w:r w:rsidRPr="00996FE6">
        <w:rPr>
          <w:szCs w:val="22"/>
          <w:lang w:val="sv-SE"/>
        </w:rPr>
        <w:t>od</w:t>
      </w:r>
      <w:r w:rsidRPr="00996FE6">
        <w:rPr>
          <w:szCs w:val="22"/>
          <w:lang w:val="sr-Latn-CS"/>
        </w:rPr>
        <w:t xml:space="preserve"> 60 </w:t>
      </w:r>
      <w:r w:rsidRPr="00996FE6">
        <w:rPr>
          <w:szCs w:val="22"/>
          <w:lang w:val="sv-SE"/>
        </w:rPr>
        <w:t>minuta</w:t>
      </w:r>
      <w:r w:rsidRPr="00996FE6">
        <w:rPr>
          <w:szCs w:val="22"/>
          <w:lang w:val="sr-Latn-CS"/>
        </w:rPr>
        <w:t xml:space="preserve"> </w:t>
      </w:r>
      <w:r w:rsidRPr="00996FE6">
        <w:rPr>
          <w:szCs w:val="22"/>
          <w:lang w:val="sv-SE"/>
        </w:rPr>
        <w:t>da</w:t>
      </w:r>
      <w:r w:rsidRPr="00996FE6">
        <w:rPr>
          <w:szCs w:val="22"/>
          <w:lang w:val="sr-Latn-CS"/>
        </w:rPr>
        <w:t xml:space="preserve"> </w:t>
      </w:r>
      <w:r w:rsidRPr="00996FE6">
        <w:rPr>
          <w:szCs w:val="22"/>
          <w:lang w:val="sv-SE"/>
        </w:rPr>
        <w:t>bi</w:t>
      </w:r>
      <w:r w:rsidRPr="00996FE6">
        <w:rPr>
          <w:szCs w:val="22"/>
          <w:lang w:val="sr-Latn-CS"/>
        </w:rPr>
        <w:t xml:space="preserve"> </w:t>
      </w:r>
      <w:r w:rsidRPr="00996FE6">
        <w:rPr>
          <w:szCs w:val="22"/>
          <w:lang w:val="sv-SE"/>
        </w:rPr>
        <w:t>se</w:t>
      </w:r>
      <w:r w:rsidRPr="00996FE6">
        <w:rPr>
          <w:szCs w:val="22"/>
          <w:lang w:val="sr-Latn-CS"/>
        </w:rPr>
        <w:t xml:space="preserve"> </w:t>
      </w:r>
      <w:r w:rsidRPr="00996FE6">
        <w:rPr>
          <w:szCs w:val="22"/>
          <w:lang w:val="sv-SE"/>
        </w:rPr>
        <w:t>izb</w:t>
      </w:r>
      <w:r w:rsidR="006A36E2" w:rsidRPr="00996FE6">
        <w:rPr>
          <w:szCs w:val="22"/>
          <w:lang w:val="sv-SE"/>
        </w:rPr>
        <w:t>j</w:t>
      </w:r>
      <w:r w:rsidRPr="00996FE6">
        <w:rPr>
          <w:szCs w:val="22"/>
          <w:lang w:val="sv-SE"/>
        </w:rPr>
        <w:t>egle</w:t>
      </w:r>
      <w:r w:rsidRPr="00996FE6">
        <w:rPr>
          <w:szCs w:val="22"/>
          <w:lang w:val="sr-Latn-CS"/>
        </w:rPr>
        <w:t xml:space="preserve"> </w:t>
      </w:r>
      <w:r w:rsidRPr="00996FE6">
        <w:rPr>
          <w:szCs w:val="22"/>
          <w:lang w:val="sv-SE"/>
        </w:rPr>
        <w:t>reakcije</w:t>
      </w:r>
      <w:r w:rsidRPr="00996FE6">
        <w:rPr>
          <w:szCs w:val="22"/>
          <w:lang w:val="sr-Latn-CS"/>
        </w:rPr>
        <w:t xml:space="preserve"> </w:t>
      </w:r>
      <w:r w:rsidRPr="00996FE6">
        <w:rPr>
          <w:szCs w:val="22"/>
          <w:lang w:val="sv-SE"/>
        </w:rPr>
        <w:t>udru</w:t>
      </w:r>
      <w:r w:rsidRPr="00996FE6">
        <w:rPr>
          <w:szCs w:val="22"/>
          <w:lang w:val="sr-Latn-CS"/>
        </w:rPr>
        <w:t>ž</w:t>
      </w:r>
      <w:r w:rsidRPr="00996FE6">
        <w:rPr>
          <w:szCs w:val="22"/>
          <w:lang w:val="sv-SE"/>
        </w:rPr>
        <w:t>ene</w:t>
      </w:r>
      <w:r w:rsidRPr="00996FE6">
        <w:rPr>
          <w:szCs w:val="22"/>
          <w:lang w:val="sr-Latn-CS"/>
        </w:rPr>
        <w:t xml:space="preserve"> </w:t>
      </w:r>
      <w:r w:rsidRPr="00996FE6">
        <w:rPr>
          <w:szCs w:val="22"/>
          <w:lang w:val="sv-SE"/>
        </w:rPr>
        <w:t>sa</w:t>
      </w:r>
      <w:r w:rsidRPr="00996FE6">
        <w:rPr>
          <w:szCs w:val="22"/>
          <w:lang w:val="sr-Latn-CS"/>
        </w:rPr>
        <w:t xml:space="preserve"> </w:t>
      </w:r>
      <w:r w:rsidRPr="00996FE6">
        <w:rPr>
          <w:szCs w:val="22"/>
          <w:lang w:val="sv-SE"/>
        </w:rPr>
        <w:t>brzom</w:t>
      </w:r>
      <w:r w:rsidRPr="00996FE6">
        <w:rPr>
          <w:szCs w:val="22"/>
          <w:lang w:val="sr-Latn-CS"/>
        </w:rPr>
        <w:t xml:space="preserve"> </w:t>
      </w:r>
      <w:r w:rsidRPr="00996FE6">
        <w:rPr>
          <w:szCs w:val="22"/>
          <w:lang w:val="sv-SE"/>
        </w:rPr>
        <w:t>infuzijom</w:t>
      </w:r>
      <w:r w:rsidRPr="00996FE6">
        <w:rPr>
          <w:szCs w:val="22"/>
          <w:lang w:val="sr-Latn-CS"/>
        </w:rPr>
        <w:t xml:space="preserve"> </w:t>
      </w:r>
      <w:r w:rsidRPr="00996FE6">
        <w:rPr>
          <w:szCs w:val="22"/>
          <w:lang w:val="sv-SE"/>
        </w:rPr>
        <w:t>l</w:t>
      </w:r>
      <w:r w:rsidR="006A36E2" w:rsidRPr="00996FE6">
        <w:rPr>
          <w:szCs w:val="22"/>
          <w:lang w:val="sv-SE"/>
        </w:rPr>
        <w:t>ij</w:t>
      </w:r>
      <w:r w:rsidRPr="00996FE6">
        <w:rPr>
          <w:szCs w:val="22"/>
          <w:lang w:val="sv-SE"/>
        </w:rPr>
        <w:t>eka</w:t>
      </w:r>
      <w:r w:rsidRPr="00996FE6">
        <w:rPr>
          <w:szCs w:val="22"/>
          <w:lang w:val="sr-Latn-CS"/>
        </w:rPr>
        <w:t xml:space="preserve">. </w:t>
      </w:r>
      <w:r w:rsidRPr="00996FE6">
        <w:rPr>
          <w:szCs w:val="22"/>
          <w:lang w:val="sv-SE"/>
        </w:rPr>
        <w:t>Prekid</w:t>
      </w:r>
      <w:r w:rsidRPr="00986F86">
        <w:rPr>
          <w:szCs w:val="22"/>
          <w:lang w:val="sr-Latn-CS"/>
        </w:rPr>
        <w:t xml:space="preserve"> </w:t>
      </w:r>
      <w:r w:rsidRPr="00996FE6">
        <w:rPr>
          <w:szCs w:val="22"/>
          <w:lang w:val="sv-SE"/>
        </w:rPr>
        <w:t>prim</w:t>
      </w:r>
      <w:r w:rsidR="006A36E2" w:rsidRPr="00996FE6">
        <w:rPr>
          <w:szCs w:val="22"/>
          <w:lang w:val="sv-SE"/>
        </w:rPr>
        <w:t>j</w:t>
      </w:r>
      <w:r w:rsidRPr="00996FE6">
        <w:rPr>
          <w:szCs w:val="22"/>
          <w:lang w:val="sv-SE"/>
        </w:rPr>
        <w:t>ene</w:t>
      </w:r>
      <w:r w:rsidRPr="00986F86">
        <w:rPr>
          <w:szCs w:val="22"/>
          <w:lang w:val="sr-Latn-CS"/>
        </w:rPr>
        <w:t xml:space="preserve"> </w:t>
      </w:r>
      <w:r w:rsidRPr="00996FE6">
        <w:rPr>
          <w:szCs w:val="22"/>
          <w:lang w:val="sv-SE"/>
        </w:rPr>
        <w:t>infuzije</w:t>
      </w:r>
      <w:r w:rsidRPr="00986F86">
        <w:rPr>
          <w:szCs w:val="22"/>
          <w:lang w:val="sr-Latn-CS"/>
        </w:rPr>
        <w:t xml:space="preserve"> </w:t>
      </w:r>
      <w:r w:rsidRPr="00996FE6">
        <w:rPr>
          <w:szCs w:val="22"/>
          <w:lang w:val="sv-SE"/>
        </w:rPr>
        <w:t>obi</w:t>
      </w:r>
      <w:r w:rsidRPr="00986F86">
        <w:rPr>
          <w:szCs w:val="22"/>
          <w:lang w:val="sr-Latn-CS"/>
        </w:rPr>
        <w:t>č</w:t>
      </w:r>
      <w:r w:rsidRPr="00996FE6">
        <w:rPr>
          <w:szCs w:val="22"/>
          <w:lang w:val="sv-SE"/>
        </w:rPr>
        <w:t>no</w:t>
      </w:r>
      <w:r w:rsidRPr="00986F86">
        <w:rPr>
          <w:szCs w:val="22"/>
          <w:lang w:val="sr-Latn-CS"/>
        </w:rPr>
        <w:t xml:space="preserve"> </w:t>
      </w:r>
      <w:r w:rsidRPr="00996FE6">
        <w:rPr>
          <w:szCs w:val="22"/>
          <w:lang w:val="sv-SE"/>
        </w:rPr>
        <w:t>dovodi</w:t>
      </w:r>
      <w:r w:rsidRPr="00986F86">
        <w:rPr>
          <w:szCs w:val="22"/>
          <w:lang w:val="sr-Latn-CS"/>
        </w:rPr>
        <w:t xml:space="preserve"> </w:t>
      </w:r>
      <w:r w:rsidRPr="00996FE6">
        <w:rPr>
          <w:szCs w:val="22"/>
          <w:lang w:val="sv-SE"/>
        </w:rPr>
        <w:t>do</w:t>
      </w:r>
      <w:r w:rsidRPr="00986F86">
        <w:rPr>
          <w:szCs w:val="22"/>
          <w:lang w:val="sr-Latn-CS"/>
        </w:rPr>
        <w:t xml:space="preserve"> </w:t>
      </w:r>
      <w:r w:rsidRPr="00996FE6">
        <w:rPr>
          <w:szCs w:val="22"/>
          <w:lang w:val="sv-SE"/>
        </w:rPr>
        <w:t>brzog</w:t>
      </w:r>
      <w:r w:rsidRPr="00986F86">
        <w:rPr>
          <w:szCs w:val="22"/>
          <w:lang w:val="sr-Latn-CS"/>
        </w:rPr>
        <w:t xml:space="preserve"> </w:t>
      </w:r>
      <w:r w:rsidRPr="00996FE6">
        <w:rPr>
          <w:szCs w:val="22"/>
          <w:lang w:val="sv-SE"/>
        </w:rPr>
        <w:t>prestanka</w:t>
      </w:r>
      <w:r w:rsidRPr="00986F86">
        <w:rPr>
          <w:szCs w:val="22"/>
          <w:lang w:val="sr-Latn-CS"/>
        </w:rPr>
        <w:t xml:space="preserve"> </w:t>
      </w:r>
      <w:r w:rsidRPr="00996FE6">
        <w:rPr>
          <w:szCs w:val="22"/>
          <w:lang w:val="sv-SE"/>
        </w:rPr>
        <w:t>ovih</w:t>
      </w:r>
      <w:r w:rsidRPr="00986F86">
        <w:rPr>
          <w:szCs w:val="22"/>
          <w:lang w:val="sr-Latn-CS"/>
        </w:rPr>
        <w:t xml:space="preserve"> </w:t>
      </w:r>
      <w:r w:rsidRPr="00996FE6">
        <w:rPr>
          <w:szCs w:val="22"/>
          <w:lang w:val="sv-SE"/>
        </w:rPr>
        <w:t>reakcija</w:t>
      </w:r>
      <w:r w:rsidRPr="00986F86">
        <w:rPr>
          <w:szCs w:val="22"/>
          <w:lang w:val="sr-Latn-CS"/>
        </w:rPr>
        <w:t>.</w:t>
      </w:r>
    </w:p>
    <w:p w14:paraId="18D306EF" w14:textId="77777777" w:rsidR="00B97F2C" w:rsidRPr="00986F86" w:rsidRDefault="00B97F2C" w:rsidP="00E61461">
      <w:pPr>
        <w:rPr>
          <w:szCs w:val="22"/>
          <w:u w:val="single"/>
          <w:lang w:val="sr-Latn-CS"/>
        </w:rPr>
      </w:pPr>
    </w:p>
    <w:p w14:paraId="72BDC507" w14:textId="5507DF0E" w:rsidR="00B97F2C" w:rsidRPr="00986F86" w:rsidRDefault="00B97F2C" w:rsidP="00E61461">
      <w:pPr>
        <w:rPr>
          <w:szCs w:val="22"/>
          <w:lang w:val="sr-Latn-CS"/>
        </w:rPr>
      </w:pPr>
      <w:r w:rsidRPr="00996FE6">
        <w:rPr>
          <w:szCs w:val="22"/>
          <w:lang w:val="sv-SE"/>
        </w:rPr>
        <w:t>U</w:t>
      </w:r>
      <w:r w:rsidRPr="00986F86">
        <w:rPr>
          <w:szCs w:val="22"/>
          <w:lang w:val="sr-Latn-CS"/>
        </w:rPr>
        <w:t>č</w:t>
      </w:r>
      <w:r w:rsidRPr="00996FE6">
        <w:rPr>
          <w:szCs w:val="22"/>
          <w:lang w:val="sv-SE"/>
        </w:rPr>
        <w:t>estalost</w:t>
      </w:r>
      <w:r w:rsidRPr="00986F86">
        <w:rPr>
          <w:szCs w:val="22"/>
          <w:lang w:val="sr-Latn-CS"/>
        </w:rPr>
        <w:t xml:space="preserve"> </w:t>
      </w:r>
      <w:r w:rsidRPr="00996FE6">
        <w:rPr>
          <w:szCs w:val="22"/>
          <w:lang w:val="sv-SE"/>
        </w:rPr>
        <w:t>reakcija</w:t>
      </w:r>
      <w:r w:rsidRPr="00986F86">
        <w:rPr>
          <w:szCs w:val="22"/>
          <w:lang w:val="sr-Latn-CS"/>
        </w:rPr>
        <w:t xml:space="preserve"> </w:t>
      </w:r>
      <w:r w:rsidRPr="00996FE6">
        <w:rPr>
          <w:szCs w:val="22"/>
          <w:lang w:val="sv-SE"/>
        </w:rPr>
        <w:t>povezanih</w:t>
      </w:r>
      <w:r w:rsidRPr="00986F86">
        <w:rPr>
          <w:szCs w:val="22"/>
          <w:lang w:val="sr-Latn-CS"/>
        </w:rPr>
        <w:t xml:space="preserve"> </w:t>
      </w:r>
      <w:r w:rsidRPr="00996FE6">
        <w:rPr>
          <w:szCs w:val="22"/>
          <w:lang w:val="sv-SE"/>
        </w:rPr>
        <w:t>sa</w:t>
      </w:r>
      <w:r w:rsidRPr="00986F86">
        <w:rPr>
          <w:szCs w:val="22"/>
          <w:lang w:val="sr-Latn-CS"/>
        </w:rPr>
        <w:t xml:space="preserve"> </w:t>
      </w:r>
      <w:r w:rsidRPr="00996FE6">
        <w:rPr>
          <w:szCs w:val="22"/>
          <w:lang w:val="sv-SE"/>
        </w:rPr>
        <w:t>infuzijom</w:t>
      </w:r>
      <w:r w:rsidRPr="00986F86">
        <w:rPr>
          <w:szCs w:val="22"/>
          <w:lang w:val="sr-Latn-CS"/>
        </w:rPr>
        <w:t xml:space="preserve"> (</w:t>
      </w:r>
      <w:r w:rsidRPr="00996FE6">
        <w:rPr>
          <w:szCs w:val="22"/>
          <w:lang w:val="sv-SE"/>
        </w:rPr>
        <w:t>hipotenzija</w:t>
      </w:r>
      <w:r w:rsidRPr="00986F86">
        <w:rPr>
          <w:szCs w:val="22"/>
          <w:lang w:val="sr-Latn-CS"/>
        </w:rPr>
        <w:t xml:space="preserve">, </w:t>
      </w:r>
      <w:r w:rsidRPr="00996FE6">
        <w:rPr>
          <w:szCs w:val="22"/>
          <w:lang w:val="sv-SE"/>
        </w:rPr>
        <w:t>crvenilo</w:t>
      </w:r>
      <w:r w:rsidRPr="00986F86">
        <w:rPr>
          <w:szCs w:val="22"/>
          <w:lang w:val="sr-Latn-CS"/>
        </w:rPr>
        <w:t xml:space="preserve">, </w:t>
      </w:r>
      <w:r w:rsidRPr="00996FE6">
        <w:rPr>
          <w:szCs w:val="22"/>
          <w:lang w:val="sv-SE"/>
        </w:rPr>
        <w:t>eritem</w:t>
      </w:r>
      <w:r w:rsidRPr="00986F86">
        <w:rPr>
          <w:szCs w:val="22"/>
          <w:lang w:val="sr-Latn-CS"/>
        </w:rPr>
        <w:t xml:space="preserve">, </w:t>
      </w:r>
      <w:r w:rsidRPr="00996FE6">
        <w:rPr>
          <w:szCs w:val="22"/>
          <w:lang w:val="sv-SE"/>
        </w:rPr>
        <w:t>urtikarija</w:t>
      </w:r>
      <w:r w:rsidRPr="00986F86">
        <w:rPr>
          <w:szCs w:val="22"/>
          <w:lang w:val="sr-Latn-CS"/>
        </w:rPr>
        <w:t xml:space="preserve"> </w:t>
      </w:r>
      <w:r w:rsidRPr="00996FE6">
        <w:rPr>
          <w:szCs w:val="22"/>
          <w:lang w:val="sv-SE"/>
        </w:rPr>
        <w:t>i</w:t>
      </w:r>
      <w:r w:rsidRPr="00986F86">
        <w:rPr>
          <w:szCs w:val="22"/>
          <w:lang w:val="sr-Latn-CS"/>
        </w:rPr>
        <w:t xml:space="preserve"> </w:t>
      </w:r>
      <w:r w:rsidRPr="00996FE6">
        <w:rPr>
          <w:szCs w:val="22"/>
          <w:lang w:val="sv-SE"/>
        </w:rPr>
        <w:t>pruritus</w:t>
      </w:r>
      <w:r w:rsidRPr="00986F86">
        <w:rPr>
          <w:szCs w:val="22"/>
          <w:lang w:val="sr-Latn-CS"/>
        </w:rPr>
        <w:t xml:space="preserve">) </w:t>
      </w:r>
      <w:r w:rsidRPr="00996FE6">
        <w:rPr>
          <w:szCs w:val="22"/>
          <w:lang w:val="sv-SE"/>
        </w:rPr>
        <w:t>pove</w:t>
      </w:r>
      <w:r w:rsidRPr="00986F86">
        <w:rPr>
          <w:szCs w:val="22"/>
          <w:lang w:val="sr-Latn-CS"/>
        </w:rPr>
        <w:t>ć</w:t>
      </w:r>
      <w:r w:rsidRPr="00996FE6">
        <w:rPr>
          <w:szCs w:val="22"/>
          <w:lang w:val="sv-SE"/>
        </w:rPr>
        <w:t>ava</w:t>
      </w:r>
      <w:r w:rsidRPr="00986F86">
        <w:rPr>
          <w:szCs w:val="22"/>
          <w:lang w:val="sr-Latn-CS"/>
        </w:rPr>
        <w:t xml:space="preserve"> </w:t>
      </w:r>
      <w:r w:rsidRPr="00996FE6">
        <w:rPr>
          <w:szCs w:val="22"/>
          <w:lang w:val="sv-SE"/>
        </w:rPr>
        <w:t>se</w:t>
      </w:r>
      <w:r w:rsidRPr="00986F86">
        <w:rPr>
          <w:szCs w:val="22"/>
          <w:lang w:val="sr-Latn-CS"/>
        </w:rPr>
        <w:t xml:space="preserve"> </w:t>
      </w:r>
      <w:r w:rsidRPr="00996FE6">
        <w:rPr>
          <w:szCs w:val="22"/>
          <w:lang w:val="sv-SE"/>
        </w:rPr>
        <w:t>sa</w:t>
      </w:r>
      <w:r w:rsidRPr="00986F86">
        <w:rPr>
          <w:szCs w:val="22"/>
          <w:lang w:val="sr-Latn-CS"/>
        </w:rPr>
        <w:t xml:space="preserve"> </w:t>
      </w:r>
      <w:r w:rsidRPr="00996FE6">
        <w:rPr>
          <w:szCs w:val="22"/>
          <w:lang w:val="sv-SE"/>
        </w:rPr>
        <w:t>istovremenom</w:t>
      </w:r>
      <w:r w:rsidRPr="00986F86">
        <w:rPr>
          <w:szCs w:val="22"/>
          <w:lang w:val="sr-Latn-CS"/>
        </w:rPr>
        <w:t xml:space="preserve"> </w:t>
      </w:r>
      <w:r w:rsidRPr="00996FE6">
        <w:rPr>
          <w:szCs w:val="22"/>
          <w:lang w:val="sv-SE"/>
        </w:rPr>
        <w:t>prim</w:t>
      </w:r>
      <w:r w:rsidR="006A36E2" w:rsidRPr="00996FE6">
        <w:rPr>
          <w:szCs w:val="22"/>
          <w:lang w:val="sv-SE"/>
        </w:rPr>
        <w:t>j</w:t>
      </w:r>
      <w:r w:rsidRPr="00996FE6">
        <w:rPr>
          <w:szCs w:val="22"/>
          <w:lang w:val="sv-SE"/>
        </w:rPr>
        <w:t>enom</w:t>
      </w:r>
      <w:r w:rsidRPr="00986F86">
        <w:rPr>
          <w:szCs w:val="22"/>
          <w:lang w:val="sr-Latn-CS"/>
        </w:rPr>
        <w:t xml:space="preserve"> </w:t>
      </w:r>
      <w:r w:rsidRPr="00996FE6">
        <w:rPr>
          <w:szCs w:val="22"/>
          <w:lang w:val="sv-SE"/>
        </w:rPr>
        <w:t>anestetika</w:t>
      </w:r>
      <w:r w:rsidRPr="00986F86">
        <w:rPr>
          <w:szCs w:val="22"/>
          <w:lang w:val="sr-Latn-CS"/>
        </w:rPr>
        <w:t xml:space="preserve"> </w:t>
      </w:r>
      <w:bookmarkStart w:id="2" w:name="_Hlk518235489"/>
      <w:r w:rsidRPr="00986F86">
        <w:rPr>
          <w:szCs w:val="22"/>
          <w:lang w:val="sr-Latn-CS"/>
        </w:rPr>
        <w:t>(</w:t>
      </w:r>
      <w:r w:rsidRPr="00996FE6">
        <w:rPr>
          <w:szCs w:val="22"/>
          <w:lang w:val="sv-SE"/>
        </w:rPr>
        <w:t>vid</w:t>
      </w:r>
      <w:r w:rsidR="006A36E2" w:rsidRPr="00996FE6">
        <w:rPr>
          <w:szCs w:val="22"/>
          <w:lang w:val="sv-SE"/>
        </w:rPr>
        <w:t>j</w:t>
      </w:r>
      <w:r w:rsidRPr="00996FE6">
        <w:rPr>
          <w:szCs w:val="22"/>
          <w:lang w:val="sv-SE"/>
        </w:rPr>
        <w:t>eti</w:t>
      </w:r>
      <w:r w:rsidRPr="00986F86">
        <w:rPr>
          <w:szCs w:val="22"/>
          <w:lang w:val="sr-Latn-CS"/>
        </w:rPr>
        <w:t xml:space="preserve"> </w:t>
      </w:r>
      <w:r w:rsidR="00EC2C74" w:rsidRPr="00996FE6">
        <w:rPr>
          <w:szCs w:val="22"/>
          <w:lang w:val="sv-SE"/>
        </w:rPr>
        <w:t>dio</w:t>
      </w:r>
      <w:r w:rsidR="00EC2C74" w:rsidRPr="00986F86">
        <w:rPr>
          <w:szCs w:val="22"/>
          <w:lang w:val="sr-Latn-CS"/>
        </w:rPr>
        <w:t xml:space="preserve"> </w:t>
      </w:r>
      <w:r w:rsidRPr="00986F86">
        <w:rPr>
          <w:szCs w:val="22"/>
          <w:lang w:val="sr-Latn-CS"/>
        </w:rPr>
        <w:t xml:space="preserve">4.5). </w:t>
      </w:r>
      <w:bookmarkEnd w:id="2"/>
      <w:r w:rsidRPr="00996FE6">
        <w:rPr>
          <w:szCs w:val="22"/>
          <w:lang w:val="sv-SE"/>
        </w:rPr>
        <w:t>Njihova</w:t>
      </w:r>
      <w:r w:rsidRPr="00986F86">
        <w:rPr>
          <w:szCs w:val="22"/>
          <w:lang w:val="sr-Latn-CS"/>
        </w:rPr>
        <w:t xml:space="preserve"> </w:t>
      </w:r>
      <w:r w:rsidRPr="00996FE6">
        <w:rPr>
          <w:szCs w:val="22"/>
          <w:lang w:val="sv-SE"/>
        </w:rPr>
        <w:t>pojava</w:t>
      </w:r>
      <w:r w:rsidRPr="00986F86">
        <w:rPr>
          <w:szCs w:val="22"/>
          <w:lang w:val="sr-Latn-CS"/>
        </w:rPr>
        <w:t xml:space="preserve"> </w:t>
      </w:r>
      <w:r w:rsidRPr="00996FE6">
        <w:rPr>
          <w:szCs w:val="22"/>
          <w:lang w:val="sv-SE"/>
        </w:rPr>
        <w:t>se</w:t>
      </w:r>
      <w:r w:rsidRPr="00986F86">
        <w:rPr>
          <w:szCs w:val="22"/>
          <w:lang w:val="sr-Latn-CS"/>
        </w:rPr>
        <w:t xml:space="preserve"> </w:t>
      </w:r>
      <w:r w:rsidRPr="00996FE6">
        <w:rPr>
          <w:szCs w:val="22"/>
          <w:lang w:val="sv-SE"/>
        </w:rPr>
        <w:t>mo</w:t>
      </w:r>
      <w:r w:rsidRPr="00986F86">
        <w:rPr>
          <w:szCs w:val="22"/>
          <w:lang w:val="sr-Latn-CS"/>
        </w:rPr>
        <w:t>ž</w:t>
      </w:r>
      <w:r w:rsidRPr="00996FE6">
        <w:rPr>
          <w:szCs w:val="22"/>
          <w:lang w:val="sv-SE"/>
        </w:rPr>
        <w:t>e</w:t>
      </w:r>
      <w:r w:rsidRPr="00986F86">
        <w:rPr>
          <w:szCs w:val="22"/>
          <w:lang w:val="sr-Latn-CS"/>
        </w:rPr>
        <w:t xml:space="preserve"> </w:t>
      </w:r>
      <w:r w:rsidRPr="00996FE6">
        <w:rPr>
          <w:szCs w:val="22"/>
          <w:lang w:val="sv-SE"/>
        </w:rPr>
        <w:t>izb</w:t>
      </w:r>
      <w:r w:rsidR="006A36E2" w:rsidRPr="00996FE6">
        <w:rPr>
          <w:szCs w:val="22"/>
          <w:lang w:val="sv-SE"/>
        </w:rPr>
        <w:t>j</w:t>
      </w:r>
      <w:r w:rsidRPr="00996FE6">
        <w:rPr>
          <w:szCs w:val="22"/>
          <w:lang w:val="sv-SE"/>
        </w:rPr>
        <w:t>e</w:t>
      </w:r>
      <w:r w:rsidRPr="00986F86">
        <w:rPr>
          <w:szCs w:val="22"/>
          <w:lang w:val="sr-Latn-CS"/>
        </w:rPr>
        <w:t>ć</w:t>
      </w:r>
      <w:r w:rsidRPr="00996FE6">
        <w:rPr>
          <w:szCs w:val="22"/>
          <w:lang w:val="sv-SE"/>
        </w:rPr>
        <w:t>i</w:t>
      </w:r>
      <w:r w:rsidRPr="00986F86">
        <w:rPr>
          <w:szCs w:val="22"/>
          <w:lang w:val="sr-Latn-CS"/>
        </w:rPr>
        <w:t xml:space="preserve"> </w:t>
      </w:r>
      <w:r w:rsidRPr="00996FE6">
        <w:rPr>
          <w:szCs w:val="22"/>
          <w:lang w:val="sv-SE"/>
        </w:rPr>
        <w:t>davanjem</w:t>
      </w:r>
      <w:r w:rsidRPr="00986F86">
        <w:rPr>
          <w:szCs w:val="22"/>
          <w:lang w:val="sr-Latn-CS"/>
        </w:rPr>
        <w:t xml:space="preserve"> </w:t>
      </w:r>
      <w:r w:rsidRPr="00996FE6">
        <w:rPr>
          <w:szCs w:val="22"/>
          <w:lang w:val="sv-SE"/>
        </w:rPr>
        <w:t>infuzije</w:t>
      </w:r>
      <w:r w:rsidRPr="00986F86">
        <w:rPr>
          <w:szCs w:val="22"/>
          <w:lang w:val="sr-Latn-CS"/>
        </w:rPr>
        <w:t xml:space="preserve"> </w:t>
      </w:r>
      <w:r w:rsidRPr="00996FE6">
        <w:rPr>
          <w:szCs w:val="22"/>
          <w:lang w:val="sv-SE"/>
        </w:rPr>
        <w:t>vankomicina</w:t>
      </w:r>
      <w:r w:rsidRPr="00986F86">
        <w:rPr>
          <w:szCs w:val="22"/>
          <w:lang w:val="sr-Latn-CS"/>
        </w:rPr>
        <w:t xml:space="preserve"> </w:t>
      </w:r>
      <w:r w:rsidRPr="00996FE6">
        <w:rPr>
          <w:szCs w:val="22"/>
          <w:lang w:val="sv-SE"/>
        </w:rPr>
        <w:t>najmanje</w:t>
      </w:r>
      <w:r w:rsidRPr="00986F86">
        <w:rPr>
          <w:szCs w:val="22"/>
          <w:lang w:val="sr-Latn-CS"/>
        </w:rPr>
        <w:t xml:space="preserve"> 60 </w:t>
      </w:r>
      <w:r w:rsidRPr="00996FE6">
        <w:rPr>
          <w:szCs w:val="22"/>
          <w:lang w:val="sv-SE"/>
        </w:rPr>
        <w:t>minuta</w:t>
      </w:r>
      <w:r w:rsidRPr="00986F86">
        <w:rPr>
          <w:szCs w:val="22"/>
          <w:lang w:val="sr-Latn-CS"/>
        </w:rPr>
        <w:t xml:space="preserve"> </w:t>
      </w:r>
      <w:r w:rsidRPr="00996FE6">
        <w:rPr>
          <w:szCs w:val="22"/>
          <w:lang w:val="sv-SE"/>
        </w:rPr>
        <w:t>pr</w:t>
      </w:r>
      <w:r w:rsidR="006A36E2" w:rsidRPr="00996FE6">
        <w:rPr>
          <w:szCs w:val="22"/>
          <w:lang w:val="sv-SE"/>
        </w:rPr>
        <w:t>ij</w:t>
      </w:r>
      <w:r w:rsidRPr="00996FE6">
        <w:rPr>
          <w:szCs w:val="22"/>
          <w:lang w:val="sv-SE"/>
        </w:rPr>
        <w:t>e</w:t>
      </w:r>
      <w:r w:rsidRPr="00986F86">
        <w:rPr>
          <w:szCs w:val="22"/>
          <w:lang w:val="sr-Latn-CS"/>
        </w:rPr>
        <w:t xml:space="preserve"> </w:t>
      </w:r>
      <w:r w:rsidRPr="00996FE6">
        <w:rPr>
          <w:szCs w:val="22"/>
          <w:lang w:val="sv-SE"/>
        </w:rPr>
        <w:t>uvo</w:t>
      </w:r>
      <w:r w:rsidRPr="00986F86">
        <w:rPr>
          <w:szCs w:val="22"/>
          <w:lang w:val="sr-Latn-CS"/>
        </w:rPr>
        <w:t>đ</w:t>
      </w:r>
      <w:r w:rsidRPr="00996FE6">
        <w:rPr>
          <w:szCs w:val="22"/>
          <w:lang w:val="sv-SE"/>
        </w:rPr>
        <w:t>enja</w:t>
      </w:r>
      <w:r w:rsidRPr="00986F86">
        <w:rPr>
          <w:szCs w:val="22"/>
          <w:lang w:val="sr-Latn-CS"/>
        </w:rPr>
        <w:t xml:space="preserve"> </w:t>
      </w:r>
      <w:r w:rsidRPr="00996FE6">
        <w:rPr>
          <w:szCs w:val="22"/>
          <w:lang w:val="sv-SE"/>
        </w:rPr>
        <w:t>u</w:t>
      </w:r>
      <w:r w:rsidRPr="00986F86">
        <w:rPr>
          <w:szCs w:val="22"/>
          <w:lang w:val="sr-Latn-CS"/>
        </w:rPr>
        <w:t xml:space="preserve"> </w:t>
      </w:r>
      <w:r w:rsidRPr="00996FE6">
        <w:rPr>
          <w:szCs w:val="22"/>
          <w:lang w:val="sv-SE"/>
        </w:rPr>
        <w:t>anesteziju</w:t>
      </w:r>
      <w:r w:rsidRPr="00986F86">
        <w:rPr>
          <w:szCs w:val="22"/>
          <w:lang w:val="sr-Latn-CS"/>
        </w:rPr>
        <w:t>.</w:t>
      </w:r>
    </w:p>
    <w:p w14:paraId="753CA54F" w14:textId="77777777" w:rsidR="00B97F2C" w:rsidRPr="00986F86" w:rsidRDefault="00B97F2C" w:rsidP="00E61461">
      <w:pPr>
        <w:rPr>
          <w:szCs w:val="22"/>
          <w:u w:val="single"/>
          <w:lang w:val="sr-Latn-CS"/>
        </w:rPr>
      </w:pPr>
    </w:p>
    <w:p w14:paraId="5C025BBF" w14:textId="77777777" w:rsidR="006A5D2F" w:rsidRPr="00996FE6" w:rsidRDefault="006A5D2F" w:rsidP="00E61461">
      <w:pPr>
        <w:rPr>
          <w:bCs/>
          <w:szCs w:val="22"/>
          <w:u w:val="single"/>
        </w:rPr>
      </w:pPr>
      <w:r w:rsidRPr="00996FE6">
        <w:rPr>
          <w:bCs/>
          <w:szCs w:val="22"/>
          <w:u w:val="single"/>
        </w:rPr>
        <w:t>Teške neželjene reakcije kože (</w:t>
      </w:r>
      <w:r w:rsidRPr="00996FE6">
        <w:rPr>
          <w:bCs/>
          <w:i/>
          <w:szCs w:val="22"/>
          <w:u w:val="single"/>
        </w:rPr>
        <w:t>engl. severe cutaneous adverse reactions, SCARs</w:t>
      </w:r>
      <w:r w:rsidRPr="00996FE6">
        <w:rPr>
          <w:bCs/>
          <w:szCs w:val="22"/>
          <w:u w:val="single"/>
        </w:rPr>
        <w:t>)</w:t>
      </w:r>
    </w:p>
    <w:p w14:paraId="7D65DE1D" w14:textId="0CF93258" w:rsidR="006A5D2F" w:rsidRPr="00996FE6" w:rsidRDefault="006A5D2F" w:rsidP="00E61461">
      <w:pPr>
        <w:rPr>
          <w:bCs/>
          <w:szCs w:val="22"/>
        </w:rPr>
      </w:pPr>
      <w:r w:rsidRPr="00996FE6">
        <w:rPr>
          <w:bCs/>
          <w:szCs w:val="22"/>
        </w:rPr>
        <w:t>Kod l</w:t>
      </w:r>
      <w:r w:rsidR="00A41EAC" w:rsidRPr="00996FE6">
        <w:rPr>
          <w:bCs/>
          <w:szCs w:val="22"/>
        </w:rPr>
        <w:t>ij</w:t>
      </w:r>
      <w:r w:rsidRPr="00996FE6">
        <w:rPr>
          <w:bCs/>
          <w:szCs w:val="22"/>
        </w:rPr>
        <w:t>ečenja vankomicinom prijavljene su teške neželjene reakcije kože (SCAR) koje mogu biti životno</w:t>
      </w:r>
      <w:r w:rsidR="00EC2C74" w:rsidRPr="00996FE6">
        <w:rPr>
          <w:bCs/>
          <w:szCs w:val="22"/>
        </w:rPr>
        <w:t xml:space="preserve"> </w:t>
      </w:r>
      <w:r w:rsidRPr="00996FE6">
        <w:rPr>
          <w:bCs/>
          <w:szCs w:val="22"/>
        </w:rPr>
        <w:t xml:space="preserve">ugrožavajuće </w:t>
      </w:r>
      <w:proofErr w:type="gramStart"/>
      <w:r w:rsidRPr="00996FE6">
        <w:rPr>
          <w:bCs/>
          <w:szCs w:val="22"/>
        </w:rPr>
        <w:t>ili</w:t>
      </w:r>
      <w:proofErr w:type="gramEnd"/>
      <w:r w:rsidRPr="00996FE6">
        <w:rPr>
          <w:bCs/>
          <w:szCs w:val="22"/>
        </w:rPr>
        <w:t xml:space="preserve"> sa smrtnim ishodom, kao što su: </w:t>
      </w:r>
      <w:r w:rsidRPr="00996FE6">
        <w:rPr>
          <w:bCs/>
          <w:i/>
          <w:szCs w:val="22"/>
        </w:rPr>
        <w:t>Stevens-Johnson</w:t>
      </w:r>
      <w:r w:rsidRPr="00996FE6">
        <w:rPr>
          <w:bCs/>
          <w:szCs w:val="22"/>
        </w:rPr>
        <w:t>-ov sindrom (SJS), toksična epidermalna</w:t>
      </w:r>
      <w:r w:rsidR="00EC2C74" w:rsidRPr="00996FE6">
        <w:rPr>
          <w:bCs/>
          <w:szCs w:val="22"/>
        </w:rPr>
        <w:t xml:space="preserve"> </w:t>
      </w:r>
      <w:r w:rsidRPr="00996FE6">
        <w:rPr>
          <w:bCs/>
          <w:szCs w:val="22"/>
        </w:rPr>
        <w:t>nekroliza (TEN), reakcije na l</w:t>
      </w:r>
      <w:r w:rsidR="00A41EAC" w:rsidRPr="00996FE6">
        <w:rPr>
          <w:bCs/>
          <w:szCs w:val="22"/>
        </w:rPr>
        <w:t>ij</w:t>
      </w:r>
      <w:r w:rsidRPr="00996FE6">
        <w:rPr>
          <w:bCs/>
          <w:szCs w:val="22"/>
        </w:rPr>
        <w:t>ek praćene eozinofilijom i sistemskim simptomima (DRESS sindrom), akutna generalizovana egzantematozna pustuloza (AGEP) (vid</w:t>
      </w:r>
      <w:r w:rsidR="00A41EAC" w:rsidRPr="00996FE6">
        <w:rPr>
          <w:bCs/>
          <w:szCs w:val="22"/>
        </w:rPr>
        <w:t>j</w:t>
      </w:r>
      <w:r w:rsidRPr="00996FE6">
        <w:rPr>
          <w:bCs/>
          <w:szCs w:val="22"/>
        </w:rPr>
        <w:t xml:space="preserve">eti </w:t>
      </w:r>
      <w:r w:rsidR="00EC2C74" w:rsidRPr="00996FE6">
        <w:rPr>
          <w:bCs/>
          <w:szCs w:val="22"/>
        </w:rPr>
        <w:t xml:space="preserve">dio </w:t>
      </w:r>
      <w:r w:rsidRPr="00996FE6">
        <w:rPr>
          <w:bCs/>
          <w:szCs w:val="22"/>
        </w:rPr>
        <w:t>4.8). Većina ovih reakcija pojavljuje se u</w:t>
      </w:r>
      <w:r w:rsidR="00EC2C74" w:rsidRPr="00996FE6">
        <w:rPr>
          <w:bCs/>
          <w:szCs w:val="22"/>
        </w:rPr>
        <w:t xml:space="preserve"> </w:t>
      </w:r>
      <w:r w:rsidRPr="00996FE6">
        <w:rPr>
          <w:bCs/>
          <w:szCs w:val="22"/>
        </w:rPr>
        <w:t xml:space="preserve">toku nekoliko prvih </w:t>
      </w:r>
      <w:proofErr w:type="gramStart"/>
      <w:r w:rsidRPr="00996FE6">
        <w:rPr>
          <w:bCs/>
          <w:szCs w:val="22"/>
        </w:rPr>
        <w:t>dana</w:t>
      </w:r>
      <w:proofErr w:type="gramEnd"/>
      <w:r w:rsidRPr="00996FE6">
        <w:rPr>
          <w:bCs/>
          <w:szCs w:val="22"/>
        </w:rPr>
        <w:t xml:space="preserve"> do osam ned</w:t>
      </w:r>
      <w:r w:rsidR="00A41EAC" w:rsidRPr="00996FE6">
        <w:rPr>
          <w:bCs/>
          <w:szCs w:val="22"/>
        </w:rPr>
        <w:t>j</w:t>
      </w:r>
      <w:r w:rsidRPr="00996FE6">
        <w:rPr>
          <w:bCs/>
          <w:szCs w:val="22"/>
        </w:rPr>
        <w:t>elja nakon početka prim</w:t>
      </w:r>
      <w:r w:rsidR="00A41EAC" w:rsidRPr="00996FE6">
        <w:rPr>
          <w:bCs/>
          <w:szCs w:val="22"/>
        </w:rPr>
        <w:t>j</w:t>
      </w:r>
      <w:r w:rsidRPr="00996FE6">
        <w:rPr>
          <w:bCs/>
          <w:szCs w:val="22"/>
        </w:rPr>
        <w:t>ene l</w:t>
      </w:r>
      <w:r w:rsidR="00A41EAC" w:rsidRPr="00996FE6">
        <w:rPr>
          <w:bCs/>
          <w:szCs w:val="22"/>
        </w:rPr>
        <w:t>ij</w:t>
      </w:r>
      <w:r w:rsidRPr="00996FE6">
        <w:rPr>
          <w:bCs/>
          <w:szCs w:val="22"/>
        </w:rPr>
        <w:t>eka.</w:t>
      </w:r>
    </w:p>
    <w:p w14:paraId="53CC3E9D" w14:textId="32106B83" w:rsidR="00B97F2C" w:rsidRPr="00996FE6" w:rsidRDefault="006A5D2F" w:rsidP="00E61461">
      <w:pPr>
        <w:rPr>
          <w:bCs/>
          <w:szCs w:val="22"/>
        </w:rPr>
      </w:pPr>
      <w:r w:rsidRPr="00996FE6">
        <w:rPr>
          <w:bCs/>
          <w:szCs w:val="22"/>
        </w:rPr>
        <w:t>Za vr</w:t>
      </w:r>
      <w:r w:rsidR="00A41EAC" w:rsidRPr="00996FE6">
        <w:rPr>
          <w:bCs/>
          <w:szCs w:val="22"/>
        </w:rPr>
        <w:t>ij</w:t>
      </w:r>
      <w:r w:rsidRPr="00996FE6">
        <w:rPr>
          <w:bCs/>
          <w:szCs w:val="22"/>
        </w:rPr>
        <w:t>eme l</w:t>
      </w:r>
      <w:r w:rsidR="00A41EAC" w:rsidRPr="00996FE6">
        <w:rPr>
          <w:bCs/>
          <w:szCs w:val="22"/>
        </w:rPr>
        <w:t>ij</w:t>
      </w:r>
      <w:r w:rsidRPr="00996FE6">
        <w:rPr>
          <w:bCs/>
          <w:szCs w:val="22"/>
        </w:rPr>
        <w:t>ečenja pacijente treba obav</w:t>
      </w:r>
      <w:r w:rsidR="00A41EAC" w:rsidRPr="00996FE6">
        <w:rPr>
          <w:bCs/>
          <w:szCs w:val="22"/>
        </w:rPr>
        <w:t>ij</w:t>
      </w:r>
      <w:r w:rsidRPr="00996FE6">
        <w:rPr>
          <w:bCs/>
          <w:szCs w:val="22"/>
        </w:rPr>
        <w:t>estiti o znacima i simptomima neželjenih reakcija kože i pažljivo ih</w:t>
      </w:r>
      <w:r w:rsidR="00A41EAC" w:rsidRPr="00996FE6">
        <w:rPr>
          <w:bCs/>
          <w:szCs w:val="22"/>
        </w:rPr>
        <w:t xml:space="preserve"> </w:t>
      </w:r>
      <w:r w:rsidRPr="00996FE6">
        <w:rPr>
          <w:bCs/>
          <w:szCs w:val="22"/>
        </w:rPr>
        <w:t xml:space="preserve">pratiti. Ako se pojave znaci i simptomi koji ukazuju </w:t>
      </w:r>
      <w:proofErr w:type="gramStart"/>
      <w:r w:rsidRPr="00996FE6">
        <w:rPr>
          <w:bCs/>
          <w:szCs w:val="22"/>
        </w:rPr>
        <w:t>na</w:t>
      </w:r>
      <w:proofErr w:type="gramEnd"/>
      <w:r w:rsidRPr="00996FE6">
        <w:rPr>
          <w:bCs/>
          <w:szCs w:val="22"/>
        </w:rPr>
        <w:t xml:space="preserve"> ove reakcije, prim</w:t>
      </w:r>
      <w:r w:rsidR="00A41EAC" w:rsidRPr="00996FE6">
        <w:rPr>
          <w:bCs/>
          <w:szCs w:val="22"/>
        </w:rPr>
        <w:t>j</w:t>
      </w:r>
      <w:r w:rsidRPr="00996FE6">
        <w:rPr>
          <w:bCs/>
          <w:szCs w:val="22"/>
        </w:rPr>
        <w:t>enu vankomicina treba odmah</w:t>
      </w:r>
      <w:r w:rsidR="00EC2C74" w:rsidRPr="00996FE6">
        <w:rPr>
          <w:bCs/>
          <w:szCs w:val="22"/>
        </w:rPr>
        <w:t xml:space="preserve"> </w:t>
      </w:r>
      <w:r w:rsidRPr="00996FE6">
        <w:rPr>
          <w:bCs/>
          <w:szCs w:val="22"/>
        </w:rPr>
        <w:t>obustaviti i razmotriti drugu terapiju. Ako je pacijent tokom prim</w:t>
      </w:r>
      <w:r w:rsidR="00A41EAC" w:rsidRPr="00996FE6">
        <w:rPr>
          <w:bCs/>
          <w:szCs w:val="22"/>
        </w:rPr>
        <w:t>j</w:t>
      </w:r>
      <w:r w:rsidRPr="00996FE6">
        <w:rPr>
          <w:bCs/>
          <w:szCs w:val="22"/>
        </w:rPr>
        <w:t>ene vankomicina razvio teške neželjene</w:t>
      </w:r>
      <w:r w:rsidR="00EC2C74" w:rsidRPr="00996FE6">
        <w:rPr>
          <w:bCs/>
          <w:szCs w:val="22"/>
        </w:rPr>
        <w:t xml:space="preserve"> </w:t>
      </w:r>
      <w:r w:rsidRPr="00996FE6">
        <w:rPr>
          <w:bCs/>
          <w:szCs w:val="22"/>
        </w:rPr>
        <w:t>reakcije kože (SCAR), l</w:t>
      </w:r>
      <w:r w:rsidR="00A41EAC" w:rsidRPr="00996FE6">
        <w:rPr>
          <w:bCs/>
          <w:szCs w:val="22"/>
        </w:rPr>
        <w:t>ij</w:t>
      </w:r>
      <w:r w:rsidRPr="00996FE6">
        <w:rPr>
          <w:bCs/>
          <w:szCs w:val="22"/>
        </w:rPr>
        <w:t>ečenje vankomicinom se ne sm</w:t>
      </w:r>
      <w:r w:rsidR="00A41EAC" w:rsidRPr="00996FE6">
        <w:rPr>
          <w:bCs/>
          <w:szCs w:val="22"/>
        </w:rPr>
        <w:t>ij</w:t>
      </w:r>
      <w:r w:rsidRPr="00996FE6">
        <w:rPr>
          <w:bCs/>
          <w:szCs w:val="22"/>
        </w:rPr>
        <w:t>e ponovo započeti.</w:t>
      </w:r>
    </w:p>
    <w:p w14:paraId="5761EF5C" w14:textId="77777777" w:rsidR="00B97F2C" w:rsidRPr="00996FE6" w:rsidRDefault="00B97F2C" w:rsidP="00E61461">
      <w:pPr>
        <w:rPr>
          <w:bCs/>
          <w:szCs w:val="22"/>
        </w:rPr>
      </w:pPr>
    </w:p>
    <w:p w14:paraId="5541CDFC" w14:textId="446077D3" w:rsidR="00B97F2C" w:rsidRPr="00986F86" w:rsidRDefault="00B97F2C" w:rsidP="00B97F2C">
      <w:pPr>
        <w:jc w:val="left"/>
        <w:rPr>
          <w:bCs/>
          <w:szCs w:val="22"/>
          <w:u w:val="single"/>
        </w:rPr>
      </w:pPr>
      <w:r w:rsidRPr="00986F86">
        <w:rPr>
          <w:bCs/>
          <w:szCs w:val="22"/>
          <w:u w:val="single"/>
        </w:rPr>
        <w:t xml:space="preserve">Reakcije povezane </w:t>
      </w:r>
      <w:proofErr w:type="gramStart"/>
      <w:r w:rsidRPr="00986F86">
        <w:rPr>
          <w:bCs/>
          <w:szCs w:val="22"/>
          <w:u w:val="single"/>
        </w:rPr>
        <w:t>sa</w:t>
      </w:r>
      <w:proofErr w:type="gramEnd"/>
      <w:r w:rsidRPr="00986F86">
        <w:rPr>
          <w:bCs/>
          <w:szCs w:val="22"/>
          <w:u w:val="single"/>
        </w:rPr>
        <w:t xml:space="preserve"> m</w:t>
      </w:r>
      <w:r w:rsidR="006A36E2" w:rsidRPr="00986F86">
        <w:rPr>
          <w:bCs/>
          <w:szCs w:val="22"/>
          <w:u w:val="single"/>
        </w:rPr>
        <w:t>j</w:t>
      </w:r>
      <w:r w:rsidRPr="00986F86">
        <w:rPr>
          <w:bCs/>
          <w:szCs w:val="22"/>
          <w:u w:val="single"/>
        </w:rPr>
        <w:t>estom prim</w:t>
      </w:r>
      <w:r w:rsidR="006A36E2" w:rsidRPr="00986F86">
        <w:rPr>
          <w:bCs/>
          <w:szCs w:val="22"/>
          <w:u w:val="single"/>
        </w:rPr>
        <w:t>j</w:t>
      </w:r>
      <w:r w:rsidRPr="00986F86">
        <w:rPr>
          <w:bCs/>
          <w:szCs w:val="22"/>
          <w:u w:val="single"/>
        </w:rPr>
        <w:t>ene</w:t>
      </w:r>
    </w:p>
    <w:p w14:paraId="103F3741" w14:textId="073FD387" w:rsidR="00B97F2C" w:rsidRPr="00986F86" w:rsidRDefault="00B97F2C" w:rsidP="00E61461">
      <w:pPr>
        <w:tabs>
          <w:tab w:val="left" w:pos="7938"/>
        </w:tabs>
        <w:rPr>
          <w:bCs/>
          <w:szCs w:val="22"/>
        </w:rPr>
      </w:pPr>
      <w:r w:rsidRPr="00986F86">
        <w:rPr>
          <w:bCs/>
          <w:szCs w:val="22"/>
        </w:rPr>
        <w:t xml:space="preserve">Bol </w:t>
      </w:r>
      <w:proofErr w:type="gramStart"/>
      <w:r w:rsidRPr="00986F86">
        <w:rPr>
          <w:bCs/>
          <w:szCs w:val="22"/>
        </w:rPr>
        <w:t>na</w:t>
      </w:r>
      <w:proofErr w:type="gramEnd"/>
      <w:r w:rsidRPr="00986F86">
        <w:rPr>
          <w:bCs/>
          <w:szCs w:val="22"/>
        </w:rPr>
        <w:t xml:space="preserve"> m</w:t>
      </w:r>
      <w:r w:rsidR="006A36E2" w:rsidRPr="00986F86">
        <w:rPr>
          <w:bCs/>
          <w:szCs w:val="22"/>
        </w:rPr>
        <w:t>j</w:t>
      </w:r>
      <w:r w:rsidRPr="00986F86">
        <w:rPr>
          <w:bCs/>
          <w:szCs w:val="22"/>
        </w:rPr>
        <w:t>estu prim</w:t>
      </w:r>
      <w:r w:rsidR="006A36E2" w:rsidRPr="00986F86">
        <w:rPr>
          <w:bCs/>
          <w:szCs w:val="22"/>
        </w:rPr>
        <w:t>j</w:t>
      </w:r>
      <w:r w:rsidRPr="00986F86">
        <w:rPr>
          <w:bCs/>
          <w:szCs w:val="22"/>
        </w:rPr>
        <w:t>ene i tromboflebitis mogu se javiti kao povremeno teške reakcije kod mnogih pacijenata koji primaju vankomicin intavenskim putem. Učestalost i ozbiljnost tromboflebitisa</w:t>
      </w:r>
      <w:r w:rsidRPr="00986F86">
        <w:rPr>
          <w:szCs w:val="22"/>
        </w:rPr>
        <w:t xml:space="preserve"> </w:t>
      </w:r>
      <w:r w:rsidRPr="00986F86">
        <w:rPr>
          <w:bCs/>
          <w:szCs w:val="22"/>
        </w:rPr>
        <w:t xml:space="preserve">može se svesti </w:t>
      </w:r>
      <w:proofErr w:type="gramStart"/>
      <w:r w:rsidRPr="00986F86">
        <w:rPr>
          <w:bCs/>
          <w:szCs w:val="22"/>
        </w:rPr>
        <w:t>na</w:t>
      </w:r>
      <w:proofErr w:type="gramEnd"/>
      <w:r w:rsidR="00983E81" w:rsidRPr="00986F86">
        <w:rPr>
          <w:bCs/>
          <w:szCs w:val="22"/>
        </w:rPr>
        <w:t xml:space="preserve"> </w:t>
      </w:r>
      <w:r w:rsidRPr="00986F86">
        <w:rPr>
          <w:bCs/>
          <w:szCs w:val="22"/>
        </w:rPr>
        <w:t>minimum ukoliko se l</w:t>
      </w:r>
      <w:r w:rsidR="006A36E2" w:rsidRPr="00986F86">
        <w:rPr>
          <w:bCs/>
          <w:szCs w:val="22"/>
        </w:rPr>
        <w:t>ij</w:t>
      </w:r>
      <w:r w:rsidRPr="00986F86">
        <w:rPr>
          <w:bCs/>
          <w:szCs w:val="22"/>
        </w:rPr>
        <w:t>ek prim</w:t>
      </w:r>
      <w:r w:rsidR="00983E81" w:rsidRPr="00986F86">
        <w:rPr>
          <w:bCs/>
          <w:szCs w:val="22"/>
        </w:rPr>
        <w:t>j</w:t>
      </w:r>
      <w:r w:rsidRPr="00986F86">
        <w:rPr>
          <w:bCs/>
          <w:szCs w:val="22"/>
        </w:rPr>
        <w:t>enjuje polako, kao razblaženi rastvor i ako se redovno m</w:t>
      </w:r>
      <w:r w:rsidR="006A36E2" w:rsidRPr="00986F86">
        <w:rPr>
          <w:bCs/>
          <w:szCs w:val="22"/>
        </w:rPr>
        <w:t>ij</w:t>
      </w:r>
      <w:r w:rsidRPr="00986F86">
        <w:rPr>
          <w:bCs/>
          <w:szCs w:val="22"/>
        </w:rPr>
        <w:t>enja m</w:t>
      </w:r>
      <w:r w:rsidR="006A36E2" w:rsidRPr="00986F86">
        <w:rPr>
          <w:bCs/>
          <w:szCs w:val="22"/>
        </w:rPr>
        <w:t>j</w:t>
      </w:r>
      <w:r w:rsidRPr="00986F86">
        <w:rPr>
          <w:bCs/>
          <w:szCs w:val="22"/>
        </w:rPr>
        <w:t>esto</w:t>
      </w:r>
      <w:r w:rsidR="00983E81" w:rsidRPr="00986F86">
        <w:rPr>
          <w:bCs/>
          <w:szCs w:val="22"/>
        </w:rPr>
        <w:t xml:space="preserve"> </w:t>
      </w:r>
      <w:r w:rsidRPr="00986F86">
        <w:rPr>
          <w:bCs/>
          <w:szCs w:val="22"/>
        </w:rPr>
        <w:t>prim</w:t>
      </w:r>
      <w:r w:rsidR="006A36E2" w:rsidRPr="00986F86">
        <w:rPr>
          <w:bCs/>
          <w:szCs w:val="22"/>
        </w:rPr>
        <w:t>j</w:t>
      </w:r>
      <w:r w:rsidRPr="00986F86">
        <w:rPr>
          <w:bCs/>
          <w:szCs w:val="22"/>
        </w:rPr>
        <w:t>ene l</w:t>
      </w:r>
      <w:r w:rsidR="006A36E2" w:rsidRPr="00986F86">
        <w:rPr>
          <w:bCs/>
          <w:szCs w:val="22"/>
        </w:rPr>
        <w:t>ij</w:t>
      </w:r>
      <w:r w:rsidRPr="00986F86">
        <w:rPr>
          <w:bCs/>
          <w:szCs w:val="22"/>
        </w:rPr>
        <w:t>eka.</w:t>
      </w:r>
    </w:p>
    <w:p w14:paraId="64377AD9" w14:textId="36A2A7CD" w:rsidR="00B97F2C" w:rsidRPr="00986F86" w:rsidRDefault="00B97F2C" w:rsidP="00E61461">
      <w:pPr>
        <w:rPr>
          <w:szCs w:val="22"/>
        </w:rPr>
      </w:pPr>
      <w:r w:rsidRPr="00986F86">
        <w:rPr>
          <w:szCs w:val="22"/>
        </w:rPr>
        <w:t>Efikasnost i bezb</w:t>
      </w:r>
      <w:r w:rsidR="006A36E2" w:rsidRPr="00986F86">
        <w:rPr>
          <w:szCs w:val="22"/>
        </w:rPr>
        <w:t>j</w:t>
      </w:r>
      <w:r w:rsidRPr="00986F86">
        <w:rPr>
          <w:szCs w:val="22"/>
        </w:rPr>
        <w:t>ednost vankomicina prim</w:t>
      </w:r>
      <w:r w:rsidR="00983E81" w:rsidRPr="00986F86">
        <w:rPr>
          <w:szCs w:val="22"/>
        </w:rPr>
        <w:t>i</w:t>
      </w:r>
      <w:r w:rsidR="00E01D33" w:rsidRPr="00986F86">
        <w:rPr>
          <w:szCs w:val="22"/>
        </w:rPr>
        <w:t>j</w:t>
      </w:r>
      <w:r w:rsidRPr="00986F86">
        <w:rPr>
          <w:szCs w:val="22"/>
        </w:rPr>
        <w:t xml:space="preserve">enjenog intratekalnim, intralumbalnim i intraventrikularnim putem nije utvrđena. </w:t>
      </w:r>
    </w:p>
    <w:p w14:paraId="3F70C68D" w14:textId="77777777" w:rsidR="00B97F2C" w:rsidRPr="00986F86" w:rsidRDefault="00B97F2C" w:rsidP="00E61461">
      <w:pPr>
        <w:rPr>
          <w:szCs w:val="22"/>
          <w:u w:val="single"/>
        </w:rPr>
      </w:pPr>
    </w:p>
    <w:p w14:paraId="647DE264" w14:textId="77777777" w:rsidR="00B97F2C" w:rsidRPr="00986F86" w:rsidRDefault="00B97F2C" w:rsidP="00E61461">
      <w:pPr>
        <w:rPr>
          <w:szCs w:val="22"/>
          <w:u w:val="single"/>
        </w:rPr>
      </w:pPr>
      <w:r w:rsidRPr="00986F86">
        <w:rPr>
          <w:szCs w:val="22"/>
          <w:u w:val="single"/>
        </w:rPr>
        <w:t>Nefrotoksičnost</w:t>
      </w:r>
    </w:p>
    <w:p w14:paraId="4C6307FE" w14:textId="299506CC" w:rsidR="00B97F2C" w:rsidRPr="00986F86" w:rsidRDefault="00B97F2C" w:rsidP="00E61461">
      <w:pPr>
        <w:rPr>
          <w:szCs w:val="22"/>
        </w:rPr>
      </w:pPr>
      <w:r w:rsidRPr="00986F86">
        <w:rPr>
          <w:szCs w:val="22"/>
        </w:rPr>
        <w:t>Vankomicin treba prim</w:t>
      </w:r>
      <w:r w:rsidR="00E01D33" w:rsidRPr="00986F86">
        <w:rPr>
          <w:szCs w:val="22"/>
        </w:rPr>
        <w:t>j</w:t>
      </w:r>
      <w:r w:rsidRPr="00986F86">
        <w:rPr>
          <w:szCs w:val="22"/>
        </w:rPr>
        <w:t xml:space="preserve">enjivati </w:t>
      </w:r>
      <w:proofErr w:type="gramStart"/>
      <w:r w:rsidRPr="00986F86">
        <w:rPr>
          <w:szCs w:val="22"/>
        </w:rPr>
        <w:t>sa</w:t>
      </w:r>
      <w:proofErr w:type="gramEnd"/>
      <w:r w:rsidRPr="00986F86">
        <w:rPr>
          <w:szCs w:val="22"/>
        </w:rPr>
        <w:t xml:space="preserve"> posebnom pažnjom kod pacijenata sa insuficijencijom bubrega, uključujući anuriju, jer je mogućnost pojave toksičnih dejstava znatno veća u slučaju produženih visokih koncentracija l</w:t>
      </w:r>
      <w:r w:rsidR="00E01D33" w:rsidRPr="00986F86">
        <w:rPr>
          <w:szCs w:val="22"/>
        </w:rPr>
        <w:t>ij</w:t>
      </w:r>
      <w:r w:rsidRPr="00986F86">
        <w:rPr>
          <w:szCs w:val="22"/>
        </w:rPr>
        <w:t>eka u krvi. Visoke koncentracije l</w:t>
      </w:r>
      <w:r w:rsidR="00E01D33" w:rsidRPr="00986F86">
        <w:rPr>
          <w:szCs w:val="22"/>
        </w:rPr>
        <w:t>ij</w:t>
      </w:r>
      <w:r w:rsidRPr="00986F86">
        <w:rPr>
          <w:szCs w:val="22"/>
        </w:rPr>
        <w:t xml:space="preserve">eka u krvi </w:t>
      </w:r>
      <w:proofErr w:type="gramStart"/>
      <w:r w:rsidRPr="00986F86">
        <w:rPr>
          <w:szCs w:val="22"/>
        </w:rPr>
        <w:t>ili</w:t>
      </w:r>
      <w:proofErr w:type="gramEnd"/>
      <w:r w:rsidRPr="00986F86">
        <w:rPr>
          <w:szCs w:val="22"/>
        </w:rPr>
        <w:t xml:space="preserve"> produženo trajanje terapije povećavaju rizik od toksičnosti.  </w:t>
      </w:r>
    </w:p>
    <w:p w14:paraId="0E368A2C" w14:textId="77777777" w:rsidR="00B97F2C" w:rsidRPr="00986F86" w:rsidRDefault="00B97F2C" w:rsidP="00E61461">
      <w:pPr>
        <w:rPr>
          <w:szCs w:val="22"/>
        </w:rPr>
      </w:pPr>
    </w:p>
    <w:p w14:paraId="5D5F66DD" w14:textId="098580AD" w:rsidR="00B97F2C" w:rsidRPr="00986F86" w:rsidRDefault="00B97F2C" w:rsidP="00E61461">
      <w:pPr>
        <w:rPr>
          <w:szCs w:val="22"/>
        </w:rPr>
      </w:pPr>
      <w:r w:rsidRPr="00986F86">
        <w:rPr>
          <w:szCs w:val="22"/>
        </w:rPr>
        <w:t>Kontinuirano praćenje koncentracije vankomicina u krvi indikovano je u terapiji velikim dozama i kod  dugotrajne prim</w:t>
      </w:r>
      <w:r w:rsidR="00E01D33" w:rsidRPr="00986F86">
        <w:rPr>
          <w:szCs w:val="22"/>
        </w:rPr>
        <w:t>j</w:t>
      </w:r>
      <w:r w:rsidRPr="00986F86">
        <w:rPr>
          <w:szCs w:val="22"/>
        </w:rPr>
        <w:t xml:space="preserve">ene, posebno kod pacijenata </w:t>
      </w:r>
      <w:r w:rsidRPr="00986F86">
        <w:rPr>
          <w:bCs/>
          <w:szCs w:val="22"/>
        </w:rPr>
        <w:t>sa renalnom disfunkcijom ili oštećenjem sluha</w:t>
      </w:r>
      <w:r w:rsidRPr="00986F86">
        <w:rPr>
          <w:szCs w:val="22"/>
        </w:rPr>
        <w:t xml:space="preserve"> kao i kod pacijenata  </w:t>
      </w:r>
      <w:r w:rsidRPr="00986F86">
        <w:rPr>
          <w:bCs/>
          <w:szCs w:val="22"/>
        </w:rPr>
        <w:t>koji su bili na istovremenoj terapiji sa drugim nefrotoksičnim ili ototoksičnim l</w:t>
      </w:r>
      <w:r w:rsidR="00E01D33" w:rsidRPr="00986F86">
        <w:rPr>
          <w:bCs/>
          <w:szCs w:val="22"/>
        </w:rPr>
        <w:t>j</w:t>
      </w:r>
      <w:r w:rsidRPr="00986F86">
        <w:rPr>
          <w:bCs/>
          <w:szCs w:val="22"/>
        </w:rPr>
        <w:t>ekovima (vid</w:t>
      </w:r>
      <w:r w:rsidR="00E01D33" w:rsidRPr="00986F86">
        <w:rPr>
          <w:bCs/>
          <w:szCs w:val="22"/>
        </w:rPr>
        <w:t>j</w:t>
      </w:r>
      <w:r w:rsidRPr="00986F86">
        <w:rPr>
          <w:bCs/>
          <w:szCs w:val="22"/>
        </w:rPr>
        <w:t xml:space="preserve">eti </w:t>
      </w:r>
      <w:r w:rsidR="00983E81" w:rsidRPr="00986F86">
        <w:rPr>
          <w:bCs/>
          <w:szCs w:val="22"/>
        </w:rPr>
        <w:t xml:space="preserve">djelove </w:t>
      </w:r>
      <w:r w:rsidR="006A5D2F" w:rsidRPr="00986F86">
        <w:rPr>
          <w:bCs/>
          <w:szCs w:val="22"/>
        </w:rPr>
        <w:t>4.2 i 4.5</w:t>
      </w:r>
      <w:r w:rsidRPr="00986F86">
        <w:rPr>
          <w:bCs/>
          <w:szCs w:val="22"/>
        </w:rPr>
        <w:t>).</w:t>
      </w:r>
    </w:p>
    <w:p w14:paraId="2FFA24EC" w14:textId="77777777" w:rsidR="00B97F2C" w:rsidRPr="00986F86" w:rsidRDefault="00B97F2C" w:rsidP="00E61461">
      <w:pPr>
        <w:rPr>
          <w:szCs w:val="22"/>
          <w:u w:val="single"/>
        </w:rPr>
      </w:pPr>
    </w:p>
    <w:p w14:paraId="2A673625" w14:textId="77777777" w:rsidR="00B97F2C" w:rsidRPr="00986F86" w:rsidRDefault="00B97F2C" w:rsidP="00E61461">
      <w:pPr>
        <w:rPr>
          <w:szCs w:val="22"/>
          <w:u w:val="single"/>
        </w:rPr>
      </w:pPr>
      <w:r w:rsidRPr="00986F86">
        <w:rPr>
          <w:szCs w:val="22"/>
          <w:u w:val="single"/>
        </w:rPr>
        <w:t>Pedijatrijska populacija</w:t>
      </w:r>
    </w:p>
    <w:p w14:paraId="5494FD0F" w14:textId="61A62950" w:rsidR="00B97F2C" w:rsidRPr="00986F86" w:rsidRDefault="00B97F2C" w:rsidP="00E61461">
      <w:pPr>
        <w:rPr>
          <w:szCs w:val="22"/>
        </w:rPr>
      </w:pPr>
      <w:r w:rsidRPr="00986F86">
        <w:rPr>
          <w:szCs w:val="22"/>
        </w:rPr>
        <w:t>Trenutne preporuke za intravensko doziranje kod pedijatrijske populacije, posebno za d</w:t>
      </w:r>
      <w:r w:rsidR="00E01D33" w:rsidRPr="00986F86">
        <w:rPr>
          <w:szCs w:val="22"/>
        </w:rPr>
        <w:t>j</w:t>
      </w:r>
      <w:r w:rsidRPr="00986F86">
        <w:rPr>
          <w:szCs w:val="22"/>
        </w:rPr>
        <w:t xml:space="preserve">ecu uzrasta mlađeg </w:t>
      </w:r>
      <w:proofErr w:type="gramStart"/>
      <w:r w:rsidRPr="00986F86">
        <w:rPr>
          <w:szCs w:val="22"/>
        </w:rPr>
        <w:t>od</w:t>
      </w:r>
      <w:proofErr w:type="gramEnd"/>
      <w:r w:rsidRPr="00986F86">
        <w:rPr>
          <w:szCs w:val="22"/>
        </w:rPr>
        <w:t xml:space="preserve"> 12 godina, mogu dovesti do subterapijske koncentracije vankomicina kod značajnog broja d</w:t>
      </w:r>
      <w:r w:rsidR="00E01D33" w:rsidRPr="00986F86">
        <w:rPr>
          <w:szCs w:val="22"/>
        </w:rPr>
        <w:t>j</w:t>
      </w:r>
      <w:r w:rsidRPr="00986F86">
        <w:rPr>
          <w:szCs w:val="22"/>
        </w:rPr>
        <w:t>ece. Međutim, bezb</w:t>
      </w:r>
      <w:r w:rsidR="00E01D33" w:rsidRPr="00986F86">
        <w:rPr>
          <w:szCs w:val="22"/>
        </w:rPr>
        <w:t>j</w:t>
      </w:r>
      <w:r w:rsidRPr="00986F86">
        <w:rPr>
          <w:szCs w:val="22"/>
        </w:rPr>
        <w:t>ednost povećanja doze vankomicina nije proc</w:t>
      </w:r>
      <w:r w:rsidR="00E01D33" w:rsidRPr="00986F86">
        <w:rPr>
          <w:szCs w:val="22"/>
        </w:rPr>
        <w:t>ij</w:t>
      </w:r>
      <w:r w:rsidRPr="00986F86">
        <w:rPr>
          <w:szCs w:val="22"/>
        </w:rPr>
        <w:t xml:space="preserve">enjena </w:t>
      </w:r>
      <w:proofErr w:type="gramStart"/>
      <w:r w:rsidRPr="00986F86">
        <w:rPr>
          <w:szCs w:val="22"/>
        </w:rPr>
        <w:t>na</w:t>
      </w:r>
      <w:proofErr w:type="gramEnd"/>
      <w:r w:rsidRPr="00986F86">
        <w:rPr>
          <w:szCs w:val="22"/>
        </w:rPr>
        <w:t xml:space="preserve"> odgovarajući način i generalno se ne preporučuju doze veće od 60 mg/kg/dan.</w:t>
      </w:r>
    </w:p>
    <w:p w14:paraId="72BD1D8F" w14:textId="77777777" w:rsidR="00B97F2C" w:rsidRPr="00986F86" w:rsidRDefault="00B97F2C" w:rsidP="00E61461">
      <w:pPr>
        <w:rPr>
          <w:szCs w:val="22"/>
        </w:rPr>
      </w:pPr>
    </w:p>
    <w:p w14:paraId="5C23F37B" w14:textId="1BDB4D8E" w:rsidR="00B97F2C" w:rsidRPr="00996FE6" w:rsidRDefault="00B97F2C" w:rsidP="00E61461">
      <w:pPr>
        <w:rPr>
          <w:bCs/>
          <w:szCs w:val="22"/>
          <w:lang w:val="sv-SE"/>
        </w:rPr>
      </w:pPr>
      <w:r w:rsidRPr="00986F86">
        <w:rPr>
          <w:szCs w:val="22"/>
        </w:rPr>
        <w:t xml:space="preserve">Vankomicin se </w:t>
      </w:r>
      <w:proofErr w:type="gramStart"/>
      <w:r w:rsidRPr="00986F86">
        <w:rPr>
          <w:szCs w:val="22"/>
        </w:rPr>
        <w:t>sa</w:t>
      </w:r>
      <w:proofErr w:type="gramEnd"/>
      <w:r w:rsidRPr="00986F86">
        <w:rPr>
          <w:szCs w:val="22"/>
        </w:rPr>
        <w:t xml:space="preserve"> posebnom pažnjom mora prim</w:t>
      </w:r>
      <w:r w:rsidR="00E01D33" w:rsidRPr="00986F86">
        <w:rPr>
          <w:szCs w:val="22"/>
        </w:rPr>
        <w:t>j</w:t>
      </w:r>
      <w:r w:rsidRPr="00986F86">
        <w:rPr>
          <w:szCs w:val="22"/>
        </w:rPr>
        <w:t>enjivati kod pr</w:t>
      </w:r>
      <w:r w:rsidR="00E01D33" w:rsidRPr="00986F86">
        <w:rPr>
          <w:szCs w:val="22"/>
        </w:rPr>
        <w:t>ij</w:t>
      </w:r>
      <w:r w:rsidRPr="00986F86">
        <w:rPr>
          <w:szCs w:val="22"/>
        </w:rPr>
        <w:t>evremeno rođene d</w:t>
      </w:r>
      <w:r w:rsidR="00E01D33" w:rsidRPr="00986F86">
        <w:rPr>
          <w:szCs w:val="22"/>
        </w:rPr>
        <w:t>j</w:t>
      </w:r>
      <w:r w:rsidRPr="00986F86">
        <w:rPr>
          <w:szCs w:val="22"/>
        </w:rPr>
        <w:t>ece i novorođenčadi zbog nedovoljne razvijenosti funkcije bubrega i mogućeg porasta koncentracije vankomicina u serumu. Kod ove d</w:t>
      </w:r>
      <w:r w:rsidR="00E01D33" w:rsidRPr="00986F86">
        <w:rPr>
          <w:szCs w:val="22"/>
        </w:rPr>
        <w:t>j</w:t>
      </w:r>
      <w:r w:rsidRPr="00986F86">
        <w:rPr>
          <w:szCs w:val="22"/>
        </w:rPr>
        <w:t xml:space="preserve">ece treba pažljivo pratiti koncentracije vankomicina u krvi. </w:t>
      </w:r>
      <w:r w:rsidRPr="00996FE6">
        <w:rPr>
          <w:szCs w:val="22"/>
          <w:lang w:val="sv-SE"/>
        </w:rPr>
        <w:t>Istovremena prim</w:t>
      </w:r>
      <w:r w:rsidR="00E01D33" w:rsidRPr="00996FE6">
        <w:rPr>
          <w:szCs w:val="22"/>
          <w:lang w:val="sv-SE"/>
        </w:rPr>
        <w:t>j</w:t>
      </w:r>
      <w:r w:rsidRPr="00996FE6">
        <w:rPr>
          <w:szCs w:val="22"/>
          <w:lang w:val="sv-SE"/>
        </w:rPr>
        <w:t>ena vankomicina i anestetika je povezana sa pojavom eritema i crvenila sličnog onom koji izaziva histamin kod d</w:t>
      </w:r>
      <w:r w:rsidR="00E01D33" w:rsidRPr="00996FE6">
        <w:rPr>
          <w:szCs w:val="22"/>
          <w:lang w:val="sv-SE"/>
        </w:rPr>
        <w:t>j</w:t>
      </w:r>
      <w:r w:rsidRPr="00996FE6">
        <w:rPr>
          <w:szCs w:val="22"/>
          <w:lang w:val="sv-SE"/>
        </w:rPr>
        <w:t>ece. Slično tome, istovremena prim</w:t>
      </w:r>
      <w:r w:rsidR="00E01D33" w:rsidRPr="00996FE6">
        <w:rPr>
          <w:szCs w:val="22"/>
          <w:lang w:val="sv-SE"/>
        </w:rPr>
        <w:t>j</w:t>
      </w:r>
      <w:r w:rsidRPr="00996FE6">
        <w:rPr>
          <w:szCs w:val="22"/>
          <w:lang w:val="sv-SE"/>
        </w:rPr>
        <w:t>ena sa nefrotoksičnim l</w:t>
      </w:r>
      <w:r w:rsidR="00E01D33" w:rsidRPr="00996FE6">
        <w:rPr>
          <w:szCs w:val="22"/>
          <w:lang w:val="sv-SE"/>
        </w:rPr>
        <w:t>j</w:t>
      </w:r>
      <w:r w:rsidRPr="00996FE6">
        <w:rPr>
          <w:szCs w:val="22"/>
          <w:lang w:val="sv-SE"/>
        </w:rPr>
        <w:t>ekovima kao što su aminoglikozidni antibiotici, NSAIL- nesteroidni antiinflamatorni l</w:t>
      </w:r>
      <w:r w:rsidR="00E01D33" w:rsidRPr="00996FE6">
        <w:rPr>
          <w:szCs w:val="22"/>
          <w:lang w:val="sv-SE"/>
        </w:rPr>
        <w:t>j</w:t>
      </w:r>
      <w:r w:rsidRPr="00996FE6">
        <w:rPr>
          <w:szCs w:val="22"/>
          <w:lang w:val="sv-SE"/>
        </w:rPr>
        <w:t xml:space="preserve">ekovi (npr. Ibuprofen za zatvaranje </w:t>
      </w:r>
      <w:r w:rsidRPr="00996FE6">
        <w:rPr>
          <w:i/>
          <w:szCs w:val="22"/>
          <w:lang w:val="sv-SE"/>
        </w:rPr>
        <w:t>ductusa arteriosusa</w:t>
      </w:r>
      <w:r w:rsidRPr="00996FE6">
        <w:rPr>
          <w:szCs w:val="22"/>
          <w:lang w:val="sv-SE"/>
        </w:rPr>
        <w:t>) ili amfotericin B, povezana je sa povećanim rizikom od nefrotoksičnosti (vid</w:t>
      </w:r>
      <w:r w:rsidR="00E01D33" w:rsidRPr="00996FE6">
        <w:rPr>
          <w:szCs w:val="22"/>
          <w:lang w:val="sv-SE"/>
        </w:rPr>
        <w:t>j</w:t>
      </w:r>
      <w:r w:rsidRPr="00996FE6">
        <w:rPr>
          <w:szCs w:val="22"/>
          <w:lang w:val="sv-SE"/>
        </w:rPr>
        <w:t xml:space="preserve">eti </w:t>
      </w:r>
      <w:r w:rsidR="00983E81" w:rsidRPr="00996FE6">
        <w:rPr>
          <w:szCs w:val="22"/>
          <w:lang w:val="sv-SE"/>
        </w:rPr>
        <w:t xml:space="preserve">dio </w:t>
      </w:r>
      <w:r w:rsidRPr="00996FE6">
        <w:rPr>
          <w:szCs w:val="22"/>
          <w:lang w:val="sv-SE"/>
        </w:rPr>
        <w:t>4.5) i zaht</w:t>
      </w:r>
      <w:r w:rsidR="00E01D33" w:rsidRPr="00996FE6">
        <w:rPr>
          <w:szCs w:val="22"/>
          <w:lang w:val="sv-SE"/>
        </w:rPr>
        <w:t>ij</w:t>
      </w:r>
      <w:r w:rsidRPr="00996FE6">
        <w:rPr>
          <w:szCs w:val="22"/>
          <w:lang w:val="sv-SE"/>
        </w:rPr>
        <w:t xml:space="preserve">eva </w:t>
      </w:r>
      <w:r w:rsidRPr="00996FE6">
        <w:rPr>
          <w:bCs/>
          <w:szCs w:val="22"/>
          <w:lang w:val="sv-SE"/>
        </w:rPr>
        <w:t>pažljivije praćenje koncentracije vankomicina u serumu i funkcije bubrega.</w:t>
      </w:r>
    </w:p>
    <w:p w14:paraId="6A408B53" w14:textId="77777777" w:rsidR="00B97F2C" w:rsidRPr="00996FE6" w:rsidRDefault="00B97F2C" w:rsidP="00E61461">
      <w:pPr>
        <w:rPr>
          <w:szCs w:val="22"/>
          <w:lang w:val="sv-SE"/>
        </w:rPr>
      </w:pPr>
    </w:p>
    <w:p w14:paraId="492DE098" w14:textId="77777777" w:rsidR="00B97F2C" w:rsidRPr="00996FE6" w:rsidRDefault="00B97F2C" w:rsidP="00E61461">
      <w:pPr>
        <w:rPr>
          <w:szCs w:val="22"/>
          <w:u w:val="single"/>
          <w:lang w:val="sv-SE"/>
        </w:rPr>
      </w:pPr>
      <w:r w:rsidRPr="00996FE6">
        <w:rPr>
          <w:szCs w:val="22"/>
          <w:u w:val="single"/>
          <w:lang w:val="sv-SE"/>
        </w:rPr>
        <w:t>S</w:t>
      </w:r>
      <w:bookmarkStart w:id="3" w:name="_Hlk518238030"/>
      <w:r w:rsidRPr="00996FE6">
        <w:rPr>
          <w:szCs w:val="22"/>
          <w:u w:val="single"/>
          <w:lang w:val="sv-SE"/>
        </w:rPr>
        <w:t>tariji pacijenti</w:t>
      </w:r>
      <w:bookmarkEnd w:id="3"/>
    </w:p>
    <w:p w14:paraId="000E0136" w14:textId="00CF0E9F" w:rsidR="00B97F2C" w:rsidRPr="00996FE6" w:rsidRDefault="00B97F2C" w:rsidP="00E61461">
      <w:pPr>
        <w:rPr>
          <w:szCs w:val="22"/>
          <w:lang w:val="sv-SE"/>
        </w:rPr>
      </w:pPr>
      <w:r w:rsidRPr="00996FE6">
        <w:rPr>
          <w:szCs w:val="22"/>
          <w:lang w:val="sv-SE"/>
        </w:rPr>
        <w:t xml:space="preserve">Prirodno smanjenje glomerularne filtracije kod starijih pacijenata može dovesti do povećanja koncentracija vankomicina u serumu ako doziranje nije prilagođeno </w:t>
      </w:r>
      <w:r w:rsidRPr="00996FE6">
        <w:rPr>
          <w:bCs/>
          <w:szCs w:val="22"/>
          <w:lang w:val="sv-SE"/>
        </w:rPr>
        <w:t>(vid</w:t>
      </w:r>
      <w:r w:rsidR="00E01D33" w:rsidRPr="00996FE6">
        <w:rPr>
          <w:bCs/>
          <w:szCs w:val="22"/>
          <w:lang w:val="sv-SE"/>
        </w:rPr>
        <w:t>j</w:t>
      </w:r>
      <w:r w:rsidRPr="00996FE6">
        <w:rPr>
          <w:bCs/>
          <w:szCs w:val="22"/>
          <w:lang w:val="sv-SE"/>
        </w:rPr>
        <w:t xml:space="preserve">eti </w:t>
      </w:r>
      <w:r w:rsidR="00983E81" w:rsidRPr="00996FE6">
        <w:rPr>
          <w:bCs/>
          <w:szCs w:val="22"/>
          <w:lang w:val="sv-SE"/>
        </w:rPr>
        <w:t xml:space="preserve">dio </w:t>
      </w:r>
      <w:r w:rsidRPr="00996FE6">
        <w:rPr>
          <w:bCs/>
          <w:szCs w:val="22"/>
          <w:lang w:val="sv-SE"/>
        </w:rPr>
        <w:t>4.2).</w:t>
      </w:r>
    </w:p>
    <w:p w14:paraId="34512DDD" w14:textId="77777777" w:rsidR="00B97F2C" w:rsidRPr="00996FE6" w:rsidRDefault="00B97F2C" w:rsidP="00E61461">
      <w:pPr>
        <w:rPr>
          <w:szCs w:val="22"/>
          <w:u w:val="single"/>
          <w:lang w:val="sr-Latn-RS"/>
        </w:rPr>
      </w:pPr>
    </w:p>
    <w:p w14:paraId="29594870" w14:textId="77777777" w:rsidR="00B97F2C" w:rsidRPr="00996FE6" w:rsidRDefault="00B97F2C" w:rsidP="00E61461">
      <w:pPr>
        <w:rPr>
          <w:szCs w:val="22"/>
          <w:u w:val="single"/>
          <w:lang w:val="sr-Latn-RS"/>
        </w:rPr>
      </w:pPr>
      <w:r w:rsidRPr="00996FE6">
        <w:rPr>
          <w:szCs w:val="22"/>
          <w:u w:val="single"/>
          <w:lang w:val="sr-Latn-RS"/>
        </w:rPr>
        <w:t>Interakcije sa anesteticima</w:t>
      </w:r>
    </w:p>
    <w:p w14:paraId="613CA6EF" w14:textId="7D3BF649" w:rsidR="00B97F2C" w:rsidRPr="00996FE6" w:rsidRDefault="00B97F2C" w:rsidP="00E61461">
      <w:pPr>
        <w:rPr>
          <w:szCs w:val="22"/>
          <w:lang w:val="sr-Latn-RS"/>
        </w:rPr>
      </w:pPr>
      <w:r w:rsidRPr="00996FE6">
        <w:rPr>
          <w:szCs w:val="22"/>
          <w:lang w:val="sr-Latn-RS"/>
        </w:rPr>
        <w:t>Depresija miokarda izazvana anesteticima može biti pojačana vankomicinom. Tokom anestezije, doze moraju biti odgovarajuće razblažene i prim</w:t>
      </w:r>
      <w:r w:rsidR="00983E81" w:rsidRPr="00996FE6">
        <w:rPr>
          <w:szCs w:val="22"/>
          <w:lang w:val="sr-Latn-RS"/>
        </w:rPr>
        <w:t>i</w:t>
      </w:r>
      <w:r w:rsidR="00E01D33" w:rsidRPr="00996FE6">
        <w:rPr>
          <w:szCs w:val="22"/>
          <w:lang w:val="sr-Latn-RS"/>
        </w:rPr>
        <w:t>j</w:t>
      </w:r>
      <w:r w:rsidRPr="00996FE6">
        <w:rPr>
          <w:szCs w:val="22"/>
          <w:lang w:val="sr-Latn-RS"/>
        </w:rPr>
        <w:t>enjene sporo uz pažljivo praćenje rada srca. Prom</w:t>
      </w:r>
      <w:r w:rsidR="00983E81" w:rsidRPr="00996FE6">
        <w:rPr>
          <w:szCs w:val="22"/>
          <w:lang w:val="sr-Latn-RS"/>
        </w:rPr>
        <w:t>j</w:t>
      </w:r>
      <w:r w:rsidRPr="00996FE6">
        <w:rPr>
          <w:szCs w:val="22"/>
          <w:lang w:val="sr-Latn-RS"/>
        </w:rPr>
        <w:t xml:space="preserve">ene položaja treba odložiti do završetka infuzije, kako bi se omogućilo posturalno prilagođavanje </w:t>
      </w:r>
      <w:r w:rsidRPr="00996FE6">
        <w:rPr>
          <w:bCs/>
          <w:szCs w:val="22"/>
          <w:lang w:val="sr-Latn-RS"/>
        </w:rPr>
        <w:t>(vid</w:t>
      </w:r>
      <w:r w:rsidR="00E01D33" w:rsidRPr="00996FE6">
        <w:rPr>
          <w:bCs/>
          <w:szCs w:val="22"/>
          <w:lang w:val="sr-Latn-RS"/>
        </w:rPr>
        <w:t>j</w:t>
      </w:r>
      <w:r w:rsidRPr="00996FE6">
        <w:rPr>
          <w:bCs/>
          <w:szCs w:val="22"/>
          <w:lang w:val="sr-Latn-RS"/>
        </w:rPr>
        <w:t xml:space="preserve">eti </w:t>
      </w:r>
      <w:r w:rsidR="00983E81" w:rsidRPr="00996FE6">
        <w:rPr>
          <w:bCs/>
          <w:szCs w:val="22"/>
          <w:lang w:val="sr-Latn-RS"/>
        </w:rPr>
        <w:t xml:space="preserve">dio </w:t>
      </w:r>
      <w:r w:rsidRPr="00996FE6">
        <w:rPr>
          <w:bCs/>
          <w:szCs w:val="22"/>
          <w:lang w:val="sr-Latn-RS"/>
        </w:rPr>
        <w:t>4.5).</w:t>
      </w:r>
    </w:p>
    <w:p w14:paraId="6EDD0C24" w14:textId="77777777" w:rsidR="00B97F2C" w:rsidRPr="00996FE6" w:rsidRDefault="00B97F2C" w:rsidP="00E61461">
      <w:pPr>
        <w:rPr>
          <w:szCs w:val="22"/>
          <w:u w:val="single"/>
          <w:lang w:val="sr-Latn-RS"/>
        </w:rPr>
      </w:pPr>
      <w:r w:rsidRPr="00996FE6">
        <w:rPr>
          <w:szCs w:val="22"/>
          <w:u w:val="single"/>
          <w:lang w:val="sr-Latn-RS"/>
        </w:rPr>
        <w:br/>
        <w:t>Pseudomembranozni enterokolitis</w:t>
      </w:r>
    </w:p>
    <w:p w14:paraId="3127C1CE" w14:textId="50843DEE" w:rsidR="00B97F2C" w:rsidRPr="00996FE6" w:rsidRDefault="00B97F2C" w:rsidP="00E61461">
      <w:pPr>
        <w:rPr>
          <w:szCs w:val="22"/>
          <w:lang w:val="sr-Latn-RS"/>
        </w:rPr>
      </w:pPr>
      <w:r w:rsidRPr="00996FE6">
        <w:rPr>
          <w:szCs w:val="22"/>
          <w:lang w:val="sr-Latn-RS"/>
        </w:rPr>
        <w:t xml:space="preserve">U slučaju teške perzistentne dijareje mora se uzeti u obzir mogućnost nastanka pseudomembranoznog enterokolitisa koji može ugroziti život pacijenta </w:t>
      </w:r>
      <w:r w:rsidRPr="00996FE6">
        <w:rPr>
          <w:bCs/>
          <w:szCs w:val="22"/>
          <w:lang w:val="sr-Latn-RS"/>
        </w:rPr>
        <w:t>(vid</w:t>
      </w:r>
      <w:r w:rsidR="00E01D33" w:rsidRPr="00996FE6">
        <w:rPr>
          <w:bCs/>
          <w:szCs w:val="22"/>
          <w:lang w:val="sr-Latn-RS"/>
        </w:rPr>
        <w:t>j</w:t>
      </w:r>
      <w:r w:rsidRPr="00996FE6">
        <w:rPr>
          <w:bCs/>
          <w:szCs w:val="22"/>
          <w:lang w:val="sr-Latn-RS"/>
        </w:rPr>
        <w:t xml:space="preserve">eti </w:t>
      </w:r>
      <w:r w:rsidR="00983E81" w:rsidRPr="00996FE6">
        <w:rPr>
          <w:bCs/>
          <w:szCs w:val="22"/>
          <w:lang w:val="sr-Latn-RS"/>
        </w:rPr>
        <w:t xml:space="preserve">dio </w:t>
      </w:r>
      <w:r w:rsidRPr="00996FE6">
        <w:rPr>
          <w:bCs/>
          <w:szCs w:val="22"/>
          <w:lang w:val="sr-Latn-RS"/>
        </w:rPr>
        <w:t>4.8). Antidijaroici se ne sm</w:t>
      </w:r>
      <w:r w:rsidR="00E01D33" w:rsidRPr="00996FE6">
        <w:rPr>
          <w:bCs/>
          <w:szCs w:val="22"/>
          <w:lang w:val="sr-Latn-RS"/>
        </w:rPr>
        <w:t>ij</w:t>
      </w:r>
      <w:r w:rsidRPr="00996FE6">
        <w:rPr>
          <w:bCs/>
          <w:szCs w:val="22"/>
          <w:lang w:val="sr-Latn-RS"/>
        </w:rPr>
        <w:t>u prim</w:t>
      </w:r>
      <w:r w:rsidR="00E01D33" w:rsidRPr="00996FE6">
        <w:rPr>
          <w:bCs/>
          <w:szCs w:val="22"/>
          <w:lang w:val="sr-Latn-RS"/>
        </w:rPr>
        <w:t>j</w:t>
      </w:r>
      <w:r w:rsidRPr="00996FE6">
        <w:rPr>
          <w:bCs/>
          <w:szCs w:val="22"/>
          <w:lang w:val="sr-Latn-RS"/>
        </w:rPr>
        <w:t>eniti.</w:t>
      </w:r>
    </w:p>
    <w:p w14:paraId="5D42D812" w14:textId="77777777" w:rsidR="00B97F2C" w:rsidRPr="00996FE6" w:rsidRDefault="00B97F2C" w:rsidP="00E61461">
      <w:pPr>
        <w:rPr>
          <w:szCs w:val="22"/>
          <w:u w:val="single"/>
          <w:lang w:val="sr-Latn-RS"/>
        </w:rPr>
      </w:pPr>
    </w:p>
    <w:p w14:paraId="68681B61" w14:textId="77777777" w:rsidR="00B97F2C" w:rsidRPr="00996FE6" w:rsidRDefault="00B97F2C" w:rsidP="00E61461">
      <w:pPr>
        <w:rPr>
          <w:szCs w:val="22"/>
          <w:u w:val="single"/>
          <w:lang w:val="sr-Latn-RS"/>
        </w:rPr>
      </w:pPr>
      <w:r w:rsidRPr="00996FE6">
        <w:rPr>
          <w:szCs w:val="22"/>
          <w:u w:val="single"/>
          <w:lang w:val="sr-Latn-RS"/>
        </w:rPr>
        <w:t>Super infekcija</w:t>
      </w:r>
    </w:p>
    <w:p w14:paraId="7A373355" w14:textId="5986EEBD" w:rsidR="00B97F2C" w:rsidRPr="00996FE6" w:rsidRDefault="00B97F2C" w:rsidP="00E61461">
      <w:pPr>
        <w:rPr>
          <w:szCs w:val="22"/>
          <w:lang w:val="sr-Latn-RS"/>
        </w:rPr>
      </w:pPr>
      <w:r w:rsidRPr="00996FE6">
        <w:rPr>
          <w:szCs w:val="22"/>
          <w:lang w:val="sr-Latn-RS"/>
        </w:rPr>
        <w:t>Produžena prim</w:t>
      </w:r>
      <w:r w:rsidR="00E01D33" w:rsidRPr="00996FE6">
        <w:rPr>
          <w:szCs w:val="22"/>
          <w:lang w:val="sr-Latn-RS"/>
        </w:rPr>
        <w:t>j</w:t>
      </w:r>
      <w:r w:rsidRPr="00996FE6">
        <w:rPr>
          <w:szCs w:val="22"/>
          <w:lang w:val="sr-Latn-RS"/>
        </w:rPr>
        <w:t>ena vankomicina može dovesti do proliferacije bakterijskih sojeva rezistentnih na l</w:t>
      </w:r>
      <w:r w:rsidR="00E01D33" w:rsidRPr="00996FE6">
        <w:rPr>
          <w:szCs w:val="22"/>
          <w:lang w:val="sr-Latn-RS"/>
        </w:rPr>
        <w:t>ij</w:t>
      </w:r>
      <w:r w:rsidRPr="00996FE6">
        <w:rPr>
          <w:szCs w:val="22"/>
          <w:lang w:val="sr-Latn-RS"/>
        </w:rPr>
        <w:t>ek. Pažljivo praćenje pacijenta je od suštinskog značaja. Ako se tokom terapije javi superinfekcija, treba preduzeti odgovarajuće m</w:t>
      </w:r>
      <w:r w:rsidR="00E01D33" w:rsidRPr="00996FE6">
        <w:rPr>
          <w:szCs w:val="22"/>
          <w:lang w:val="sr-Latn-RS"/>
        </w:rPr>
        <w:t>j</w:t>
      </w:r>
      <w:r w:rsidRPr="00996FE6">
        <w:rPr>
          <w:szCs w:val="22"/>
          <w:lang w:val="sr-Latn-RS"/>
        </w:rPr>
        <w:t>ere.</w:t>
      </w:r>
    </w:p>
    <w:p w14:paraId="5E4A4C31" w14:textId="77777777" w:rsidR="00B97F2C" w:rsidRPr="00996FE6" w:rsidRDefault="00B97F2C" w:rsidP="00E61461">
      <w:pPr>
        <w:rPr>
          <w:szCs w:val="22"/>
          <w:lang w:val="sr-Latn-RS"/>
        </w:rPr>
      </w:pPr>
    </w:p>
    <w:p w14:paraId="75599163" w14:textId="77777777" w:rsidR="006A5D2F" w:rsidRPr="00996FE6" w:rsidRDefault="006A5D2F" w:rsidP="00E61461">
      <w:pPr>
        <w:rPr>
          <w:szCs w:val="22"/>
          <w:u w:val="single"/>
          <w:lang w:val="sr-Latn-RS"/>
        </w:rPr>
      </w:pPr>
      <w:r w:rsidRPr="00996FE6">
        <w:rPr>
          <w:szCs w:val="22"/>
          <w:u w:val="single"/>
          <w:lang w:val="sr-Latn-RS"/>
        </w:rPr>
        <w:t>Poreme</w:t>
      </w:r>
      <w:r w:rsidRPr="00996FE6">
        <w:rPr>
          <w:rFonts w:hint="eastAsia"/>
          <w:szCs w:val="22"/>
          <w:u w:val="single"/>
          <w:lang w:val="sr-Latn-RS"/>
        </w:rPr>
        <w:t>ć</w:t>
      </w:r>
      <w:r w:rsidRPr="00996FE6">
        <w:rPr>
          <w:szCs w:val="22"/>
          <w:u w:val="single"/>
          <w:lang w:val="sr-Latn-RS"/>
        </w:rPr>
        <w:t>aji oka</w:t>
      </w:r>
    </w:p>
    <w:p w14:paraId="0576DB46" w14:textId="3253EC45" w:rsidR="006A5D2F" w:rsidRPr="00996FE6" w:rsidRDefault="00FC16D7" w:rsidP="00E61461">
      <w:pPr>
        <w:rPr>
          <w:szCs w:val="22"/>
          <w:lang w:val="sr-Latn-RS"/>
        </w:rPr>
      </w:pPr>
      <w:r>
        <w:rPr>
          <w:szCs w:val="22"/>
          <w:lang w:val="sr-Latn-RS"/>
        </w:rPr>
        <w:t>Vankomicin nije odobren</w:t>
      </w:r>
      <w:r w:rsidR="006A5D2F" w:rsidRPr="00996FE6">
        <w:rPr>
          <w:szCs w:val="22"/>
          <w:lang w:val="sr-Latn-RS"/>
        </w:rPr>
        <w:t xml:space="preserve"> za intrakameralnu ili intravitrealnu upotrebu, uklju</w:t>
      </w:r>
      <w:r w:rsidR="006A5D2F" w:rsidRPr="00996FE6">
        <w:rPr>
          <w:rFonts w:hint="eastAsia"/>
          <w:szCs w:val="22"/>
          <w:lang w:val="sr-Latn-RS"/>
        </w:rPr>
        <w:t>č</w:t>
      </w:r>
      <w:r w:rsidR="006A5D2F" w:rsidRPr="00996FE6">
        <w:rPr>
          <w:szCs w:val="22"/>
          <w:lang w:val="sr-Latn-RS"/>
        </w:rPr>
        <w:t>uju</w:t>
      </w:r>
      <w:r w:rsidR="006A5D2F" w:rsidRPr="00996FE6">
        <w:rPr>
          <w:rFonts w:hint="eastAsia"/>
          <w:szCs w:val="22"/>
          <w:lang w:val="sr-Latn-RS"/>
        </w:rPr>
        <w:t>ć</w:t>
      </w:r>
      <w:r w:rsidR="006A5D2F" w:rsidRPr="00996FE6">
        <w:rPr>
          <w:szCs w:val="22"/>
          <w:lang w:val="sr-Latn-RS"/>
        </w:rPr>
        <w:t>i profilaksu</w:t>
      </w:r>
      <w:r w:rsidR="00983E81" w:rsidRPr="00996FE6">
        <w:rPr>
          <w:szCs w:val="22"/>
          <w:lang w:val="sr-Latn-RS"/>
        </w:rPr>
        <w:t xml:space="preserve"> </w:t>
      </w:r>
      <w:r w:rsidR="006A5D2F" w:rsidRPr="00996FE6">
        <w:rPr>
          <w:szCs w:val="22"/>
          <w:lang w:val="sr-Latn-RS"/>
        </w:rPr>
        <w:t>endoftalmitisa.</w:t>
      </w:r>
    </w:p>
    <w:p w14:paraId="15294EF9" w14:textId="2359C836" w:rsidR="006A5D2F" w:rsidRPr="00996FE6" w:rsidRDefault="006A5D2F" w:rsidP="00E61461">
      <w:pPr>
        <w:rPr>
          <w:szCs w:val="22"/>
          <w:lang w:val="sr-Latn-RS"/>
        </w:rPr>
      </w:pPr>
      <w:r w:rsidRPr="00996FE6">
        <w:rPr>
          <w:szCs w:val="22"/>
          <w:lang w:val="sr-Latn-RS"/>
        </w:rPr>
        <w:lastRenderedPageBreak/>
        <w:t>Hemoragi</w:t>
      </w:r>
      <w:r w:rsidRPr="00996FE6">
        <w:rPr>
          <w:rFonts w:hint="eastAsia"/>
          <w:szCs w:val="22"/>
          <w:lang w:val="sr-Latn-RS"/>
        </w:rPr>
        <w:t>č</w:t>
      </w:r>
      <w:r w:rsidRPr="00996FE6">
        <w:rPr>
          <w:szCs w:val="22"/>
          <w:lang w:val="sr-Latn-RS"/>
        </w:rPr>
        <w:t xml:space="preserve">ni okluzivni vaskulitis retine (engl. </w:t>
      </w:r>
      <w:r w:rsidRPr="00996FE6">
        <w:rPr>
          <w:i/>
          <w:iCs/>
          <w:szCs w:val="22"/>
          <w:lang w:val="sr-Latn-RS"/>
        </w:rPr>
        <w:t>hemorrhagic occlusive retinal vasculitis, HORV</w:t>
      </w:r>
      <w:r w:rsidRPr="00996FE6">
        <w:rPr>
          <w:szCs w:val="22"/>
          <w:lang w:val="sr-Latn-RS"/>
        </w:rPr>
        <w:t>), uklju</w:t>
      </w:r>
      <w:r w:rsidRPr="00996FE6">
        <w:rPr>
          <w:rFonts w:hint="eastAsia"/>
          <w:szCs w:val="22"/>
          <w:lang w:val="sr-Latn-RS"/>
        </w:rPr>
        <w:t>č</w:t>
      </w:r>
      <w:r w:rsidRPr="00996FE6">
        <w:rPr>
          <w:szCs w:val="22"/>
          <w:lang w:val="sr-Latn-RS"/>
        </w:rPr>
        <w:t>uju</w:t>
      </w:r>
      <w:r w:rsidRPr="00996FE6">
        <w:rPr>
          <w:rFonts w:hint="eastAsia"/>
          <w:szCs w:val="22"/>
          <w:lang w:val="sr-Latn-RS"/>
        </w:rPr>
        <w:t>ć</w:t>
      </w:r>
      <w:r w:rsidRPr="00996FE6">
        <w:rPr>
          <w:szCs w:val="22"/>
          <w:lang w:val="sr-Latn-RS"/>
        </w:rPr>
        <w:t>i</w:t>
      </w:r>
      <w:r w:rsidR="00983E81" w:rsidRPr="00996FE6">
        <w:rPr>
          <w:szCs w:val="22"/>
          <w:lang w:val="sr-Latn-RS"/>
        </w:rPr>
        <w:t xml:space="preserve"> </w:t>
      </w:r>
      <w:r w:rsidRPr="00996FE6">
        <w:rPr>
          <w:szCs w:val="22"/>
          <w:lang w:val="sr-Latn-RS"/>
        </w:rPr>
        <w:t>trajni gubitak vida, prim</w:t>
      </w:r>
      <w:r w:rsidR="00A41EAC" w:rsidRPr="00996FE6">
        <w:rPr>
          <w:szCs w:val="22"/>
          <w:lang w:val="sr-Latn-RS"/>
        </w:rPr>
        <w:t>ij</w:t>
      </w:r>
      <w:r w:rsidRPr="00996FE6">
        <w:rPr>
          <w:szCs w:val="22"/>
          <w:lang w:val="sr-Latn-RS"/>
        </w:rPr>
        <w:t>e</w:t>
      </w:r>
      <w:r w:rsidRPr="00996FE6">
        <w:rPr>
          <w:rFonts w:hint="eastAsia"/>
          <w:szCs w:val="22"/>
          <w:lang w:val="sr-Latn-RS"/>
        </w:rPr>
        <w:t>ć</w:t>
      </w:r>
      <w:r w:rsidRPr="00996FE6">
        <w:rPr>
          <w:szCs w:val="22"/>
          <w:lang w:val="sr-Latn-RS"/>
        </w:rPr>
        <w:t>en je u pojedina</w:t>
      </w:r>
      <w:r w:rsidRPr="00996FE6">
        <w:rPr>
          <w:rFonts w:hint="eastAsia"/>
          <w:szCs w:val="22"/>
          <w:lang w:val="sr-Latn-RS"/>
        </w:rPr>
        <w:t>č</w:t>
      </w:r>
      <w:r w:rsidRPr="00996FE6">
        <w:rPr>
          <w:szCs w:val="22"/>
          <w:lang w:val="sr-Latn-RS"/>
        </w:rPr>
        <w:t>nim slu</w:t>
      </w:r>
      <w:r w:rsidRPr="00996FE6">
        <w:rPr>
          <w:rFonts w:hint="eastAsia"/>
          <w:szCs w:val="22"/>
          <w:lang w:val="sr-Latn-RS"/>
        </w:rPr>
        <w:t>č</w:t>
      </w:r>
      <w:r w:rsidRPr="00996FE6">
        <w:rPr>
          <w:szCs w:val="22"/>
          <w:lang w:val="sr-Latn-RS"/>
        </w:rPr>
        <w:t>ajevima nakon intrakameralne ili intravitrealne upotrebe</w:t>
      </w:r>
      <w:r w:rsidR="00A41EAC" w:rsidRPr="00996FE6">
        <w:rPr>
          <w:szCs w:val="22"/>
          <w:lang w:val="sr-Latn-RS"/>
        </w:rPr>
        <w:t xml:space="preserve"> </w:t>
      </w:r>
      <w:r w:rsidRPr="00996FE6">
        <w:rPr>
          <w:szCs w:val="22"/>
          <w:lang w:val="sr-Latn-RS"/>
        </w:rPr>
        <w:t>vankomicina tokom ili nakon operacije katarakte.</w:t>
      </w:r>
    </w:p>
    <w:p w14:paraId="4D46A4D2" w14:textId="77777777" w:rsidR="006A5D2F" w:rsidRPr="00996FE6" w:rsidRDefault="006A5D2F" w:rsidP="00E61461">
      <w:pPr>
        <w:rPr>
          <w:szCs w:val="22"/>
          <w:lang w:val="sr-Latn-RS"/>
        </w:rPr>
      </w:pPr>
    </w:p>
    <w:p w14:paraId="7E574930" w14:textId="77777777" w:rsidR="00B97F2C" w:rsidRPr="00996FE6" w:rsidRDefault="00B97F2C" w:rsidP="00E61461">
      <w:pPr>
        <w:rPr>
          <w:i/>
          <w:szCs w:val="22"/>
          <w:u w:val="single"/>
          <w:lang w:val="sr-Latn-RS"/>
        </w:rPr>
      </w:pPr>
      <w:r w:rsidRPr="00996FE6">
        <w:rPr>
          <w:i/>
          <w:szCs w:val="22"/>
          <w:u w:val="single"/>
          <w:lang w:val="sr-Latn-RS"/>
        </w:rPr>
        <w:t>Oralna upotreba</w:t>
      </w:r>
    </w:p>
    <w:p w14:paraId="759FAED8" w14:textId="0FBFA020" w:rsidR="00B97F2C" w:rsidRPr="00996FE6" w:rsidRDefault="00B97F2C" w:rsidP="00E61461">
      <w:pPr>
        <w:rPr>
          <w:szCs w:val="22"/>
          <w:lang w:val="sr-Latn-RS"/>
        </w:rPr>
      </w:pPr>
      <w:r w:rsidRPr="00996FE6">
        <w:rPr>
          <w:szCs w:val="22"/>
          <w:lang w:val="sr-Latn-RS"/>
        </w:rPr>
        <w:t>Intravenska upotreba vankomicina nije efektivna za l</w:t>
      </w:r>
      <w:r w:rsidR="00E01D33" w:rsidRPr="00996FE6">
        <w:rPr>
          <w:szCs w:val="22"/>
          <w:lang w:val="sr-Latn-RS"/>
        </w:rPr>
        <w:t>ij</w:t>
      </w:r>
      <w:r w:rsidRPr="00996FE6">
        <w:rPr>
          <w:szCs w:val="22"/>
          <w:lang w:val="sr-Latn-RS"/>
        </w:rPr>
        <w:t xml:space="preserve">ečenje infekcija uzrokovanih bakterijom </w:t>
      </w:r>
      <w:r w:rsidRPr="00996FE6">
        <w:rPr>
          <w:i/>
          <w:szCs w:val="22"/>
          <w:lang w:val="sr-Latn-RS"/>
        </w:rPr>
        <w:t>Clostridium difficile</w:t>
      </w:r>
      <w:r w:rsidRPr="00996FE6">
        <w:rPr>
          <w:szCs w:val="22"/>
          <w:lang w:val="sr-Latn-RS"/>
        </w:rPr>
        <w:t>. Vankomicin treba prim</w:t>
      </w:r>
      <w:r w:rsidR="00E01D33" w:rsidRPr="00996FE6">
        <w:rPr>
          <w:szCs w:val="22"/>
          <w:lang w:val="sr-Latn-RS"/>
        </w:rPr>
        <w:t>j</w:t>
      </w:r>
      <w:r w:rsidRPr="00996FE6">
        <w:rPr>
          <w:szCs w:val="22"/>
          <w:lang w:val="sr-Latn-RS"/>
        </w:rPr>
        <w:t>eniti oralno za ovu indikaciju.</w:t>
      </w:r>
    </w:p>
    <w:p w14:paraId="0A0390C7" w14:textId="77777777" w:rsidR="00B97F2C" w:rsidRPr="00996FE6" w:rsidRDefault="00B97F2C" w:rsidP="00E61461">
      <w:pPr>
        <w:rPr>
          <w:szCs w:val="22"/>
          <w:lang w:val="sr-Latn-RS"/>
        </w:rPr>
      </w:pPr>
    </w:p>
    <w:p w14:paraId="338D1644" w14:textId="1363A410" w:rsidR="00B97F2C" w:rsidRPr="00996FE6" w:rsidRDefault="00B97F2C" w:rsidP="00E61461">
      <w:pPr>
        <w:rPr>
          <w:szCs w:val="22"/>
          <w:lang w:val="sr-Latn-RS"/>
        </w:rPr>
      </w:pPr>
      <w:r w:rsidRPr="00996FE6">
        <w:rPr>
          <w:szCs w:val="22"/>
          <w:lang w:val="sr-Latn-RS"/>
        </w:rPr>
        <w:t xml:space="preserve">Test za potvrdu kolonizacije bakterijom </w:t>
      </w:r>
      <w:r w:rsidRPr="00996FE6">
        <w:rPr>
          <w:i/>
          <w:szCs w:val="22"/>
          <w:lang w:val="sr-Latn-RS"/>
        </w:rPr>
        <w:t>Clostridium difficile</w:t>
      </w:r>
      <w:r w:rsidRPr="00996FE6">
        <w:rPr>
          <w:szCs w:val="22"/>
          <w:lang w:val="sr-Latn-RS"/>
        </w:rPr>
        <w:t xml:space="preserve"> ili njenih toksina se ne preporučuje kod d</w:t>
      </w:r>
      <w:r w:rsidR="00E01D33" w:rsidRPr="00996FE6">
        <w:rPr>
          <w:szCs w:val="22"/>
          <w:lang w:val="sr-Latn-RS"/>
        </w:rPr>
        <w:t>j</w:t>
      </w:r>
      <w:r w:rsidRPr="00996FE6">
        <w:rPr>
          <w:szCs w:val="22"/>
          <w:lang w:val="sr-Latn-RS"/>
        </w:rPr>
        <w:t>ece mlađe od 1 godine zbog velike stope asimptomatske kolonizacije, osim ako je prisutna teška dijareja  kod odojčadi sa faktorima rizika za stanja kao što su Hiršprungova bolest, operativni zahvat kod analne atrezije ili drugi teški poremećaji motiliteta. Uv</w:t>
      </w:r>
      <w:r w:rsidR="00E01D33" w:rsidRPr="00996FE6">
        <w:rPr>
          <w:szCs w:val="22"/>
          <w:lang w:val="sr-Latn-RS"/>
        </w:rPr>
        <w:t>ij</w:t>
      </w:r>
      <w:r w:rsidRPr="00996FE6">
        <w:rPr>
          <w:szCs w:val="22"/>
          <w:lang w:val="sr-Latn-RS"/>
        </w:rPr>
        <w:t xml:space="preserve">ek treba razmotriti druge etiologije kako bi se potvrdio enterokolitis izazvan bakterijom </w:t>
      </w:r>
      <w:r w:rsidRPr="00996FE6">
        <w:rPr>
          <w:i/>
          <w:szCs w:val="22"/>
          <w:lang w:val="sr-Latn-RS"/>
        </w:rPr>
        <w:t>Clostridium difficile.</w:t>
      </w:r>
    </w:p>
    <w:p w14:paraId="469C08B1" w14:textId="77777777" w:rsidR="00B97F2C" w:rsidRPr="00996FE6" w:rsidRDefault="00B97F2C" w:rsidP="00E61461">
      <w:pPr>
        <w:rPr>
          <w:szCs w:val="22"/>
          <w:u w:val="single"/>
          <w:lang w:val="sr-Latn-RS"/>
        </w:rPr>
      </w:pPr>
    </w:p>
    <w:p w14:paraId="6B064DE8" w14:textId="77777777" w:rsidR="00B97F2C" w:rsidRPr="00996FE6" w:rsidRDefault="00B97F2C" w:rsidP="00E61461">
      <w:pPr>
        <w:rPr>
          <w:szCs w:val="22"/>
          <w:u w:val="single"/>
          <w:lang w:val="sr-Latn-RS"/>
        </w:rPr>
      </w:pPr>
      <w:r w:rsidRPr="00996FE6">
        <w:rPr>
          <w:szCs w:val="22"/>
          <w:u w:val="single"/>
          <w:lang w:val="sr-Latn-RS"/>
        </w:rPr>
        <w:t>Potencijal za sistemsku resorpciju</w:t>
      </w:r>
    </w:p>
    <w:p w14:paraId="6BE7B4CA" w14:textId="39A4C63A" w:rsidR="00B97F2C" w:rsidRPr="00996FE6" w:rsidRDefault="00B97F2C" w:rsidP="00E61461">
      <w:pPr>
        <w:rPr>
          <w:szCs w:val="22"/>
          <w:lang w:val="sr-Latn-RS"/>
        </w:rPr>
      </w:pPr>
      <w:r w:rsidRPr="00996FE6">
        <w:rPr>
          <w:szCs w:val="22"/>
          <w:lang w:val="sr-Latn-RS"/>
        </w:rPr>
        <w:t xml:space="preserve">Resorpcija može biti pojačana kod pacijenata sa inflamatornim bolestima intestinalne mukoze ili sa pseudomembranoznim enterokolitisom izazvanim bakterijom </w:t>
      </w:r>
      <w:r w:rsidRPr="00996FE6">
        <w:rPr>
          <w:i/>
          <w:szCs w:val="22"/>
          <w:lang w:val="sr-Latn-RS"/>
        </w:rPr>
        <w:t>Clostridium difficile.</w:t>
      </w:r>
      <w:r w:rsidRPr="00996FE6">
        <w:rPr>
          <w:szCs w:val="22"/>
          <w:lang w:val="sr-Latn-RS"/>
        </w:rPr>
        <w:t xml:space="preserve"> Ovi pacijenti mogu biti izloženi većem riziku od pojave neželjenih reakcija, naročito ako istovremeno postoji i oštećenje fukcije bubrega. Što je veće oštećenje funkcije bubrega, veći je i rizik od pojave neželjenih reakcija povezanih sa parenteralnom prim</w:t>
      </w:r>
      <w:r w:rsidR="00E01D33" w:rsidRPr="00996FE6">
        <w:rPr>
          <w:szCs w:val="22"/>
          <w:lang w:val="sr-Latn-RS"/>
        </w:rPr>
        <w:t>j</w:t>
      </w:r>
      <w:r w:rsidRPr="00996FE6">
        <w:rPr>
          <w:szCs w:val="22"/>
          <w:lang w:val="sr-Latn-RS"/>
        </w:rPr>
        <w:t>enom vankomicina. Potrebno je praćenje koncentracije vankomicina u serumu kod pacijenata sa inflamatornim bolestima intestinalne mukoze.</w:t>
      </w:r>
    </w:p>
    <w:p w14:paraId="330F9ECC" w14:textId="77777777" w:rsidR="00B97F2C" w:rsidRPr="00996FE6" w:rsidRDefault="00B97F2C" w:rsidP="00E61461">
      <w:pPr>
        <w:rPr>
          <w:szCs w:val="22"/>
          <w:u w:val="single"/>
          <w:lang w:val="sr-Latn-RS"/>
        </w:rPr>
      </w:pPr>
    </w:p>
    <w:p w14:paraId="794BC3DC" w14:textId="77777777" w:rsidR="00B97F2C" w:rsidRPr="00996FE6" w:rsidRDefault="00B97F2C" w:rsidP="00E61461">
      <w:pPr>
        <w:rPr>
          <w:szCs w:val="22"/>
          <w:u w:val="single"/>
          <w:lang w:val="sr-Latn-RS"/>
        </w:rPr>
      </w:pPr>
      <w:r w:rsidRPr="00996FE6">
        <w:rPr>
          <w:szCs w:val="22"/>
          <w:u w:val="single"/>
          <w:lang w:val="sr-Latn-RS"/>
        </w:rPr>
        <w:t>Nefrotoksičnost</w:t>
      </w:r>
    </w:p>
    <w:p w14:paraId="6AA5C143" w14:textId="43495FA4" w:rsidR="00B97F2C" w:rsidRPr="00996FE6" w:rsidRDefault="00B97F2C" w:rsidP="00E61461">
      <w:pPr>
        <w:rPr>
          <w:szCs w:val="22"/>
          <w:lang w:val="sr-Latn-RS"/>
        </w:rPr>
      </w:pPr>
      <w:r w:rsidRPr="00996FE6">
        <w:rPr>
          <w:szCs w:val="22"/>
          <w:lang w:val="sr-Latn-RS"/>
        </w:rPr>
        <w:t>Redovno praćenje funkcije bubrega je neophodno kod pacijenata sa oštećenom funkcijom bubrega ili kod kojih se istovremeno prim</w:t>
      </w:r>
      <w:r w:rsidR="00E01D33" w:rsidRPr="00996FE6">
        <w:rPr>
          <w:szCs w:val="22"/>
          <w:lang w:val="sr-Latn-RS"/>
        </w:rPr>
        <w:t>j</w:t>
      </w:r>
      <w:r w:rsidRPr="00996FE6">
        <w:rPr>
          <w:szCs w:val="22"/>
          <w:lang w:val="sr-Latn-RS"/>
        </w:rPr>
        <w:t>enjuju aminoglikozidi ili drugi nefrotoksični l</w:t>
      </w:r>
      <w:r w:rsidR="00E01D33" w:rsidRPr="00996FE6">
        <w:rPr>
          <w:szCs w:val="22"/>
          <w:lang w:val="sr-Latn-RS"/>
        </w:rPr>
        <w:t>j</w:t>
      </w:r>
      <w:r w:rsidRPr="00996FE6">
        <w:rPr>
          <w:szCs w:val="22"/>
          <w:lang w:val="sr-Latn-RS"/>
        </w:rPr>
        <w:t>ekovi.</w:t>
      </w:r>
    </w:p>
    <w:p w14:paraId="73F4085E" w14:textId="77777777" w:rsidR="00B97F2C" w:rsidRPr="00996FE6" w:rsidRDefault="00B97F2C" w:rsidP="00E61461">
      <w:pPr>
        <w:rPr>
          <w:szCs w:val="22"/>
          <w:u w:val="single"/>
          <w:lang w:val="sr-Latn-RS"/>
        </w:rPr>
      </w:pPr>
    </w:p>
    <w:p w14:paraId="73F206F7" w14:textId="77777777" w:rsidR="00B97F2C" w:rsidRPr="00996FE6" w:rsidRDefault="00B97F2C" w:rsidP="00E61461">
      <w:pPr>
        <w:rPr>
          <w:szCs w:val="22"/>
          <w:u w:val="single"/>
          <w:lang w:val="sr-Latn-RS"/>
        </w:rPr>
      </w:pPr>
      <w:r w:rsidRPr="00996FE6">
        <w:rPr>
          <w:szCs w:val="22"/>
          <w:u w:val="single"/>
          <w:lang w:val="sr-Latn-RS"/>
        </w:rPr>
        <w:t>Ototoksičnost</w:t>
      </w:r>
    </w:p>
    <w:p w14:paraId="270225A5" w14:textId="667CB7B0" w:rsidR="00B97F2C" w:rsidRPr="00996FE6" w:rsidRDefault="00B97F2C" w:rsidP="00E61461">
      <w:pPr>
        <w:rPr>
          <w:szCs w:val="22"/>
          <w:lang w:val="sr-Latn-RS"/>
        </w:rPr>
      </w:pPr>
      <w:r w:rsidRPr="00996FE6">
        <w:rPr>
          <w:szCs w:val="22"/>
          <w:lang w:val="sr-Latn-RS"/>
        </w:rPr>
        <w:t>Redovno praćenje funkcije čula sluha može biti od pomoći kako bi se smanjio rizik od ototoksičnosti kod pacijenata sa postojećim gubitkom sluha ili kod kojih se istovremeno prim</w:t>
      </w:r>
      <w:r w:rsidR="00E01D33" w:rsidRPr="00996FE6">
        <w:rPr>
          <w:szCs w:val="22"/>
          <w:lang w:val="sr-Latn-RS"/>
        </w:rPr>
        <w:t>j</w:t>
      </w:r>
      <w:r w:rsidRPr="00996FE6">
        <w:rPr>
          <w:szCs w:val="22"/>
          <w:lang w:val="sr-Latn-RS"/>
        </w:rPr>
        <w:t>enjuju ototoksični l</w:t>
      </w:r>
      <w:r w:rsidR="00E01D33" w:rsidRPr="00996FE6">
        <w:rPr>
          <w:szCs w:val="22"/>
          <w:lang w:val="sr-Latn-RS"/>
        </w:rPr>
        <w:t>j</w:t>
      </w:r>
      <w:r w:rsidRPr="00996FE6">
        <w:rPr>
          <w:szCs w:val="22"/>
          <w:lang w:val="sr-Latn-RS"/>
        </w:rPr>
        <w:t>ekovi kao što su aminoglikozidi.</w:t>
      </w:r>
    </w:p>
    <w:p w14:paraId="186B04C8" w14:textId="77777777" w:rsidR="00B97F2C" w:rsidRPr="00996FE6" w:rsidRDefault="00B97F2C" w:rsidP="00E61461">
      <w:pPr>
        <w:rPr>
          <w:szCs w:val="22"/>
          <w:u w:val="single"/>
          <w:lang w:val="sr-Latn-RS"/>
        </w:rPr>
      </w:pPr>
    </w:p>
    <w:p w14:paraId="5CA33E54" w14:textId="599FBBAB" w:rsidR="00B97F2C" w:rsidRPr="00996FE6" w:rsidRDefault="00B97F2C" w:rsidP="00E61461">
      <w:pPr>
        <w:rPr>
          <w:szCs w:val="22"/>
          <w:u w:val="single"/>
          <w:lang w:val="sr-Latn-RS"/>
        </w:rPr>
      </w:pPr>
      <w:r w:rsidRPr="00996FE6">
        <w:rPr>
          <w:szCs w:val="22"/>
          <w:u w:val="single"/>
          <w:lang w:val="sr-Latn-RS"/>
        </w:rPr>
        <w:t>Interakcije sa l</w:t>
      </w:r>
      <w:r w:rsidR="00E01D33" w:rsidRPr="00996FE6">
        <w:rPr>
          <w:szCs w:val="22"/>
          <w:u w:val="single"/>
          <w:lang w:val="sr-Latn-RS"/>
        </w:rPr>
        <w:t>j</w:t>
      </w:r>
      <w:r w:rsidRPr="00996FE6">
        <w:rPr>
          <w:szCs w:val="22"/>
          <w:u w:val="single"/>
          <w:lang w:val="sr-Latn-RS"/>
        </w:rPr>
        <w:t>ekovima koji smanjuju motilitet gastrointestinalnog trakta i inhibitorima protonske pumpe</w:t>
      </w:r>
    </w:p>
    <w:p w14:paraId="7D9AF5E7" w14:textId="09FA8C18" w:rsidR="00B97F2C" w:rsidRPr="00996FE6" w:rsidRDefault="00B97F2C" w:rsidP="00E61461">
      <w:pPr>
        <w:rPr>
          <w:szCs w:val="22"/>
          <w:lang w:val="sr-Latn-RS"/>
        </w:rPr>
      </w:pPr>
      <w:r w:rsidRPr="00996FE6">
        <w:rPr>
          <w:szCs w:val="22"/>
          <w:lang w:val="sr-Latn-RS"/>
        </w:rPr>
        <w:t>Treba izb</w:t>
      </w:r>
      <w:r w:rsidR="00E01D33" w:rsidRPr="00996FE6">
        <w:rPr>
          <w:szCs w:val="22"/>
          <w:lang w:val="sr-Latn-RS"/>
        </w:rPr>
        <w:t>j</w:t>
      </w:r>
      <w:r w:rsidRPr="00996FE6">
        <w:rPr>
          <w:szCs w:val="22"/>
          <w:lang w:val="sr-Latn-RS"/>
        </w:rPr>
        <w:t>egavati prim</w:t>
      </w:r>
      <w:r w:rsidR="00E01D33" w:rsidRPr="00996FE6">
        <w:rPr>
          <w:szCs w:val="22"/>
          <w:lang w:val="sr-Latn-RS"/>
        </w:rPr>
        <w:t>j</w:t>
      </w:r>
      <w:r w:rsidRPr="00996FE6">
        <w:rPr>
          <w:szCs w:val="22"/>
          <w:lang w:val="sr-Latn-RS"/>
        </w:rPr>
        <w:t>enu l</w:t>
      </w:r>
      <w:r w:rsidR="00E01D33" w:rsidRPr="00996FE6">
        <w:rPr>
          <w:szCs w:val="22"/>
          <w:lang w:val="sr-Latn-RS"/>
        </w:rPr>
        <w:t>j</w:t>
      </w:r>
      <w:r w:rsidRPr="00996FE6">
        <w:rPr>
          <w:szCs w:val="22"/>
          <w:lang w:val="sr-Latn-RS"/>
        </w:rPr>
        <w:t>ekova koji smanjuju motilitet gastrointestinalnog trakta</w:t>
      </w:r>
      <w:r w:rsidR="00E01D33" w:rsidRPr="00996FE6">
        <w:rPr>
          <w:szCs w:val="22"/>
          <w:lang w:val="sr-Latn-RS"/>
        </w:rPr>
        <w:t>,</w:t>
      </w:r>
      <w:r w:rsidRPr="00996FE6">
        <w:rPr>
          <w:szCs w:val="22"/>
          <w:lang w:val="sr-Latn-RS"/>
        </w:rPr>
        <w:t xml:space="preserve"> a prim</w:t>
      </w:r>
      <w:r w:rsidR="00E01D33" w:rsidRPr="00996FE6">
        <w:rPr>
          <w:szCs w:val="22"/>
          <w:lang w:val="sr-Latn-RS"/>
        </w:rPr>
        <w:t>j</w:t>
      </w:r>
      <w:r w:rsidRPr="00996FE6">
        <w:rPr>
          <w:szCs w:val="22"/>
          <w:lang w:val="sr-Latn-RS"/>
        </w:rPr>
        <w:t>enu inhibitora protonske pumpe dodatno razmotriti.</w:t>
      </w:r>
    </w:p>
    <w:p w14:paraId="3CD89382" w14:textId="77777777" w:rsidR="00B97F2C" w:rsidRPr="00996FE6" w:rsidRDefault="00B97F2C" w:rsidP="00E61461">
      <w:pPr>
        <w:rPr>
          <w:szCs w:val="22"/>
          <w:u w:val="single"/>
          <w:lang w:val="sr-Latn-RS"/>
        </w:rPr>
      </w:pPr>
    </w:p>
    <w:p w14:paraId="5B9FADFA" w14:textId="77777777" w:rsidR="00B97F2C" w:rsidRPr="00996FE6" w:rsidRDefault="00B97F2C" w:rsidP="00E61461">
      <w:pPr>
        <w:rPr>
          <w:szCs w:val="22"/>
          <w:u w:val="single"/>
          <w:lang w:val="sr-Latn-RS"/>
        </w:rPr>
      </w:pPr>
      <w:r w:rsidRPr="00996FE6">
        <w:rPr>
          <w:szCs w:val="22"/>
          <w:u w:val="single"/>
          <w:lang w:val="sr-Latn-RS"/>
        </w:rPr>
        <w:t>Razvoj bakterijske rezistencije</w:t>
      </w:r>
    </w:p>
    <w:p w14:paraId="44EC6403" w14:textId="6E3C33F5" w:rsidR="00B97F2C" w:rsidRPr="00996FE6" w:rsidRDefault="00B97F2C" w:rsidP="00E61461">
      <w:pPr>
        <w:rPr>
          <w:szCs w:val="22"/>
          <w:lang w:val="sr-Latn-CS"/>
        </w:rPr>
      </w:pPr>
      <w:r w:rsidRPr="00996FE6">
        <w:rPr>
          <w:szCs w:val="22"/>
          <w:lang w:val="sr-Latn-RS"/>
        </w:rPr>
        <w:t>Oralna prim</w:t>
      </w:r>
      <w:r w:rsidR="00E01D33" w:rsidRPr="00996FE6">
        <w:rPr>
          <w:szCs w:val="22"/>
          <w:lang w:val="sr-Latn-RS"/>
        </w:rPr>
        <w:t>j</w:t>
      </w:r>
      <w:r w:rsidRPr="00996FE6">
        <w:rPr>
          <w:szCs w:val="22"/>
          <w:lang w:val="sr-Latn-RS"/>
        </w:rPr>
        <w:t>ena vankomicina povećava mogućnost pojave populacije enterokoka rezistentnih na vankomicin u gastrointestinalnom traktu. Preporučuje se racionalna upotreba oralno prim</w:t>
      </w:r>
      <w:r w:rsidR="004772D2" w:rsidRPr="00996FE6">
        <w:rPr>
          <w:szCs w:val="22"/>
          <w:lang w:val="sr-Latn-RS"/>
        </w:rPr>
        <w:t>i</w:t>
      </w:r>
      <w:r w:rsidR="00E01D33" w:rsidRPr="00996FE6">
        <w:rPr>
          <w:szCs w:val="22"/>
          <w:lang w:val="sr-Latn-RS"/>
        </w:rPr>
        <w:t>j</w:t>
      </w:r>
      <w:r w:rsidRPr="00996FE6">
        <w:rPr>
          <w:szCs w:val="22"/>
          <w:lang w:val="sr-Latn-RS"/>
        </w:rPr>
        <w:t>enjenog vankomicina.</w:t>
      </w:r>
    </w:p>
    <w:p w14:paraId="045662DA" w14:textId="521FCB13" w:rsidR="004A6BAB" w:rsidRPr="00996FE6" w:rsidRDefault="004A6BAB" w:rsidP="00E61461">
      <w:pPr>
        <w:rPr>
          <w:szCs w:val="22"/>
          <w:u w:val="single"/>
          <w:lang w:val="sr-Latn-RS"/>
        </w:rPr>
      </w:pPr>
    </w:p>
    <w:p w14:paraId="54977A00" w14:textId="3D7379F3" w:rsidR="00CE09F3" w:rsidRPr="00996FE6" w:rsidRDefault="00CE09F3" w:rsidP="00E61461">
      <w:pPr>
        <w:rPr>
          <w:b/>
          <w:bCs/>
          <w:szCs w:val="22"/>
          <w:lang w:val="ru-RU"/>
        </w:rPr>
      </w:pPr>
      <w:r w:rsidRPr="00996FE6">
        <w:rPr>
          <w:b/>
          <w:bCs/>
          <w:szCs w:val="22"/>
          <w:lang w:val="ru-RU"/>
        </w:rPr>
        <w:t xml:space="preserve">4.5. </w:t>
      </w:r>
      <w:r w:rsidR="00232498" w:rsidRPr="00996FE6">
        <w:rPr>
          <w:b/>
          <w:bCs/>
          <w:szCs w:val="22"/>
          <w:lang w:val="it-IT"/>
        </w:rPr>
        <w:t>Interakcije sa drugim ljekovima i druge vrste interakcija</w:t>
      </w:r>
    </w:p>
    <w:p w14:paraId="404926EC" w14:textId="77777777" w:rsidR="002C22C9" w:rsidRPr="00996FE6" w:rsidRDefault="002C22C9" w:rsidP="00E61461">
      <w:pPr>
        <w:tabs>
          <w:tab w:val="clear" w:pos="284"/>
          <w:tab w:val="center" w:pos="4536"/>
          <w:tab w:val="right" w:pos="9072"/>
        </w:tabs>
        <w:rPr>
          <w:szCs w:val="22"/>
          <w:u w:val="single"/>
          <w:lang w:val="sr-Latn-RS"/>
        </w:rPr>
      </w:pPr>
    </w:p>
    <w:p w14:paraId="1E9D0158" w14:textId="3C93766C" w:rsidR="00B97F2C" w:rsidRPr="00996FE6" w:rsidRDefault="00B97F2C" w:rsidP="00E61461">
      <w:pPr>
        <w:rPr>
          <w:szCs w:val="22"/>
          <w:lang w:val="sr-Latn-RS"/>
        </w:rPr>
      </w:pPr>
      <w:r w:rsidRPr="00996FE6">
        <w:rPr>
          <w:szCs w:val="22"/>
          <w:lang w:val="sr-Latn-RS"/>
        </w:rPr>
        <w:t>Istovremena prim</w:t>
      </w:r>
      <w:r w:rsidR="00E01D33" w:rsidRPr="00996FE6">
        <w:rPr>
          <w:szCs w:val="22"/>
          <w:lang w:val="sr-Latn-RS"/>
        </w:rPr>
        <w:t>j</w:t>
      </w:r>
      <w:r w:rsidRPr="00996FE6">
        <w:rPr>
          <w:szCs w:val="22"/>
          <w:lang w:val="sr-Latn-RS"/>
        </w:rPr>
        <w:t xml:space="preserve">ena vankomicina i anestetika povezana je sa pojavom eritema, crvenila sličnog onom koji izaziva histamin i anafilaktoidnih reakcija </w:t>
      </w:r>
      <w:r w:rsidRPr="00996FE6">
        <w:rPr>
          <w:bCs/>
          <w:szCs w:val="22"/>
          <w:lang w:val="sr-Latn-RS"/>
        </w:rPr>
        <w:t>(vid</w:t>
      </w:r>
      <w:r w:rsidR="00E01D33" w:rsidRPr="00996FE6">
        <w:rPr>
          <w:bCs/>
          <w:szCs w:val="22"/>
          <w:lang w:val="sr-Latn-RS"/>
        </w:rPr>
        <w:t>j</w:t>
      </w:r>
      <w:r w:rsidRPr="00996FE6">
        <w:rPr>
          <w:bCs/>
          <w:szCs w:val="22"/>
          <w:lang w:val="sr-Latn-RS"/>
        </w:rPr>
        <w:t xml:space="preserve">eti </w:t>
      </w:r>
      <w:r w:rsidR="008A33D4" w:rsidRPr="00996FE6">
        <w:rPr>
          <w:bCs/>
          <w:szCs w:val="22"/>
          <w:lang w:val="sr-Latn-RS"/>
        </w:rPr>
        <w:t xml:space="preserve">dio </w:t>
      </w:r>
      <w:r w:rsidRPr="00996FE6">
        <w:rPr>
          <w:bCs/>
          <w:szCs w:val="22"/>
          <w:lang w:val="sr-Latn-RS"/>
        </w:rPr>
        <w:t>4.8).</w:t>
      </w:r>
    </w:p>
    <w:p w14:paraId="08495E92" w14:textId="77777777" w:rsidR="00B97F2C" w:rsidRPr="00996FE6" w:rsidRDefault="00B97F2C" w:rsidP="00E61461">
      <w:pPr>
        <w:rPr>
          <w:szCs w:val="22"/>
          <w:lang w:val="sr-Latn-RS"/>
        </w:rPr>
      </w:pPr>
    </w:p>
    <w:p w14:paraId="01BDB31A" w14:textId="33AC0674" w:rsidR="00B97F2C" w:rsidRPr="00996FE6" w:rsidRDefault="00B97F2C" w:rsidP="00E61461">
      <w:pPr>
        <w:rPr>
          <w:szCs w:val="22"/>
          <w:lang w:val="sr-Latn-RS"/>
        </w:rPr>
      </w:pPr>
      <w:r w:rsidRPr="00996FE6">
        <w:rPr>
          <w:szCs w:val="22"/>
          <w:lang w:val="sr-Latn-RS"/>
        </w:rPr>
        <w:t>Prijavljeno je da se učestalost događaja povezanih sa prim</w:t>
      </w:r>
      <w:r w:rsidR="00E01D33" w:rsidRPr="00996FE6">
        <w:rPr>
          <w:szCs w:val="22"/>
          <w:lang w:val="sr-Latn-RS"/>
        </w:rPr>
        <w:t>j</w:t>
      </w:r>
      <w:r w:rsidRPr="00996FE6">
        <w:rPr>
          <w:szCs w:val="22"/>
          <w:lang w:val="sr-Latn-RS"/>
        </w:rPr>
        <w:t>enom infuzije povećava sa istovremenom prim</w:t>
      </w:r>
      <w:r w:rsidR="00E01D33" w:rsidRPr="00996FE6">
        <w:rPr>
          <w:szCs w:val="22"/>
          <w:lang w:val="sr-Latn-RS"/>
        </w:rPr>
        <w:t>j</w:t>
      </w:r>
      <w:r w:rsidRPr="00996FE6">
        <w:rPr>
          <w:szCs w:val="22"/>
          <w:lang w:val="sr-Latn-RS"/>
        </w:rPr>
        <w:t>enom anestetika. Događaji uzrokovani prim</w:t>
      </w:r>
      <w:r w:rsidR="00E01D33" w:rsidRPr="00996FE6">
        <w:rPr>
          <w:szCs w:val="22"/>
          <w:lang w:val="sr-Latn-RS"/>
        </w:rPr>
        <w:t>j</w:t>
      </w:r>
      <w:r w:rsidRPr="00996FE6">
        <w:rPr>
          <w:szCs w:val="22"/>
          <w:lang w:val="sr-Latn-RS"/>
        </w:rPr>
        <w:t>enom infuzije se mogu značajno smanjiti prim</w:t>
      </w:r>
      <w:r w:rsidR="00E01D33" w:rsidRPr="00996FE6">
        <w:rPr>
          <w:szCs w:val="22"/>
          <w:lang w:val="sr-Latn-RS"/>
        </w:rPr>
        <w:t>j</w:t>
      </w:r>
      <w:r w:rsidRPr="00996FE6">
        <w:rPr>
          <w:szCs w:val="22"/>
          <w:lang w:val="sr-Latn-RS"/>
        </w:rPr>
        <w:t>enom vankomicina u obliku infuzije od 60 minuta pr</w:t>
      </w:r>
      <w:r w:rsidR="00E01D33" w:rsidRPr="00996FE6">
        <w:rPr>
          <w:szCs w:val="22"/>
          <w:lang w:val="sr-Latn-RS"/>
        </w:rPr>
        <w:t>ij</w:t>
      </w:r>
      <w:r w:rsidRPr="00996FE6">
        <w:rPr>
          <w:szCs w:val="22"/>
          <w:lang w:val="sr-Latn-RS"/>
        </w:rPr>
        <w:t>e indukcije anestetika. Ukoliko se vankomicin prim</w:t>
      </w:r>
      <w:r w:rsidR="00E01D33" w:rsidRPr="00996FE6">
        <w:rPr>
          <w:szCs w:val="22"/>
          <w:lang w:val="sr-Latn-RS"/>
        </w:rPr>
        <w:t>j</w:t>
      </w:r>
      <w:r w:rsidRPr="00996FE6">
        <w:rPr>
          <w:szCs w:val="22"/>
          <w:lang w:val="sr-Latn-RS"/>
        </w:rPr>
        <w:t>enjuje tokom anestezije, doze se moraju razblažiti do najmanje 5 mg/m</w:t>
      </w:r>
      <w:r w:rsidR="008A33D4" w:rsidRPr="00996FE6">
        <w:rPr>
          <w:szCs w:val="22"/>
          <w:lang w:val="sr-Latn-RS"/>
        </w:rPr>
        <w:t>l</w:t>
      </w:r>
      <w:r w:rsidRPr="00996FE6">
        <w:rPr>
          <w:szCs w:val="22"/>
          <w:lang w:val="sr-Latn-RS"/>
        </w:rPr>
        <w:t xml:space="preserve"> i prim</w:t>
      </w:r>
      <w:r w:rsidR="00E01D33" w:rsidRPr="00996FE6">
        <w:rPr>
          <w:szCs w:val="22"/>
          <w:lang w:val="sr-Latn-RS"/>
        </w:rPr>
        <w:t>j</w:t>
      </w:r>
      <w:r w:rsidRPr="00996FE6">
        <w:rPr>
          <w:szCs w:val="22"/>
          <w:lang w:val="sr-Latn-RS"/>
        </w:rPr>
        <w:t>eniti sporo uz pažljivo praćenje rada srca. Prom</w:t>
      </w:r>
      <w:r w:rsidR="00E01D33" w:rsidRPr="00996FE6">
        <w:rPr>
          <w:szCs w:val="22"/>
          <w:lang w:val="sr-Latn-RS"/>
        </w:rPr>
        <w:t>j</w:t>
      </w:r>
      <w:r w:rsidRPr="00996FE6">
        <w:rPr>
          <w:szCs w:val="22"/>
          <w:lang w:val="sr-Latn-RS"/>
        </w:rPr>
        <w:t>ene položaja treba odložiti do završetka infuzije, kako bi se omogućilo posturalno prilagođavanje.</w:t>
      </w:r>
    </w:p>
    <w:p w14:paraId="658C986D" w14:textId="77777777" w:rsidR="00B97F2C" w:rsidRPr="00996FE6" w:rsidRDefault="00B97F2C" w:rsidP="00E61461">
      <w:pPr>
        <w:rPr>
          <w:szCs w:val="22"/>
          <w:lang w:val="sr-Latn-RS"/>
        </w:rPr>
      </w:pPr>
    </w:p>
    <w:p w14:paraId="5DC07F57" w14:textId="2EC2A9DD" w:rsidR="00B97F2C" w:rsidRPr="00996FE6" w:rsidRDefault="00B97F2C" w:rsidP="00E61461">
      <w:pPr>
        <w:rPr>
          <w:szCs w:val="22"/>
          <w:lang w:val="sr-Latn-RS"/>
        </w:rPr>
      </w:pPr>
      <w:r w:rsidRPr="00996FE6">
        <w:rPr>
          <w:szCs w:val="22"/>
          <w:lang w:val="sr-Latn-RS"/>
        </w:rPr>
        <w:t>Istovremena ili uzastopna  sistemska ili lokalna prim</w:t>
      </w:r>
      <w:r w:rsidR="00DE289A" w:rsidRPr="00996FE6">
        <w:rPr>
          <w:szCs w:val="22"/>
          <w:lang w:val="sr-Latn-RS"/>
        </w:rPr>
        <w:t>j</w:t>
      </w:r>
      <w:r w:rsidRPr="00996FE6">
        <w:rPr>
          <w:szCs w:val="22"/>
          <w:lang w:val="sr-Latn-RS"/>
        </w:rPr>
        <w:t>ena sa drugim potencijalno ototoksičnim i nefrotoksičnim l</w:t>
      </w:r>
      <w:r w:rsidR="00DE289A" w:rsidRPr="00996FE6">
        <w:rPr>
          <w:szCs w:val="22"/>
          <w:lang w:val="sr-Latn-RS"/>
        </w:rPr>
        <w:t>j</w:t>
      </w:r>
      <w:r w:rsidRPr="00996FE6">
        <w:rPr>
          <w:szCs w:val="22"/>
          <w:lang w:val="sr-Latn-RS"/>
        </w:rPr>
        <w:t>ekovima, kao što su</w:t>
      </w:r>
      <w:r w:rsidR="006A5D2F" w:rsidRPr="00996FE6">
        <w:rPr>
          <w:szCs w:val="22"/>
          <w:lang w:val="sr-Latn-RS"/>
        </w:rPr>
        <w:t xml:space="preserve"> piperacilin/tazobaktam,</w:t>
      </w:r>
      <w:r w:rsidRPr="00996FE6">
        <w:rPr>
          <w:szCs w:val="22"/>
          <w:lang w:val="sr-Latn-RS"/>
        </w:rPr>
        <w:t xml:space="preserve"> amfotericin B, aminoglikozidi, bacitracin, polimiksin B, kolistin, viomicin, cisplatin, diuretici Henleove petlje i NSAIL mogu povećati toksičnost vankomicina i ako je indikovana njihova prim</w:t>
      </w:r>
      <w:r w:rsidR="00DE289A" w:rsidRPr="00996FE6">
        <w:rPr>
          <w:szCs w:val="22"/>
          <w:lang w:val="sr-Latn-RS"/>
        </w:rPr>
        <w:t>j</w:t>
      </w:r>
      <w:r w:rsidRPr="00996FE6">
        <w:rPr>
          <w:szCs w:val="22"/>
          <w:lang w:val="sr-Latn-RS"/>
        </w:rPr>
        <w:t>ena, potrebno je odgovarajuće praćenje i oprezna upotreba</w:t>
      </w:r>
      <w:r w:rsidR="006A5D2F" w:rsidRPr="00996FE6">
        <w:rPr>
          <w:szCs w:val="22"/>
          <w:lang w:val="sr-Latn-RS"/>
        </w:rPr>
        <w:t xml:space="preserve"> (vid</w:t>
      </w:r>
      <w:r w:rsidR="00A41EAC" w:rsidRPr="00996FE6">
        <w:rPr>
          <w:szCs w:val="22"/>
          <w:lang w:val="sr-Latn-RS"/>
        </w:rPr>
        <w:t>j</w:t>
      </w:r>
      <w:r w:rsidR="006A5D2F" w:rsidRPr="00996FE6">
        <w:rPr>
          <w:szCs w:val="22"/>
          <w:lang w:val="sr-Latn-RS"/>
        </w:rPr>
        <w:t xml:space="preserve">eti </w:t>
      </w:r>
      <w:r w:rsidR="008A33D4" w:rsidRPr="00996FE6">
        <w:rPr>
          <w:szCs w:val="22"/>
          <w:lang w:val="sr-Latn-RS"/>
        </w:rPr>
        <w:t>dio</w:t>
      </w:r>
      <w:r w:rsidR="004C0B44" w:rsidRPr="00996FE6">
        <w:rPr>
          <w:szCs w:val="22"/>
          <w:lang w:val="sr-Latn-RS"/>
        </w:rPr>
        <w:t xml:space="preserve"> </w:t>
      </w:r>
      <w:r w:rsidR="006A5D2F" w:rsidRPr="00996FE6">
        <w:rPr>
          <w:szCs w:val="22"/>
          <w:lang w:val="sr-Latn-RS"/>
        </w:rPr>
        <w:t>4.4)</w:t>
      </w:r>
      <w:r w:rsidRPr="00996FE6">
        <w:rPr>
          <w:szCs w:val="22"/>
          <w:lang w:val="sr-Latn-RS"/>
        </w:rPr>
        <w:t xml:space="preserve">. </w:t>
      </w:r>
    </w:p>
    <w:p w14:paraId="3CE2131C" w14:textId="77777777" w:rsidR="00B97F2C" w:rsidRPr="00996FE6" w:rsidRDefault="00B97F2C" w:rsidP="00E61461">
      <w:pPr>
        <w:rPr>
          <w:szCs w:val="22"/>
          <w:u w:val="single"/>
          <w:lang w:val="pl-PL"/>
        </w:rPr>
      </w:pPr>
    </w:p>
    <w:p w14:paraId="77F20477" w14:textId="5EBE532B" w:rsidR="00B97F2C" w:rsidRPr="00996FE6" w:rsidRDefault="00B97F2C" w:rsidP="002602FB">
      <w:pPr>
        <w:autoSpaceDE w:val="0"/>
        <w:autoSpaceDN w:val="0"/>
        <w:adjustRightInd w:val="0"/>
        <w:rPr>
          <w:szCs w:val="22"/>
          <w:u w:val="single"/>
          <w:lang w:val="pl-PL"/>
        </w:rPr>
      </w:pPr>
      <w:r w:rsidRPr="00996FE6">
        <w:rPr>
          <w:b/>
          <w:bCs/>
          <w:szCs w:val="22"/>
          <w:lang w:val="pl-PL"/>
        </w:rPr>
        <w:lastRenderedPageBreak/>
        <w:t>Oralna prim</w:t>
      </w:r>
      <w:r w:rsidR="00DE289A" w:rsidRPr="00996FE6">
        <w:rPr>
          <w:b/>
          <w:bCs/>
          <w:szCs w:val="22"/>
          <w:lang w:val="pl-PL"/>
        </w:rPr>
        <w:t>j</w:t>
      </w:r>
      <w:r w:rsidRPr="00996FE6">
        <w:rPr>
          <w:b/>
          <w:bCs/>
          <w:szCs w:val="22"/>
          <w:lang w:val="pl-PL"/>
        </w:rPr>
        <w:t>ena:</w:t>
      </w:r>
      <w:r w:rsidRPr="00996FE6">
        <w:rPr>
          <w:bCs/>
          <w:szCs w:val="22"/>
          <w:lang w:val="pl-PL"/>
        </w:rPr>
        <w:t xml:space="preserve"> Treba razmotriti prekid terapije inhibitorima protonske pumpe i l</w:t>
      </w:r>
      <w:r w:rsidR="00DE289A" w:rsidRPr="00996FE6">
        <w:rPr>
          <w:bCs/>
          <w:szCs w:val="22"/>
          <w:lang w:val="pl-PL"/>
        </w:rPr>
        <w:t>j</w:t>
      </w:r>
      <w:r w:rsidRPr="00996FE6">
        <w:rPr>
          <w:bCs/>
          <w:szCs w:val="22"/>
          <w:lang w:val="pl-PL"/>
        </w:rPr>
        <w:t>ekovima koji smanjuju motilitet gastrointestinalnog trakta u skladu sa lokalnim sm</w:t>
      </w:r>
      <w:r w:rsidR="00DE289A" w:rsidRPr="00996FE6">
        <w:rPr>
          <w:bCs/>
          <w:szCs w:val="22"/>
          <w:lang w:val="pl-PL"/>
        </w:rPr>
        <w:t>j</w:t>
      </w:r>
      <w:r w:rsidRPr="00996FE6">
        <w:rPr>
          <w:bCs/>
          <w:szCs w:val="22"/>
          <w:lang w:val="pl-PL"/>
        </w:rPr>
        <w:t>ernicama za l</w:t>
      </w:r>
      <w:r w:rsidR="00DE289A" w:rsidRPr="00996FE6">
        <w:rPr>
          <w:bCs/>
          <w:szCs w:val="22"/>
          <w:lang w:val="pl-PL"/>
        </w:rPr>
        <w:t>ij</w:t>
      </w:r>
      <w:r w:rsidRPr="00996FE6">
        <w:rPr>
          <w:bCs/>
          <w:szCs w:val="22"/>
          <w:lang w:val="pl-PL"/>
        </w:rPr>
        <w:t>e</w:t>
      </w:r>
      <w:r w:rsidRPr="00996FE6">
        <w:rPr>
          <w:bCs/>
          <w:szCs w:val="22"/>
          <w:lang w:val="sr-Latn-RS"/>
        </w:rPr>
        <w:t xml:space="preserve">čenje infekcija uzrokovanih bakterijom </w:t>
      </w:r>
      <w:r w:rsidRPr="00996FE6">
        <w:rPr>
          <w:bCs/>
          <w:i/>
          <w:szCs w:val="22"/>
          <w:lang w:val="sr-Latn-RS"/>
        </w:rPr>
        <w:t>Clostridium difficile</w:t>
      </w:r>
      <w:r w:rsidRPr="00996FE6">
        <w:rPr>
          <w:bCs/>
          <w:szCs w:val="22"/>
          <w:lang w:val="sr-Latn-RS"/>
        </w:rPr>
        <w:t>.</w:t>
      </w:r>
    </w:p>
    <w:p w14:paraId="1626DAE6" w14:textId="75C315C7" w:rsidR="00D96B71" w:rsidRPr="00996FE6" w:rsidRDefault="00D96B71" w:rsidP="00E61461">
      <w:pPr>
        <w:rPr>
          <w:bCs/>
          <w:szCs w:val="22"/>
          <w:lang w:val="sr-Latn-RS"/>
        </w:rPr>
      </w:pPr>
    </w:p>
    <w:p w14:paraId="54977A15" w14:textId="7167DBCA" w:rsidR="00CE09F3" w:rsidRPr="00996FE6" w:rsidRDefault="00CE09F3" w:rsidP="00E61461">
      <w:pPr>
        <w:rPr>
          <w:b/>
          <w:bCs/>
          <w:szCs w:val="22"/>
          <w:lang w:val="sv-SE"/>
        </w:rPr>
      </w:pPr>
      <w:r w:rsidRPr="00996FE6">
        <w:rPr>
          <w:b/>
          <w:bCs/>
          <w:szCs w:val="22"/>
          <w:lang w:val="ru-RU"/>
        </w:rPr>
        <w:t xml:space="preserve">4.6. </w:t>
      </w:r>
      <w:r w:rsidR="00866670" w:rsidRPr="00996FE6">
        <w:rPr>
          <w:b/>
          <w:bCs/>
          <w:szCs w:val="22"/>
          <w:lang w:val="pl-PL"/>
        </w:rPr>
        <w:t>Primjena u periodu trudnoće i dojenja</w:t>
      </w:r>
    </w:p>
    <w:p w14:paraId="54977A16" w14:textId="77777777" w:rsidR="00BB2335" w:rsidRPr="00996FE6" w:rsidRDefault="00BB2335" w:rsidP="00E61461">
      <w:pPr>
        <w:rPr>
          <w:i/>
          <w:szCs w:val="22"/>
          <w:lang w:val="sr-Latn-CS"/>
        </w:rPr>
      </w:pPr>
    </w:p>
    <w:p w14:paraId="03823B90" w14:textId="77777777" w:rsidR="00866670" w:rsidRPr="00996FE6" w:rsidRDefault="00866670" w:rsidP="002602FB">
      <w:pPr>
        <w:autoSpaceDE w:val="0"/>
        <w:autoSpaceDN w:val="0"/>
        <w:adjustRightInd w:val="0"/>
        <w:rPr>
          <w:szCs w:val="22"/>
          <w:u w:val="single"/>
          <w:lang w:val="pl-PL"/>
        </w:rPr>
      </w:pPr>
      <w:r w:rsidRPr="00996FE6">
        <w:rPr>
          <w:i/>
          <w:szCs w:val="22"/>
          <w:u w:val="single"/>
          <w:lang w:val="pl-PL"/>
        </w:rPr>
        <w:t>Trudnoća:</w:t>
      </w:r>
      <w:r w:rsidRPr="00996FE6">
        <w:rPr>
          <w:szCs w:val="22"/>
          <w:u w:val="single"/>
          <w:lang w:val="pl-PL"/>
        </w:rPr>
        <w:t xml:space="preserve"> </w:t>
      </w:r>
    </w:p>
    <w:p w14:paraId="40C58A92" w14:textId="3356772B" w:rsidR="0067104D" w:rsidRPr="00996FE6" w:rsidRDefault="0067104D" w:rsidP="00E61461">
      <w:pPr>
        <w:rPr>
          <w:szCs w:val="22"/>
          <w:lang w:val="pl-PL"/>
        </w:rPr>
      </w:pPr>
      <w:r w:rsidRPr="00996FE6">
        <w:rPr>
          <w:szCs w:val="22"/>
          <w:lang w:val="pl-PL"/>
        </w:rPr>
        <w:t>Studije teratogenosti sprovedene na pacovima sa dozama koje su 5 puta veće od doza prim</w:t>
      </w:r>
      <w:r w:rsidR="00DE289A" w:rsidRPr="00996FE6">
        <w:rPr>
          <w:szCs w:val="22"/>
          <w:lang w:val="pl-PL"/>
        </w:rPr>
        <w:t>j</w:t>
      </w:r>
      <w:r w:rsidRPr="00996FE6">
        <w:rPr>
          <w:szCs w:val="22"/>
          <w:lang w:val="pl-PL"/>
        </w:rPr>
        <w:t>enjenih kod ljudi i kod kunića sa dozama koje su 3 puta veće od doza prim</w:t>
      </w:r>
      <w:r w:rsidR="008A33D4" w:rsidRPr="00996FE6">
        <w:rPr>
          <w:szCs w:val="22"/>
          <w:lang w:val="pl-PL"/>
        </w:rPr>
        <w:t>i</w:t>
      </w:r>
      <w:r w:rsidR="00DE289A" w:rsidRPr="00996FE6">
        <w:rPr>
          <w:szCs w:val="22"/>
          <w:lang w:val="pl-PL"/>
        </w:rPr>
        <w:t>j</w:t>
      </w:r>
      <w:r w:rsidRPr="00996FE6">
        <w:rPr>
          <w:szCs w:val="22"/>
          <w:lang w:val="pl-PL"/>
        </w:rPr>
        <w:t>enjenih kod ljudi, ni</w:t>
      </w:r>
      <w:r w:rsidR="008A33D4" w:rsidRPr="00996FE6">
        <w:rPr>
          <w:szCs w:val="22"/>
          <w:lang w:val="pl-PL"/>
        </w:rPr>
        <w:t>je</w:t>
      </w:r>
      <w:r w:rsidRPr="00996FE6">
        <w:rPr>
          <w:szCs w:val="22"/>
          <w:lang w:val="pl-PL"/>
        </w:rPr>
        <w:t>su pružile dokaze o oštećenju fetusa usl</w:t>
      </w:r>
      <w:r w:rsidR="008A33D4" w:rsidRPr="00996FE6">
        <w:rPr>
          <w:szCs w:val="22"/>
          <w:lang w:val="pl-PL"/>
        </w:rPr>
        <w:t>j</w:t>
      </w:r>
      <w:r w:rsidRPr="00996FE6">
        <w:rPr>
          <w:szCs w:val="22"/>
          <w:lang w:val="pl-PL"/>
        </w:rPr>
        <w:t>ed prim</w:t>
      </w:r>
      <w:r w:rsidR="00DE289A" w:rsidRPr="00996FE6">
        <w:rPr>
          <w:szCs w:val="22"/>
          <w:lang w:val="pl-PL"/>
        </w:rPr>
        <w:t>j</w:t>
      </w:r>
      <w:r w:rsidRPr="00996FE6">
        <w:rPr>
          <w:szCs w:val="22"/>
          <w:lang w:val="pl-PL"/>
        </w:rPr>
        <w:t>ene vankomicina. U kontrolisanoj kliničkoj studiji, potencijalni ototoksični i nefrotoksični uticaj vankomicin</w:t>
      </w:r>
      <w:r w:rsidR="008A33D4" w:rsidRPr="00996FE6">
        <w:rPr>
          <w:szCs w:val="22"/>
          <w:lang w:val="pl-PL"/>
        </w:rPr>
        <w:t xml:space="preserve"> </w:t>
      </w:r>
      <w:r w:rsidRPr="00996FE6">
        <w:rPr>
          <w:szCs w:val="22"/>
          <w:lang w:val="pl-PL"/>
        </w:rPr>
        <w:t>hidrohlorida kod odojčadi je prim</w:t>
      </w:r>
      <w:r w:rsidR="008A33D4" w:rsidRPr="00996FE6">
        <w:rPr>
          <w:szCs w:val="22"/>
          <w:lang w:val="pl-PL"/>
        </w:rPr>
        <w:t>i</w:t>
      </w:r>
      <w:r w:rsidR="00DE289A" w:rsidRPr="00996FE6">
        <w:rPr>
          <w:szCs w:val="22"/>
          <w:lang w:val="pl-PL"/>
        </w:rPr>
        <w:t>j</w:t>
      </w:r>
      <w:r w:rsidRPr="00996FE6">
        <w:rPr>
          <w:szCs w:val="22"/>
          <w:lang w:val="pl-PL"/>
        </w:rPr>
        <w:t>ećen kada je l</w:t>
      </w:r>
      <w:r w:rsidR="00DE289A" w:rsidRPr="00996FE6">
        <w:rPr>
          <w:szCs w:val="22"/>
          <w:lang w:val="pl-PL"/>
        </w:rPr>
        <w:t>ij</w:t>
      </w:r>
      <w:r w:rsidRPr="00996FE6">
        <w:rPr>
          <w:szCs w:val="22"/>
          <w:lang w:val="pl-PL"/>
        </w:rPr>
        <w:t>ek prim</w:t>
      </w:r>
      <w:r w:rsidR="00DE289A" w:rsidRPr="00996FE6">
        <w:rPr>
          <w:szCs w:val="22"/>
          <w:lang w:val="pl-PL"/>
        </w:rPr>
        <w:t>j</w:t>
      </w:r>
      <w:r w:rsidRPr="00996FE6">
        <w:rPr>
          <w:szCs w:val="22"/>
          <w:lang w:val="pl-PL"/>
        </w:rPr>
        <w:t>enjivan kod trudnica sa ozbiljnim stafilokoknim infekcijama nastalim kao komplikacija intravenske zloupotrebe narkotika. Vancomicin</w:t>
      </w:r>
      <w:r w:rsidR="008A33D4" w:rsidRPr="00996FE6">
        <w:rPr>
          <w:szCs w:val="22"/>
          <w:lang w:val="pl-PL"/>
        </w:rPr>
        <w:t xml:space="preserve"> </w:t>
      </w:r>
      <w:r w:rsidRPr="00996FE6">
        <w:rPr>
          <w:szCs w:val="22"/>
          <w:lang w:val="pl-PL"/>
        </w:rPr>
        <w:t>hidrohlorid je pronađen u krvi pupčane vrpce. Ni</w:t>
      </w:r>
      <w:r w:rsidR="008A33D4" w:rsidRPr="00996FE6">
        <w:rPr>
          <w:szCs w:val="22"/>
          <w:lang w:val="pl-PL"/>
        </w:rPr>
        <w:t>je</w:t>
      </w:r>
      <w:r w:rsidRPr="00996FE6">
        <w:rPr>
          <w:szCs w:val="22"/>
          <w:lang w:val="pl-PL"/>
        </w:rPr>
        <w:t>su zab</w:t>
      </w:r>
      <w:r w:rsidR="00DE289A" w:rsidRPr="00996FE6">
        <w:rPr>
          <w:szCs w:val="22"/>
          <w:lang w:val="pl-PL"/>
        </w:rPr>
        <w:t>ilj</w:t>
      </w:r>
      <w:r w:rsidRPr="00996FE6">
        <w:rPr>
          <w:szCs w:val="22"/>
          <w:lang w:val="pl-PL"/>
        </w:rPr>
        <w:t>eleženi senzoneuralni gubitak sluha ili nefrotoksičnost koji se mogu pripisati vankomicinu. Kod jednog deteta, čija je majka primila vankomicin tokom trećeg trimestra, došlo je do konduktivne gluvoće koja nije dovedena u vezu sa prim</w:t>
      </w:r>
      <w:r w:rsidR="00DE289A" w:rsidRPr="00996FE6">
        <w:rPr>
          <w:szCs w:val="22"/>
          <w:lang w:val="pl-PL"/>
        </w:rPr>
        <w:t>j</w:t>
      </w:r>
      <w:r w:rsidRPr="00996FE6">
        <w:rPr>
          <w:szCs w:val="22"/>
          <w:lang w:val="pl-PL"/>
        </w:rPr>
        <w:t>enom vankomicina. S obzirom na to da je vankomicin prim</w:t>
      </w:r>
      <w:r w:rsidR="006B720F" w:rsidRPr="00996FE6">
        <w:rPr>
          <w:szCs w:val="22"/>
          <w:lang w:val="pl-PL"/>
        </w:rPr>
        <w:t>j</w:t>
      </w:r>
      <w:r w:rsidRPr="00996FE6">
        <w:rPr>
          <w:szCs w:val="22"/>
          <w:lang w:val="pl-PL"/>
        </w:rPr>
        <w:t>enjivan samo tokom drugog i trećeg trimestra trudnoće, nije poznato da li uzrokuje oštećenje fetusa. Vancomicin treba prim</w:t>
      </w:r>
      <w:r w:rsidR="00DE289A" w:rsidRPr="00996FE6">
        <w:rPr>
          <w:szCs w:val="22"/>
          <w:lang w:val="pl-PL"/>
        </w:rPr>
        <w:t>j</w:t>
      </w:r>
      <w:r w:rsidRPr="00996FE6">
        <w:rPr>
          <w:szCs w:val="22"/>
          <w:lang w:val="pl-PL"/>
        </w:rPr>
        <w:t>enjivati u trudnoći samo ako je to jasno indikovano i potrebno je pažljivo pratiti koncentracije l</w:t>
      </w:r>
      <w:r w:rsidR="00DE289A" w:rsidRPr="00996FE6">
        <w:rPr>
          <w:szCs w:val="22"/>
          <w:lang w:val="pl-PL"/>
        </w:rPr>
        <w:t>ij</w:t>
      </w:r>
      <w:r w:rsidRPr="00996FE6">
        <w:rPr>
          <w:szCs w:val="22"/>
          <w:lang w:val="pl-PL"/>
        </w:rPr>
        <w:t>eka u krvi kako bi se rizik od fetalne toksičnosti sveo na minimum. Međutim, prijavljeno je da je kod trudnica ponekad potrebno povećati dozu vankomicina da bi se postigle terapijske koncentracije l</w:t>
      </w:r>
      <w:r w:rsidR="00DE289A" w:rsidRPr="00996FE6">
        <w:rPr>
          <w:szCs w:val="22"/>
          <w:lang w:val="pl-PL"/>
        </w:rPr>
        <w:t>ij</w:t>
      </w:r>
      <w:r w:rsidRPr="00996FE6">
        <w:rPr>
          <w:szCs w:val="22"/>
          <w:lang w:val="pl-PL"/>
        </w:rPr>
        <w:t>eka u serumu.</w:t>
      </w:r>
    </w:p>
    <w:p w14:paraId="750A02A0" w14:textId="77777777" w:rsidR="00866670" w:rsidRPr="00996FE6" w:rsidRDefault="00866670" w:rsidP="002602FB">
      <w:pPr>
        <w:autoSpaceDE w:val="0"/>
        <w:autoSpaceDN w:val="0"/>
        <w:adjustRightInd w:val="0"/>
        <w:rPr>
          <w:szCs w:val="22"/>
          <w:lang w:val="pl-PL"/>
        </w:rPr>
      </w:pPr>
    </w:p>
    <w:p w14:paraId="1C13A8F1" w14:textId="77777777" w:rsidR="00866670" w:rsidRPr="00996FE6" w:rsidRDefault="00866670">
      <w:pPr>
        <w:autoSpaceDE w:val="0"/>
        <w:autoSpaceDN w:val="0"/>
        <w:adjustRightInd w:val="0"/>
        <w:rPr>
          <w:szCs w:val="22"/>
          <w:u w:val="single"/>
          <w:lang w:val="pl-PL"/>
        </w:rPr>
      </w:pPr>
      <w:r w:rsidRPr="00996FE6">
        <w:rPr>
          <w:i/>
          <w:szCs w:val="22"/>
          <w:u w:val="single"/>
          <w:lang w:val="pl-PL"/>
        </w:rPr>
        <w:t>Dojenje:</w:t>
      </w:r>
      <w:r w:rsidRPr="00996FE6">
        <w:rPr>
          <w:szCs w:val="22"/>
          <w:u w:val="single"/>
          <w:lang w:val="pl-PL"/>
        </w:rPr>
        <w:t xml:space="preserve"> </w:t>
      </w:r>
    </w:p>
    <w:p w14:paraId="3ABCEC9D" w14:textId="13C06494" w:rsidR="0067104D" w:rsidRPr="00996FE6" w:rsidRDefault="0067104D" w:rsidP="00E61461">
      <w:pPr>
        <w:rPr>
          <w:szCs w:val="22"/>
          <w:lang w:val="pl-PL"/>
        </w:rPr>
      </w:pPr>
      <w:r w:rsidRPr="00996FE6">
        <w:rPr>
          <w:szCs w:val="22"/>
          <w:lang w:val="pl-PL"/>
        </w:rPr>
        <w:t>Vankomicin</w:t>
      </w:r>
      <w:r w:rsidR="006B720F" w:rsidRPr="00996FE6">
        <w:rPr>
          <w:szCs w:val="22"/>
          <w:lang w:val="pl-PL"/>
        </w:rPr>
        <w:t xml:space="preserve"> </w:t>
      </w:r>
      <w:r w:rsidRPr="00996FE6">
        <w:rPr>
          <w:szCs w:val="22"/>
          <w:lang w:val="pl-PL"/>
        </w:rPr>
        <w:t>hidrohlorid se izlučuje u majčino ml</w:t>
      </w:r>
      <w:r w:rsidR="00DE289A" w:rsidRPr="00996FE6">
        <w:rPr>
          <w:szCs w:val="22"/>
          <w:lang w:val="pl-PL"/>
        </w:rPr>
        <w:t>ij</w:t>
      </w:r>
      <w:r w:rsidRPr="00996FE6">
        <w:rPr>
          <w:szCs w:val="22"/>
          <w:lang w:val="pl-PL"/>
        </w:rPr>
        <w:t>eko. Neophodan je oprez kada se vankomicin prim</w:t>
      </w:r>
      <w:r w:rsidR="00DE289A" w:rsidRPr="00996FE6">
        <w:rPr>
          <w:szCs w:val="22"/>
          <w:lang w:val="pl-PL"/>
        </w:rPr>
        <w:t>j</w:t>
      </w:r>
      <w:r w:rsidRPr="00996FE6">
        <w:rPr>
          <w:szCs w:val="22"/>
          <w:lang w:val="pl-PL"/>
        </w:rPr>
        <w:t>enjuje kod žena koje doje. Malo je v</w:t>
      </w:r>
      <w:r w:rsidR="00DE289A" w:rsidRPr="00996FE6">
        <w:rPr>
          <w:szCs w:val="22"/>
          <w:lang w:val="pl-PL"/>
        </w:rPr>
        <w:t>j</w:t>
      </w:r>
      <w:r w:rsidRPr="00996FE6">
        <w:rPr>
          <w:szCs w:val="22"/>
          <w:lang w:val="pl-PL"/>
        </w:rPr>
        <w:t>erovatno da odojče može da resorbuje značajnu količinu vankomicina iz gastrointestinalnog trakta.</w:t>
      </w:r>
    </w:p>
    <w:p w14:paraId="66825EAD" w14:textId="77777777" w:rsidR="00F07D51" w:rsidRPr="00996FE6" w:rsidRDefault="00F07D51" w:rsidP="00E61461">
      <w:pPr>
        <w:rPr>
          <w:szCs w:val="22"/>
          <w:lang w:val="pl-PL"/>
        </w:rPr>
      </w:pPr>
    </w:p>
    <w:p w14:paraId="54977A23" w14:textId="6C6635FA" w:rsidR="00CE09F3" w:rsidRPr="00996FE6" w:rsidRDefault="00CE09F3" w:rsidP="00E61461">
      <w:pPr>
        <w:rPr>
          <w:b/>
          <w:bCs/>
          <w:spacing w:val="-8"/>
          <w:szCs w:val="22"/>
          <w:lang w:val="ru-RU"/>
        </w:rPr>
      </w:pPr>
      <w:r w:rsidRPr="00996FE6">
        <w:rPr>
          <w:b/>
          <w:bCs/>
          <w:spacing w:val="-8"/>
          <w:szCs w:val="22"/>
          <w:lang w:val="ru-RU"/>
        </w:rPr>
        <w:t xml:space="preserve">4.7. </w:t>
      </w:r>
      <w:r w:rsidR="00866670" w:rsidRPr="00996FE6">
        <w:rPr>
          <w:b/>
          <w:bCs/>
          <w:spacing w:val="-8"/>
          <w:szCs w:val="22"/>
          <w:lang w:val="pl-PL"/>
        </w:rPr>
        <w:t>Uticaj na psihofizičke sposobnosti prilikom upravljanja motornim vozilima i rukovanja mašinama</w:t>
      </w:r>
    </w:p>
    <w:p w14:paraId="4DCADFF6" w14:textId="77777777" w:rsidR="00866670" w:rsidRPr="00996FE6" w:rsidRDefault="00866670" w:rsidP="00E61461">
      <w:pPr>
        <w:rPr>
          <w:szCs w:val="22"/>
          <w:lang w:val="pl-PL"/>
        </w:rPr>
      </w:pPr>
    </w:p>
    <w:p w14:paraId="5B44F7E3" w14:textId="61F9F8CE" w:rsidR="00F07D51" w:rsidRPr="00996FE6" w:rsidRDefault="00866670" w:rsidP="00E61461">
      <w:pPr>
        <w:rPr>
          <w:szCs w:val="22"/>
          <w:lang w:val="pl-PL"/>
        </w:rPr>
      </w:pPr>
      <w:r w:rsidRPr="00996FE6">
        <w:rPr>
          <w:szCs w:val="22"/>
          <w:lang w:val="pl-PL"/>
        </w:rPr>
        <w:t>Vankomicin nema ili ima zanemarljiv uticaj na psihofizičke sposobnosti prilikom upravljanja vozilima i rukovanja mašinama.</w:t>
      </w:r>
    </w:p>
    <w:p w14:paraId="54977D03" w14:textId="77777777" w:rsidR="00CE09F3" w:rsidRPr="00996FE6" w:rsidRDefault="00CE09F3" w:rsidP="00E61461">
      <w:pPr>
        <w:rPr>
          <w:szCs w:val="22"/>
          <w:lang w:val="pl-PL"/>
        </w:rPr>
      </w:pPr>
    </w:p>
    <w:p w14:paraId="13FAFCFD" w14:textId="1EC83AEC" w:rsidR="00866670" w:rsidRPr="00996FE6" w:rsidRDefault="00866670" w:rsidP="00E61461">
      <w:pPr>
        <w:rPr>
          <w:b/>
          <w:bCs/>
          <w:szCs w:val="22"/>
          <w:lang w:val="pl-PL"/>
        </w:rPr>
      </w:pPr>
      <w:r w:rsidRPr="00996FE6">
        <w:rPr>
          <w:b/>
          <w:bCs/>
          <w:szCs w:val="22"/>
          <w:lang w:val="pl-PL"/>
        </w:rPr>
        <w:t>4.8. Neželjena dejstva</w:t>
      </w:r>
    </w:p>
    <w:p w14:paraId="58CA70CD" w14:textId="77777777" w:rsidR="004D2765" w:rsidRPr="00996FE6" w:rsidRDefault="004D2765" w:rsidP="00E61461">
      <w:pPr>
        <w:rPr>
          <w:szCs w:val="22"/>
          <w:lang w:val="pl-PL"/>
        </w:rPr>
      </w:pPr>
    </w:p>
    <w:p w14:paraId="1DA838F5" w14:textId="3CDE3E5B" w:rsidR="0067104D" w:rsidRPr="00996FE6" w:rsidRDefault="0067104D" w:rsidP="00E61461">
      <w:pPr>
        <w:rPr>
          <w:bCs/>
          <w:szCs w:val="22"/>
          <w:u w:val="single"/>
          <w:lang w:val="pl-PL"/>
        </w:rPr>
      </w:pPr>
      <w:r w:rsidRPr="00996FE6">
        <w:rPr>
          <w:bCs/>
          <w:szCs w:val="22"/>
          <w:u w:val="single"/>
          <w:lang w:val="pl-PL"/>
        </w:rPr>
        <w:t>Sažetak bezb</w:t>
      </w:r>
      <w:r w:rsidR="00DE289A" w:rsidRPr="00996FE6">
        <w:rPr>
          <w:bCs/>
          <w:szCs w:val="22"/>
          <w:u w:val="single"/>
          <w:lang w:val="pl-PL"/>
        </w:rPr>
        <w:t>j</w:t>
      </w:r>
      <w:r w:rsidRPr="00996FE6">
        <w:rPr>
          <w:bCs/>
          <w:szCs w:val="22"/>
          <w:u w:val="single"/>
          <w:lang w:val="pl-PL"/>
        </w:rPr>
        <w:t>edonosnog profila</w:t>
      </w:r>
    </w:p>
    <w:p w14:paraId="599DC4CD" w14:textId="62153E98" w:rsidR="0067104D" w:rsidRPr="00996FE6" w:rsidRDefault="0067104D" w:rsidP="00E61461">
      <w:pPr>
        <w:rPr>
          <w:bCs/>
          <w:szCs w:val="22"/>
          <w:lang w:val="pl-PL"/>
        </w:rPr>
      </w:pPr>
      <w:r w:rsidRPr="00996FE6">
        <w:rPr>
          <w:bCs/>
          <w:szCs w:val="22"/>
          <w:lang w:val="pl-PL"/>
        </w:rPr>
        <w:t>Najčešće neželjene reakcije su flebitis, pseudoalergijske reakcije i naleti crvenila kože u gornjem d</w:t>
      </w:r>
      <w:r w:rsidR="00DE289A" w:rsidRPr="00996FE6">
        <w:rPr>
          <w:bCs/>
          <w:szCs w:val="22"/>
          <w:lang w:val="pl-PL"/>
        </w:rPr>
        <w:t>ij</w:t>
      </w:r>
      <w:r w:rsidRPr="00996FE6">
        <w:rPr>
          <w:bCs/>
          <w:szCs w:val="22"/>
          <w:lang w:val="pl-PL"/>
        </w:rPr>
        <w:t>elu t</w:t>
      </w:r>
      <w:r w:rsidR="00DE289A" w:rsidRPr="00996FE6">
        <w:rPr>
          <w:bCs/>
          <w:szCs w:val="22"/>
          <w:lang w:val="pl-PL"/>
        </w:rPr>
        <w:t>ij</w:t>
      </w:r>
      <w:r w:rsidRPr="00996FE6">
        <w:rPr>
          <w:bCs/>
          <w:szCs w:val="22"/>
          <w:lang w:val="pl-PL"/>
        </w:rPr>
        <w:t>ela („red neck syndrome”), koji su u vezi sa prebrzom prim</w:t>
      </w:r>
      <w:r w:rsidR="00DE289A" w:rsidRPr="00996FE6">
        <w:rPr>
          <w:bCs/>
          <w:szCs w:val="22"/>
          <w:lang w:val="pl-PL"/>
        </w:rPr>
        <w:t>j</w:t>
      </w:r>
      <w:r w:rsidRPr="00996FE6">
        <w:rPr>
          <w:bCs/>
          <w:szCs w:val="22"/>
          <w:lang w:val="pl-PL"/>
        </w:rPr>
        <w:t>enom intravenske infuzije vankomicina.</w:t>
      </w:r>
    </w:p>
    <w:p w14:paraId="7BF9E44F" w14:textId="77777777" w:rsidR="006A5D2F" w:rsidRPr="00996FE6" w:rsidRDefault="006A5D2F" w:rsidP="00E61461">
      <w:pPr>
        <w:rPr>
          <w:bCs/>
          <w:szCs w:val="22"/>
          <w:lang w:val="pl-PL"/>
        </w:rPr>
      </w:pPr>
    </w:p>
    <w:p w14:paraId="18A5FD11" w14:textId="0795F049" w:rsidR="006A5D2F" w:rsidRPr="00996FE6" w:rsidRDefault="006A5D2F" w:rsidP="00E61461">
      <w:pPr>
        <w:rPr>
          <w:bCs/>
          <w:szCs w:val="22"/>
          <w:lang w:val="pl-PL"/>
        </w:rPr>
      </w:pPr>
      <w:r w:rsidRPr="00996FE6">
        <w:rPr>
          <w:bCs/>
          <w:szCs w:val="22"/>
          <w:lang w:val="pl-PL"/>
        </w:rPr>
        <w:t>Kod l</w:t>
      </w:r>
      <w:r w:rsidR="00A41EAC" w:rsidRPr="00996FE6">
        <w:rPr>
          <w:bCs/>
          <w:szCs w:val="22"/>
          <w:lang w:val="pl-PL"/>
        </w:rPr>
        <w:t>ij</w:t>
      </w:r>
      <w:r w:rsidRPr="00996FE6">
        <w:rPr>
          <w:bCs/>
          <w:szCs w:val="22"/>
          <w:lang w:val="pl-PL"/>
        </w:rPr>
        <w:t xml:space="preserve">ečenja vankomicinom prijavljene su teške neželjene reakcije kože (SCARs), kao što su: </w:t>
      </w:r>
      <w:r w:rsidRPr="00996FE6">
        <w:rPr>
          <w:bCs/>
          <w:i/>
          <w:szCs w:val="22"/>
          <w:lang w:val="pl-PL"/>
        </w:rPr>
        <w:t>Stevens-Johnson</w:t>
      </w:r>
      <w:r w:rsidRPr="00996FE6">
        <w:rPr>
          <w:bCs/>
          <w:szCs w:val="22"/>
          <w:lang w:val="pl-PL"/>
        </w:rPr>
        <w:t>-ov sindrom (SJS), toksična epidermalna nekroliza (TEN), reakcije na l</w:t>
      </w:r>
      <w:r w:rsidR="00A41EAC" w:rsidRPr="00996FE6">
        <w:rPr>
          <w:bCs/>
          <w:szCs w:val="22"/>
          <w:lang w:val="pl-PL"/>
        </w:rPr>
        <w:t>ij</w:t>
      </w:r>
      <w:r w:rsidRPr="00996FE6">
        <w:rPr>
          <w:bCs/>
          <w:szCs w:val="22"/>
          <w:lang w:val="pl-PL"/>
        </w:rPr>
        <w:t>ek praćene eozinofilijom i sistemskim simptomima (DRESS sindrom), akutna generalizovana egzantematozna pustuloza (AGEP) (vid</w:t>
      </w:r>
      <w:r w:rsidR="00A41EAC" w:rsidRPr="00996FE6">
        <w:rPr>
          <w:bCs/>
          <w:szCs w:val="22"/>
          <w:lang w:val="pl-PL"/>
        </w:rPr>
        <w:t>j</w:t>
      </w:r>
      <w:r w:rsidRPr="00996FE6">
        <w:rPr>
          <w:bCs/>
          <w:szCs w:val="22"/>
          <w:lang w:val="pl-PL"/>
        </w:rPr>
        <w:t xml:space="preserve">eti </w:t>
      </w:r>
      <w:r w:rsidR="006B720F" w:rsidRPr="00996FE6">
        <w:rPr>
          <w:bCs/>
          <w:szCs w:val="22"/>
          <w:lang w:val="pl-PL"/>
        </w:rPr>
        <w:t xml:space="preserve">dio </w:t>
      </w:r>
      <w:r w:rsidRPr="00996FE6">
        <w:rPr>
          <w:bCs/>
          <w:szCs w:val="22"/>
          <w:lang w:val="pl-PL"/>
        </w:rPr>
        <w:t>4.4).</w:t>
      </w:r>
    </w:p>
    <w:p w14:paraId="709A137E" w14:textId="77777777" w:rsidR="006A5D2F" w:rsidRPr="00996FE6" w:rsidRDefault="006A5D2F" w:rsidP="00E61461">
      <w:pPr>
        <w:rPr>
          <w:bCs/>
          <w:szCs w:val="22"/>
          <w:lang w:val="pl-PL"/>
        </w:rPr>
      </w:pPr>
    </w:p>
    <w:p w14:paraId="1493D659" w14:textId="3449085D" w:rsidR="0067104D" w:rsidRPr="00996FE6" w:rsidRDefault="0067104D" w:rsidP="00E61461">
      <w:pPr>
        <w:rPr>
          <w:bCs/>
          <w:szCs w:val="22"/>
          <w:lang w:val="pl-PL"/>
        </w:rPr>
      </w:pPr>
      <w:r w:rsidRPr="00996FE6">
        <w:rPr>
          <w:bCs/>
          <w:i/>
          <w:szCs w:val="22"/>
          <w:lang w:val="pl-PL"/>
        </w:rPr>
        <w:t>Parenteralne formulacije za oralnu prim</w:t>
      </w:r>
      <w:r w:rsidR="00DE289A" w:rsidRPr="00996FE6">
        <w:rPr>
          <w:bCs/>
          <w:i/>
          <w:szCs w:val="22"/>
          <w:lang w:val="pl-PL"/>
        </w:rPr>
        <w:t>j</w:t>
      </w:r>
      <w:r w:rsidRPr="00996FE6">
        <w:rPr>
          <w:bCs/>
          <w:i/>
          <w:szCs w:val="22"/>
          <w:lang w:val="pl-PL"/>
        </w:rPr>
        <w:t>enu</w:t>
      </w:r>
      <w:r w:rsidRPr="00996FE6">
        <w:rPr>
          <w:bCs/>
          <w:szCs w:val="22"/>
          <w:lang w:val="pl-PL"/>
        </w:rPr>
        <w:t xml:space="preserve">: Resorpcija vankomicina iz gastrointestinalnog trakta je zanemarljiva. </w:t>
      </w:r>
      <w:bookmarkStart w:id="4" w:name="_Hlk518632823"/>
      <w:r w:rsidRPr="00996FE6">
        <w:rPr>
          <w:bCs/>
          <w:szCs w:val="22"/>
          <w:lang w:val="pl-PL"/>
        </w:rPr>
        <w:t>Međutim, kod teške inflamacije intestinalne mukoze, naročito u kombinaciji sa insuficijencijom bubrega, mogu se pojaviti neželjene reakcije nakon parenteralne prim</w:t>
      </w:r>
      <w:r w:rsidR="00DE289A" w:rsidRPr="00996FE6">
        <w:rPr>
          <w:bCs/>
          <w:szCs w:val="22"/>
          <w:lang w:val="pl-PL"/>
        </w:rPr>
        <w:t>j</w:t>
      </w:r>
      <w:r w:rsidRPr="00996FE6">
        <w:rPr>
          <w:bCs/>
          <w:szCs w:val="22"/>
          <w:lang w:val="pl-PL"/>
        </w:rPr>
        <w:t>ene vankomicina.</w:t>
      </w:r>
    </w:p>
    <w:bookmarkEnd w:id="4"/>
    <w:p w14:paraId="0692E110" w14:textId="77777777" w:rsidR="0067104D" w:rsidRPr="00996FE6" w:rsidRDefault="0067104D" w:rsidP="00E61461">
      <w:pPr>
        <w:rPr>
          <w:bCs/>
          <w:szCs w:val="22"/>
          <w:lang w:val="pl-PL"/>
        </w:rPr>
      </w:pPr>
    </w:p>
    <w:p w14:paraId="4BD0D64A" w14:textId="77777777" w:rsidR="0067104D" w:rsidRPr="00996FE6" w:rsidRDefault="0067104D" w:rsidP="00E61461">
      <w:pPr>
        <w:rPr>
          <w:bCs/>
          <w:szCs w:val="22"/>
          <w:u w:val="single"/>
          <w:lang w:val="pl-PL"/>
        </w:rPr>
      </w:pPr>
      <w:r w:rsidRPr="00996FE6">
        <w:rPr>
          <w:bCs/>
          <w:szCs w:val="22"/>
          <w:u w:val="single"/>
          <w:lang w:val="pl-PL"/>
        </w:rPr>
        <w:t>Tabelarni prikaz neželjenih reakcija</w:t>
      </w:r>
    </w:p>
    <w:p w14:paraId="17804EBB" w14:textId="25B9A68E" w:rsidR="0067104D" w:rsidRPr="00996FE6" w:rsidRDefault="0067104D" w:rsidP="00E61461">
      <w:pPr>
        <w:rPr>
          <w:szCs w:val="22"/>
          <w:lang w:val="pl-PL"/>
        </w:rPr>
      </w:pPr>
      <w:r w:rsidRPr="00996FE6">
        <w:rPr>
          <w:bCs/>
          <w:szCs w:val="22"/>
          <w:lang w:val="pl-PL"/>
        </w:rPr>
        <w:t>U svakoj grupi učestalosti, neželjene reakcije su navedene u opadajućem nizu prema ozbiljnosti.</w:t>
      </w:r>
    </w:p>
    <w:p w14:paraId="5B171871" w14:textId="77777777" w:rsidR="00866670" w:rsidRPr="00996FE6" w:rsidRDefault="00866670" w:rsidP="002602FB">
      <w:pPr>
        <w:rPr>
          <w:szCs w:val="22"/>
          <w:lang w:val="pl-PL"/>
        </w:rPr>
      </w:pPr>
      <w:r w:rsidRPr="00996FE6">
        <w:rPr>
          <w:szCs w:val="22"/>
          <w:lang w:val="pl-PL"/>
        </w:rPr>
        <w:t>Neželjena dejstva navedena su u daljem tekstu po klasama sistema organa i učestalosti javljanja. Učestalost javljanja je definisana kao: veoma često (≥ 1/10), često (≥ 1/100 i &lt; 1/10), povremeno (≥ 1/1.000 i &lt; 1/100), rijetko (≥ 1/10.000 i &lt; 1/1.000), veoma rijetko (&lt;1/10.000) i nepoznate učestalosti (ne može se procijeniti na osnovu dostupnih podataka).</w:t>
      </w:r>
    </w:p>
    <w:p w14:paraId="3E8ED7A9" w14:textId="77777777" w:rsidR="00866670" w:rsidRPr="00996FE6" w:rsidRDefault="00866670">
      <w:pPr>
        <w:rPr>
          <w:szCs w:val="22"/>
          <w:lang w:val="pl-PL"/>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4"/>
        <w:gridCol w:w="4805"/>
      </w:tblGrid>
      <w:tr w:rsidR="0067104D" w:rsidRPr="00996FE6" w14:paraId="2BA85CA2" w14:textId="77777777" w:rsidTr="009E08FC">
        <w:trPr>
          <w:trHeight w:val="288"/>
        </w:trPr>
        <w:tc>
          <w:tcPr>
            <w:tcW w:w="4814" w:type="dxa"/>
          </w:tcPr>
          <w:p w14:paraId="3BD83A99" w14:textId="77777777" w:rsidR="0067104D" w:rsidRPr="00996FE6" w:rsidRDefault="0067104D" w:rsidP="00986F86">
            <w:pPr>
              <w:keepNext/>
              <w:keepLines/>
              <w:ind w:left="-6"/>
              <w:jc w:val="left"/>
              <w:rPr>
                <w:rFonts w:eastAsia="Calibri"/>
                <w:b/>
                <w:szCs w:val="22"/>
              </w:rPr>
            </w:pPr>
            <w:r w:rsidRPr="00996FE6">
              <w:rPr>
                <w:rFonts w:eastAsia="Calibri"/>
                <w:b/>
                <w:szCs w:val="22"/>
              </w:rPr>
              <w:lastRenderedPageBreak/>
              <w:t>Klasa sistema organa</w:t>
            </w:r>
          </w:p>
        </w:tc>
        <w:tc>
          <w:tcPr>
            <w:tcW w:w="4805" w:type="dxa"/>
          </w:tcPr>
          <w:p w14:paraId="714CD586" w14:textId="77777777" w:rsidR="0067104D" w:rsidRPr="00996FE6" w:rsidRDefault="0067104D" w:rsidP="00986F86">
            <w:pPr>
              <w:keepNext/>
              <w:keepLines/>
              <w:ind w:left="-6"/>
              <w:jc w:val="left"/>
              <w:rPr>
                <w:rFonts w:eastAsia="Calibri"/>
                <w:b/>
                <w:szCs w:val="22"/>
              </w:rPr>
            </w:pPr>
            <w:r w:rsidRPr="00996FE6">
              <w:rPr>
                <w:rFonts w:eastAsia="Calibri"/>
                <w:b/>
                <w:szCs w:val="22"/>
              </w:rPr>
              <w:t>Neželjene reakcije</w:t>
            </w:r>
          </w:p>
        </w:tc>
      </w:tr>
      <w:tr w:rsidR="0067104D" w:rsidRPr="00986F86" w14:paraId="1BAF7E48" w14:textId="77777777" w:rsidTr="009E08FC">
        <w:trPr>
          <w:trHeight w:val="335"/>
        </w:trPr>
        <w:tc>
          <w:tcPr>
            <w:tcW w:w="4814" w:type="dxa"/>
          </w:tcPr>
          <w:p w14:paraId="2F134FE9" w14:textId="1D5CD1C4" w:rsidR="0067104D" w:rsidRPr="00996FE6" w:rsidRDefault="0067104D" w:rsidP="00986F86">
            <w:pPr>
              <w:keepNext/>
              <w:keepLines/>
              <w:ind w:left="-6"/>
              <w:jc w:val="left"/>
              <w:rPr>
                <w:rFonts w:eastAsia="Calibri"/>
                <w:b/>
                <w:szCs w:val="22"/>
                <w:lang w:val="sv-SE"/>
              </w:rPr>
            </w:pPr>
            <w:r w:rsidRPr="00996FE6">
              <w:rPr>
                <w:b/>
                <w:szCs w:val="22"/>
                <w:lang w:val="pl-PL"/>
              </w:rPr>
              <w:t>Poremećaji na nivou krvi i limfnog sistema:</w:t>
            </w:r>
          </w:p>
        </w:tc>
        <w:tc>
          <w:tcPr>
            <w:tcW w:w="4805" w:type="dxa"/>
          </w:tcPr>
          <w:p w14:paraId="366D5700" w14:textId="77777777" w:rsidR="0067104D" w:rsidRPr="00996FE6" w:rsidRDefault="0067104D" w:rsidP="00986F86">
            <w:pPr>
              <w:keepNext/>
              <w:keepLines/>
              <w:jc w:val="left"/>
              <w:rPr>
                <w:rFonts w:eastAsia="TimesNewRoman"/>
                <w:szCs w:val="22"/>
                <w:lang w:val="sv-SE"/>
              </w:rPr>
            </w:pPr>
          </w:p>
        </w:tc>
      </w:tr>
      <w:tr w:rsidR="0067104D" w:rsidRPr="00996FE6" w14:paraId="74A6F558" w14:textId="77777777" w:rsidTr="009E08FC">
        <w:trPr>
          <w:trHeight w:val="334"/>
        </w:trPr>
        <w:tc>
          <w:tcPr>
            <w:tcW w:w="4814" w:type="dxa"/>
          </w:tcPr>
          <w:p w14:paraId="368C5D7C" w14:textId="0B6391A4" w:rsidR="0067104D" w:rsidRPr="00996FE6" w:rsidRDefault="0067104D" w:rsidP="00986F86">
            <w:pPr>
              <w:keepNext/>
              <w:keepLines/>
              <w:ind w:left="-6"/>
              <w:jc w:val="left"/>
              <w:rPr>
                <w:rFonts w:eastAsia="Calibri"/>
                <w:b/>
                <w:szCs w:val="22"/>
              </w:rPr>
            </w:pPr>
            <w:r w:rsidRPr="00996FE6">
              <w:rPr>
                <w:rFonts w:eastAsia="Calibri"/>
                <w:szCs w:val="22"/>
              </w:rPr>
              <w:t>Rijetko</w:t>
            </w:r>
            <w:r w:rsidRPr="00996FE6">
              <w:rPr>
                <w:rFonts w:eastAsia="Calibri"/>
                <w:b/>
                <w:szCs w:val="22"/>
              </w:rPr>
              <w:t xml:space="preserve"> </w:t>
            </w:r>
          </w:p>
        </w:tc>
        <w:tc>
          <w:tcPr>
            <w:tcW w:w="4805" w:type="dxa"/>
          </w:tcPr>
          <w:p w14:paraId="41EB22E8" w14:textId="3D2FEB95" w:rsidR="0067104D" w:rsidRPr="00996FE6" w:rsidRDefault="0067104D" w:rsidP="00986F86">
            <w:pPr>
              <w:keepNext/>
              <w:keepLines/>
              <w:jc w:val="left"/>
              <w:rPr>
                <w:rFonts w:eastAsia="TimesNewRoman"/>
                <w:bCs/>
                <w:szCs w:val="22"/>
              </w:rPr>
            </w:pPr>
            <w:r w:rsidRPr="00996FE6">
              <w:rPr>
                <w:rFonts w:eastAsia="TimesNewRoman"/>
                <w:bCs/>
                <w:szCs w:val="22"/>
              </w:rPr>
              <w:t>Reverzibilna neutropenija</w:t>
            </w:r>
            <w:r w:rsidRPr="00996FE6">
              <w:rPr>
                <w:rFonts w:eastAsia="TimesNewRoman"/>
                <w:szCs w:val="22"/>
              </w:rPr>
              <w:t xml:space="preserve">, agranulocitoza, </w:t>
            </w:r>
            <w:r w:rsidRPr="00996FE6">
              <w:rPr>
                <w:rFonts w:eastAsia="TimesNewRoman"/>
                <w:bCs/>
                <w:szCs w:val="22"/>
              </w:rPr>
              <w:t>eozinofilija, trombocitopenija, pancitopenija</w:t>
            </w:r>
          </w:p>
        </w:tc>
      </w:tr>
      <w:tr w:rsidR="0067104D" w:rsidRPr="00986F86" w14:paraId="0ABD125F" w14:textId="77777777" w:rsidTr="009E08FC">
        <w:trPr>
          <w:trHeight w:val="170"/>
        </w:trPr>
        <w:tc>
          <w:tcPr>
            <w:tcW w:w="4814" w:type="dxa"/>
          </w:tcPr>
          <w:p w14:paraId="7C0FF255" w14:textId="74D7F3EE" w:rsidR="0067104D" w:rsidRPr="00996FE6" w:rsidRDefault="0067104D" w:rsidP="00811D67">
            <w:pPr>
              <w:ind w:left="-6"/>
              <w:jc w:val="left"/>
              <w:rPr>
                <w:rFonts w:eastAsia="Calibri"/>
                <w:b/>
                <w:szCs w:val="22"/>
                <w:lang w:val="sv-SE"/>
              </w:rPr>
            </w:pPr>
            <w:r w:rsidRPr="00996FE6">
              <w:rPr>
                <w:b/>
                <w:szCs w:val="22"/>
                <w:lang w:val="pl-PL"/>
              </w:rPr>
              <w:t>Poremećaji na nivou imunog sistema</w:t>
            </w:r>
            <w:r w:rsidRPr="00996FE6">
              <w:rPr>
                <w:rFonts w:eastAsia="Calibri"/>
                <w:b/>
                <w:szCs w:val="22"/>
                <w:lang w:val="sv-SE"/>
              </w:rPr>
              <w:t xml:space="preserve">: </w:t>
            </w:r>
          </w:p>
        </w:tc>
        <w:tc>
          <w:tcPr>
            <w:tcW w:w="4805" w:type="dxa"/>
          </w:tcPr>
          <w:p w14:paraId="7EE0A23E" w14:textId="4AAAD528" w:rsidR="0067104D" w:rsidRPr="00996FE6" w:rsidRDefault="0067104D" w:rsidP="009E08FC">
            <w:pPr>
              <w:jc w:val="left"/>
              <w:rPr>
                <w:rFonts w:eastAsia="Calibri"/>
                <w:szCs w:val="22"/>
                <w:lang w:val="sv-SE"/>
              </w:rPr>
            </w:pPr>
          </w:p>
        </w:tc>
      </w:tr>
      <w:tr w:rsidR="0067104D" w:rsidRPr="00996FE6" w14:paraId="02625557" w14:textId="77777777" w:rsidTr="009E08FC">
        <w:trPr>
          <w:trHeight w:val="220"/>
        </w:trPr>
        <w:tc>
          <w:tcPr>
            <w:tcW w:w="4814" w:type="dxa"/>
          </w:tcPr>
          <w:p w14:paraId="12768514" w14:textId="499E4541" w:rsidR="0067104D" w:rsidRPr="00996FE6" w:rsidRDefault="0067104D" w:rsidP="009E08FC">
            <w:pPr>
              <w:ind w:left="-6"/>
              <w:jc w:val="left"/>
              <w:rPr>
                <w:rFonts w:eastAsia="Calibri"/>
                <w:b/>
                <w:szCs w:val="22"/>
              </w:rPr>
            </w:pPr>
            <w:r w:rsidRPr="00996FE6">
              <w:rPr>
                <w:rFonts w:eastAsia="Calibri"/>
                <w:szCs w:val="22"/>
              </w:rPr>
              <w:t>Rijetko</w:t>
            </w:r>
          </w:p>
        </w:tc>
        <w:tc>
          <w:tcPr>
            <w:tcW w:w="4805" w:type="dxa"/>
          </w:tcPr>
          <w:p w14:paraId="67DC1D71" w14:textId="70D29B85" w:rsidR="0067104D" w:rsidRPr="00996FE6" w:rsidRDefault="0067104D" w:rsidP="009E08FC">
            <w:pPr>
              <w:jc w:val="left"/>
              <w:rPr>
                <w:rFonts w:eastAsia="TimesNewRoman"/>
                <w:szCs w:val="22"/>
                <w:lang w:val="sr-Latn-RS"/>
              </w:rPr>
            </w:pPr>
            <w:r w:rsidRPr="00996FE6">
              <w:rPr>
                <w:rFonts w:eastAsia="TimesNewRoman"/>
                <w:szCs w:val="22"/>
              </w:rPr>
              <w:t>Reakcije preos</w:t>
            </w:r>
            <w:r w:rsidR="00DE289A" w:rsidRPr="00996FE6">
              <w:rPr>
                <w:rFonts w:eastAsia="TimesNewRoman"/>
                <w:szCs w:val="22"/>
              </w:rPr>
              <w:t>j</w:t>
            </w:r>
            <w:r w:rsidRPr="00996FE6">
              <w:rPr>
                <w:rFonts w:eastAsia="TimesNewRoman"/>
                <w:szCs w:val="22"/>
              </w:rPr>
              <w:t>etljivosti, anafilakti</w:t>
            </w:r>
            <w:r w:rsidRPr="00996FE6">
              <w:rPr>
                <w:rFonts w:eastAsia="TimesNewRoman"/>
                <w:szCs w:val="22"/>
                <w:lang w:val="sr-Latn-RS"/>
              </w:rPr>
              <w:t>čke reakcije</w:t>
            </w:r>
          </w:p>
        </w:tc>
      </w:tr>
      <w:tr w:rsidR="0067104D" w:rsidRPr="00986F86" w14:paraId="144E3737" w14:textId="77777777" w:rsidTr="009E08FC">
        <w:trPr>
          <w:trHeight w:val="253"/>
        </w:trPr>
        <w:tc>
          <w:tcPr>
            <w:tcW w:w="4814" w:type="dxa"/>
          </w:tcPr>
          <w:p w14:paraId="293F33DD" w14:textId="7AD87EE0" w:rsidR="0067104D" w:rsidRPr="00996FE6" w:rsidRDefault="00811D67" w:rsidP="00811D67">
            <w:pPr>
              <w:ind w:left="-6"/>
              <w:jc w:val="left"/>
              <w:rPr>
                <w:rFonts w:eastAsia="Calibri"/>
                <w:b/>
                <w:szCs w:val="22"/>
                <w:lang w:val="sv-SE"/>
              </w:rPr>
            </w:pPr>
            <w:r w:rsidRPr="00996FE6">
              <w:rPr>
                <w:b/>
                <w:szCs w:val="22"/>
                <w:lang w:val="pl-PL"/>
              </w:rPr>
              <w:t>Poremećaji na nivou uha i centra za ravnotežu</w:t>
            </w:r>
            <w:r w:rsidR="0067104D" w:rsidRPr="00996FE6">
              <w:rPr>
                <w:rFonts w:eastAsia="Calibri"/>
                <w:b/>
                <w:szCs w:val="22"/>
                <w:lang w:val="sv-SE"/>
              </w:rPr>
              <w:t>:</w:t>
            </w:r>
          </w:p>
        </w:tc>
        <w:tc>
          <w:tcPr>
            <w:tcW w:w="4805" w:type="dxa"/>
          </w:tcPr>
          <w:p w14:paraId="6465111B" w14:textId="77777777" w:rsidR="0067104D" w:rsidRPr="00996FE6" w:rsidRDefault="0067104D" w:rsidP="009E08FC">
            <w:pPr>
              <w:jc w:val="left"/>
              <w:rPr>
                <w:rFonts w:eastAsia="Calibri"/>
                <w:szCs w:val="22"/>
                <w:lang w:val="sv-SE"/>
              </w:rPr>
            </w:pPr>
          </w:p>
        </w:tc>
      </w:tr>
      <w:tr w:rsidR="0067104D" w:rsidRPr="00986F86" w14:paraId="2A902BCB" w14:textId="77777777" w:rsidTr="009E08FC">
        <w:trPr>
          <w:trHeight w:val="253"/>
        </w:trPr>
        <w:tc>
          <w:tcPr>
            <w:tcW w:w="4814" w:type="dxa"/>
          </w:tcPr>
          <w:p w14:paraId="17A8FCDE" w14:textId="77777777" w:rsidR="0067104D" w:rsidRPr="00996FE6" w:rsidRDefault="0067104D" w:rsidP="009E08FC">
            <w:pPr>
              <w:ind w:left="-6"/>
              <w:jc w:val="left"/>
              <w:rPr>
                <w:rFonts w:eastAsia="Calibri"/>
                <w:b/>
                <w:szCs w:val="22"/>
              </w:rPr>
            </w:pPr>
            <w:r w:rsidRPr="00996FE6">
              <w:rPr>
                <w:rFonts w:eastAsia="Calibri"/>
                <w:szCs w:val="22"/>
              </w:rPr>
              <w:t>Povremeno</w:t>
            </w:r>
          </w:p>
        </w:tc>
        <w:tc>
          <w:tcPr>
            <w:tcW w:w="4805" w:type="dxa"/>
          </w:tcPr>
          <w:p w14:paraId="48F999DA" w14:textId="6120F3B3" w:rsidR="00811D67" w:rsidRPr="00996FE6" w:rsidRDefault="0067104D" w:rsidP="009E08FC">
            <w:pPr>
              <w:jc w:val="left"/>
              <w:rPr>
                <w:rFonts w:eastAsia="TimesNewRoman"/>
                <w:szCs w:val="22"/>
                <w:lang w:val="sv-SE"/>
              </w:rPr>
            </w:pPr>
            <w:r w:rsidRPr="00996FE6">
              <w:rPr>
                <w:rFonts w:eastAsia="TimesNewRoman"/>
                <w:szCs w:val="22"/>
                <w:lang w:val="sv-SE"/>
              </w:rPr>
              <w:t>Prolazni ili trajni gubitak sluha</w:t>
            </w:r>
          </w:p>
        </w:tc>
      </w:tr>
      <w:tr w:rsidR="0067104D" w:rsidRPr="00996FE6" w14:paraId="2E6605FC" w14:textId="77777777" w:rsidTr="009E08FC">
        <w:trPr>
          <w:trHeight w:val="307"/>
        </w:trPr>
        <w:tc>
          <w:tcPr>
            <w:tcW w:w="4814" w:type="dxa"/>
          </w:tcPr>
          <w:p w14:paraId="77ECDE4A" w14:textId="16F204B7" w:rsidR="0067104D" w:rsidRPr="00996FE6" w:rsidRDefault="0067104D" w:rsidP="009E08FC">
            <w:pPr>
              <w:jc w:val="left"/>
              <w:rPr>
                <w:rFonts w:eastAsia="Calibri"/>
                <w:szCs w:val="22"/>
              </w:rPr>
            </w:pPr>
            <w:r w:rsidRPr="00996FE6">
              <w:rPr>
                <w:rFonts w:eastAsia="Calibri"/>
                <w:szCs w:val="22"/>
              </w:rPr>
              <w:t>Rijetko</w:t>
            </w:r>
          </w:p>
        </w:tc>
        <w:tc>
          <w:tcPr>
            <w:tcW w:w="4805" w:type="dxa"/>
          </w:tcPr>
          <w:p w14:paraId="5518AB07" w14:textId="77777777" w:rsidR="0067104D" w:rsidRPr="00996FE6" w:rsidRDefault="0067104D" w:rsidP="009E08FC">
            <w:pPr>
              <w:jc w:val="left"/>
              <w:rPr>
                <w:rFonts w:eastAsia="TimesNewRoman"/>
                <w:szCs w:val="22"/>
              </w:rPr>
            </w:pPr>
            <w:r w:rsidRPr="00996FE6">
              <w:rPr>
                <w:rFonts w:eastAsia="TimesNewRoman"/>
                <w:szCs w:val="22"/>
              </w:rPr>
              <w:t>Vertigo, tinitus, vrtoglavica</w:t>
            </w:r>
          </w:p>
        </w:tc>
      </w:tr>
      <w:tr w:rsidR="0067104D" w:rsidRPr="00996FE6" w14:paraId="500FDCA8" w14:textId="77777777" w:rsidTr="009E08FC">
        <w:trPr>
          <w:trHeight w:val="283"/>
        </w:trPr>
        <w:tc>
          <w:tcPr>
            <w:tcW w:w="4814" w:type="dxa"/>
          </w:tcPr>
          <w:p w14:paraId="76396FF1" w14:textId="2345185D" w:rsidR="0067104D" w:rsidRPr="00996FE6" w:rsidRDefault="00811D67" w:rsidP="00811D67">
            <w:pPr>
              <w:ind w:left="-6"/>
              <w:jc w:val="left"/>
              <w:rPr>
                <w:rFonts w:eastAsia="Calibri"/>
                <w:b/>
                <w:szCs w:val="22"/>
              </w:rPr>
            </w:pPr>
            <w:r w:rsidRPr="00996FE6">
              <w:rPr>
                <w:b/>
                <w:szCs w:val="22"/>
                <w:lang w:val="pl-PL"/>
              </w:rPr>
              <w:t>Srčani poremećaji</w:t>
            </w:r>
            <w:r w:rsidR="0067104D" w:rsidRPr="00996FE6">
              <w:rPr>
                <w:rFonts w:eastAsia="Calibri"/>
                <w:b/>
                <w:szCs w:val="22"/>
              </w:rPr>
              <w:t>:</w:t>
            </w:r>
          </w:p>
        </w:tc>
        <w:tc>
          <w:tcPr>
            <w:tcW w:w="4805" w:type="dxa"/>
          </w:tcPr>
          <w:p w14:paraId="14886824" w14:textId="77777777" w:rsidR="0067104D" w:rsidRPr="00996FE6" w:rsidRDefault="0067104D" w:rsidP="009E08FC">
            <w:pPr>
              <w:jc w:val="left"/>
              <w:rPr>
                <w:rFonts w:eastAsia="TimesNewRoman"/>
                <w:szCs w:val="22"/>
              </w:rPr>
            </w:pPr>
          </w:p>
        </w:tc>
      </w:tr>
      <w:tr w:rsidR="0067104D" w:rsidRPr="00996FE6" w14:paraId="5F7543D4" w14:textId="77777777" w:rsidTr="009E08FC">
        <w:trPr>
          <w:trHeight w:val="283"/>
        </w:trPr>
        <w:tc>
          <w:tcPr>
            <w:tcW w:w="4814" w:type="dxa"/>
          </w:tcPr>
          <w:p w14:paraId="0B90FFFC" w14:textId="1F18DD8F" w:rsidR="0067104D" w:rsidRPr="00996FE6" w:rsidRDefault="0067104D" w:rsidP="009E08FC">
            <w:pPr>
              <w:ind w:left="-6"/>
              <w:jc w:val="left"/>
              <w:rPr>
                <w:rFonts w:eastAsia="Calibri"/>
                <w:szCs w:val="22"/>
              </w:rPr>
            </w:pPr>
            <w:r w:rsidRPr="00996FE6">
              <w:rPr>
                <w:rFonts w:eastAsia="Calibri"/>
                <w:szCs w:val="22"/>
              </w:rPr>
              <w:t>Veoma r</w:t>
            </w:r>
            <w:r w:rsidR="00811D67" w:rsidRPr="00996FE6">
              <w:rPr>
                <w:rFonts w:eastAsia="Calibri"/>
                <w:szCs w:val="22"/>
              </w:rPr>
              <w:t>ij</w:t>
            </w:r>
            <w:r w:rsidRPr="00996FE6">
              <w:rPr>
                <w:rFonts w:eastAsia="Calibri"/>
                <w:szCs w:val="22"/>
              </w:rPr>
              <w:t>etko</w:t>
            </w:r>
          </w:p>
        </w:tc>
        <w:tc>
          <w:tcPr>
            <w:tcW w:w="4805" w:type="dxa"/>
          </w:tcPr>
          <w:p w14:paraId="54B9300D" w14:textId="77777777" w:rsidR="0067104D" w:rsidRPr="00996FE6" w:rsidRDefault="0067104D" w:rsidP="009E08FC">
            <w:pPr>
              <w:jc w:val="left"/>
              <w:rPr>
                <w:rFonts w:eastAsia="TimesNewRoman"/>
                <w:szCs w:val="22"/>
              </w:rPr>
            </w:pPr>
            <w:r w:rsidRPr="00996FE6">
              <w:rPr>
                <w:rFonts w:eastAsia="TimesNewRoman"/>
                <w:szCs w:val="22"/>
              </w:rPr>
              <w:t>Srčani zastoj</w:t>
            </w:r>
          </w:p>
        </w:tc>
      </w:tr>
      <w:tr w:rsidR="0067104D" w:rsidRPr="00996FE6" w14:paraId="7DFE203D" w14:textId="77777777" w:rsidTr="009E08FC">
        <w:trPr>
          <w:trHeight w:val="170"/>
        </w:trPr>
        <w:tc>
          <w:tcPr>
            <w:tcW w:w="4814" w:type="dxa"/>
          </w:tcPr>
          <w:p w14:paraId="1EB58955" w14:textId="4DE684F5" w:rsidR="0067104D" w:rsidRPr="00996FE6" w:rsidRDefault="00811D67" w:rsidP="009E08FC">
            <w:pPr>
              <w:ind w:left="-6"/>
              <w:jc w:val="left"/>
              <w:rPr>
                <w:rFonts w:eastAsia="Calibri"/>
                <w:szCs w:val="22"/>
              </w:rPr>
            </w:pPr>
            <w:r w:rsidRPr="00996FE6">
              <w:rPr>
                <w:b/>
                <w:szCs w:val="22"/>
                <w:lang w:val="pl-PL"/>
              </w:rPr>
              <w:t>Vaskularni poremećaji:</w:t>
            </w:r>
            <w:r w:rsidRPr="00996FE6">
              <w:rPr>
                <w:rFonts w:eastAsia="Calibri"/>
                <w:szCs w:val="22"/>
              </w:rPr>
              <w:t xml:space="preserve"> </w:t>
            </w:r>
          </w:p>
        </w:tc>
        <w:tc>
          <w:tcPr>
            <w:tcW w:w="4805" w:type="dxa"/>
          </w:tcPr>
          <w:p w14:paraId="175A4B0E" w14:textId="77777777" w:rsidR="0067104D" w:rsidRPr="00996FE6" w:rsidRDefault="0067104D" w:rsidP="009E08FC">
            <w:pPr>
              <w:jc w:val="left"/>
              <w:rPr>
                <w:rFonts w:eastAsia="Calibri"/>
                <w:szCs w:val="22"/>
              </w:rPr>
            </w:pPr>
          </w:p>
        </w:tc>
      </w:tr>
      <w:tr w:rsidR="0067104D" w:rsidRPr="00996FE6" w14:paraId="1B282D1F" w14:textId="77777777" w:rsidTr="009E08FC">
        <w:trPr>
          <w:trHeight w:val="168"/>
        </w:trPr>
        <w:tc>
          <w:tcPr>
            <w:tcW w:w="4814" w:type="dxa"/>
          </w:tcPr>
          <w:p w14:paraId="1927C14B" w14:textId="77777777" w:rsidR="0067104D" w:rsidRPr="00996FE6" w:rsidRDefault="0067104D" w:rsidP="009E08FC">
            <w:pPr>
              <w:ind w:left="-6"/>
              <w:jc w:val="left"/>
              <w:rPr>
                <w:rFonts w:eastAsia="Calibri"/>
                <w:b/>
                <w:szCs w:val="22"/>
              </w:rPr>
            </w:pPr>
            <w:r w:rsidRPr="00996FE6">
              <w:rPr>
                <w:rFonts w:eastAsia="Calibri"/>
                <w:szCs w:val="22"/>
              </w:rPr>
              <w:t>Često</w:t>
            </w:r>
          </w:p>
        </w:tc>
        <w:tc>
          <w:tcPr>
            <w:tcW w:w="4805" w:type="dxa"/>
          </w:tcPr>
          <w:p w14:paraId="252F1AE9" w14:textId="0D11C30D" w:rsidR="00811D67" w:rsidRPr="00996FE6" w:rsidRDefault="0067104D" w:rsidP="009E08FC">
            <w:pPr>
              <w:jc w:val="left"/>
              <w:rPr>
                <w:rFonts w:eastAsia="TimesNewRoman"/>
                <w:bCs/>
                <w:szCs w:val="22"/>
              </w:rPr>
            </w:pPr>
            <w:r w:rsidRPr="00996FE6">
              <w:rPr>
                <w:rFonts w:eastAsia="TimesNewRoman"/>
                <w:bCs/>
                <w:szCs w:val="22"/>
              </w:rPr>
              <w:t>Sniženje krvnog pritiska</w:t>
            </w:r>
          </w:p>
        </w:tc>
      </w:tr>
      <w:tr w:rsidR="0067104D" w:rsidRPr="00996FE6" w14:paraId="647802AD" w14:textId="77777777" w:rsidTr="009E08FC">
        <w:trPr>
          <w:trHeight w:val="168"/>
        </w:trPr>
        <w:tc>
          <w:tcPr>
            <w:tcW w:w="4814" w:type="dxa"/>
          </w:tcPr>
          <w:p w14:paraId="6F57B4E2" w14:textId="0DB70517" w:rsidR="0067104D" w:rsidRPr="00996FE6" w:rsidRDefault="0067104D" w:rsidP="009E08FC">
            <w:pPr>
              <w:ind w:left="-6"/>
              <w:jc w:val="left"/>
              <w:rPr>
                <w:rFonts w:eastAsia="Calibri"/>
                <w:b/>
                <w:szCs w:val="22"/>
              </w:rPr>
            </w:pPr>
            <w:r w:rsidRPr="00996FE6">
              <w:rPr>
                <w:rFonts w:eastAsia="Calibri"/>
                <w:szCs w:val="22"/>
              </w:rPr>
              <w:t>R</w:t>
            </w:r>
            <w:r w:rsidR="00811D67" w:rsidRPr="00996FE6">
              <w:rPr>
                <w:rFonts w:eastAsia="Calibri"/>
                <w:szCs w:val="22"/>
              </w:rPr>
              <w:t>ij</w:t>
            </w:r>
            <w:r w:rsidRPr="00996FE6">
              <w:rPr>
                <w:rFonts w:eastAsia="Calibri"/>
                <w:szCs w:val="22"/>
              </w:rPr>
              <w:t>etko</w:t>
            </w:r>
          </w:p>
        </w:tc>
        <w:tc>
          <w:tcPr>
            <w:tcW w:w="4805" w:type="dxa"/>
          </w:tcPr>
          <w:p w14:paraId="12C32BE7" w14:textId="77777777" w:rsidR="0067104D" w:rsidRPr="00996FE6" w:rsidRDefault="0067104D" w:rsidP="009E08FC">
            <w:pPr>
              <w:ind w:left="-6"/>
              <w:jc w:val="left"/>
              <w:rPr>
                <w:rFonts w:eastAsia="TimesNewRoman"/>
                <w:szCs w:val="22"/>
              </w:rPr>
            </w:pPr>
            <w:r w:rsidRPr="00996FE6">
              <w:rPr>
                <w:rFonts w:eastAsia="TimesNewRoman"/>
                <w:szCs w:val="22"/>
              </w:rPr>
              <w:t>Vaskulitis</w:t>
            </w:r>
          </w:p>
        </w:tc>
      </w:tr>
      <w:tr w:rsidR="0067104D" w:rsidRPr="00986F86" w14:paraId="22680814" w14:textId="77777777" w:rsidTr="009E08FC">
        <w:trPr>
          <w:trHeight w:val="223"/>
        </w:trPr>
        <w:tc>
          <w:tcPr>
            <w:tcW w:w="4814" w:type="dxa"/>
          </w:tcPr>
          <w:p w14:paraId="33F2CA7F" w14:textId="7878E677" w:rsidR="0067104D" w:rsidRPr="00996FE6" w:rsidRDefault="00811D67" w:rsidP="00811D67">
            <w:pPr>
              <w:ind w:left="-6"/>
              <w:jc w:val="left"/>
              <w:rPr>
                <w:rFonts w:eastAsia="Calibri"/>
                <w:b/>
                <w:szCs w:val="22"/>
                <w:lang w:val="sv-SE"/>
              </w:rPr>
            </w:pPr>
            <w:r w:rsidRPr="00996FE6">
              <w:rPr>
                <w:b/>
                <w:szCs w:val="22"/>
                <w:lang w:val="pl-PL"/>
              </w:rPr>
              <w:t>Respiratorni, torakalni i medijastinalni poremećaji</w:t>
            </w:r>
            <w:r w:rsidR="0067104D" w:rsidRPr="00996FE6">
              <w:rPr>
                <w:rFonts w:eastAsia="Calibri"/>
                <w:b/>
                <w:szCs w:val="22"/>
                <w:lang w:val="sv-SE"/>
              </w:rPr>
              <w:t>:</w:t>
            </w:r>
          </w:p>
        </w:tc>
        <w:tc>
          <w:tcPr>
            <w:tcW w:w="4805" w:type="dxa"/>
          </w:tcPr>
          <w:p w14:paraId="044F4720" w14:textId="77777777" w:rsidR="0067104D" w:rsidRPr="00996FE6" w:rsidRDefault="0067104D" w:rsidP="009E08FC">
            <w:pPr>
              <w:jc w:val="left"/>
              <w:rPr>
                <w:rFonts w:eastAsia="TimesNewRoman"/>
                <w:szCs w:val="22"/>
                <w:lang w:val="sv-SE"/>
              </w:rPr>
            </w:pPr>
          </w:p>
          <w:p w14:paraId="6E53DD91" w14:textId="77777777" w:rsidR="0067104D" w:rsidRPr="00996FE6" w:rsidRDefault="0067104D" w:rsidP="009E08FC">
            <w:pPr>
              <w:jc w:val="left"/>
              <w:rPr>
                <w:rFonts w:eastAsia="TimesNewRoman"/>
                <w:szCs w:val="22"/>
                <w:lang w:val="sv-SE"/>
              </w:rPr>
            </w:pPr>
          </w:p>
        </w:tc>
      </w:tr>
      <w:tr w:rsidR="0067104D" w:rsidRPr="00996FE6" w14:paraId="2AA80C3E" w14:textId="77777777" w:rsidTr="009E08FC">
        <w:trPr>
          <w:trHeight w:val="221"/>
        </w:trPr>
        <w:tc>
          <w:tcPr>
            <w:tcW w:w="4814" w:type="dxa"/>
          </w:tcPr>
          <w:p w14:paraId="0C0A993F" w14:textId="77777777" w:rsidR="0067104D" w:rsidRPr="00996FE6" w:rsidRDefault="0067104D" w:rsidP="009E08FC">
            <w:pPr>
              <w:ind w:left="-6"/>
              <w:jc w:val="left"/>
              <w:rPr>
                <w:rFonts w:eastAsia="Calibri"/>
                <w:b/>
                <w:szCs w:val="22"/>
              </w:rPr>
            </w:pPr>
            <w:r w:rsidRPr="00996FE6">
              <w:rPr>
                <w:rFonts w:eastAsia="Calibri"/>
                <w:szCs w:val="22"/>
              </w:rPr>
              <w:t>Često</w:t>
            </w:r>
          </w:p>
        </w:tc>
        <w:tc>
          <w:tcPr>
            <w:tcW w:w="4805" w:type="dxa"/>
          </w:tcPr>
          <w:p w14:paraId="0DA5BF49" w14:textId="77777777" w:rsidR="0067104D" w:rsidRPr="00996FE6" w:rsidRDefault="0067104D" w:rsidP="009E08FC">
            <w:pPr>
              <w:jc w:val="left"/>
              <w:rPr>
                <w:rFonts w:eastAsia="TimesNewRoman"/>
                <w:szCs w:val="22"/>
                <w:lang w:val="de-DE"/>
              </w:rPr>
            </w:pPr>
            <w:r w:rsidRPr="00996FE6">
              <w:rPr>
                <w:rFonts w:eastAsia="TimesNewRoman"/>
                <w:szCs w:val="22"/>
                <w:lang w:val="de-DE"/>
              </w:rPr>
              <w:t>Dispneja, stridor</w:t>
            </w:r>
          </w:p>
        </w:tc>
      </w:tr>
      <w:tr w:rsidR="0067104D" w:rsidRPr="00996FE6" w14:paraId="0C55FE88" w14:textId="77777777" w:rsidTr="009E08FC">
        <w:trPr>
          <w:trHeight w:val="167"/>
        </w:trPr>
        <w:tc>
          <w:tcPr>
            <w:tcW w:w="4814" w:type="dxa"/>
          </w:tcPr>
          <w:p w14:paraId="3B6E4270" w14:textId="13CCC4DD" w:rsidR="0067104D" w:rsidRPr="00996FE6" w:rsidRDefault="00811D67" w:rsidP="00811D67">
            <w:pPr>
              <w:ind w:left="-6"/>
              <w:jc w:val="left"/>
              <w:rPr>
                <w:rFonts w:eastAsia="Calibri"/>
                <w:b/>
                <w:szCs w:val="22"/>
              </w:rPr>
            </w:pPr>
            <w:r w:rsidRPr="00996FE6">
              <w:rPr>
                <w:b/>
                <w:szCs w:val="22"/>
                <w:lang w:val="pl-PL"/>
              </w:rPr>
              <w:t>Gastrointestinalni poremećaji</w:t>
            </w:r>
            <w:r w:rsidR="0067104D" w:rsidRPr="00996FE6">
              <w:rPr>
                <w:rFonts w:eastAsia="Calibri"/>
                <w:b/>
                <w:szCs w:val="22"/>
              </w:rPr>
              <w:t>:</w:t>
            </w:r>
          </w:p>
        </w:tc>
        <w:tc>
          <w:tcPr>
            <w:tcW w:w="4805" w:type="dxa"/>
          </w:tcPr>
          <w:p w14:paraId="25AD81B7" w14:textId="77777777" w:rsidR="0067104D" w:rsidRPr="00996FE6" w:rsidRDefault="0067104D" w:rsidP="009E08FC">
            <w:pPr>
              <w:jc w:val="left"/>
              <w:rPr>
                <w:rFonts w:eastAsia="TimesNewRoman"/>
                <w:szCs w:val="22"/>
              </w:rPr>
            </w:pPr>
          </w:p>
        </w:tc>
      </w:tr>
      <w:tr w:rsidR="0067104D" w:rsidRPr="00996FE6" w14:paraId="00AC28A6" w14:textId="77777777" w:rsidTr="009E08FC">
        <w:trPr>
          <w:trHeight w:val="166"/>
        </w:trPr>
        <w:tc>
          <w:tcPr>
            <w:tcW w:w="4814" w:type="dxa"/>
          </w:tcPr>
          <w:p w14:paraId="5A1271F5" w14:textId="15DEE177" w:rsidR="0067104D" w:rsidRPr="00996FE6" w:rsidRDefault="0067104D" w:rsidP="009E08FC">
            <w:pPr>
              <w:ind w:left="-6"/>
              <w:jc w:val="left"/>
              <w:rPr>
                <w:rFonts w:eastAsia="Calibri"/>
                <w:b/>
                <w:szCs w:val="22"/>
              </w:rPr>
            </w:pPr>
            <w:r w:rsidRPr="00996FE6">
              <w:rPr>
                <w:rFonts w:eastAsia="Calibri"/>
                <w:szCs w:val="22"/>
              </w:rPr>
              <w:t>R</w:t>
            </w:r>
            <w:r w:rsidR="00811D67" w:rsidRPr="00996FE6">
              <w:rPr>
                <w:rFonts w:eastAsia="Calibri"/>
                <w:szCs w:val="22"/>
              </w:rPr>
              <w:t>ij</w:t>
            </w:r>
            <w:r w:rsidRPr="00996FE6">
              <w:rPr>
                <w:rFonts w:eastAsia="Calibri"/>
                <w:szCs w:val="22"/>
              </w:rPr>
              <w:t>etko</w:t>
            </w:r>
          </w:p>
        </w:tc>
        <w:tc>
          <w:tcPr>
            <w:tcW w:w="4805" w:type="dxa"/>
          </w:tcPr>
          <w:p w14:paraId="10AAB9F2" w14:textId="77777777" w:rsidR="0067104D" w:rsidRPr="00996FE6" w:rsidRDefault="0067104D" w:rsidP="009E08FC">
            <w:pPr>
              <w:jc w:val="left"/>
              <w:rPr>
                <w:rFonts w:eastAsia="TimesNewRoman"/>
                <w:szCs w:val="22"/>
              </w:rPr>
            </w:pPr>
            <w:r w:rsidRPr="00996FE6">
              <w:rPr>
                <w:rFonts w:eastAsia="TimesNewRoman"/>
                <w:szCs w:val="22"/>
              </w:rPr>
              <w:t>Nauzeja</w:t>
            </w:r>
          </w:p>
        </w:tc>
      </w:tr>
      <w:tr w:rsidR="0067104D" w:rsidRPr="00996FE6" w14:paraId="7DBC9AE0" w14:textId="77777777" w:rsidTr="009E08FC">
        <w:trPr>
          <w:trHeight w:val="166"/>
        </w:trPr>
        <w:tc>
          <w:tcPr>
            <w:tcW w:w="4814" w:type="dxa"/>
          </w:tcPr>
          <w:p w14:paraId="67A01077" w14:textId="3BDE0EC7" w:rsidR="0067104D" w:rsidRPr="00996FE6" w:rsidRDefault="0067104D" w:rsidP="009E08FC">
            <w:pPr>
              <w:ind w:left="-6"/>
              <w:jc w:val="left"/>
              <w:rPr>
                <w:rFonts w:eastAsia="Calibri"/>
                <w:b/>
                <w:szCs w:val="22"/>
              </w:rPr>
            </w:pPr>
            <w:r w:rsidRPr="00996FE6">
              <w:rPr>
                <w:rFonts w:eastAsia="Calibri"/>
                <w:szCs w:val="22"/>
              </w:rPr>
              <w:t>Veoma r</w:t>
            </w:r>
            <w:r w:rsidR="00811D67" w:rsidRPr="00996FE6">
              <w:rPr>
                <w:rFonts w:eastAsia="Calibri"/>
                <w:szCs w:val="22"/>
              </w:rPr>
              <w:t>ij</w:t>
            </w:r>
            <w:r w:rsidRPr="00996FE6">
              <w:rPr>
                <w:rFonts w:eastAsia="Calibri"/>
                <w:szCs w:val="22"/>
              </w:rPr>
              <w:t>etko</w:t>
            </w:r>
          </w:p>
        </w:tc>
        <w:tc>
          <w:tcPr>
            <w:tcW w:w="4805" w:type="dxa"/>
          </w:tcPr>
          <w:p w14:paraId="02A48CDD" w14:textId="77777777" w:rsidR="0067104D" w:rsidRPr="00996FE6" w:rsidRDefault="0067104D" w:rsidP="009E08FC">
            <w:pPr>
              <w:jc w:val="left"/>
              <w:rPr>
                <w:rFonts w:eastAsia="TimesNewRoman"/>
                <w:szCs w:val="22"/>
              </w:rPr>
            </w:pPr>
            <w:r w:rsidRPr="00996FE6">
              <w:rPr>
                <w:rFonts w:eastAsia="TimesNewRoman"/>
                <w:szCs w:val="22"/>
              </w:rPr>
              <w:t>Pseudomembranozni enterokolitis</w:t>
            </w:r>
          </w:p>
        </w:tc>
      </w:tr>
      <w:tr w:rsidR="0067104D" w:rsidRPr="00996FE6" w14:paraId="52AC5D7A" w14:textId="77777777" w:rsidTr="009E08FC">
        <w:trPr>
          <w:trHeight w:val="166"/>
        </w:trPr>
        <w:tc>
          <w:tcPr>
            <w:tcW w:w="4814" w:type="dxa"/>
          </w:tcPr>
          <w:p w14:paraId="478E841B" w14:textId="462A5C5C" w:rsidR="0067104D" w:rsidRPr="00996FE6" w:rsidRDefault="00811D67" w:rsidP="009E08FC">
            <w:pPr>
              <w:ind w:left="-6"/>
              <w:jc w:val="left"/>
              <w:rPr>
                <w:rFonts w:eastAsia="Calibri"/>
                <w:b/>
                <w:szCs w:val="22"/>
              </w:rPr>
            </w:pPr>
            <w:r w:rsidRPr="00996FE6">
              <w:rPr>
                <w:rFonts w:eastAsia="Calibri"/>
                <w:szCs w:val="22"/>
              </w:rPr>
              <w:t>Nepoznate učestalosti</w:t>
            </w:r>
          </w:p>
        </w:tc>
        <w:tc>
          <w:tcPr>
            <w:tcW w:w="4805" w:type="dxa"/>
          </w:tcPr>
          <w:p w14:paraId="416ECC9C" w14:textId="77777777" w:rsidR="0067104D" w:rsidRPr="00996FE6" w:rsidRDefault="0067104D" w:rsidP="009E08FC">
            <w:pPr>
              <w:jc w:val="left"/>
              <w:rPr>
                <w:rFonts w:eastAsia="TimesNewRoman"/>
                <w:szCs w:val="22"/>
                <w:lang w:val="de-DE"/>
              </w:rPr>
            </w:pPr>
            <w:r w:rsidRPr="00996FE6">
              <w:rPr>
                <w:rFonts w:eastAsia="TimesNewRoman"/>
                <w:szCs w:val="22"/>
                <w:lang w:val="de-DE"/>
              </w:rPr>
              <w:t>Povraćanje, dijareja</w:t>
            </w:r>
          </w:p>
        </w:tc>
      </w:tr>
      <w:tr w:rsidR="0067104D" w:rsidRPr="00996FE6" w14:paraId="53A08E95" w14:textId="77777777" w:rsidTr="009E08FC">
        <w:trPr>
          <w:trHeight w:val="336"/>
        </w:trPr>
        <w:tc>
          <w:tcPr>
            <w:tcW w:w="4814" w:type="dxa"/>
          </w:tcPr>
          <w:p w14:paraId="2554A890" w14:textId="57515DBA" w:rsidR="0067104D" w:rsidRPr="00996FE6" w:rsidRDefault="00811D67" w:rsidP="00811D67">
            <w:pPr>
              <w:ind w:left="-6"/>
              <w:jc w:val="left"/>
              <w:rPr>
                <w:rFonts w:eastAsia="Calibri"/>
                <w:b/>
                <w:szCs w:val="22"/>
              </w:rPr>
            </w:pPr>
            <w:r w:rsidRPr="00996FE6">
              <w:rPr>
                <w:b/>
                <w:szCs w:val="22"/>
                <w:lang w:val="pl-PL"/>
              </w:rPr>
              <w:t>Poremećaji na nivou kože i potkožnog tkiva</w:t>
            </w:r>
            <w:r w:rsidR="0067104D" w:rsidRPr="00996FE6">
              <w:rPr>
                <w:rFonts w:eastAsia="Calibri"/>
                <w:b/>
                <w:szCs w:val="22"/>
              </w:rPr>
              <w:t>:</w:t>
            </w:r>
          </w:p>
        </w:tc>
        <w:tc>
          <w:tcPr>
            <w:tcW w:w="4805" w:type="dxa"/>
          </w:tcPr>
          <w:p w14:paraId="3823E1F7" w14:textId="77777777" w:rsidR="0067104D" w:rsidRPr="00996FE6" w:rsidRDefault="0067104D" w:rsidP="009E08FC">
            <w:pPr>
              <w:jc w:val="left"/>
              <w:rPr>
                <w:rFonts w:eastAsia="TimesNewRoman"/>
                <w:szCs w:val="22"/>
              </w:rPr>
            </w:pPr>
          </w:p>
        </w:tc>
      </w:tr>
      <w:tr w:rsidR="0067104D" w:rsidRPr="00986F86" w14:paraId="2B5CA2DB" w14:textId="77777777" w:rsidTr="009E08FC">
        <w:trPr>
          <w:trHeight w:val="334"/>
        </w:trPr>
        <w:tc>
          <w:tcPr>
            <w:tcW w:w="4814" w:type="dxa"/>
          </w:tcPr>
          <w:p w14:paraId="518AB967" w14:textId="77777777" w:rsidR="0067104D" w:rsidRPr="00996FE6" w:rsidRDefault="0067104D" w:rsidP="009E08FC">
            <w:pPr>
              <w:jc w:val="left"/>
              <w:rPr>
                <w:rFonts w:eastAsia="Calibri"/>
                <w:szCs w:val="22"/>
              </w:rPr>
            </w:pPr>
            <w:r w:rsidRPr="00996FE6">
              <w:rPr>
                <w:rFonts w:eastAsia="Calibri"/>
                <w:szCs w:val="22"/>
              </w:rPr>
              <w:t>Često</w:t>
            </w:r>
          </w:p>
          <w:p w14:paraId="51F78500" w14:textId="77777777" w:rsidR="0067104D" w:rsidRPr="00996FE6" w:rsidRDefault="0067104D" w:rsidP="009E08FC">
            <w:pPr>
              <w:ind w:left="-6"/>
              <w:jc w:val="left"/>
              <w:rPr>
                <w:rFonts w:eastAsia="Calibri"/>
                <w:b/>
                <w:szCs w:val="22"/>
              </w:rPr>
            </w:pPr>
          </w:p>
        </w:tc>
        <w:tc>
          <w:tcPr>
            <w:tcW w:w="4805" w:type="dxa"/>
          </w:tcPr>
          <w:p w14:paraId="1FB63003" w14:textId="0F2D0F80" w:rsidR="00811D67" w:rsidRPr="00996FE6" w:rsidRDefault="0067104D" w:rsidP="009E08FC">
            <w:pPr>
              <w:jc w:val="left"/>
              <w:rPr>
                <w:rFonts w:eastAsia="Calibri"/>
                <w:bCs/>
                <w:szCs w:val="22"/>
                <w:lang w:val="sv-SE"/>
              </w:rPr>
            </w:pPr>
            <w:r w:rsidRPr="00996FE6">
              <w:rPr>
                <w:rFonts w:eastAsia="Calibri"/>
                <w:bCs/>
                <w:szCs w:val="22"/>
                <w:lang w:val="sv-SE"/>
              </w:rPr>
              <w:t>Crvenilo gornjeg d</w:t>
            </w:r>
            <w:r w:rsidR="00471F25" w:rsidRPr="00996FE6">
              <w:rPr>
                <w:rFonts w:eastAsia="Calibri"/>
                <w:bCs/>
                <w:szCs w:val="22"/>
                <w:lang w:val="sv-SE"/>
              </w:rPr>
              <w:t>ij</w:t>
            </w:r>
            <w:r w:rsidRPr="00996FE6">
              <w:rPr>
                <w:rFonts w:eastAsia="Calibri"/>
                <w:bCs/>
                <w:szCs w:val="22"/>
                <w:lang w:val="sv-SE"/>
              </w:rPr>
              <w:t>ela t</w:t>
            </w:r>
            <w:r w:rsidR="00471F25" w:rsidRPr="00996FE6">
              <w:rPr>
                <w:rFonts w:eastAsia="Calibri"/>
                <w:bCs/>
                <w:szCs w:val="22"/>
                <w:lang w:val="sv-SE"/>
              </w:rPr>
              <w:t>ij</w:t>
            </w:r>
            <w:r w:rsidRPr="00996FE6">
              <w:rPr>
                <w:rFonts w:eastAsia="Calibri"/>
                <w:bCs/>
                <w:szCs w:val="22"/>
                <w:lang w:val="sv-SE"/>
              </w:rPr>
              <w:t>ela („red man</w:t>
            </w:r>
            <w:r w:rsidR="006B720F" w:rsidRPr="00996FE6">
              <w:rPr>
                <w:rFonts w:eastAsia="Calibri"/>
                <w:bCs/>
                <w:szCs w:val="22"/>
                <w:lang w:val="sv-SE"/>
              </w:rPr>
              <w:t xml:space="preserve"> </w:t>
            </w:r>
            <w:r w:rsidRPr="00996FE6">
              <w:rPr>
                <w:rFonts w:eastAsia="Calibri"/>
                <w:bCs/>
                <w:szCs w:val="22"/>
                <w:lang w:val="sv-SE"/>
              </w:rPr>
              <w:t xml:space="preserve">syndrome”), egzantem i </w:t>
            </w:r>
            <w:r w:rsidR="00811D67" w:rsidRPr="00996FE6">
              <w:rPr>
                <w:szCs w:val="22"/>
                <w:lang w:val="pl-PL"/>
              </w:rPr>
              <w:t>zapaljenje sluznice</w:t>
            </w:r>
            <w:r w:rsidRPr="00996FE6">
              <w:rPr>
                <w:rFonts w:eastAsia="Calibri"/>
                <w:bCs/>
                <w:szCs w:val="22"/>
                <w:lang w:val="sv-SE"/>
              </w:rPr>
              <w:t>, pruritus, urtikarija</w:t>
            </w:r>
          </w:p>
        </w:tc>
      </w:tr>
      <w:tr w:rsidR="0067104D" w:rsidRPr="00996FE6" w14:paraId="0703D5B1" w14:textId="77777777" w:rsidTr="009E08FC">
        <w:trPr>
          <w:trHeight w:val="334"/>
        </w:trPr>
        <w:tc>
          <w:tcPr>
            <w:tcW w:w="4814" w:type="dxa"/>
          </w:tcPr>
          <w:p w14:paraId="1BE07524" w14:textId="1FB46F74" w:rsidR="0067104D" w:rsidRPr="00996FE6" w:rsidRDefault="0067104D" w:rsidP="009E08FC">
            <w:pPr>
              <w:ind w:left="-6"/>
              <w:jc w:val="left"/>
              <w:rPr>
                <w:rFonts w:eastAsia="Calibri"/>
                <w:b/>
                <w:szCs w:val="22"/>
              </w:rPr>
            </w:pPr>
            <w:r w:rsidRPr="00996FE6">
              <w:rPr>
                <w:rFonts w:eastAsia="Calibri"/>
                <w:szCs w:val="22"/>
              </w:rPr>
              <w:t>Veoma r</w:t>
            </w:r>
            <w:r w:rsidR="00811D67" w:rsidRPr="00996FE6">
              <w:rPr>
                <w:rFonts w:eastAsia="Calibri"/>
                <w:szCs w:val="22"/>
              </w:rPr>
              <w:t>ij</w:t>
            </w:r>
            <w:r w:rsidRPr="00996FE6">
              <w:rPr>
                <w:rFonts w:eastAsia="Calibri"/>
                <w:szCs w:val="22"/>
              </w:rPr>
              <w:t>etko</w:t>
            </w:r>
            <w:r w:rsidRPr="00996FE6">
              <w:rPr>
                <w:rFonts w:eastAsia="Calibri"/>
                <w:b/>
                <w:szCs w:val="22"/>
              </w:rPr>
              <w:t xml:space="preserve"> </w:t>
            </w:r>
          </w:p>
        </w:tc>
        <w:tc>
          <w:tcPr>
            <w:tcW w:w="4805" w:type="dxa"/>
          </w:tcPr>
          <w:p w14:paraId="0CFAA7CB" w14:textId="57859CF6" w:rsidR="00471F25" w:rsidRPr="00996FE6" w:rsidRDefault="0067104D" w:rsidP="009E08FC">
            <w:pPr>
              <w:jc w:val="left"/>
              <w:rPr>
                <w:rFonts w:eastAsia="Calibri"/>
                <w:bCs/>
                <w:szCs w:val="22"/>
              </w:rPr>
            </w:pPr>
            <w:r w:rsidRPr="00996FE6">
              <w:rPr>
                <w:rFonts w:eastAsia="Calibri"/>
                <w:bCs/>
                <w:szCs w:val="22"/>
              </w:rPr>
              <w:t xml:space="preserve">Eksfolijativni dermatitis, </w:t>
            </w:r>
            <w:r w:rsidRPr="00996FE6">
              <w:rPr>
                <w:rFonts w:eastAsia="Calibri"/>
                <w:bCs/>
                <w:i/>
                <w:szCs w:val="22"/>
              </w:rPr>
              <w:t>Stevens-Johnson</w:t>
            </w:r>
            <w:r w:rsidRPr="00996FE6">
              <w:rPr>
                <w:rFonts w:eastAsia="Calibri"/>
                <w:bCs/>
                <w:szCs w:val="22"/>
              </w:rPr>
              <w:t xml:space="preserve">–ov sindrom, </w:t>
            </w:r>
            <w:r w:rsidR="00471F25" w:rsidRPr="00996FE6">
              <w:rPr>
                <w:szCs w:val="22"/>
                <w:lang w:val="pl-PL"/>
              </w:rPr>
              <w:t>bulozna dermatoza izazvana IgA</w:t>
            </w:r>
            <w:r w:rsidR="006A5D2F" w:rsidRPr="00996FE6">
              <w:rPr>
                <w:szCs w:val="22"/>
                <w:lang w:val="pl-PL"/>
              </w:rPr>
              <w:t xml:space="preserve">, </w:t>
            </w:r>
            <w:r w:rsidR="006A5D2F" w:rsidRPr="00996FE6">
              <w:rPr>
                <w:rFonts w:eastAsia="Calibri"/>
                <w:bCs/>
                <w:szCs w:val="22"/>
              </w:rPr>
              <w:t>toksična epidermalna nekroliza (TEN)</w:t>
            </w:r>
          </w:p>
        </w:tc>
      </w:tr>
      <w:tr w:rsidR="00811D67" w:rsidRPr="00996FE6" w14:paraId="40D3A5BD" w14:textId="77777777" w:rsidTr="009E08FC">
        <w:trPr>
          <w:trHeight w:val="334"/>
        </w:trPr>
        <w:tc>
          <w:tcPr>
            <w:tcW w:w="4814" w:type="dxa"/>
          </w:tcPr>
          <w:p w14:paraId="39298A98" w14:textId="03262BFD" w:rsidR="00811D67" w:rsidRPr="00996FE6" w:rsidRDefault="00811D67" w:rsidP="00811D67">
            <w:pPr>
              <w:ind w:left="-6"/>
              <w:jc w:val="left"/>
              <w:rPr>
                <w:rFonts w:eastAsia="Calibri"/>
                <w:b/>
                <w:szCs w:val="22"/>
              </w:rPr>
            </w:pPr>
            <w:r w:rsidRPr="00996FE6">
              <w:rPr>
                <w:rFonts w:eastAsia="Calibri"/>
                <w:szCs w:val="22"/>
              </w:rPr>
              <w:t>Nepoznate učestalosti</w:t>
            </w:r>
          </w:p>
        </w:tc>
        <w:tc>
          <w:tcPr>
            <w:tcW w:w="4805" w:type="dxa"/>
          </w:tcPr>
          <w:p w14:paraId="09B6B1E7" w14:textId="22CC04E8" w:rsidR="00811D67" w:rsidRPr="00996FE6" w:rsidRDefault="00471F25" w:rsidP="00471F25">
            <w:pPr>
              <w:ind w:left="-6"/>
              <w:jc w:val="left"/>
              <w:rPr>
                <w:rFonts w:eastAsia="Calibri"/>
                <w:szCs w:val="22"/>
              </w:rPr>
            </w:pPr>
            <w:r w:rsidRPr="00996FE6">
              <w:rPr>
                <w:szCs w:val="22"/>
                <w:lang w:val="pl-PL"/>
              </w:rPr>
              <w:t>Reakcija na lijek praćena eozinofilijom i sistemskim simptomima</w:t>
            </w:r>
            <w:r w:rsidRPr="00996FE6">
              <w:rPr>
                <w:rFonts w:eastAsia="Calibri"/>
                <w:szCs w:val="22"/>
              </w:rPr>
              <w:t xml:space="preserve"> </w:t>
            </w:r>
            <w:r w:rsidR="00811D67" w:rsidRPr="00996FE6">
              <w:rPr>
                <w:rFonts w:eastAsia="Calibri"/>
                <w:szCs w:val="22"/>
              </w:rPr>
              <w:t>(DRESS sindrom), AGEP (akutna generalizovana egzantematozna pustuloza)</w:t>
            </w:r>
          </w:p>
        </w:tc>
      </w:tr>
      <w:tr w:rsidR="00811D67" w:rsidRPr="00986F86" w14:paraId="4E63616A" w14:textId="77777777" w:rsidTr="009E08FC">
        <w:trPr>
          <w:trHeight w:val="170"/>
        </w:trPr>
        <w:tc>
          <w:tcPr>
            <w:tcW w:w="4814" w:type="dxa"/>
          </w:tcPr>
          <w:p w14:paraId="553C0475" w14:textId="7858FAF7" w:rsidR="00811D67" w:rsidRPr="00996FE6" w:rsidRDefault="00471F25" w:rsidP="00471F25">
            <w:pPr>
              <w:ind w:left="-6"/>
              <w:jc w:val="left"/>
              <w:rPr>
                <w:rFonts w:eastAsia="Calibri"/>
                <w:b/>
                <w:szCs w:val="22"/>
                <w:lang w:val="sv-SE"/>
              </w:rPr>
            </w:pPr>
            <w:r w:rsidRPr="00996FE6">
              <w:rPr>
                <w:b/>
                <w:szCs w:val="22"/>
                <w:lang w:val="pl-PL"/>
              </w:rPr>
              <w:t>Poremećaji na nivou bubrega i urinarnog sistema</w:t>
            </w:r>
            <w:r w:rsidR="00811D67" w:rsidRPr="00996FE6">
              <w:rPr>
                <w:rFonts w:eastAsia="Calibri"/>
                <w:b/>
                <w:szCs w:val="22"/>
                <w:lang w:val="sv-SE"/>
              </w:rPr>
              <w:t>:</w:t>
            </w:r>
          </w:p>
        </w:tc>
        <w:tc>
          <w:tcPr>
            <w:tcW w:w="4805" w:type="dxa"/>
          </w:tcPr>
          <w:p w14:paraId="3285B451" w14:textId="77777777" w:rsidR="00811D67" w:rsidRPr="00996FE6" w:rsidRDefault="00811D67" w:rsidP="00811D67">
            <w:pPr>
              <w:jc w:val="left"/>
              <w:rPr>
                <w:rFonts w:eastAsia="TimesNewRoman"/>
                <w:szCs w:val="22"/>
                <w:lang w:val="sv-SE"/>
              </w:rPr>
            </w:pPr>
          </w:p>
        </w:tc>
      </w:tr>
      <w:tr w:rsidR="00811D67" w:rsidRPr="00996FE6" w14:paraId="63BFE255" w14:textId="77777777" w:rsidTr="009E08FC">
        <w:trPr>
          <w:trHeight w:val="168"/>
        </w:trPr>
        <w:tc>
          <w:tcPr>
            <w:tcW w:w="4814" w:type="dxa"/>
          </w:tcPr>
          <w:p w14:paraId="559CFF1E" w14:textId="77777777" w:rsidR="00811D67" w:rsidRPr="00996FE6" w:rsidRDefault="00811D67" w:rsidP="00811D67">
            <w:pPr>
              <w:ind w:left="-6"/>
              <w:jc w:val="left"/>
              <w:rPr>
                <w:rFonts w:eastAsia="Calibri"/>
                <w:b/>
                <w:szCs w:val="22"/>
              </w:rPr>
            </w:pPr>
            <w:r w:rsidRPr="00996FE6">
              <w:rPr>
                <w:rFonts w:eastAsia="Calibri"/>
                <w:szCs w:val="22"/>
              </w:rPr>
              <w:t>Često</w:t>
            </w:r>
          </w:p>
        </w:tc>
        <w:tc>
          <w:tcPr>
            <w:tcW w:w="4805" w:type="dxa"/>
          </w:tcPr>
          <w:p w14:paraId="02F3F30D" w14:textId="4D7D50BE" w:rsidR="00811D67" w:rsidRPr="00996FE6" w:rsidRDefault="00471F25" w:rsidP="00811D67">
            <w:pPr>
              <w:jc w:val="left"/>
              <w:rPr>
                <w:rFonts w:eastAsia="TimesNewRoman"/>
                <w:szCs w:val="22"/>
                <w:lang w:val="sr-Latn-RS"/>
              </w:rPr>
            </w:pPr>
            <w:r w:rsidRPr="00996FE6">
              <w:rPr>
                <w:szCs w:val="22"/>
                <w:lang w:val="pl-PL"/>
              </w:rPr>
              <w:t>Bubrežna insuficijencija koja se primarno manifestuje sniženjem vrijedosti kreatinina ili ureje u serumu</w:t>
            </w:r>
          </w:p>
        </w:tc>
      </w:tr>
      <w:tr w:rsidR="00811D67" w:rsidRPr="00986F86" w14:paraId="447EC07E" w14:textId="77777777" w:rsidTr="009E08FC">
        <w:trPr>
          <w:trHeight w:val="168"/>
        </w:trPr>
        <w:tc>
          <w:tcPr>
            <w:tcW w:w="4814" w:type="dxa"/>
          </w:tcPr>
          <w:p w14:paraId="535AC1F4" w14:textId="10C56BD6" w:rsidR="00811D67" w:rsidRPr="00996FE6" w:rsidRDefault="00811D67" w:rsidP="00811D67">
            <w:pPr>
              <w:ind w:left="-6"/>
              <w:jc w:val="left"/>
              <w:rPr>
                <w:rFonts w:eastAsia="Calibri"/>
                <w:b/>
                <w:szCs w:val="22"/>
              </w:rPr>
            </w:pPr>
            <w:r w:rsidRPr="00996FE6">
              <w:rPr>
                <w:rFonts w:eastAsia="Calibri"/>
                <w:szCs w:val="22"/>
              </w:rPr>
              <w:t>R</w:t>
            </w:r>
            <w:r w:rsidR="00471F25" w:rsidRPr="00996FE6">
              <w:rPr>
                <w:rFonts w:eastAsia="Calibri"/>
                <w:szCs w:val="22"/>
              </w:rPr>
              <w:t>ij</w:t>
            </w:r>
            <w:r w:rsidRPr="00996FE6">
              <w:rPr>
                <w:rFonts w:eastAsia="Calibri"/>
                <w:szCs w:val="22"/>
              </w:rPr>
              <w:t>etko</w:t>
            </w:r>
          </w:p>
        </w:tc>
        <w:tc>
          <w:tcPr>
            <w:tcW w:w="4805" w:type="dxa"/>
          </w:tcPr>
          <w:p w14:paraId="5BCF8DC6" w14:textId="0BAE0985" w:rsidR="00811D67" w:rsidRPr="00996FE6" w:rsidRDefault="00471F25" w:rsidP="00811D67">
            <w:pPr>
              <w:jc w:val="left"/>
              <w:rPr>
                <w:rFonts w:eastAsia="TimesNewRoman"/>
                <w:szCs w:val="22"/>
                <w:lang w:val="sv-SE"/>
              </w:rPr>
            </w:pPr>
            <w:r w:rsidRPr="00996FE6">
              <w:rPr>
                <w:szCs w:val="22"/>
                <w:lang w:val="pl-PL"/>
              </w:rPr>
              <w:t>Intersticijalni nefritis i/ili akutna insuficijencija bubrega</w:t>
            </w:r>
          </w:p>
        </w:tc>
      </w:tr>
      <w:tr w:rsidR="00811D67" w:rsidRPr="00996FE6" w14:paraId="75EB121C" w14:textId="77777777" w:rsidTr="009E08FC">
        <w:trPr>
          <w:trHeight w:val="168"/>
        </w:trPr>
        <w:tc>
          <w:tcPr>
            <w:tcW w:w="4814" w:type="dxa"/>
          </w:tcPr>
          <w:p w14:paraId="4DAB7A43" w14:textId="1E4F6A64" w:rsidR="00811D67" w:rsidRPr="00996FE6" w:rsidRDefault="00471F25" w:rsidP="00811D67">
            <w:pPr>
              <w:ind w:left="-6"/>
              <w:jc w:val="left"/>
              <w:rPr>
                <w:rFonts w:eastAsia="Calibri"/>
                <w:szCs w:val="22"/>
              </w:rPr>
            </w:pPr>
            <w:r w:rsidRPr="00996FE6">
              <w:rPr>
                <w:rFonts w:eastAsia="Calibri"/>
                <w:szCs w:val="22"/>
              </w:rPr>
              <w:t>Nepoznate učestalosti</w:t>
            </w:r>
          </w:p>
        </w:tc>
        <w:tc>
          <w:tcPr>
            <w:tcW w:w="4805" w:type="dxa"/>
          </w:tcPr>
          <w:p w14:paraId="467E4A09" w14:textId="461F210A" w:rsidR="00471F25" w:rsidRPr="00996FE6" w:rsidRDefault="00811D67" w:rsidP="00471F25">
            <w:pPr>
              <w:jc w:val="left"/>
              <w:rPr>
                <w:rFonts w:eastAsia="TimesNewRoman"/>
                <w:szCs w:val="22"/>
              </w:rPr>
            </w:pPr>
            <w:r w:rsidRPr="00996FE6">
              <w:rPr>
                <w:rFonts w:eastAsia="TimesNewRoman"/>
                <w:szCs w:val="22"/>
              </w:rPr>
              <w:t>Akutna tubularna nekroza</w:t>
            </w:r>
          </w:p>
        </w:tc>
      </w:tr>
      <w:tr w:rsidR="00811D67" w:rsidRPr="00996FE6" w14:paraId="57253C26" w14:textId="77777777" w:rsidTr="009E08FC">
        <w:trPr>
          <w:trHeight w:val="210"/>
        </w:trPr>
        <w:tc>
          <w:tcPr>
            <w:tcW w:w="4814" w:type="dxa"/>
          </w:tcPr>
          <w:p w14:paraId="0AE14063" w14:textId="7163EA0F" w:rsidR="00811D67" w:rsidRPr="00996FE6" w:rsidRDefault="00471F25" w:rsidP="00471F25">
            <w:pPr>
              <w:ind w:left="-6"/>
              <w:jc w:val="left"/>
              <w:rPr>
                <w:rFonts w:eastAsia="Calibri"/>
                <w:b/>
                <w:szCs w:val="22"/>
              </w:rPr>
            </w:pPr>
            <w:r w:rsidRPr="00996FE6">
              <w:rPr>
                <w:b/>
                <w:szCs w:val="22"/>
                <w:lang w:val="pl-PL"/>
              </w:rPr>
              <w:t>Opšti poremećaji i reakcije na mjestu primjene</w:t>
            </w:r>
            <w:r w:rsidR="00811D67" w:rsidRPr="00996FE6">
              <w:rPr>
                <w:rFonts w:eastAsia="Calibri"/>
                <w:b/>
                <w:szCs w:val="22"/>
              </w:rPr>
              <w:t>:</w:t>
            </w:r>
          </w:p>
        </w:tc>
        <w:tc>
          <w:tcPr>
            <w:tcW w:w="4805" w:type="dxa"/>
          </w:tcPr>
          <w:p w14:paraId="1FA9FB95" w14:textId="77777777" w:rsidR="00811D67" w:rsidRPr="00996FE6" w:rsidRDefault="00811D67" w:rsidP="00811D67">
            <w:pPr>
              <w:jc w:val="left"/>
              <w:rPr>
                <w:rFonts w:eastAsia="Calibri"/>
                <w:szCs w:val="22"/>
              </w:rPr>
            </w:pPr>
          </w:p>
        </w:tc>
      </w:tr>
      <w:tr w:rsidR="00811D67" w:rsidRPr="00986F86" w14:paraId="566093A2" w14:textId="77777777" w:rsidTr="009E08FC">
        <w:trPr>
          <w:trHeight w:val="208"/>
        </w:trPr>
        <w:tc>
          <w:tcPr>
            <w:tcW w:w="4814" w:type="dxa"/>
          </w:tcPr>
          <w:p w14:paraId="4A816069" w14:textId="77777777" w:rsidR="00811D67" w:rsidRPr="00996FE6" w:rsidRDefault="00811D67" w:rsidP="00811D67">
            <w:pPr>
              <w:ind w:left="-6"/>
              <w:jc w:val="left"/>
              <w:rPr>
                <w:rFonts w:eastAsia="Calibri"/>
                <w:b/>
                <w:szCs w:val="22"/>
              </w:rPr>
            </w:pPr>
            <w:r w:rsidRPr="00996FE6">
              <w:rPr>
                <w:rFonts w:eastAsia="Calibri"/>
                <w:szCs w:val="22"/>
              </w:rPr>
              <w:t>Često</w:t>
            </w:r>
          </w:p>
        </w:tc>
        <w:tc>
          <w:tcPr>
            <w:tcW w:w="4805" w:type="dxa"/>
          </w:tcPr>
          <w:p w14:paraId="605C777B" w14:textId="7345ADA4" w:rsidR="00811D67" w:rsidRPr="00996FE6" w:rsidRDefault="00811D67" w:rsidP="00811D67">
            <w:pPr>
              <w:jc w:val="left"/>
              <w:rPr>
                <w:rFonts w:eastAsia="Calibri"/>
                <w:szCs w:val="22"/>
                <w:lang w:val="sv-SE"/>
              </w:rPr>
            </w:pPr>
            <w:r w:rsidRPr="00996FE6">
              <w:rPr>
                <w:rFonts w:eastAsia="Calibri"/>
                <w:szCs w:val="22"/>
                <w:lang w:val="sv-SE"/>
              </w:rPr>
              <w:t xml:space="preserve">Flebitis, </w:t>
            </w:r>
            <w:r w:rsidRPr="00996FE6">
              <w:rPr>
                <w:rFonts w:eastAsia="Calibri"/>
                <w:bCs/>
                <w:szCs w:val="22"/>
                <w:lang w:val="sv-SE"/>
              </w:rPr>
              <w:t>crvenilo gornjeg d</w:t>
            </w:r>
            <w:r w:rsidR="00471F25" w:rsidRPr="00996FE6">
              <w:rPr>
                <w:rFonts w:eastAsia="Calibri"/>
                <w:bCs/>
                <w:szCs w:val="22"/>
                <w:lang w:val="sv-SE"/>
              </w:rPr>
              <w:t>ij</w:t>
            </w:r>
            <w:r w:rsidRPr="00996FE6">
              <w:rPr>
                <w:rFonts w:eastAsia="Calibri"/>
                <w:bCs/>
                <w:szCs w:val="22"/>
                <w:lang w:val="sv-SE"/>
              </w:rPr>
              <w:t>ela t</w:t>
            </w:r>
            <w:r w:rsidR="00471F25" w:rsidRPr="00996FE6">
              <w:rPr>
                <w:rFonts w:eastAsia="Calibri"/>
                <w:bCs/>
                <w:szCs w:val="22"/>
                <w:lang w:val="sv-SE"/>
              </w:rPr>
              <w:t>ij</w:t>
            </w:r>
            <w:r w:rsidRPr="00996FE6">
              <w:rPr>
                <w:rFonts w:eastAsia="Calibri"/>
                <w:bCs/>
                <w:szCs w:val="22"/>
                <w:lang w:val="sv-SE"/>
              </w:rPr>
              <w:t>ela i lica</w:t>
            </w:r>
          </w:p>
        </w:tc>
      </w:tr>
      <w:tr w:rsidR="00811D67" w:rsidRPr="00996FE6" w14:paraId="6159D8CF" w14:textId="77777777" w:rsidTr="009E08FC">
        <w:trPr>
          <w:trHeight w:val="208"/>
        </w:trPr>
        <w:tc>
          <w:tcPr>
            <w:tcW w:w="4814" w:type="dxa"/>
          </w:tcPr>
          <w:p w14:paraId="520C818C" w14:textId="4ED19A7E" w:rsidR="00811D67" w:rsidRPr="00996FE6" w:rsidRDefault="00811D67" w:rsidP="00811D67">
            <w:pPr>
              <w:ind w:left="-6"/>
              <w:jc w:val="left"/>
              <w:rPr>
                <w:rFonts w:eastAsia="Calibri"/>
                <w:szCs w:val="22"/>
              </w:rPr>
            </w:pPr>
            <w:r w:rsidRPr="00996FE6">
              <w:rPr>
                <w:rFonts w:eastAsia="Calibri"/>
                <w:szCs w:val="22"/>
              </w:rPr>
              <w:t>R</w:t>
            </w:r>
            <w:r w:rsidR="00471F25" w:rsidRPr="00996FE6">
              <w:rPr>
                <w:rFonts w:eastAsia="Calibri"/>
                <w:szCs w:val="22"/>
              </w:rPr>
              <w:t>ij</w:t>
            </w:r>
            <w:r w:rsidRPr="00996FE6">
              <w:rPr>
                <w:rFonts w:eastAsia="Calibri"/>
                <w:szCs w:val="22"/>
              </w:rPr>
              <w:t>etko</w:t>
            </w:r>
          </w:p>
        </w:tc>
        <w:tc>
          <w:tcPr>
            <w:tcW w:w="4805" w:type="dxa"/>
          </w:tcPr>
          <w:p w14:paraId="44D2AD94" w14:textId="50BCEE5C" w:rsidR="00471F25" w:rsidRPr="00996FE6" w:rsidRDefault="00811D67" w:rsidP="00471F25">
            <w:pPr>
              <w:jc w:val="left"/>
              <w:rPr>
                <w:rFonts w:eastAsia="Calibri"/>
                <w:bCs/>
                <w:szCs w:val="22"/>
              </w:rPr>
            </w:pPr>
            <w:r w:rsidRPr="00996FE6">
              <w:rPr>
                <w:rFonts w:eastAsia="Calibri"/>
                <w:bCs/>
                <w:szCs w:val="22"/>
              </w:rPr>
              <w:t>Povišena t</w:t>
            </w:r>
            <w:r w:rsidR="00DE289A" w:rsidRPr="00996FE6">
              <w:rPr>
                <w:rFonts w:eastAsia="Calibri"/>
                <w:bCs/>
                <w:szCs w:val="22"/>
              </w:rPr>
              <w:t>j</w:t>
            </w:r>
            <w:r w:rsidRPr="00996FE6">
              <w:rPr>
                <w:rFonts w:eastAsia="Calibri"/>
                <w:bCs/>
                <w:szCs w:val="22"/>
              </w:rPr>
              <w:t>elesna temperatura usl</w:t>
            </w:r>
            <w:r w:rsidR="00DE289A" w:rsidRPr="00996FE6">
              <w:rPr>
                <w:rFonts w:eastAsia="Calibri"/>
                <w:bCs/>
                <w:szCs w:val="22"/>
              </w:rPr>
              <w:t>j</w:t>
            </w:r>
            <w:r w:rsidRPr="00996FE6">
              <w:rPr>
                <w:rFonts w:eastAsia="Calibri"/>
                <w:bCs/>
                <w:szCs w:val="22"/>
              </w:rPr>
              <w:t>ed prim</w:t>
            </w:r>
            <w:r w:rsidR="00DE289A" w:rsidRPr="00996FE6">
              <w:rPr>
                <w:rFonts w:eastAsia="Calibri"/>
                <w:bCs/>
                <w:szCs w:val="22"/>
              </w:rPr>
              <w:t>j</w:t>
            </w:r>
            <w:r w:rsidRPr="00996FE6">
              <w:rPr>
                <w:rFonts w:eastAsia="Calibri"/>
                <w:bCs/>
                <w:szCs w:val="22"/>
              </w:rPr>
              <w:t>ene l</w:t>
            </w:r>
            <w:r w:rsidR="00DE289A" w:rsidRPr="00996FE6">
              <w:rPr>
                <w:rFonts w:eastAsia="Calibri"/>
                <w:bCs/>
                <w:szCs w:val="22"/>
              </w:rPr>
              <w:t>ij</w:t>
            </w:r>
            <w:r w:rsidRPr="00996FE6">
              <w:rPr>
                <w:rFonts w:eastAsia="Calibri"/>
                <w:bCs/>
                <w:szCs w:val="22"/>
              </w:rPr>
              <w:t>eka, drhtanje, bol i spazam grudnih i leđnih mišića</w:t>
            </w:r>
          </w:p>
        </w:tc>
      </w:tr>
    </w:tbl>
    <w:p w14:paraId="5BFFB0AB" w14:textId="77777777" w:rsidR="0067104D" w:rsidRPr="00996FE6" w:rsidRDefault="0067104D" w:rsidP="004D2765">
      <w:pPr>
        <w:rPr>
          <w:szCs w:val="22"/>
          <w:lang w:val="pl-PL"/>
        </w:rPr>
      </w:pPr>
    </w:p>
    <w:p w14:paraId="6B44D1EC" w14:textId="77777777" w:rsidR="00471F25" w:rsidRPr="00996FE6" w:rsidRDefault="00471F25" w:rsidP="00471F25">
      <w:pPr>
        <w:jc w:val="left"/>
        <w:rPr>
          <w:bCs/>
          <w:szCs w:val="22"/>
          <w:u w:val="single"/>
          <w:lang w:val="pl-PL"/>
        </w:rPr>
      </w:pPr>
      <w:r w:rsidRPr="00996FE6">
        <w:rPr>
          <w:bCs/>
          <w:szCs w:val="22"/>
          <w:u w:val="single"/>
          <w:lang w:val="pl-PL"/>
        </w:rPr>
        <w:t>Opis odabranih neželjenih reakcija:</w:t>
      </w:r>
    </w:p>
    <w:p w14:paraId="4A36355B" w14:textId="5A8FCAAC" w:rsidR="00471F25" w:rsidRPr="00996FE6" w:rsidRDefault="00471F25" w:rsidP="00E61461">
      <w:pPr>
        <w:rPr>
          <w:bCs/>
          <w:szCs w:val="22"/>
          <w:lang w:val="pl-PL"/>
        </w:rPr>
      </w:pPr>
      <w:r w:rsidRPr="00996FE6">
        <w:rPr>
          <w:bCs/>
          <w:szCs w:val="22"/>
          <w:lang w:val="pl-PL"/>
        </w:rPr>
        <w:t>Reverzibilna neutropenija koja obično počinje jednu ili više ned</w:t>
      </w:r>
      <w:r w:rsidR="00DE289A" w:rsidRPr="00996FE6">
        <w:rPr>
          <w:bCs/>
          <w:szCs w:val="22"/>
          <w:lang w:val="pl-PL"/>
        </w:rPr>
        <w:t>j</w:t>
      </w:r>
      <w:r w:rsidRPr="00996FE6">
        <w:rPr>
          <w:bCs/>
          <w:szCs w:val="22"/>
          <w:lang w:val="pl-PL"/>
        </w:rPr>
        <w:t>elja nakon intravenske terapije ili posl</w:t>
      </w:r>
      <w:r w:rsidR="00DE289A" w:rsidRPr="00996FE6">
        <w:rPr>
          <w:bCs/>
          <w:szCs w:val="22"/>
          <w:lang w:val="pl-PL"/>
        </w:rPr>
        <w:t>ij</w:t>
      </w:r>
      <w:r w:rsidRPr="00996FE6">
        <w:rPr>
          <w:bCs/>
          <w:szCs w:val="22"/>
          <w:lang w:val="pl-PL"/>
        </w:rPr>
        <w:t>e ukupne doze veće od 25 g.</w:t>
      </w:r>
    </w:p>
    <w:p w14:paraId="1CA9D02F" w14:textId="77777777" w:rsidR="00471F25" w:rsidRPr="00996FE6" w:rsidRDefault="00471F25" w:rsidP="00E61461">
      <w:pPr>
        <w:rPr>
          <w:bCs/>
          <w:szCs w:val="22"/>
          <w:u w:val="single"/>
          <w:lang w:val="pl-PL"/>
        </w:rPr>
      </w:pPr>
    </w:p>
    <w:p w14:paraId="39A452AC" w14:textId="48702213" w:rsidR="00471F25" w:rsidRPr="00996FE6" w:rsidRDefault="00471F25" w:rsidP="00E61461">
      <w:pPr>
        <w:rPr>
          <w:bCs/>
          <w:szCs w:val="22"/>
          <w:lang w:val="pl-PL"/>
        </w:rPr>
      </w:pPr>
      <w:r w:rsidRPr="00996FE6">
        <w:rPr>
          <w:bCs/>
          <w:szCs w:val="22"/>
          <w:lang w:val="pl-PL"/>
        </w:rPr>
        <w:t>Tokom ili ubrzo nakon brze intravenske infuzije se može javiti anafilaktička/anafilaktoidna reakcija, uklju</w:t>
      </w:r>
      <w:r w:rsidRPr="00996FE6">
        <w:rPr>
          <w:bCs/>
          <w:szCs w:val="22"/>
          <w:lang w:val="sr-Latn-RS"/>
        </w:rPr>
        <w:t>čujući otežano disanje</w:t>
      </w:r>
      <w:r w:rsidRPr="00996FE6">
        <w:rPr>
          <w:bCs/>
          <w:szCs w:val="22"/>
          <w:lang w:val="pl-PL"/>
        </w:rPr>
        <w:t>. Intenzitet reakcije se smanjuje kada se prekine sa prim</w:t>
      </w:r>
      <w:r w:rsidR="00DE289A" w:rsidRPr="00996FE6">
        <w:rPr>
          <w:bCs/>
          <w:szCs w:val="22"/>
          <w:lang w:val="pl-PL"/>
        </w:rPr>
        <w:t>j</w:t>
      </w:r>
      <w:r w:rsidRPr="00996FE6">
        <w:rPr>
          <w:bCs/>
          <w:szCs w:val="22"/>
          <w:lang w:val="pl-PL"/>
        </w:rPr>
        <w:t>enom l</w:t>
      </w:r>
      <w:r w:rsidR="00DE289A" w:rsidRPr="00996FE6">
        <w:rPr>
          <w:bCs/>
          <w:szCs w:val="22"/>
          <w:lang w:val="pl-PL"/>
        </w:rPr>
        <w:t>ij</w:t>
      </w:r>
      <w:r w:rsidRPr="00996FE6">
        <w:rPr>
          <w:bCs/>
          <w:szCs w:val="22"/>
          <w:lang w:val="pl-PL"/>
        </w:rPr>
        <w:t>eka, obično između 20 minuta i 2 sata. Vankomicin treba prim</w:t>
      </w:r>
      <w:r w:rsidR="00DE289A" w:rsidRPr="00996FE6">
        <w:rPr>
          <w:bCs/>
          <w:szCs w:val="22"/>
          <w:lang w:val="pl-PL"/>
        </w:rPr>
        <w:t>j</w:t>
      </w:r>
      <w:r w:rsidRPr="00996FE6">
        <w:rPr>
          <w:bCs/>
          <w:szCs w:val="22"/>
          <w:lang w:val="pl-PL"/>
        </w:rPr>
        <w:t>enjivati sporom intravenskom infuzijom (vid</w:t>
      </w:r>
      <w:r w:rsidR="00DE289A" w:rsidRPr="00996FE6">
        <w:rPr>
          <w:bCs/>
          <w:szCs w:val="22"/>
          <w:lang w:val="pl-PL"/>
        </w:rPr>
        <w:t>j</w:t>
      </w:r>
      <w:r w:rsidRPr="00996FE6">
        <w:rPr>
          <w:bCs/>
          <w:szCs w:val="22"/>
          <w:lang w:val="pl-PL"/>
        </w:rPr>
        <w:t xml:space="preserve">eti </w:t>
      </w:r>
      <w:r w:rsidR="00DB1610" w:rsidRPr="00996FE6">
        <w:rPr>
          <w:bCs/>
          <w:szCs w:val="22"/>
          <w:lang w:val="pl-PL"/>
        </w:rPr>
        <w:t xml:space="preserve">djelove </w:t>
      </w:r>
      <w:r w:rsidRPr="00996FE6">
        <w:rPr>
          <w:bCs/>
          <w:szCs w:val="22"/>
          <w:lang w:val="pl-PL"/>
        </w:rPr>
        <w:t>4.2 i 4.4).</w:t>
      </w:r>
    </w:p>
    <w:p w14:paraId="700461C7" w14:textId="07BA429D" w:rsidR="00471F25" w:rsidRPr="00996FE6" w:rsidRDefault="00471F25" w:rsidP="00E61461">
      <w:pPr>
        <w:rPr>
          <w:bCs/>
          <w:szCs w:val="22"/>
          <w:lang w:val="pl-PL"/>
        </w:rPr>
      </w:pPr>
      <w:r w:rsidRPr="00996FE6">
        <w:rPr>
          <w:bCs/>
          <w:szCs w:val="22"/>
          <w:lang w:val="pl-PL"/>
        </w:rPr>
        <w:t>Nakon intramuskularne prim</w:t>
      </w:r>
      <w:r w:rsidR="00DE289A" w:rsidRPr="00996FE6">
        <w:rPr>
          <w:bCs/>
          <w:szCs w:val="22"/>
          <w:lang w:val="pl-PL"/>
        </w:rPr>
        <w:t>j</w:t>
      </w:r>
      <w:r w:rsidRPr="00996FE6">
        <w:rPr>
          <w:bCs/>
          <w:szCs w:val="22"/>
          <w:lang w:val="pl-PL"/>
        </w:rPr>
        <w:t>ene, može se javiti nekroza na m</w:t>
      </w:r>
      <w:r w:rsidR="00DE289A" w:rsidRPr="00996FE6">
        <w:rPr>
          <w:bCs/>
          <w:szCs w:val="22"/>
          <w:lang w:val="pl-PL"/>
        </w:rPr>
        <w:t>j</w:t>
      </w:r>
      <w:r w:rsidRPr="00996FE6">
        <w:rPr>
          <w:bCs/>
          <w:szCs w:val="22"/>
          <w:lang w:val="pl-PL"/>
        </w:rPr>
        <w:t>estu prim</w:t>
      </w:r>
      <w:r w:rsidR="00DE289A" w:rsidRPr="00996FE6">
        <w:rPr>
          <w:bCs/>
          <w:szCs w:val="22"/>
          <w:lang w:val="pl-PL"/>
        </w:rPr>
        <w:t>j</w:t>
      </w:r>
      <w:r w:rsidRPr="00996FE6">
        <w:rPr>
          <w:bCs/>
          <w:szCs w:val="22"/>
          <w:lang w:val="pl-PL"/>
        </w:rPr>
        <w:t>ene.</w:t>
      </w:r>
    </w:p>
    <w:p w14:paraId="73281291" w14:textId="77777777" w:rsidR="00471F25" w:rsidRPr="00996FE6" w:rsidRDefault="00471F25" w:rsidP="00E61461">
      <w:pPr>
        <w:rPr>
          <w:bCs/>
          <w:szCs w:val="22"/>
          <w:lang w:val="pl-PL"/>
        </w:rPr>
      </w:pPr>
    </w:p>
    <w:p w14:paraId="635D2781" w14:textId="77777777" w:rsidR="00471F25" w:rsidRPr="00996FE6" w:rsidRDefault="00471F25" w:rsidP="00E61461">
      <w:pPr>
        <w:rPr>
          <w:bCs/>
          <w:szCs w:val="22"/>
          <w:lang w:val="pl-PL"/>
        </w:rPr>
      </w:pPr>
      <w:r w:rsidRPr="00996FE6">
        <w:rPr>
          <w:bCs/>
          <w:szCs w:val="22"/>
          <w:lang w:val="pl-PL"/>
        </w:rPr>
        <w:t>Tinitus, koji ponekad prethodi nastanku gluvoće, treba smatrati indikacijom za prekid terapije.</w:t>
      </w:r>
    </w:p>
    <w:p w14:paraId="07C1702F" w14:textId="77777777" w:rsidR="00471F25" w:rsidRPr="00996FE6" w:rsidRDefault="00471F25" w:rsidP="00E61461">
      <w:pPr>
        <w:rPr>
          <w:bCs/>
          <w:szCs w:val="22"/>
          <w:lang w:val="pl-PL"/>
        </w:rPr>
      </w:pPr>
    </w:p>
    <w:p w14:paraId="22F97944" w14:textId="7B60BD41" w:rsidR="00471F25" w:rsidRPr="00996FE6" w:rsidRDefault="00471F25" w:rsidP="00E61461">
      <w:pPr>
        <w:rPr>
          <w:bCs/>
          <w:szCs w:val="22"/>
          <w:lang w:val="pl-PL"/>
        </w:rPr>
      </w:pPr>
      <w:r w:rsidRPr="00996FE6">
        <w:rPr>
          <w:bCs/>
          <w:szCs w:val="22"/>
          <w:lang w:val="pl-PL"/>
        </w:rPr>
        <w:t>Ototoksičnost je primarno bila prijavljena kod pacijenata kojima su prim</w:t>
      </w:r>
      <w:r w:rsidR="00DE289A" w:rsidRPr="00996FE6">
        <w:rPr>
          <w:bCs/>
          <w:szCs w:val="22"/>
          <w:lang w:val="pl-PL"/>
        </w:rPr>
        <w:t>j</w:t>
      </w:r>
      <w:r w:rsidRPr="00996FE6">
        <w:rPr>
          <w:bCs/>
          <w:szCs w:val="22"/>
          <w:lang w:val="pl-PL"/>
        </w:rPr>
        <w:t>enjene velike doze ili koji su bili na istovremenoj terapiji sa drugim ototoksičnim l</w:t>
      </w:r>
      <w:r w:rsidR="00DE289A" w:rsidRPr="00996FE6">
        <w:rPr>
          <w:bCs/>
          <w:szCs w:val="22"/>
          <w:lang w:val="pl-PL"/>
        </w:rPr>
        <w:t>j</w:t>
      </w:r>
      <w:r w:rsidRPr="00996FE6">
        <w:rPr>
          <w:bCs/>
          <w:szCs w:val="22"/>
          <w:lang w:val="pl-PL"/>
        </w:rPr>
        <w:t>ekovima kao što su aminoglikozidi, ili kod pacijenata koji su imali prethodno postojeće smanjenje bubrežne funkcije ili sluha.</w:t>
      </w:r>
    </w:p>
    <w:p w14:paraId="57ADF666" w14:textId="77777777" w:rsidR="00471F25" w:rsidRPr="00996FE6" w:rsidRDefault="00471F25" w:rsidP="00E61461">
      <w:pPr>
        <w:rPr>
          <w:bCs/>
          <w:szCs w:val="22"/>
          <w:lang w:val="pl-PL"/>
        </w:rPr>
      </w:pPr>
    </w:p>
    <w:p w14:paraId="75425959" w14:textId="77777777" w:rsidR="00471F25" w:rsidRPr="00996FE6" w:rsidRDefault="00471F25" w:rsidP="00E61461">
      <w:pPr>
        <w:rPr>
          <w:bCs/>
          <w:szCs w:val="22"/>
          <w:u w:val="single"/>
          <w:lang w:val="pl-PL"/>
        </w:rPr>
      </w:pPr>
    </w:p>
    <w:p w14:paraId="0D6A9895" w14:textId="77777777" w:rsidR="00471F25" w:rsidRPr="00996FE6" w:rsidRDefault="00471F25" w:rsidP="00E61461">
      <w:pPr>
        <w:rPr>
          <w:bCs/>
          <w:szCs w:val="22"/>
          <w:u w:val="single"/>
          <w:lang w:val="pl-PL"/>
        </w:rPr>
      </w:pPr>
      <w:r w:rsidRPr="00996FE6">
        <w:rPr>
          <w:bCs/>
          <w:szCs w:val="22"/>
          <w:u w:val="single"/>
          <w:lang w:val="pl-PL"/>
        </w:rPr>
        <w:t>Pedijatrijska populacija</w:t>
      </w:r>
    </w:p>
    <w:p w14:paraId="434AE1E7" w14:textId="24167051" w:rsidR="00471F25" w:rsidRPr="00996FE6" w:rsidRDefault="00471F25" w:rsidP="00DB1610">
      <w:pPr>
        <w:rPr>
          <w:szCs w:val="22"/>
          <w:lang w:val="pl-PL"/>
        </w:rPr>
      </w:pPr>
      <w:r w:rsidRPr="00996FE6">
        <w:rPr>
          <w:bCs/>
          <w:szCs w:val="22"/>
          <w:lang w:val="pl-PL"/>
        </w:rPr>
        <w:t>Bezb</w:t>
      </w:r>
      <w:r w:rsidR="00DE289A" w:rsidRPr="00996FE6">
        <w:rPr>
          <w:bCs/>
          <w:szCs w:val="22"/>
          <w:lang w:val="pl-PL"/>
        </w:rPr>
        <w:t>j</w:t>
      </w:r>
      <w:r w:rsidRPr="00996FE6">
        <w:rPr>
          <w:bCs/>
          <w:szCs w:val="22"/>
          <w:lang w:val="pl-PL"/>
        </w:rPr>
        <w:t>ednosni profil je generalno konzistentan kod prim</w:t>
      </w:r>
      <w:r w:rsidR="00DE289A" w:rsidRPr="00996FE6">
        <w:rPr>
          <w:bCs/>
          <w:szCs w:val="22"/>
          <w:lang w:val="pl-PL"/>
        </w:rPr>
        <w:t>j</w:t>
      </w:r>
      <w:r w:rsidRPr="00996FE6">
        <w:rPr>
          <w:bCs/>
          <w:szCs w:val="22"/>
          <w:lang w:val="pl-PL"/>
        </w:rPr>
        <w:t>ene kod d</w:t>
      </w:r>
      <w:r w:rsidR="00DE289A" w:rsidRPr="00996FE6">
        <w:rPr>
          <w:bCs/>
          <w:szCs w:val="22"/>
          <w:lang w:val="pl-PL"/>
        </w:rPr>
        <w:t>j</w:t>
      </w:r>
      <w:r w:rsidRPr="00996FE6">
        <w:rPr>
          <w:bCs/>
          <w:szCs w:val="22"/>
          <w:lang w:val="pl-PL"/>
        </w:rPr>
        <w:t>ece i odraslih pacijenata. Nefrotoksičnost je opisana kod d</w:t>
      </w:r>
      <w:r w:rsidR="00DE289A" w:rsidRPr="00996FE6">
        <w:rPr>
          <w:bCs/>
          <w:szCs w:val="22"/>
          <w:lang w:val="pl-PL"/>
        </w:rPr>
        <w:t>j</w:t>
      </w:r>
      <w:r w:rsidRPr="00996FE6">
        <w:rPr>
          <w:bCs/>
          <w:szCs w:val="22"/>
          <w:lang w:val="pl-PL"/>
        </w:rPr>
        <w:t>ece, uglavnom u kombinaciji sa drugim nefrotoksičnim l</w:t>
      </w:r>
      <w:r w:rsidR="00DE289A" w:rsidRPr="00996FE6">
        <w:rPr>
          <w:bCs/>
          <w:szCs w:val="22"/>
          <w:lang w:val="pl-PL"/>
        </w:rPr>
        <w:t>j</w:t>
      </w:r>
      <w:r w:rsidRPr="00996FE6">
        <w:rPr>
          <w:bCs/>
          <w:szCs w:val="22"/>
          <w:lang w:val="pl-PL"/>
        </w:rPr>
        <w:t>ekovima kao što su aminoglikozidi.</w:t>
      </w:r>
    </w:p>
    <w:p w14:paraId="60EE54C7" w14:textId="77777777" w:rsidR="00866670" w:rsidRPr="00996FE6" w:rsidRDefault="00866670">
      <w:pPr>
        <w:autoSpaceDE w:val="0"/>
        <w:autoSpaceDN w:val="0"/>
        <w:adjustRightInd w:val="0"/>
        <w:rPr>
          <w:szCs w:val="22"/>
          <w:lang w:val="pl-PL"/>
        </w:rPr>
      </w:pPr>
    </w:p>
    <w:p w14:paraId="32374902" w14:textId="77777777" w:rsidR="00866670" w:rsidRPr="00996FE6" w:rsidRDefault="00866670">
      <w:pPr>
        <w:tabs>
          <w:tab w:val="clear" w:pos="284"/>
        </w:tabs>
        <w:autoSpaceDE w:val="0"/>
        <w:autoSpaceDN w:val="0"/>
        <w:adjustRightInd w:val="0"/>
        <w:ind w:right="861"/>
        <w:rPr>
          <w:szCs w:val="22"/>
          <w:u w:val="single"/>
          <w:lang w:val="sr-Latn-RS"/>
        </w:rPr>
      </w:pPr>
      <w:r w:rsidRPr="00996FE6">
        <w:rPr>
          <w:szCs w:val="22"/>
          <w:u w:val="single"/>
          <w:lang w:val="sr-Latn-RS"/>
        </w:rPr>
        <w:t>Prijavljivanje sumnji na neželjena dejstva</w:t>
      </w:r>
    </w:p>
    <w:p w14:paraId="0DF8AF17" w14:textId="57CD1574" w:rsidR="00866670" w:rsidRPr="00996FE6" w:rsidRDefault="00866670">
      <w:pPr>
        <w:tabs>
          <w:tab w:val="clear" w:pos="284"/>
        </w:tabs>
        <w:autoSpaceDE w:val="0"/>
        <w:autoSpaceDN w:val="0"/>
        <w:adjustRightInd w:val="0"/>
        <w:ind w:right="861"/>
        <w:rPr>
          <w:szCs w:val="22"/>
          <w:lang w:val="sr-Latn-RS"/>
        </w:rPr>
      </w:pPr>
      <w:r w:rsidRPr="00996FE6">
        <w:rPr>
          <w:szCs w:val="22"/>
          <w:lang w:val="sr-Latn-RS"/>
        </w:rPr>
        <w:t xml:space="preserve">Prijavljivanje neželjenih dejstava nakon dobijanja dozvole je od velikog značaja jer obezbjeđuje kontinuirano praćenje odnosa korist/rizik primjene lijeka. Zdravstveni radnici treba da prijave svaku sumnju na neželjeno dejstvo ovog lijeka </w:t>
      </w:r>
      <w:r w:rsidR="00D335CE" w:rsidRPr="00996FE6">
        <w:rPr>
          <w:szCs w:val="22"/>
          <w:lang w:val="sr-Latn-RS"/>
        </w:rPr>
        <w:t>Institutu</w:t>
      </w:r>
      <w:r w:rsidRPr="00996FE6">
        <w:rPr>
          <w:szCs w:val="22"/>
          <w:lang w:val="sr-Latn-RS"/>
        </w:rPr>
        <w:t xml:space="preserve"> za ljekove i medicinska sredstva  (</w:t>
      </w:r>
      <w:r w:rsidR="00D335CE" w:rsidRPr="00996FE6">
        <w:rPr>
          <w:rFonts w:eastAsia="Calibri"/>
          <w:szCs w:val="22"/>
          <w:lang w:val="sr-Latn-RS"/>
        </w:rPr>
        <w:t>CInMED</w:t>
      </w:r>
      <w:r w:rsidRPr="00996FE6">
        <w:rPr>
          <w:szCs w:val="22"/>
          <w:lang w:val="sr-Latn-RS"/>
        </w:rPr>
        <w:t>):</w:t>
      </w:r>
    </w:p>
    <w:p w14:paraId="1861C546" w14:textId="77777777" w:rsidR="00866670" w:rsidRPr="00996FE6" w:rsidRDefault="00866670">
      <w:pPr>
        <w:tabs>
          <w:tab w:val="clear" w:pos="284"/>
        </w:tabs>
        <w:autoSpaceDE w:val="0"/>
        <w:autoSpaceDN w:val="0"/>
        <w:adjustRightInd w:val="0"/>
        <w:ind w:right="861"/>
        <w:rPr>
          <w:szCs w:val="22"/>
          <w:lang w:val="sr-Latn-RS"/>
        </w:rPr>
      </w:pPr>
    </w:p>
    <w:p w14:paraId="79D9BF94" w14:textId="77C96015" w:rsidR="00866670" w:rsidRPr="00996FE6" w:rsidRDefault="00D335CE">
      <w:pPr>
        <w:tabs>
          <w:tab w:val="clear" w:pos="284"/>
        </w:tabs>
        <w:autoSpaceDE w:val="0"/>
        <w:autoSpaceDN w:val="0"/>
        <w:adjustRightInd w:val="0"/>
        <w:rPr>
          <w:szCs w:val="22"/>
          <w:lang w:val="sr-Latn-RS"/>
        </w:rPr>
      </w:pPr>
      <w:r w:rsidRPr="00996FE6">
        <w:rPr>
          <w:szCs w:val="22"/>
          <w:lang w:val="sr-Latn-RS"/>
        </w:rPr>
        <w:t>Institut</w:t>
      </w:r>
      <w:r w:rsidR="00866670" w:rsidRPr="00996FE6">
        <w:rPr>
          <w:szCs w:val="22"/>
          <w:lang w:val="sr-Latn-RS"/>
        </w:rPr>
        <w:t xml:space="preserve"> za ljekove i medicinska sredstva </w:t>
      </w:r>
    </w:p>
    <w:p w14:paraId="319796F7" w14:textId="77777777" w:rsidR="00866670" w:rsidRPr="00996FE6" w:rsidRDefault="00866670">
      <w:pPr>
        <w:tabs>
          <w:tab w:val="clear" w:pos="284"/>
        </w:tabs>
        <w:autoSpaceDE w:val="0"/>
        <w:autoSpaceDN w:val="0"/>
        <w:adjustRightInd w:val="0"/>
        <w:rPr>
          <w:szCs w:val="22"/>
          <w:lang w:val="sr-Latn-RS"/>
        </w:rPr>
      </w:pPr>
      <w:r w:rsidRPr="00996FE6">
        <w:rPr>
          <w:szCs w:val="22"/>
          <w:lang w:val="sr-Latn-RS"/>
        </w:rPr>
        <w:t>Odjeljenje za farmakovigilancu</w:t>
      </w:r>
    </w:p>
    <w:p w14:paraId="25BE8C44" w14:textId="7A240555" w:rsidR="00866670" w:rsidRPr="00996FE6" w:rsidRDefault="00866670" w:rsidP="00E61461">
      <w:pPr>
        <w:rPr>
          <w:szCs w:val="22"/>
          <w:lang w:val="sr-Latn-RS"/>
        </w:rPr>
      </w:pPr>
      <w:r w:rsidRPr="00996FE6">
        <w:rPr>
          <w:szCs w:val="22"/>
          <w:lang w:val="sr-Latn-RS"/>
        </w:rPr>
        <w:t>Bulevar Ivana Crnojevića 64a, 81000 Podgorica</w:t>
      </w:r>
    </w:p>
    <w:p w14:paraId="4C8D6A42" w14:textId="77777777" w:rsidR="00866670" w:rsidRPr="00996FE6" w:rsidRDefault="00866670" w:rsidP="00DB1610">
      <w:pPr>
        <w:tabs>
          <w:tab w:val="clear" w:pos="284"/>
        </w:tabs>
        <w:autoSpaceDE w:val="0"/>
        <w:autoSpaceDN w:val="0"/>
        <w:adjustRightInd w:val="0"/>
        <w:rPr>
          <w:szCs w:val="22"/>
          <w:lang w:val="sr-Latn-RS"/>
        </w:rPr>
      </w:pPr>
      <w:r w:rsidRPr="00996FE6">
        <w:rPr>
          <w:szCs w:val="22"/>
          <w:lang w:val="sr-Latn-RS"/>
        </w:rPr>
        <w:t>tel: +382 (0) 20 310 280</w:t>
      </w:r>
    </w:p>
    <w:p w14:paraId="6832480E" w14:textId="77777777" w:rsidR="00866670" w:rsidRPr="00996FE6" w:rsidRDefault="00866670">
      <w:pPr>
        <w:tabs>
          <w:tab w:val="clear" w:pos="284"/>
        </w:tabs>
        <w:autoSpaceDE w:val="0"/>
        <w:autoSpaceDN w:val="0"/>
        <w:adjustRightInd w:val="0"/>
        <w:rPr>
          <w:szCs w:val="22"/>
          <w:lang w:val="sr-Latn-RS"/>
        </w:rPr>
      </w:pPr>
      <w:r w:rsidRPr="00996FE6">
        <w:rPr>
          <w:szCs w:val="22"/>
          <w:lang w:val="sr-Latn-RS"/>
        </w:rPr>
        <w:t>fax:+382 (0) 20 310 581</w:t>
      </w:r>
    </w:p>
    <w:p w14:paraId="54CBE97D" w14:textId="35ACBF8E" w:rsidR="00E61461" w:rsidRPr="00996FE6" w:rsidRDefault="00E61461">
      <w:pPr>
        <w:tabs>
          <w:tab w:val="clear" w:pos="284"/>
        </w:tabs>
        <w:autoSpaceDE w:val="0"/>
        <w:autoSpaceDN w:val="0"/>
        <w:adjustRightInd w:val="0"/>
        <w:rPr>
          <w:szCs w:val="22"/>
          <w:lang w:val="sr-Latn-RS"/>
        </w:rPr>
      </w:pPr>
      <w:r w:rsidRPr="00996FE6">
        <w:rPr>
          <w:szCs w:val="22"/>
          <w:lang w:val="sr-Latn-RS"/>
        </w:rPr>
        <w:t>www.cinmed.me</w:t>
      </w:r>
    </w:p>
    <w:p w14:paraId="13B59DD6" w14:textId="48C27341" w:rsidR="00E61461" w:rsidRPr="00996FE6" w:rsidRDefault="00E61461">
      <w:pPr>
        <w:tabs>
          <w:tab w:val="clear" w:pos="284"/>
        </w:tabs>
        <w:autoSpaceDE w:val="0"/>
        <w:autoSpaceDN w:val="0"/>
        <w:adjustRightInd w:val="0"/>
        <w:rPr>
          <w:szCs w:val="22"/>
          <w:lang w:val="sr-Latn-RS"/>
        </w:rPr>
      </w:pPr>
      <w:r w:rsidRPr="00996FE6">
        <w:rPr>
          <w:szCs w:val="22"/>
          <w:lang w:val="sr-Latn-RS"/>
        </w:rPr>
        <w:t>nezeljenadejstva@cinmed.me</w:t>
      </w:r>
    </w:p>
    <w:p w14:paraId="20E04096" w14:textId="730D638C" w:rsidR="00866670" w:rsidRPr="00996FE6" w:rsidRDefault="00866670" w:rsidP="00E61461">
      <w:pPr>
        <w:rPr>
          <w:szCs w:val="22"/>
          <w:lang w:val="sr-Latn-RS"/>
        </w:rPr>
      </w:pPr>
      <w:r w:rsidRPr="00996FE6">
        <w:rPr>
          <w:szCs w:val="22"/>
          <w:lang w:val="sr-Latn-RS"/>
        </w:rPr>
        <w:t>putem IS zdravstvene zaštite</w:t>
      </w:r>
    </w:p>
    <w:p w14:paraId="0D077AF1" w14:textId="77777777" w:rsidR="00D335CE" w:rsidRPr="00996FE6" w:rsidRDefault="00D335CE" w:rsidP="00DB1610">
      <w:pPr>
        <w:pStyle w:val="NoSpacing"/>
        <w:jc w:val="both"/>
        <w:rPr>
          <w:rFonts w:eastAsia="Calibri"/>
          <w:sz w:val="22"/>
          <w:szCs w:val="22"/>
          <w:lang w:val="sr-Latn-RS"/>
        </w:rPr>
      </w:pPr>
      <w:r w:rsidRPr="00996FE6">
        <w:rPr>
          <w:rFonts w:eastAsia="Calibri"/>
          <w:sz w:val="22"/>
          <w:szCs w:val="22"/>
          <w:lang w:val="sr-Latn-RS"/>
        </w:rPr>
        <w:t>QR kod za online prijavu sumnje na neželjeno dejstvo lijeka:</w:t>
      </w:r>
    </w:p>
    <w:p w14:paraId="73042A24" w14:textId="77777777" w:rsidR="00D335CE" w:rsidRPr="00996FE6" w:rsidRDefault="00D335CE" w:rsidP="00D335CE">
      <w:pPr>
        <w:pStyle w:val="NoSpacing"/>
        <w:jc w:val="both"/>
        <w:rPr>
          <w:rFonts w:eastAsia="Calibri"/>
          <w:sz w:val="22"/>
          <w:szCs w:val="22"/>
          <w:lang w:val="sr-Latn-RS"/>
        </w:rPr>
      </w:pPr>
    </w:p>
    <w:p w14:paraId="4FF566F6" w14:textId="299538A7" w:rsidR="00D335CE" w:rsidRPr="00996FE6" w:rsidRDefault="009927E5" w:rsidP="00471F25">
      <w:pPr>
        <w:pStyle w:val="NoSpacing"/>
        <w:rPr>
          <w:rFonts w:eastAsia="Calibri"/>
          <w:sz w:val="22"/>
          <w:szCs w:val="22"/>
          <w:lang w:val="sr-Latn-RS"/>
        </w:rPr>
      </w:pPr>
      <w:r w:rsidRPr="00996FE6">
        <w:rPr>
          <w:noProof/>
        </w:rPr>
        <w:drawing>
          <wp:inline distT="0" distB="0" distL="0" distR="0" wp14:anchorId="219CA13E" wp14:editId="1FBF5364">
            <wp:extent cx="980440" cy="971550"/>
            <wp:effectExtent l="0" t="0" r="0" b="0"/>
            <wp:docPr id="10" name="Picture 9">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r w:rsidRPr="00996FE6" w:rsidDel="009927E5">
        <w:rPr>
          <w:noProof/>
          <w:lang w:val="sr-Latn-RS"/>
        </w:rPr>
        <w:t xml:space="preserve"> </w:t>
      </w:r>
    </w:p>
    <w:p w14:paraId="6D78C0E8" w14:textId="77777777" w:rsidR="00866670" w:rsidRPr="00996FE6" w:rsidRDefault="00866670" w:rsidP="004D2765">
      <w:pPr>
        <w:jc w:val="left"/>
        <w:rPr>
          <w:szCs w:val="22"/>
          <w:lang w:val="pl-PL"/>
        </w:rPr>
      </w:pPr>
    </w:p>
    <w:p w14:paraId="54977D05" w14:textId="3D7306B9" w:rsidR="004709C5" w:rsidRPr="00996FE6" w:rsidRDefault="00CE09F3" w:rsidP="004D2765">
      <w:pPr>
        <w:jc w:val="left"/>
        <w:rPr>
          <w:b/>
          <w:bCs/>
          <w:szCs w:val="22"/>
          <w:lang w:val="sr-Latn-RS"/>
        </w:rPr>
      </w:pPr>
      <w:r w:rsidRPr="00996FE6">
        <w:rPr>
          <w:b/>
          <w:bCs/>
          <w:szCs w:val="22"/>
          <w:lang w:val="sr-Latn-RS"/>
        </w:rPr>
        <w:t xml:space="preserve">4.9. </w:t>
      </w:r>
      <w:r w:rsidR="00866670" w:rsidRPr="00996FE6">
        <w:rPr>
          <w:b/>
          <w:bCs/>
          <w:szCs w:val="22"/>
          <w:lang w:val="pl-PL"/>
        </w:rPr>
        <w:t>Predoziranje</w:t>
      </w:r>
    </w:p>
    <w:p w14:paraId="0D820F60" w14:textId="77777777" w:rsidR="00866670" w:rsidRPr="00996FE6" w:rsidRDefault="00866670" w:rsidP="004D2765">
      <w:pPr>
        <w:autoSpaceDE w:val="0"/>
        <w:autoSpaceDN w:val="0"/>
        <w:adjustRightInd w:val="0"/>
        <w:rPr>
          <w:szCs w:val="22"/>
          <w:lang w:val="pl-PL"/>
        </w:rPr>
      </w:pPr>
    </w:p>
    <w:p w14:paraId="71D090FD" w14:textId="77777777" w:rsidR="004A06AD" w:rsidRPr="00996FE6" w:rsidRDefault="004A06AD" w:rsidP="004A06AD">
      <w:pPr>
        <w:pStyle w:val="NASLOV123"/>
        <w:spacing w:before="0"/>
        <w:rPr>
          <w:b w:val="0"/>
          <w:lang w:val="pl-PL"/>
        </w:rPr>
      </w:pPr>
      <w:r w:rsidRPr="00996FE6">
        <w:rPr>
          <w:b w:val="0"/>
          <w:lang w:val="pl-PL"/>
        </w:rPr>
        <w:t xml:space="preserve">Savetuje se simptomatska terapija, uz održavanje glomerularne filtracije. </w:t>
      </w:r>
    </w:p>
    <w:p w14:paraId="4F076E22" w14:textId="5E521584" w:rsidR="00866670" w:rsidRPr="00996FE6" w:rsidRDefault="004A06AD" w:rsidP="004D2765">
      <w:pPr>
        <w:pStyle w:val="NASLOV123"/>
        <w:spacing w:before="0" w:after="0"/>
        <w:rPr>
          <w:b w:val="0"/>
          <w:bCs/>
          <w:lang w:val="pl-PL"/>
        </w:rPr>
      </w:pPr>
      <w:r w:rsidRPr="00996FE6">
        <w:rPr>
          <w:b w:val="0"/>
          <w:bCs/>
          <w:lang w:val="pl-PL"/>
        </w:rPr>
        <w:t>Vankomicin se slabo uklanja iz krvi hemodijalizom ili peritonealnom dijalizom. Prim</w:t>
      </w:r>
      <w:r w:rsidR="00C065A7" w:rsidRPr="00996FE6">
        <w:rPr>
          <w:b w:val="0"/>
          <w:bCs/>
          <w:lang w:val="pl-PL"/>
        </w:rPr>
        <w:t>j</w:t>
      </w:r>
      <w:r w:rsidRPr="00996FE6">
        <w:rPr>
          <w:b w:val="0"/>
          <w:bCs/>
          <w:lang w:val="pl-PL"/>
        </w:rPr>
        <w:t>ećeno je da metoda hemoperfuzije sa Amberlite resin XAD-4 ima ograničeno d</w:t>
      </w:r>
      <w:r w:rsidR="00C065A7" w:rsidRPr="00996FE6">
        <w:rPr>
          <w:b w:val="0"/>
          <w:bCs/>
          <w:lang w:val="pl-PL"/>
        </w:rPr>
        <w:t>j</w:t>
      </w:r>
      <w:r w:rsidRPr="00996FE6">
        <w:rPr>
          <w:b w:val="0"/>
          <w:bCs/>
          <w:lang w:val="pl-PL"/>
        </w:rPr>
        <w:t>elovanje.</w:t>
      </w:r>
    </w:p>
    <w:p w14:paraId="30C71FDE" w14:textId="77777777" w:rsidR="004D2765" w:rsidRPr="00996FE6" w:rsidRDefault="004D2765" w:rsidP="004D2765">
      <w:pPr>
        <w:pStyle w:val="NASLOV123"/>
        <w:spacing w:before="0" w:after="0"/>
        <w:rPr>
          <w:b w:val="0"/>
          <w:lang w:val="pl-PL"/>
        </w:rPr>
      </w:pPr>
    </w:p>
    <w:p w14:paraId="42CE073D" w14:textId="77777777" w:rsidR="004D2765" w:rsidRPr="00996FE6" w:rsidRDefault="004D2765" w:rsidP="004D2765">
      <w:pPr>
        <w:pStyle w:val="NASLOV123"/>
        <w:spacing w:before="0" w:after="0"/>
        <w:rPr>
          <w:b w:val="0"/>
          <w:lang w:val="pl-PL"/>
        </w:rPr>
      </w:pPr>
    </w:p>
    <w:p w14:paraId="54977D08" w14:textId="77777777" w:rsidR="00CE09F3" w:rsidRPr="00996FE6" w:rsidRDefault="00CE09F3" w:rsidP="004D2765">
      <w:pPr>
        <w:pStyle w:val="NASLOV123"/>
        <w:spacing w:before="0" w:after="0"/>
        <w:rPr>
          <w:lang w:val="pl-PL"/>
        </w:rPr>
      </w:pPr>
      <w:r w:rsidRPr="00996FE6">
        <w:rPr>
          <w:lang w:val="pl-PL"/>
        </w:rPr>
        <w:t>5. FARMAKOLOŠKI PODACI</w:t>
      </w:r>
    </w:p>
    <w:p w14:paraId="7B84AF80" w14:textId="77777777" w:rsidR="004D2765" w:rsidRPr="00996FE6" w:rsidRDefault="004D2765" w:rsidP="004D2765">
      <w:pPr>
        <w:pStyle w:val="NASLOV123"/>
        <w:spacing w:before="0" w:after="0"/>
        <w:rPr>
          <w:lang w:val="pl-PL"/>
        </w:rPr>
      </w:pPr>
    </w:p>
    <w:p w14:paraId="54977D09" w14:textId="77777777" w:rsidR="00CE09F3" w:rsidRPr="00996FE6" w:rsidRDefault="00CE09F3" w:rsidP="004D2765">
      <w:pPr>
        <w:jc w:val="left"/>
        <w:rPr>
          <w:b/>
          <w:bCs/>
          <w:szCs w:val="22"/>
          <w:lang w:val="pl-PL"/>
        </w:rPr>
      </w:pPr>
      <w:r w:rsidRPr="00996FE6">
        <w:rPr>
          <w:b/>
          <w:bCs/>
          <w:szCs w:val="22"/>
          <w:lang w:val="pl-PL"/>
        </w:rPr>
        <w:t>5.1. Farmakodinamski podaci</w:t>
      </w:r>
    </w:p>
    <w:p w14:paraId="54977D0A" w14:textId="77777777" w:rsidR="004709C5" w:rsidRPr="00996FE6" w:rsidRDefault="004709C5" w:rsidP="004D2765">
      <w:pPr>
        <w:jc w:val="left"/>
        <w:rPr>
          <w:b/>
          <w:bCs/>
          <w:szCs w:val="22"/>
          <w:lang w:val="pl-PL"/>
        </w:rPr>
      </w:pPr>
    </w:p>
    <w:p w14:paraId="07FAE565" w14:textId="0E1064D0" w:rsidR="00AA5026" w:rsidRPr="00996FE6" w:rsidRDefault="00CE09F3" w:rsidP="004D2765">
      <w:pPr>
        <w:rPr>
          <w:szCs w:val="22"/>
          <w:lang w:val="pl-PL"/>
        </w:rPr>
      </w:pPr>
      <w:r w:rsidRPr="00996FE6">
        <w:rPr>
          <w:b/>
          <w:bCs/>
          <w:szCs w:val="22"/>
          <w:lang w:val="pl-PL"/>
        </w:rPr>
        <w:t>Farmakoterapijska grupa:</w:t>
      </w:r>
      <w:r w:rsidR="004709C5" w:rsidRPr="00996FE6">
        <w:rPr>
          <w:b/>
          <w:bCs/>
          <w:szCs w:val="22"/>
          <w:lang w:val="pl-PL"/>
        </w:rPr>
        <w:t xml:space="preserve"> </w:t>
      </w:r>
      <w:r w:rsidR="004A06AD" w:rsidRPr="00996FE6">
        <w:rPr>
          <w:szCs w:val="22"/>
          <w:lang w:val="pl-PL"/>
        </w:rPr>
        <w:t>Antibiotici</w:t>
      </w:r>
      <w:r w:rsidR="00866670" w:rsidRPr="00996FE6">
        <w:rPr>
          <w:szCs w:val="22"/>
          <w:lang w:val="pl-PL"/>
        </w:rPr>
        <w:t>, glikopeptidni antibakterijski ljekovi</w:t>
      </w:r>
      <w:r w:rsidR="00AA5026" w:rsidRPr="00996FE6">
        <w:rPr>
          <w:szCs w:val="22"/>
          <w:lang w:val="pl-PL"/>
        </w:rPr>
        <w:t xml:space="preserve">                                            </w:t>
      </w:r>
    </w:p>
    <w:p w14:paraId="54977D0C" w14:textId="77777777" w:rsidR="00CE09F3" w:rsidRPr="00996FE6" w:rsidRDefault="00CE09F3" w:rsidP="004D2765">
      <w:pPr>
        <w:jc w:val="left"/>
        <w:rPr>
          <w:szCs w:val="22"/>
          <w:lang w:val="pl-PL"/>
        </w:rPr>
      </w:pPr>
    </w:p>
    <w:p w14:paraId="54977D0E" w14:textId="62CEFA43" w:rsidR="004709C5" w:rsidRPr="00996FE6" w:rsidRDefault="00866670" w:rsidP="004D2765">
      <w:pPr>
        <w:jc w:val="left"/>
        <w:rPr>
          <w:szCs w:val="22"/>
          <w:lang w:val="pl-PL"/>
        </w:rPr>
      </w:pPr>
      <w:r w:rsidRPr="00996FE6">
        <w:rPr>
          <w:b/>
          <w:bCs/>
          <w:szCs w:val="22"/>
          <w:lang w:val="pl-PL"/>
        </w:rPr>
        <w:t>ATC kod</w:t>
      </w:r>
      <w:r w:rsidR="00CE09F3" w:rsidRPr="00996FE6">
        <w:rPr>
          <w:b/>
          <w:bCs/>
          <w:szCs w:val="22"/>
          <w:lang w:val="pl-PL"/>
        </w:rPr>
        <w:t>:</w:t>
      </w:r>
      <w:r w:rsidR="004709C5" w:rsidRPr="00996FE6">
        <w:rPr>
          <w:b/>
          <w:bCs/>
          <w:szCs w:val="22"/>
          <w:lang w:val="pl-PL"/>
        </w:rPr>
        <w:t xml:space="preserve"> </w:t>
      </w:r>
      <w:r w:rsidR="004A06AD" w:rsidRPr="00996FE6">
        <w:rPr>
          <w:bCs/>
          <w:szCs w:val="22"/>
          <w:lang w:val="pl-PL"/>
        </w:rPr>
        <w:t>A07AA09 za oralnu prim</w:t>
      </w:r>
      <w:r w:rsidR="00C065A7" w:rsidRPr="00996FE6">
        <w:rPr>
          <w:bCs/>
          <w:szCs w:val="22"/>
          <w:lang w:val="pl-PL"/>
        </w:rPr>
        <w:t>j</w:t>
      </w:r>
      <w:r w:rsidR="004A06AD" w:rsidRPr="00996FE6">
        <w:rPr>
          <w:bCs/>
          <w:szCs w:val="22"/>
          <w:lang w:val="pl-PL"/>
        </w:rPr>
        <w:t>enu,</w:t>
      </w:r>
      <w:r w:rsidR="004A06AD" w:rsidRPr="00996FE6">
        <w:rPr>
          <w:szCs w:val="22"/>
          <w:lang w:val="pl-PL"/>
        </w:rPr>
        <w:t xml:space="preserve"> </w:t>
      </w:r>
      <w:r w:rsidRPr="00996FE6">
        <w:rPr>
          <w:szCs w:val="22"/>
          <w:lang w:val="pl-PL"/>
        </w:rPr>
        <w:t>J01XA01</w:t>
      </w:r>
      <w:r w:rsidR="004A06AD" w:rsidRPr="00996FE6">
        <w:rPr>
          <w:szCs w:val="22"/>
          <w:lang w:val="pl-PL"/>
        </w:rPr>
        <w:t xml:space="preserve"> za intravensku prim</w:t>
      </w:r>
      <w:r w:rsidR="00C065A7" w:rsidRPr="00996FE6">
        <w:rPr>
          <w:szCs w:val="22"/>
          <w:lang w:val="pl-PL"/>
        </w:rPr>
        <w:t>j</w:t>
      </w:r>
      <w:r w:rsidR="004A06AD" w:rsidRPr="00996FE6">
        <w:rPr>
          <w:szCs w:val="22"/>
          <w:lang w:val="pl-PL"/>
        </w:rPr>
        <w:t>enu</w:t>
      </w:r>
    </w:p>
    <w:p w14:paraId="6B681E21" w14:textId="77777777" w:rsidR="00DE594D" w:rsidRPr="00996FE6" w:rsidRDefault="00DE594D" w:rsidP="004D2765">
      <w:pPr>
        <w:jc w:val="left"/>
        <w:rPr>
          <w:noProof/>
          <w:szCs w:val="22"/>
          <w:lang w:val="pl-PL"/>
        </w:rPr>
      </w:pPr>
    </w:p>
    <w:p w14:paraId="29415611" w14:textId="77777777" w:rsidR="00866670" w:rsidRPr="00996FE6" w:rsidRDefault="00866670" w:rsidP="004D2765">
      <w:pPr>
        <w:autoSpaceDE w:val="0"/>
        <w:autoSpaceDN w:val="0"/>
        <w:adjustRightInd w:val="0"/>
        <w:rPr>
          <w:szCs w:val="22"/>
          <w:u w:val="single"/>
          <w:lang w:val="pl-PL"/>
        </w:rPr>
      </w:pPr>
      <w:r w:rsidRPr="00996FE6">
        <w:rPr>
          <w:szCs w:val="22"/>
          <w:u w:val="single"/>
          <w:lang w:val="pl-PL"/>
        </w:rPr>
        <w:t xml:space="preserve">Mehanizam dejstva: </w:t>
      </w:r>
    </w:p>
    <w:p w14:paraId="4A8F8B23" w14:textId="25F83CB5" w:rsidR="00866670" w:rsidRPr="00996FE6" w:rsidRDefault="00866670" w:rsidP="004D2765">
      <w:pPr>
        <w:autoSpaceDE w:val="0"/>
        <w:autoSpaceDN w:val="0"/>
        <w:adjustRightInd w:val="0"/>
        <w:rPr>
          <w:szCs w:val="22"/>
          <w:lang w:val="pl-PL"/>
        </w:rPr>
      </w:pPr>
      <w:r w:rsidRPr="00996FE6">
        <w:rPr>
          <w:szCs w:val="22"/>
          <w:lang w:val="pl-PL"/>
        </w:rPr>
        <w:t xml:space="preserve">Vankomicin je triciklični glikopeptidni antibiotik koji inhibiše sintezu ćelijskog zida osjetljivih bakterija vežući  se sa velikim afinitetom za D-alanil-D-alanin završetak prekursorske jedinice ćelijskog zida. Lijek ispoljava baktericidno dejstvo na mikroorganizme u diobi. </w:t>
      </w:r>
      <w:r w:rsidR="004A06AD" w:rsidRPr="00996FE6">
        <w:rPr>
          <w:szCs w:val="22"/>
          <w:lang w:val="pl-PL"/>
        </w:rPr>
        <w:t>Pored toga, vankomicin smanjuje permeabilnost bakterijske ćelijske membrane i sinteze RNK</w:t>
      </w:r>
      <w:r w:rsidR="00C065A7" w:rsidRPr="00996FE6">
        <w:rPr>
          <w:szCs w:val="22"/>
          <w:lang w:val="pl-PL"/>
        </w:rPr>
        <w:t>.</w:t>
      </w:r>
    </w:p>
    <w:p w14:paraId="7FD9AA0F" w14:textId="77777777" w:rsidR="00866670" w:rsidRPr="00996FE6" w:rsidRDefault="00866670" w:rsidP="004D2765">
      <w:pPr>
        <w:autoSpaceDE w:val="0"/>
        <w:autoSpaceDN w:val="0"/>
        <w:adjustRightInd w:val="0"/>
        <w:rPr>
          <w:szCs w:val="22"/>
          <w:lang w:val="pl-PL"/>
        </w:rPr>
      </w:pPr>
    </w:p>
    <w:p w14:paraId="5C5DF450" w14:textId="77777777" w:rsidR="00866670" w:rsidRPr="00996FE6" w:rsidRDefault="00866670" w:rsidP="004D2765">
      <w:pPr>
        <w:autoSpaceDE w:val="0"/>
        <w:autoSpaceDN w:val="0"/>
        <w:adjustRightInd w:val="0"/>
        <w:rPr>
          <w:szCs w:val="22"/>
          <w:u w:val="single"/>
          <w:lang w:val="pl-PL"/>
        </w:rPr>
      </w:pPr>
      <w:r w:rsidRPr="00996FE6">
        <w:rPr>
          <w:szCs w:val="22"/>
          <w:u w:val="single"/>
          <w:lang w:val="pl-PL"/>
        </w:rPr>
        <w:lastRenderedPageBreak/>
        <w:t>Odnos farmakokinetike i farmakodinamike (PK/PD):</w:t>
      </w:r>
    </w:p>
    <w:p w14:paraId="1B728C70" w14:textId="7579BF64" w:rsidR="00866670" w:rsidRPr="00996FE6" w:rsidRDefault="00866670" w:rsidP="004D2765">
      <w:pPr>
        <w:autoSpaceDE w:val="0"/>
        <w:autoSpaceDN w:val="0"/>
        <w:adjustRightInd w:val="0"/>
        <w:rPr>
          <w:szCs w:val="22"/>
          <w:lang w:val="pl-PL"/>
        </w:rPr>
      </w:pPr>
      <w:r w:rsidRPr="00996FE6">
        <w:rPr>
          <w:szCs w:val="22"/>
          <w:lang w:val="pl-PL"/>
        </w:rPr>
        <w:t>Vankomicin pokazuje aktivnost nezavisnu od koncentracije sa površinom ispod krive (PIK) podijeljenom na minimalne inhibitorne koncentracije (MIC) ciljanog mikroorganizma kao primarno predvid</w:t>
      </w:r>
      <w:r w:rsidR="00DB1610" w:rsidRPr="00996FE6">
        <w:rPr>
          <w:szCs w:val="22"/>
          <w:lang w:val="pl-PL"/>
        </w:rPr>
        <w:t>lj</w:t>
      </w:r>
      <w:r w:rsidRPr="00996FE6">
        <w:rPr>
          <w:szCs w:val="22"/>
          <w:lang w:val="pl-PL"/>
        </w:rPr>
        <w:t xml:space="preserve">ivi parameter efikasnosti. Na osnovu podataka dobijenih u </w:t>
      </w:r>
      <w:r w:rsidRPr="00996FE6">
        <w:rPr>
          <w:i/>
          <w:szCs w:val="22"/>
          <w:lang w:val="pl-PL"/>
        </w:rPr>
        <w:t>in vitro</w:t>
      </w:r>
      <w:r w:rsidRPr="00996FE6">
        <w:rPr>
          <w:szCs w:val="22"/>
          <w:lang w:val="pl-PL"/>
        </w:rPr>
        <w:t xml:space="preserve"> istraživanjima na životinjama i ljudima u ograničenoj mjeri, da bi se postigla klinička efikasnost vankomicina, odnos PIK/MIC treba da bude 400. Da bi se postigao ovaj cilj pri vrijedostima MIC &gt; </w:t>
      </w:r>
      <w:r w:rsidR="004A06AD" w:rsidRPr="00996FE6">
        <w:rPr>
          <w:szCs w:val="22"/>
          <w:lang w:val="pl-PL"/>
        </w:rPr>
        <w:t>1.</w:t>
      </w:r>
      <w:r w:rsidRPr="00996FE6">
        <w:rPr>
          <w:szCs w:val="22"/>
          <w:lang w:val="pl-PL"/>
        </w:rPr>
        <w:t>0 mg/l, potrebno je primjeniti doze u gornjem opsegu i postići visoke vrijedosti najniže koncentracije lijeka u serumu (15-20 mg/l)</w:t>
      </w:r>
      <w:r w:rsidR="004C0B44" w:rsidRPr="00996FE6">
        <w:rPr>
          <w:szCs w:val="22"/>
          <w:lang w:val="pl-PL"/>
        </w:rPr>
        <w:t xml:space="preserve"> (vidjeti dio 4.2)</w:t>
      </w:r>
      <w:r w:rsidRPr="00996FE6">
        <w:rPr>
          <w:szCs w:val="22"/>
          <w:lang w:val="pl-PL"/>
        </w:rPr>
        <w:t>.</w:t>
      </w:r>
    </w:p>
    <w:p w14:paraId="14826355" w14:textId="77777777" w:rsidR="00866670" w:rsidRPr="00996FE6" w:rsidRDefault="00866670" w:rsidP="004D2765">
      <w:pPr>
        <w:autoSpaceDE w:val="0"/>
        <w:autoSpaceDN w:val="0"/>
        <w:adjustRightInd w:val="0"/>
        <w:rPr>
          <w:szCs w:val="22"/>
          <w:lang w:val="pl-PL"/>
        </w:rPr>
      </w:pPr>
    </w:p>
    <w:p w14:paraId="692961A8" w14:textId="77777777" w:rsidR="00866670" w:rsidRPr="00996FE6" w:rsidRDefault="00866670" w:rsidP="00DB1610">
      <w:pPr>
        <w:autoSpaceDE w:val="0"/>
        <w:autoSpaceDN w:val="0"/>
        <w:adjustRightInd w:val="0"/>
        <w:rPr>
          <w:szCs w:val="22"/>
          <w:u w:val="single"/>
          <w:lang w:val="pl-PL"/>
        </w:rPr>
      </w:pPr>
      <w:r w:rsidRPr="00996FE6">
        <w:rPr>
          <w:szCs w:val="22"/>
          <w:u w:val="single"/>
          <w:lang w:val="pl-PL"/>
        </w:rPr>
        <w:t>Mehanizam rezistencije:</w:t>
      </w:r>
    </w:p>
    <w:p w14:paraId="5FF7D858" w14:textId="414B714B" w:rsidR="004A06AD" w:rsidRPr="00996FE6" w:rsidRDefault="004A06AD" w:rsidP="00E61461">
      <w:pPr>
        <w:tabs>
          <w:tab w:val="clear" w:pos="284"/>
        </w:tabs>
        <w:autoSpaceDE w:val="0"/>
        <w:autoSpaceDN w:val="0"/>
        <w:adjustRightInd w:val="0"/>
        <w:rPr>
          <w:szCs w:val="22"/>
          <w:lang w:val="sr-Latn-RS"/>
        </w:rPr>
      </w:pPr>
      <w:r w:rsidRPr="00996FE6">
        <w:rPr>
          <w:szCs w:val="22"/>
          <w:lang w:val="sr-Latn-RS"/>
        </w:rPr>
        <w:t>Stečena rezistencija na glikopeptide je najčešća kod enterokoka i zasniva se na sticanju različitih kompleksa u genu rezistencije na vankomicin (gena „</w:t>
      </w:r>
      <w:r w:rsidRPr="00996FE6">
        <w:rPr>
          <w:i/>
          <w:szCs w:val="22"/>
          <w:lang w:val="sr-Latn-RS"/>
        </w:rPr>
        <w:t>van</w:t>
      </w:r>
      <w:r w:rsidRPr="00996FE6">
        <w:rPr>
          <w:szCs w:val="22"/>
          <w:lang w:val="sr-Latn-RS"/>
        </w:rPr>
        <w:t>") koji m</w:t>
      </w:r>
      <w:r w:rsidR="00C065A7" w:rsidRPr="00996FE6">
        <w:rPr>
          <w:szCs w:val="22"/>
          <w:lang w:val="sr-Latn-RS"/>
        </w:rPr>
        <w:t>ij</w:t>
      </w:r>
      <w:r w:rsidRPr="00996FE6">
        <w:rPr>
          <w:szCs w:val="22"/>
          <w:lang w:val="sr-Latn-RS"/>
        </w:rPr>
        <w:t>enjaju ciljni D-alanil-D-alaninski d</w:t>
      </w:r>
      <w:r w:rsidR="00C065A7" w:rsidRPr="00996FE6">
        <w:rPr>
          <w:szCs w:val="22"/>
          <w:lang w:val="sr-Latn-RS"/>
        </w:rPr>
        <w:t>i</w:t>
      </w:r>
      <w:r w:rsidRPr="00996FE6">
        <w:rPr>
          <w:szCs w:val="22"/>
          <w:lang w:val="sr-Latn-RS"/>
        </w:rPr>
        <w:t>o u D-alanil-D-laktatni ili D-alanil-D-serinski koji slabo vezuju vankomicin. U nekim zemljama, porast broja slučajeva rezistencije je prim</w:t>
      </w:r>
      <w:r w:rsidR="00DB1610" w:rsidRPr="00996FE6">
        <w:rPr>
          <w:szCs w:val="22"/>
          <w:lang w:val="sr-Latn-RS"/>
        </w:rPr>
        <w:t>i</w:t>
      </w:r>
      <w:r w:rsidR="00C065A7" w:rsidRPr="00996FE6">
        <w:rPr>
          <w:szCs w:val="22"/>
          <w:lang w:val="sr-Latn-RS"/>
        </w:rPr>
        <w:t>j</w:t>
      </w:r>
      <w:r w:rsidRPr="00996FE6">
        <w:rPr>
          <w:szCs w:val="22"/>
          <w:lang w:val="sr-Latn-RS"/>
        </w:rPr>
        <w:t xml:space="preserve">ećen posebno kod enterokoka; pojava multirezistentnih sojeva </w:t>
      </w:r>
      <w:r w:rsidRPr="00996FE6">
        <w:rPr>
          <w:i/>
          <w:szCs w:val="22"/>
          <w:lang w:val="sr-Latn-RS"/>
        </w:rPr>
        <w:t>Enterococcus faecium</w:t>
      </w:r>
      <w:r w:rsidRPr="00996FE6">
        <w:rPr>
          <w:szCs w:val="22"/>
          <w:lang w:val="sr-Latn-RS"/>
        </w:rPr>
        <w:t xml:space="preserve"> je posebno alarmantna.</w:t>
      </w:r>
    </w:p>
    <w:p w14:paraId="4233A121" w14:textId="77777777" w:rsidR="004A06AD" w:rsidRPr="00996FE6" w:rsidRDefault="004A06AD" w:rsidP="00E61461">
      <w:pPr>
        <w:tabs>
          <w:tab w:val="clear" w:pos="284"/>
        </w:tabs>
        <w:autoSpaceDE w:val="0"/>
        <w:autoSpaceDN w:val="0"/>
        <w:adjustRightInd w:val="0"/>
        <w:rPr>
          <w:szCs w:val="22"/>
          <w:lang w:val="sr-Latn-RS"/>
        </w:rPr>
      </w:pPr>
    </w:p>
    <w:p w14:paraId="61BD6C04" w14:textId="63C505A3" w:rsidR="004A06AD" w:rsidRPr="00996FE6" w:rsidRDefault="004A06AD" w:rsidP="00DB1610">
      <w:pPr>
        <w:autoSpaceDE w:val="0"/>
        <w:autoSpaceDN w:val="0"/>
        <w:adjustRightInd w:val="0"/>
        <w:rPr>
          <w:szCs w:val="22"/>
          <w:lang w:val="sr-Latn-RS"/>
        </w:rPr>
      </w:pPr>
      <w:r w:rsidRPr="00996FE6">
        <w:rPr>
          <w:i/>
          <w:szCs w:val="22"/>
          <w:lang w:val="sr-Latn-RS"/>
        </w:rPr>
        <w:t>Van</w:t>
      </w:r>
      <w:r w:rsidRPr="00996FE6">
        <w:rPr>
          <w:szCs w:val="22"/>
          <w:lang w:val="sr-Latn-RS"/>
        </w:rPr>
        <w:t xml:space="preserve"> geni su r</w:t>
      </w:r>
      <w:r w:rsidR="00880430" w:rsidRPr="00996FE6">
        <w:rPr>
          <w:szCs w:val="22"/>
          <w:lang w:val="sr-Latn-RS"/>
        </w:rPr>
        <w:t>ij</w:t>
      </w:r>
      <w:r w:rsidRPr="00996FE6">
        <w:rPr>
          <w:szCs w:val="22"/>
          <w:lang w:val="sr-Latn-RS"/>
        </w:rPr>
        <w:t xml:space="preserve">etko pronađeni kod </w:t>
      </w:r>
      <w:r w:rsidRPr="00996FE6">
        <w:rPr>
          <w:i/>
          <w:szCs w:val="22"/>
          <w:lang w:val="sr-Latn-RS"/>
        </w:rPr>
        <w:t xml:space="preserve">Staphylococcus aureus, </w:t>
      </w:r>
      <w:r w:rsidRPr="00996FE6">
        <w:rPr>
          <w:szCs w:val="22"/>
          <w:lang w:val="sr-Latn-RS"/>
        </w:rPr>
        <w:t>gd</w:t>
      </w:r>
      <w:r w:rsidR="00DB1610" w:rsidRPr="00996FE6">
        <w:rPr>
          <w:szCs w:val="22"/>
          <w:lang w:val="sr-Latn-RS"/>
        </w:rPr>
        <w:t>j</w:t>
      </w:r>
      <w:r w:rsidRPr="00996FE6">
        <w:rPr>
          <w:szCs w:val="22"/>
          <w:lang w:val="sr-Latn-RS"/>
        </w:rPr>
        <w:t>e prom</w:t>
      </w:r>
      <w:r w:rsidR="00C065A7" w:rsidRPr="00996FE6">
        <w:rPr>
          <w:szCs w:val="22"/>
          <w:lang w:val="sr-Latn-RS"/>
        </w:rPr>
        <w:t>j</w:t>
      </w:r>
      <w:r w:rsidRPr="00996FE6">
        <w:rPr>
          <w:szCs w:val="22"/>
          <w:lang w:val="sr-Latn-RS"/>
        </w:rPr>
        <w:t>ene u strukturi ćelijskog zida rezultiraju   „intermedijarnom” os</w:t>
      </w:r>
      <w:r w:rsidR="00C065A7" w:rsidRPr="00996FE6">
        <w:rPr>
          <w:szCs w:val="22"/>
          <w:lang w:val="sr-Latn-RS"/>
        </w:rPr>
        <w:t>j</w:t>
      </w:r>
      <w:r w:rsidRPr="00996FE6">
        <w:rPr>
          <w:szCs w:val="22"/>
          <w:lang w:val="sr-Latn-RS"/>
        </w:rPr>
        <w:t xml:space="preserve">etljivošću, koja je najčešće heterogena. Takođe, prijavljeni su i meticilin rezistentni sojevi </w:t>
      </w:r>
      <w:r w:rsidRPr="00996FE6">
        <w:rPr>
          <w:i/>
          <w:szCs w:val="22"/>
          <w:lang w:val="sr-Latn-RS"/>
        </w:rPr>
        <w:t xml:space="preserve">Staphylococcus aureus </w:t>
      </w:r>
      <w:r w:rsidRPr="00996FE6">
        <w:rPr>
          <w:szCs w:val="22"/>
          <w:lang w:val="sr-Latn-RS"/>
        </w:rPr>
        <w:t>(MRSA) sa smanjenom os</w:t>
      </w:r>
      <w:r w:rsidR="00C065A7" w:rsidRPr="00996FE6">
        <w:rPr>
          <w:szCs w:val="22"/>
          <w:lang w:val="sr-Latn-RS"/>
        </w:rPr>
        <w:t>j</w:t>
      </w:r>
      <w:r w:rsidRPr="00996FE6">
        <w:rPr>
          <w:szCs w:val="22"/>
          <w:lang w:val="sr-Latn-RS"/>
        </w:rPr>
        <w:t>etljivošću na vankomicin. Smanjena os</w:t>
      </w:r>
      <w:r w:rsidR="00C065A7" w:rsidRPr="00996FE6">
        <w:rPr>
          <w:szCs w:val="22"/>
          <w:lang w:val="sr-Latn-RS"/>
        </w:rPr>
        <w:t>j</w:t>
      </w:r>
      <w:r w:rsidRPr="00996FE6">
        <w:rPr>
          <w:szCs w:val="22"/>
          <w:lang w:val="sr-Latn-RS"/>
        </w:rPr>
        <w:t xml:space="preserve">etljivost ili rezistencija na vankomicin kod </w:t>
      </w:r>
      <w:r w:rsidRPr="00996FE6">
        <w:rPr>
          <w:i/>
          <w:szCs w:val="22"/>
          <w:lang w:val="sr-Latn-RS"/>
        </w:rPr>
        <w:t xml:space="preserve">Staphylococcus </w:t>
      </w:r>
      <w:r w:rsidRPr="00996FE6">
        <w:rPr>
          <w:szCs w:val="22"/>
          <w:lang w:val="sr-Latn-RS"/>
        </w:rPr>
        <w:t>nije u potpunosti shvaćena. Potrebno je nekoliko genetskih elemenata i višestrukih mutacija.</w:t>
      </w:r>
    </w:p>
    <w:p w14:paraId="7EE947F1" w14:textId="77777777" w:rsidR="00313B56" w:rsidRPr="00996FE6" w:rsidRDefault="00313B56" w:rsidP="00E61461">
      <w:pPr>
        <w:tabs>
          <w:tab w:val="clear" w:pos="284"/>
        </w:tabs>
        <w:autoSpaceDE w:val="0"/>
        <w:autoSpaceDN w:val="0"/>
        <w:adjustRightInd w:val="0"/>
        <w:rPr>
          <w:szCs w:val="22"/>
          <w:lang w:val="sr-Latn-RS"/>
        </w:rPr>
      </w:pPr>
    </w:p>
    <w:p w14:paraId="1BBA5FD8" w14:textId="52ED913A" w:rsidR="004A06AD" w:rsidRPr="00996FE6" w:rsidRDefault="004A06AD" w:rsidP="00E61461">
      <w:pPr>
        <w:tabs>
          <w:tab w:val="clear" w:pos="284"/>
        </w:tabs>
        <w:autoSpaceDE w:val="0"/>
        <w:autoSpaceDN w:val="0"/>
        <w:adjustRightInd w:val="0"/>
        <w:rPr>
          <w:szCs w:val="22"/>
          <w:lang w:val="sr-Latn-RS"/>
        </w:rPr>
      </w:pPr>
      <w:r w:rsidRPr="00996FE6">
        <w:rPr>
          <w:szCs w:val="22"/>
          <w:lang w:val="sr-Latn-RS"/>
        </w:rPr>
        <w:t>Ne postoji unakrsna rezistencija između vankomicina i drugih klasa antibiotika. Prijavljena je unakrsna rezistencija sa drugim glikopeptidnim antibiotikom kao što je teikoplanin. Sekundarni razvoj rezistencije tokom terapije je r</w:t>
      </w:r>
      <w:r w:rsidR="00C065A7" w:rsidRPr="00996FE6">
        <w:rPr>
          <w:szCs w:val="22"/>
          <w:lang w:val="sr-Latn-RS"/>
        </w:rPr>
        <w:t>ij</w:t>
      </w:r>
      <w:r w:rsidRPr="00996FE6">
        <w:rPr>
          <w:szCs w:val="22"/>
          <w:lang w:val="sr-Latn-RS"/>
        </w:rPr>
        <w:t>edak.</w:t>
      </w:r>
    </w:p>
    <w:p w14:paraId="57FB97DE" w14:textId="77777777" w:rsidR="004A06AD" w:rsidRPr="00996FE6" w:rsidRDefault="004A06AD" w:rsidP="00E61461">
      <w:pPr>
        <w:tabs>
          <w:tab w:val="clear" w:pos="284"/>
        </w:tabs>
        <w:autoSpaceDE w:val="0"/>
        <w:autoSpaceDN w:val="0"/>
        <w:adjustRightInd w:val="0"/>
        <w:rPr>
          <w:szCs w:val="22"/>
          <w:lang w:val="sr-Latn-RS"/>
        </w:rPr>
      </w:pPr>
    </w:p>
    <w:p w14:paraId="69FDF48A" w14:textId="77777777" w:rsidR="004A06AD" w:rsidRPr="00996FE6" w:rsidRDefault="004A06AD" w:rsidP="00E61461">
      <w:pPr>
        <w:tabs>
          <w:tab w:val="clear" w:pos="284"/>
        </w:tabs>
        <w:autoSpaceDE w:val="0"/>
        <w:autoSpaceDN w:val="0"/>
        <w:adjustRightInd w:val="0"/>
        <w:rPr>
          <w:szCs w:val="22"/>
          <w:u w:val="single"/>
          <w:lang w:val="sr-Latn-RS"/>
        </w:rPr>
      </w:pPr>
      <w:r w:rsidRPr="00996FE6">
        <w:rPr>
          <w:szCs w:val="22"/>
          <w:u w:val="single"/>
          <w:lang w:val="sr-Latn-RS"/>
        </w:rPr>
        <w:t>Sinergizam</w:t>
      </w:r>
    </w:p>
    <w:p w14:paraId="4E9B4A9E" w14:textId="77777777" w:rsidR="004A06AD" w:rsidRPr="00996FE6" w:rsidRDefault="004A06AD" w:rsidP="00E61461">
      <w:pPr>
        <w:tabs>
          <w:tab w:val="clear" w:pos="284"/>
        </w:tabs>
        <w:autoSpaceDE w:val="0"/>
        <w:autoSpaceDN w:val="0"/>
        <w:adjustRightInd w:val="0"/>
        <w:rPr>
          <w:szCs w:val="22"/>
          <w:lang w:val="sr-Latn-RS"/>
        </w:rPr>
      </w:pPr>
      <w:r w:rsidRPr="00996FE6">
        <w:rPr>
          <w:szCs w:val="22"/>
          <w:lang w:val="sr-Latn-RS"/>
        </w:rPr>
        <w:t xml:space="preserve">Kombinacija vankomicina sa aminoglikozidnim antibioticima ima sinergističko dejstvo protiv mnogih sojeva </w:t>
      </w:r>
      <w:r w:rsidRPr="00996FE6">
        <w:rPr>
          <w:i/>
          <w:szCs w:val="22"/>
          <w:lang w:val="sr-Latn-RS"/>
        </w:rPr>
        <w:t>Staphylococcus aureus</w:t>
      </w:r>
      <w:r w:rsidRPr="00996FE6">
        <w:rPr>
          <w:szCs w:val="22"/>
          <w:lang w:val="sr-Latn-RS"/>
        </w:rPr>
        <w:t xml:space="preserve">, ne-enterokokne grupe D streptokoka, enterokoka kao i streptokoka iz </w:t>
      </w:r>
      <w:r w:rsidRPr="00996FE6">
        <w:rPr>
          <w:i/>
          <w:szCs w:val="22"/>
          <w:lang w:val="sr-Latn-RS"/>
        </w:rPr>
        <w:t>Viridans</w:t>
      </w:r>
      <w:r w:rsidRPr="00996FE6">
        <w:rPr>
          <w:szCs w:val="22"/>
          <w:lang w:val="sr-Latn-RS"/>
        </w:rPr>
        <w:t xml:space="preserve"> grupe. Kombinacija vankomicina sa cefalosporinima ima sinergističko dejstvo protiv nekih oksacilin rezistentnih sojeva </w:t>
      </w:r>
      <w:r w:rsidRPr="00996FE6">
        <w:rPr>
          <w:i/>
          <w:szCs w:val="22"/>
          <w:lang w:val="sr-Latn-RS"/>
        </w:rPr>
        <w:t>Staphylococcus epidermidis</w:t>
      </w:r>
      <w:r w:rsidRPr="00996FE6">
        <w:rPr>
          <w:szCs w:val="22"/>
          <w:lang w:val="sr-Latn-RS"/>
        </w:rPr>
        <w:t xml:space="preserve">, kombinacija vankomicina sa rifampicinom ima sinergističko dejstvo protiv </w:t>
      </w:r>
      <w:r w:rsidRPr="00996FE6">
        <w:rPr>
          <w:i/>
          <w:szCs w:val="22"/>
          <w:lang w:val="sr-Latn-RS"/>
        </w:rPr>
        <w:t>Staphylococcus epidermidis</w:t>
      </w:r>
      <w:r w:rsidRPr="00996FE6">
        <w:rPr>
          <w:szCs w:val="22"/>
          <w:lang w:val="sr-Latn-RS"/>
        </w:rPr>
        <w:t xml:space="preserve"> i parcijalno sinergističko dejstvo protiv nekih sojeva </w:t>
      </w:r>
      <w:r w:rsidRPr="00996FE6">
        <w:rPr>
          <w:i/>
          <w:szCs w:val="22"/>
          <w:lang w:val="sr-Latn-RS"/>
        </w:rPr>
        <w:t>Staphylococcus aureus</w:t>
      </w:r>
      <w:r w:rsidRPr="00996FE6">
        <w:rPr>
          <w:szCs w:val="22"/>
          <w:lang w:val="sr-Latn-RS"/>
        </w:rPr>
        <w:t xml:space="preserve">. Kako vankomicin u kombinaciji sa cefalosporinima može imati antagonističko dejstvo protiv nekih sojeva </w:t>
      </w:r>
      <w:r w:rsidRPr="00996FE6">
        <w:rPr>
          <w:i/>
          <w:szCs w:val="22"/>
          <w:lang w:val="sr-Latn-RS"/>
        </w:rPr>
        <w:t>Staphylococcus epidermidis</w:t>
      </w:r>
      <w:r w:rsidRPr="00996FE6">
        <w:rPr>
          <w:szCs w:val="22"/>
          <w:lang w:val="sr-Latn-RS"/>
        </w:rPr>
        <w:t xml:space="preserve"> i u kombinaciji sa rifampicinom protiv nekih sojeva </w:t>
      </w:r>
      <w:r w:rsidRPr="00996FE6">
        <w:rPr>
          <w:i/>
          <w:szCs w:val="22"/>
          <w:lang w:val="sr-Latn-RS"/>
        </w:rPr>
        <w:t>Staphylococcus</w:t>
      </w:r>
      <w:r w:rsidRPr="00996FE6">
        <w:rPr>
          <w:szCs w:val="22"/>
          <w:lang w:val="sr-Latn-RS"/>
        </w:rPr>
        <w:t xml:space="preserve"> </w:t>
      </w:r>
      <w:r w:rsidRPr="00996FE6">
        <w:rPr>
          <w:i/>
          <w:szCs w:val="22"/>
          <w:lang w:val="sr-Latn-RS"/>
        </w:rPr>
        <w:t>aureus</w:t>
      </w:r>
      <w:r w:rsidRPr="00996FE6">
        <w:rPr>
          <w:szCs w:val="22"/>
          <w:lang w:val="sr-Latn-RS"/>
        </w:rPr>
        <w:t>, prethodno testiranje sinergizma je veoma korisno.</w:t>
      </w:r>
    </w:p>
    <w:p w14:paraId="368A6C3C" w14:textId="77777777" w:rsidR="004A06AD" w:rsidRPr="00996FE6" w:rsidRDefault="004A06AD" w:rsidP="00E61461">
      <w:pPr>
        <w:tabs>
          <w:tab w:val="clear" w:pos="284"/>
        </w:tabs>
        <w:autoSpaceDE w:val="0"/>
        <w:autoSpaceDN w:val="0"/>
        <w:adjustRightInd w:val="0"/>
        <w:rPr>
          <w:szCs w:val="22"/>
          <w:lang w:val="sr-Latn-RS"/>
        </w:rPr>
      </w:pPr>
    </w:p>
    <w:p w14:paraId="776715A8" w14:textId="28698817" w:rsidR="004A06AD" w:rsidRPr="00996FE6" w:rsidRDefault="004A06AD" w:rsidP="00E61461">
      <w:pPr>
        <w:tabs>
          <w:tab w:val="clear" w:pos="284"/>
        </w:tabs>
        <w:autoSpaceDE w:val="0"/>
        <w:autoSpaceDN w:val="0"/>
        <w:adjustRightInd w:val="0"/>
        <w:rPr>
          <w:szCs w:val="22"/>
          <w:lang w:val="sr-Latn-RS"/>
        </w:rPr>
      </w:pPr>
      <w:r w:rsidRPr="00996FE6">
        <w:rPr>
          <w:szCs w:val="22"/>
          <w:lang w:val="sr-Latn-RS"/>
        </w:rPr>
        <w:t>Treba uzeti uzorke za bakterijske kulture kako bi se izolovali i identifikovali uzročnici i odredila njihova os</w:t>
      </w:r>
      <w:r w:rsidR="00C065A7" w:rsidRPr="00996FE6">
        <w:rPr>
          <w:szCs w:val="22"/>
          <w:lang w:val="sr-Latn-RS"/>
        </w:rPr>
        <w:t>j</w:t>
      </w:r>
      <w:r w:rsidRPr="00996FE6">
        <w:rPr>
          <w:szCs w:val="22"/>
          <w:lang w:val="sr-Latn-RS"/>
        </w:rPr>
        <w:t>etljivost na vankomicin.</w:t>
      </w:r>
    </w:p>
    <w:p w14:paraId="4CDA3CD1" w14:textId="77777777" w:rsidR="00866670" w:rsidRPr="00996FE6" w:rsidRDefault="00866670" w:rsidP="00DB1610">
      <w:pPr>
        <w:autoSpaceDE w:val="0"/>
        <w:autoSpaceDN w:val="0"/>
        <w:adjustRightInd w:val="0"/>
        <w:rPr>
          <w:szCs w:val="22"/>
          <w:lang w:val="pl-PL"/>
        </w:rPr>
      </w:pPr>
    </w:p>
    <w:p w14:paraId="6B5C0540" w14:textId="77777777" w:rsidR="00866670" w:rsidRPr="00996FE6" w:rsidRDefault="00866670">
      <w:pPr>
        <w:autoSpaceDE w:val="0"/>
        <w:autoSpaceDN w:val="0"/>
        <w:adjustRightInd w:val="0"/>
        <w:rPr>
          <w:szCs w:val="22"/>
          <w:lang w:val="pl-PL"/>
        </w:rPr>
      </w:pPr>
      <w:r w:rsidRPr="00996FE6">
        <w:rPr>
          <w:szCs w:val="22"/>
          <w:u w:val="single"/>
          <w:lang w:val="pl-PL"/>
        </w:rPr>
        <w:t>Osjetljivost:</w:t>
      </w:r>
      <w:r w:rsidRPr="00996FE6">
        <w:rPr>
          <w:szCs w:val="22"/>
          <w:lang w:val="pl-PL"/>
        </w:rPr>
        <w:t xml:space="preserve"> </w:t>
      </w:r>
    </w:p>
    <w:p w14:paraId="44425499" w14:textId="21FB63FB" w:rsidR="00866670" w:rsidRPr="00996FE6" w:rsidRDefault="00866670">
      <w:pPr>
        <w:autoSpaceDE w:val="0"/>
        <w:autoSpaceDN w:val="0"/>
        <w:adjustRightInd w:val="0"/>
        <w:rPr>
          <w:szCs w:val="22"/>
          <w:lang w:val="pl-PL"/>
        </w:rPr>
      </w:pPr>
      <w:r w:rsidRPr="00996FE6">
        <w:rPr>
          <w:szCs w:val="22"/>
          <w:lang w:val="pl-PL"/>
        </w:rPr>
        <w:t>Vankomicin djeluje na gram-pozitivne bakterije</w:t>
      </w:r>
      <w:r w:rsidR="004A06AD" w:rsidRPr="00996FE6">
        <w:rPr>
          <w:szCs w:val="22"/>
          <w:lang w:val="pl-PL"/>
        </w:rPr>
        <w:t xml:space="preserve">, </w:t>
      </w:r>
      <w:r w:rsidR="004A06AD" w:rsidRPr="00996FE6">
        <w:rPr>
          <w:szCs w:val="22"/>
          <w:lang w:val="sr-Latn-RS"/>
        </w:rPr>
        <w:t>kao što su stafilokoke, streptokoke, enterokoke, pneumokoke i klostridije</w:t>
      </w:r>
      <w:r w:rsidRPr="00996FE6">
        <w:rPr>
          <w:szCs w:val="22"/>
          <w:lang w:val="pl-PL"/>
        </w:rPr>
        <w:t>. Gram-negativne bakterije su rezistentne na vankomicin.</w:t>
      </w:r>
    </w:p>
    <w:p w14:paraId="3FB43E3C" w14:textId="77777777" w:rsidR="00866670" w:rsidRPr="00996FE6" w:rsidRDefault="00866670">
      <w:pPr>
        <w:autoSpaceDE w:val="0"/>
        <w:autoSpaceDN w:val="0"/>
        <w:adjustRightInd w:val="0"/>
        <w:rPr>
          <w:szCs w:val="22"/>
          <w:lang w:val="pl-PL"/>
        </w:rPr>
      </w:pPr>
    </w:p>
    <w:p w14:paraId="384D6898" w14:textId="727D43D5" w:rsidR="004A06AD" w:rsidRPr="00996FE6" w:rsidRDefault="004A06AD" w:rsidP="00E61461">
      <w:pPr>
        <w:tabs>
          <w:tab w:val="clear" w:pos="284"/>
        </w:tabs>
        <w:autoSpaceDE w:val="0"/>
        <w:autoSpaceDN w:val="0"/>
        <w:adjustRightInd w:val="0"/>
        <w:rPr>
          <w:szCs w:val="22"/>
          <w:lang w:val="sr-Latn-RS"/>
        </w:rPr>
      </w:pPr>
      <w:r w:rsidRPr="00996FE6">
        <w:rPr>
          <w:szCs w:val="22"/>
          <w:lang w:val="sr-Latn-RS"/>
        </w:rPr>
        <w:t>Učestalost stečene rezistencije za određene vrste može se razlikovati geografski i vremenski, zato su poželjni lokalni podaci o rezistenciji, posebno kod l</w:t>
      </w:r>
      <w:r w:rsidR="00C065A7" w:rsidRPr="00996FE6">
        <w:rPr>
          <w:szCs w:val="22"/>
          <w:lang w:val="sr-Latn-RS"/>
        </w:rPr>
        <w:t>ij</w:t>
      </w:r>
      <w:r w:rsidRPr="00996FE6">
        <w:rPr>
          <w:szCs w:val="22"/>
          <w:lang w:val="sr-Latn-RS"/>
        </w:rPr>
        <w:t>ečenja teških infekcija. Ako je status lokalne rezistencije takav da postoji sumnja u usp</w:t>
      </w:r>
      <w:r w:rsidR="00C065A7" w:rsidRPr="00996FE6">
        <w:rPr>
          <w:szCs w:val="22"/>
          <w:lang w:val="sr-Latn-RS"/>
        </w:rPr>
        <w:t>j</w:t>
      </w:r>
      <w:r w:rsidRPr="00996FE6">
        <w:rPr>
          <w:szCs w:val="22"/>
          <w:lang w:val="sr-Latn-RS"/>
        </w:rPr>
        <w:t>ešnost vankomicina barem kod nekih tipova infekcija, treba tražiti stručni sav</w:t>
      </w:r>
      <w:r w:rsidR="00C065A7" w:rsidRPr="00996FE6">
        <w:rPr>
          <w:szCs w:val="22"/>
          <w:lang w:val="sr-Latn-RS"/>
        </w:rPr>
        <w:t>j</w:t>
      </w:r>
      <w:r w:rsidRPr="00996FE6">
        <w:rPr>
          <w:szCs w:val="22"/>
          <w:lang w:val="sr-Latn-RS"/>
        </w:rPr>
        <w:t>et. Ova informacija daje samo približne sm</w:t>
      </w:r>
      <w:r w:rsidR="00C065A7" w:rsidRPr="00996FE6">
        <w:rPr>
          <w:szCs w:val="22"/>
          <w:lang w:val="sr-Latn-RS"/>
        </w:rPr>
        <w:t>j</w:t>
      </w:r>
      <w:r w:rsidRPr="00996FE6">
        <w:rPr>
          <w:szCs w:val="22"/>
          <w:lang w:val="sr-Latn-RS"/>
        </w:rPr>
        <w:t>ernice o tome da li su mikroorganizmi os</w:t>
      </w:r>
      <w:r w:rsidR="00C065A7" w:rsidRPr="00996FE6">
        <w:rPr>
          <w:szCs w:val="22"/>
          <w:lang w:val="sr-Latn-RS"/>
        </w:rPr>
        <w:t>j</w:t>
      </w:r>
      <w:r w:rsidRPr="00996FE6">
        <w:rPr>
          <w:szCs w:val="22"/>
          <w:lang w:val="sr-Latn-RS"/>
        </w:rPr>
        <w:t>etljivi na vankomicin.</w:t>
      </w:r>
    </w:p>
    <w:p w14:paraId="0CB26DC8" w14:textId="77777777" w:rsidR="004A06AD" w:rsidRPr="00996FE6" w:rsidRDefault="004A06AD" w:rsidP="00E61461">
      <w:pPr>
        <w:tabs>
          <w:tab w:val="clear" w:pos="284"/>
        </w:tabs>
        <w:autoSpaceDE w:val="0"/>
        <w:autoSpaceDN w:val="0"/>
        <w:adjustRightInd w:val="0"/>
        <w:rPr>
          <w:szCs w:val="22"/>
          <w:lang w:val="sr-Latn-RS"/>
        </w:rPr>
      </w:pPr>
    </w:p>
    <w:p w14:paraId="7B1D1B5D" w14:textId="5152E995" w:rsidR="004A06AD" w:rsidRPr="00996FE6" w:rsidRDefault="004A06AD" w:rsidP="00DB1610">
      <w:pPr>
        <w:tabs>
          <w:tab w:val="clear" w:pos="284"/>
        </w:tabs>
        <w:rPr>
          <w:szCs w:val="22"/>
          <w:lang w:val="sr-Latn-RS"/>
        </w:rPr>
      </w:pPr>
      <w:r w:rsidRPr="00996FE6">
        <w:rPr>
          <w:szCs w:val="22"/>
          <w:lang w:val="sr-Latn-RS"/>
        </w:rPr>
        <w:t>Sl</w:t>
      </w:r>
      <w:r w:rsidR="00C065A7" w:rsidRPr="00996FE6">
        <w:rPr>
          <w:szCs w:val="22"/>
          <w:lang w:val="sr-Latn-RS"/>
        </w:rPr>
        <w:t>j</w:t>
      </w:r>
      <w:r w:rsidRPr="00996FE6">
        <w:rPr>
          <w:szCs w:val="22"/>
          <w:lang w:val="sr-Latn-RS"/>
        </w:rPr>
        <w:t>edeće vr</w:t>
      </w:r>
      <w:r w:rsidR="00C065A7" w:rsidRPr="00996FE6">
        <w:rPr>
          <w:szCs w:val="22"/>
          <w:lang w:val="sr-Latn-RS"/>
        </w:rPr>
        <w:t>ij</w:t>
      </w:r>
      <w:r w:rsidRPr="00996FE6">
        <w:rPr>
          <w:szCs w:val="22"/>
          <w:lang w:val="sr-Latn-RS"/>
        </w:rPr>
        <w:t>ednosti minimalne inhibitorne koncentracije (MIC) su utvrđene od strane Evropskog komiteta za testiranje os</w:t>
      </w:r>
      <w:r w:rsidR="00C065A7" w:rsidRPr="00996FE6">
        <w:rPr>
          <w:szCs w:val="22"/>
          <w:lang w:val="sr-Latn-RS"/>
        </w:rPr>
        <w:t>j</w:t>
      </w:r>
      <w:r w:rsidRPr="00996FE6">
        <w:rPr>
          <w:szCs w:val="22"/>
          <w:lang w:val="sr-Latn-RS"/>
        </w:rPr>
        <w:t xml:space="preserve">etljivosti na antibiotike (engl. </w:t>
      </w:r>
      <w:r w:rsidRPr="00996FE6">
        <w:rPr>
          <w:i/>
          <w:szCs w:val="22"/>
          <w:lang w:val="sr-Latn-RS"/>
        </w:rPr>
        <w:t>European Committee on Antimicrobial Susceptibility Testing</w:t>
      </w:r>
      <w:r w:rsidRPr="00996FE6">
        <w:rPr>
          <w:szCs w:val="22"/>
          <w:lang w:val="sr-Latn-RS"/>
        </w:rPr>
        <w:t>, EUCAST):</w:t>
      </w:r>
    </w:p>
    <w:p w14:paraId="5C3110B8" w14:textId="77777777" w:rsidR="00866670" w:rsidRPr="00996FE6" w:rsidRDefault="00866670" w:rsidP="004D2765">
      <w:pPr>
        <w:tabs>
          <w:tab w:val="clear" w:pos="284"/>
        </w:tabs>
        <w:rPr>
          <w:bCs/>
          <w:iCs/>
          <w:noProof/>
          <w:szCs w:val="22"/>
          <w:lang w:val="nl-NL" w:eastAsia="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440"/>
        <w:gridCol w:w="2655"/>
      </w:tblGrid>
      <w:tr w:rsidR="00866670" w:rsidRPr="00996FE6" w14:paraId="72005E2B" w14:textId="77777777" w:rsidTr="009E08FC">
        <w:tc>
          <w:tcPr>
            <w:tcW w:w="2880" w:type="dxa"/>
          </w:tcPr>
          <w:p w14:paraId="615B40CD" w14:textId="77777777" w:rsidR="00866670" w:rsidRPr="00996FE6" w:rsidRDefault="00866670" w:rsidP="004D2765">
            <w:pPr>
              <w:tabs>
                <w:tab w:val="clear" w:pos="284"/>
              </w:tabs>
              <w:jc w:val="left"/>
              <w:rPr>
                <w:noProof/>
                <w:sz w:val="20"/>
                <w:szCs w:val="20"/>
                <w:lang w:val="nl-NL" w:eastAsia="nl-NL"/>
              </w:rPr>
            </w:pPr>
          </w:p>
        </w:tc>
        <w:tc>
          <w:tcPr>
            <w:tcW w:w="1440" w:type="dxa"/>
          </w:tcPr>
          <w:p w14:paraId="04D1F023" w14:textId="77777777" w:rsidR="00866670" w:rsidRPr="00996FE6" w:rsidRDefault="00866670" w:rsidP="004D2765">
            <w:pPr>
              <w:keepNext/>
              <w:tabs>
                <w:tab w:val="clear" w:pos="284"/>
              </w:tabs>
              <w:ind w:left="851" w:hanging="851"/>
              <w:jc w:val="center"/>
              <w:outlineLvl w:val="3"/>
              <w:rPr>
                <w:bCs/>
                <w:iCs/>
                <w:noProof/>
                <w:lang w:val="nl-NL" w:eastAsia="nl-NL"/>
              </w:rPr>
            </w:pPr>
            <w:r w:rsidRPr="00996FE6">
              <w:rPr>
                <w:bCs/>
                <w:iCs/>
                <w:noProof/>
                <w:lang w:val="nl-NL" w:eastAsia="nl-NL"/>
              </w:rPr>
              <w:t>Osjetljivi</w:t>
            </w:r>
          </w:p>
        </w:tc>
        <w:tc>
          <w:tcPr>
            <w:tcW w:w="2655" w:type="dxa"/>
          </w:tcPr>
          <w:p w14:paraId="04F62544" w14:textId="77777777" w:rsidR="00866670" w:rsidRPr="00996FE6" w:rsidRDefault="00866670" w:rsidP="004D2765">
            <w:pPr>
              <w:keepNext/>
              <w:tabs>
                <w:tab w:val="clear" w:pos="284"/>
              </w:tabs>
              <w:ind w:left="851" w:hanging="851"/>
              <w:jc w:val="center"/>
              <w:outlineLvl w:val="3"/>
              <w:rPr>
                <w:bCs/>
                <w:iCs/>
                <w:noProof/>
                <w:lang w:val="nl-NL" w:eastAsia="nl-NL"/>
              </w:rPr>
            </w:pPr>
            <w:r w:rsidRPr="00996FE6">
              <w:rPr>
                <w:bCs/>
                <w:iCs/>
                <w:noProof/>
                <w:lang w:val="nl-NL" w:eastAsia="nl-NL"/>
              </w:rPr>
              <w:t>Rezistentni</w:t>
            </w:r>
          </w:p>
        </w:tc>
      </w:tr>
      <w:tr w:rsidR="00866670" w:rsidRPr="00996FE6" w14:paraId="59912350" w14:textId="77777777" w:rsidTr="009E08FC">
        <w:tc>
          <w:tcPr>
            <w:tcW w:w="2880" w:type="dxa"/>
          </w:tcPr>
          <w:p w14:paraId="132987DE" w14:textId="0BA4BE48" w:rsidR="00866670" w:rsidRPr="00996FE6" w:rsidRDefault="00866670" w:rsidP="004D2765">
            <w:pPr>
              <w:tabs>
                <w:tab w:val="clear" w:pos="284"/>
              </w:tabs>
              <w:jc w:val="left"/>
              <w:rPr>
                <w:iCs/>
                <w:noProof/>
                <w:szCs w:val="20"/>
                <w:lang w:val="nl-NL" w:eastAsia="nl-NL"/>
              </w:rPr>
            </w:pPr>
            <w:r w:rsidRPr="00996FE6">
              <w:rPr>
                <w:i/>
                <w:iCs/>
                <w:noProof/>
                <w:szCs w:val="20"/>
                <w:lang w:val="nl-NL" w:eastAsia="nl-NL"/>
              </w:rPr>
              <w:t>Staphylococcus</w:t>
            </w:r>
            <w:r w:rsidRPr="00996FE6">
              <w:rPr>
                <w:noProof/>
                <w:szCs w:val="20"/>
                <w:lang w:val="nl-NL" w:eastAsia="nl-NL"/>
              </w:rPr>
              <w:t xml:space="preserve"> </w:t>
            </w:r>
            <w:r w:rsidR="00160582" w:rsidRPr="00996FE6">
              <w:rPr>
                <w:i/>
                <w:noProof/>
                <w:szCs w:val="20"/>
                <w:lang w:val="nl-NL" w:eastAsia="nl-NL"/>
              </w:rPr>
              <w:t>aureus</w:t>
            </w:r>
            <w:r w:rsidR="00160582" w:rsidRPr="00996FE6">
              <w:rPr>
                <w:noProof/>
                <w:szCs w:val="20"/>
                <w:vertAlign w:val="superscript"/>
                <w:lang w:val="nl-NL" w:eastAsia="nl-NL"/>
              </w:rPr>
              <w:t>1</w:t>
            </w:r>
          </w:p>
        </w:tc>
        <w:tc>
          <w:tcPr>
            <w:tcW w:w="1440" w:type="dxa"/>
          </w:tcPr>
          <w:p w14:paraId="3B4E0705" w14:textId="77777777" w:rsidR="00866670" w:rsidRPr="00996FE6" w:rsidRDefault="00866670" w:rsidP="004D2765">
            <w:pPr>
              <w:keepNext/>
              <w:tabs>
                <w:tab w:val="clear" w:pos="284"/>
              </w:tabs>
              <w:ind w:left="851" w:hanging="851"/>
              <w:jc w:val="center"/>
              <w:rPr>
                <w:bCs/>
                <w:iCs/>
                <w:noProof/>
                <w:lang w:val="nl-NL" w:eastAsia="nl-NL"/>
              </w:rPr>
            </w:pPr>
            <w:r w:rsidRPr="00996FE6">
              <w:rPr>
                <w:bCs/>
                <w:iCs/>
                <w:noProof/>
                <w:lang w:val="fr-FR" w:eastAsia="nl-NL"/>
              </w:rPr>
              <w:sym w:font="Symbol" w:char="F0A3"/>
            </w:r>
            <w:r w:rsidRPr="00996FE6">
              <w:rPr>
                <w:bCs/>
                <w:iCs/>
                <w:noProof/>
                <w:lang w:val="fr-FR" w:eastAsia="nl-NL"/>
              </w:rPr>
              <w:t xml:space="preserve"> </w:t>
            </w:r>
            <w:r w:rsidRPr="00996FE6">
              <w:rPr>
                <w:bCs/>
                <w:iCs/>
                <w:noProof/>
                <w:lang w:val="nl-NL" w:eastAsia="nl-NL"/>
              </w:rPr>
              <w:t>2 mg/l</w:t>
            </w:r>
          </w:p>
        </w:tc>
        <w:tc>
          <w:tcPr>
            <w:tcW w:w="2655" w:type="dxa"/>
          </w:tcPr>
          <w:p w14:paraId="3B702D93" w14:textId="77777777" w:rsidR="00866670" w:rsidRPr="00996FE6" w:rsidRDefault="00866670" w:rsidP="004D2765">
            <w:pPr>
              <w:keepNext/>
              <w:tabs>
                <w:tab w:val="clear" w:pos="284"/>
              </w:tabs>
              <w:ind w:left="851" w:hanging="851"/>
              <w:jc w:val="center"/>
              <w:rPr>
                <w:bCs/>
                <w:iCs/>
                <w:noProof/>
                <w:lang w:val="nl-NL" w:eastAsia="nl-NL"/>
              </w:rPr>
            </w:pPr>
            <w:r w:rsidRPr="00996FE6">
              <w:rPr>
                <w:bCs/>
                <w:iCs/>
                <w:noProof/>
                <w:lang w:val="nl-NL" w:eastAsia="nl-NL"/>
              </w:rPr>
              <w:t>&gt; 2 mg/l</w:t>
            </w:r>
          </w:p>
        </w:tc>
      </w:tr>
      <w:tr w:rsidR="00160582" w:rsidRPr="00996FE6" w14:paraId="551A7F95" w14:textId="77777777" w:rsidTr="009E08FC">
        <w:tc>
          <w:tcPr>
            <w:tcW w:w="2880" w:type="dxa"/>
          </w:tcPr>
          <w:p w14:paraId="52C72AB0" w14:textId="4B0E9553" w:rsidR="00160582" w:rsidRPr="00996FE6" w:rsidRDefault="00160582" w:rsidP="00160582">
            <w:pPr>
              <w:tabs>
                <w:tab w:val="clear" w:pos="284"/>
              </w:tabs>
              <w:jc w:val="left"/>
              <w:rPr>
                <w:i/>
                <w:iCs/>
                <w:noProof/>
                <w:szCs w:val="20"/>
                <w:lang w:val="nl-NL" w:eastAsia="nl-NL"/>
              </w:rPr>
            </w:pPr>
            <w:r w:rsidRPr="00996FE6">
              <w:rPr>
                <w:iCs/>
                <w:noProof/>
                <w:szCs w:val="20"/>
                <w:lang w:val="nl-NL" w:eastAsia="nl-NL"/>
              </w:rPr>
              <w:t>Koagulaza-negativni</w:t>
            </w:r>
            <w:r w:rsidRPr="00996FE6">
              <w:rPr>
                <w:i/>
                <w:iCs/>
                <w:noProof/>
                <w:szCs w:val="20"/>
                <w:lang w:val="nl-NL" w:eastAsia="nl-NL"/>
              </w:rPr>
              <w:t xml:space="preserve">  staphylococci  </w:t>
            </w:r>
          </w:p>
        </w:tc>
        <w:tc>
          <w:tcPr>
            <w:tcW w:w="1440" w:type="dxa"/>
          </w:tcPr>
          <w:p w14:paraId="3DBD733C" w14:textId="159F72B8" w:rsidR="00160582" w:rsidRPr="00996FE6" w:rsidRDefault="00160582" w:rsidP="00160582">
            <w:pPr>
              <w:keepNext/>
              <w:tabs>
                <w:tab w:val="clear" w:pos="284"/>
              </w:tabs>
              <w:ind w:left="851" w:hanging="851"/>
              <w:jc w:val="center"/>
              <w:rPr>
                <w:bCs/>
                <w:iCs/>
                <w:noProof/>
                <w:lang w:val="fr-FR" w:eastAsia="nl-NL"/>
              </w:rPr>
            </w:pPr>
            <w:r w:rsidRPr="00996FE6">
              <w:rPr>
                <w:bCs/>
                <w:iCs/>
                <w:noProof/>
                <w:lang w:val="fr-FR" w:eastAsia="nl-NL"/>
              </w:rPr>
              <w:sym w:font="Symbol" w:char="F0A3"/>
            </w:r>
            <w:r w:rsidRPr="00996FE6">
              <w:rPr>
                <w:bCs/>
                <w:iCs/>
                <w:noProof/>
                <w:lang w:val="fr-FR" w:eastAsia="nl-NL"/>
              </w:rPr>
              <w:t xml:space="preserve"> </w:t>
            </w:r>
            <w:r w:rsidRPr="00996FE6">
              <w:rPr>
                <w:bCs/>
                <w:iCs/>
                <w:noProof/>
                <w:lang w:val="nl-NL" w:eastAsia="nl-NL"/>
              </w:rPr>
              <w:t>4 mg/l</w:t>
            </w:r>
          </w:p>
        </w:tc>
        <w:tc>
          <w:tcPr>
            <w:tcW w:w="2655" w:type="dxa"/>
          </w:tcPr>
          <w:p w14:paraId="27FAA1B6" w14:textId="2100B724" w:rsidR="00160582" w:rsidRPr="00996FE6" w:rsidRDefault="00160582" w:rsidP="00160582">
            <w:pPr>
              <w:keepNext/>
              <w:tabs>
                <w:tab w:val="clear" w:pos="284"/>
              </w:tabs>
              <w:ind w:left="851" w:hanging="851"/>
              <w:jc w:val="center"/>
              <w:rPr>
                <w:bCs/>
                <w:iCs/>
                <w:noProof/>
                <w:lang w:val="nl-NL" w:eastAsia="nl-NL"/>
              </w:rPr>
            </w:pPr>
            <w:r w:rsidRPr="00996FE6">
              <w:rPr>
                <w:bCs/>
                <w:iCs/>
                <w:noProof/>
                <w:lang w:val="nl-NL" w:eastAsia="nl-NL"/>
              </w:rPr>
              <w:t>&gt; 4 mg/l</w:t>
            </w:r>
          </w:p>
        </w:tc>
      </w:tr>
      <w:tr w:rsidR="00866670" w:rsidRPr="00996FE6" w14:paraId="78D25E66" w14:textId="77777777" w:rsidTr="009E08FC">
        <w:tc>
          <w:tcPr>
            <w:tcW w:w="2880" w:type="dxa"/>
          </w:tcPr>
          <w:p w14:paraId="300495C5" w14:textId="4A24879A" w:rsidR="00866670" w:rsidRPr="00996FE6" w:rsidRDefault="00866670" w:rsidP="004D2765">
            <w:pPr>
              <w:keepNext/>
              <w:tabs>
                <w:tab w:val="clear" w:pos="284"/>
              </w:tabs>
              <w:ind w:left="851" w:hanging="851"/>
              <w:jc w:val="left"/>
              <w:rPr>
                <w:bCs/>
                <w:iCs/>
                <w:noProof/>
                <w:lang w:val="nl-NL" w:eastAsia="nl-NL"/>
              </w:rPr>
            </w:pPr>
            <w:r w:rsidRPr="00996FE6">
              <w:rPr>
                <w:bCs/>
                <w:i/>
                <w:noProof/>
                <w:lang w:val="nl-NL" w:eastAsia="nl-NL"/>
              </w:rPr>
              <w:lastRenderedPageBreak/>
              <w:t xml:space="preserve">Enterococcus </w:t>
            </w:r>
            <w:r w:rsidRPr="00996FE6">
              <w:rPr>
                <w:bCs/>
                <w:iCs/>
                <w:noProof/>
                <w:lang w:val="nl-NL" w:eastAsia="nl-NL"/>
              </w:rPr>
              <w:t>spp.</w:t>
            </w:r>
          </w:p>
        </w:tc>
        <w:tc>
          <w:tcPr>
            <w:tcW w:w="1440" w:type="dxa"/>
          </w:tcPr>
          <w:p w14:paraId="3AF27B03" w14:textId="77777777" w:rsidR="00866670" w:rsidRPr="00996FE6" w:rsidRDefault="00866670" w:rsidP="004D2765">
            <w:pPr>
              <w:keepNext/>
              <w:tabs>
                <w:tab w:val="clear" w:pos="284"/>
              </w:tabs>
              <w:ind w:left="851" w:hanging="851"/>
              <w:jc w:val="center"/>
              <w:rPr>
                <w:bCs/>
                <w:iCs/>
                <w:noProof/>
                <w:lang w:val="nl-NL" w:eastAsia="nl-NL"/>
              </w:rPr>
            </w:pPr>
            <w:r w:rsidRPr="00996FE6">
              <w:rPr>
                <w:bCs/>
                <w:iCs/>
                <w:noProof/>
                <w:lang w:val="fr-FR" w:eastAsia="nl-NL"/>
              </w:rPr>
              <w:sym w:font="Symbol" w:char="F0A3"/>
            </w:r>
            <w:r w:rsidRPr="00996FE6">
              <w:rPr>
                <w:bCs/>
                <w:iCs/>
                <w:noProof/>
                <w:lang w:val="fr-FR" w:eastAsia="nl-NL"/>
              </w:rPr>
              <w:t xml:space="preserve"> </w:t>
            </w:r>
            <w:r w:rsidRPr="00996FE6">
              <w:rPr>
                <w:bCs/>
                <w:iCs/>
                <w:noProof/>
                <w:lang w:val="nl-NL" w:eastAsia="nl-NL"/>
              </w:rPr>
              <w:t>4 mg/l</w:t>
            </w:r>
          </w:p>
        </w:tc>
        <w:tc>
          <w:tcPr>
            <w:tcW w:w="2655" w:type="dxa"/>
          </w:tcPr>
          <w:p w14:paraId="0365F0C5" w14:textId="77777777" w:rsidR="00866670" w:rsidRPr="00996FE6" w:rsidRDefault="00866670" w:rsidP="004D2765">
            <w:pPr>
              <w:keepNext/>
              <w:tabs>
                <w:tab w:val="clear" w:pos="284"/>
              </w:tabs>
              <w:ind w:left="851" w:hanging="851"/>
              <w:jc w:val="center"/>
              <w:rPr>
                <w:bCs/>
                <w:iCs/>
                <w:noProof/>
                <w:lang w:val="nl-NL" w:eastAsia="nl-NL"/>
              </w:rPr>
            </w:pPr>
            <w:r w:rsidRPr="00996FE6">
              <w:rPr>
                <w:bCs/>
                <w:iCs/>
                <w:noProof/>
                <w:lang w:val="nl-NL" w:eastAsia="nl-NL"/>
              </w:rPr>
              <w:t>&gt; 4 mg/l</w:t>
            </w:r>
          </w:p>
        </w:tc>
      </w:tr>
      <w:tr w:rsidR="00866670" w:rsidRPr="00996FE6" w14:paraId="6E08076E" w14:textId="77777777" w:rsidTr="009E08FC">
        <w:tc>
          <w:tcPr>
            <w:tcW w:w="2880" w:type="dxa"/>
          </w:tcPr>
          <w:p w14:paraId="2F1DBBEE" w14:textId="77777777" w:rsidR="00160582" w:rsidRPr="00996FE6" w:rsidRDefault="00866670" w:rsidP="00160582">
            <w:pPr>
              <w:keepNext/>
              <w:tabs>
                <w:tab w:val="clear" w:pos="284"/>
              </w:tabs>
              <w:ind w:left="851" w:hanging="851"/>
              <w:jc w:val="left"/>
              <w:outlineLvl w:val="4"/>
              <w:rPr>
                <w:bCs/>
                <w:iCs/>
                <w:noProof/>
                <w:lang w:val="nl-NL" w:eastAsia="nl-NL"/>
              </w:rPr>
            </w:pPr>
            <w:r w:rsidRPr="00996FE6">
              <w:rPr>
                <w:bCs/>
                <w:i/>
                <w:noProof/>
                <w:lang w:val="nl-NL" w:eastAsia="nl-NL"/>
              </w:rPr>
              <w:t xml:space="preserve">Streptococcus </w:t>
            </w:r>
            <w:r w:rsidRPr="00996FE6">
              <w:rPr>
                <w:bCs/>
                <w:iCs/>
                <w:noProof/>
                <w:lang w:val="nl-NL" w:eastAsia="nl-NL"/>
              </w:rPr>
              <w:t>spp</w:t>
            </w:r>
            <w:r w:rsidR="00160582" w:rsidRPr="00996FE6">
              <w:rPr>
                <w:bCs/>
                <w:iCs/>
                <w:noProof/>
                <w:lang w:val="nl-NL" w:eastAsia="nl-NL"/>
              </w:rPr>
              <w:t>. grupe</w:t>
            </w:r>
          </w:p>
          <w:p w14:paraId="397C6F08" w14:textId="22BF76D3" w:rsidR="00866670" w:rsidRPr="00996FE6" w:rsidRDefault="00160582" w:rsidP="00160582">
            <w:pPr>
              <w:keepNext/>
              <w:tabs>
                <w:tab w:val="clear" w:pos="284"/>
              </w:tabs>
              <w:ind w:left="851" w:hanging="851"/>
              <w:jc w:val="left"/>
              <w:outlineLvl w:val="4"/>
              <w:rPr>
                <w:bCs/>
                <w:noProof/>
                <w:lang w:val="nl-NL" w:eastAsia="nl-NL"/>
              </w:rPr>
            </w:pPr>
            <w:r w:rsidRPr="00996FE6">
              <w:rPr>
                <w:bCs/>
                <w:iCs/>
                <w:noProof/>
                <w:lang w:val="nl-NL" w:eastAsia="nl-NL"/>
              </w:rPr>
              <w:t>A,B,C i G</w:t>
            </w:r>
            <w:r w:rsidR="00866670" w:rsidRPr="00996FE6">
              <w:rPr>
                <w:bCs/>
                <w:i/>
                <w:noProof/>
                <w:lang w:val="nl-NL" w:eastAsia="nl-NL"/>
              </w:rPr>
              <w:t xml:space="preserve"> </w:t>
            </w:r>
          </w:p>
        </w:tc>
        <w:tc>
          <w:tcPr>
            <w:tcW w:w="1440" w:type="dxa"/>
          </w:tcPr>
          <w:p w14:paraId="75BC6909" w14:textId="77777777" w:rsidR="00866670" w:rsidRPr="00996FE6" w:rsidRDefault="00866670" w:rsidP="004D2765">
            <w:pPr>
              <w:keepNext/>
              <w:tabs>
                <w:tab w:val="clear" w:pos="284"/>
              </w:tabs>
              <w:ind w:left="851" w:hanging="851"/>
              <w:jc w:val="center"/>
              <w:rPr>
                <w:bCs/>
                <w:iCs/>
                <w:noProof/>
                <w:lang w:val="nl-NL" w:eastAsia="nl-NL"/>
              </w:rPr>
            </w:pPr>
            <w:r w:rsidRPr="00996FE6">
              <w:rPr>
                <w:bCs/>
                <w:iCs/>
                <w:noProof/>
                <w:lang w:val="fr-FR" w:eastAsia="nl-NL"/>
              </w:rPr>
              <w:sym w:font="Symbol" w:char="F0A3"/>
            </w:r>
            <w:r w:rsidRPr="00996FE6">
              <w:rPr>
                <w:bCs/>
                <w:iCs/>
                <w:noProof/>
                <w:lang w:val="nl-NL" w:eastAsia="nl-NL"/>
              </w:rPr>
              <w:t xml:space="preserve"> 2 mg/l</w:t>
            </w:r>
          </w:p>
        </w:tc>
        <w:tc>
          <w:tcPr>
            <w:tcW w:w="2655" w:type="dxa"/>
          </w:tcPr>
          <w:p w14:paraId="58166405" w14:textId="77777777" w:rsidR="00866670" w:rsidRPr="00996FE6" w:rsidRDefault="00866670" w:rsidP="004D2765">
            <w:pPr>
              <w:keepNext/>
              <w:tabs>
                <w:tab w:val="clear" w:pos="284"/>
              </w:tabs>
              <w:ind w:left="851" w:hanging="851"/>
              <w:jc w:val="center"/>
              <w:rPr>
                <w:bCs/>
                <w:iCs/>
                <w:noProof/>
                <w:lang w:val="nl-NL" w:eastAsia="nl-NL"/>
              </w:rPr>
            </w:pPr>
            <w:r w:rsidRPr="00996FE6">
              <w:rPr>
                <w:bCs/>
                <w:iCs/>
                <w:noProof/>
                <w:lang w:val="nl-NL" w:eastAsia="nl-NL"/>
              </w:rPr>
              <w:t>&gt; 2 mg/l</w:t>
            </w:r>
          </w:p>
        </w:tc>
      </w:tr>
      <w:tr w:rsidR="00866670" w:rsidRPr="00996FE6" w14:paraId="331A2792" w14:textId="77777777" w:rsidTr="009E08FC">
        <w:tc>
          <w:tcPr>
            <w:tcW w:w="2880" w:type="dxa"/>
          </w:tcPr>
          <w:p w14:paraId="4511EB37" w14:textId="77777777" w:rsidR="00866670" w:rsidRPr="00996FE6" w:rsidRDefault="00866670" w:rsidP="004D2765">
            <w:pPr>
              <w:keepNext/>
              <w:tabs>
                <w:tab w:val="clear" w:pos="284"/>
              </w:tabs>
              <w:ind w:left="851" w:hanging="851"/>
              <w:jc w:val="left"/>
              <w:outlineLvl w:val="4"/>
              <w:rPr>
                <w:bCs/>
                <w:i/>
                <w:noProof/>
                <w:lang w:val="nl-NL" w:eastAsia="nl-NL"/>
              </w:rPr>
            </w:pPr>
            <w:r w:rsidRPr="00996FE6">
              <w:rPr>
                <w:bCs/>
                <w:i/>
                <w:noProof/>
                <w:lang w:val="nl-NL" w:eastAsia="nl-NL"/>
              </w:rPr>
              <w:t>Streptococcus pneumoniae</w:t>
            </w:r>
          </w:p>
        </w:tc>
        <w:tc>
          <w:tcPr>
            <w:tcW w:w="1440" w:type="dxa"/>
          </w:tcPr>
          <w:p w14:paraId="5B797851" w14:textId="77777777" w:rsidR="00866670" w:rsidRPr="00996FE6" w:rsidRDefault="00866670" w:rsidP="004D2765">
            <w:pPr>
              <w:keepNext/>
              <w:tabs>
                <w:tab w:val="clear" w:pos="284"/>
              </w:tabs>
              <w:ind w:left="851" w:hanging="851"/>
              <w:jc w:val="center"/>
              <w:rPr>
                <w:bCs/>
                <w:iCs/>
                <w:noProof/>
                <w:lang w:val="nl-NL" w:eastAsia="nl-NL"/>
              </w:rPr>
            </w:pPr>
            <w:r w:rsidRPr="00996FE6">
              <w:rPr>
                <w:bCs/>
                <w:iCs/>
                <w:noProof/>
                <w:lang w:val="fr-FR" w:eastAsia="nl-NL"/>
              </w:rPr>
              <w:sym w:font="Symbol" w:char="F0A3"/>
            </w:r>
            <w:r w:rsidRPr="00996FE6">
              <w:rPr>
                <w:bCs/>
                <w:iCs/>
                <w:noProof/>
                <w:lang w:val="nl-NL" w:eastAsia="nl-NL"/>
              </w:rPr>
              <w:t xml:space="preserve"> 2 mg/l</w:t>
            </w:r>
          </w:p>
        </w:tc>
        <w:tc>
          <w:tcPr>
            <w:tcW w:w="2655" w:type="dxa"/>
          </w:tcPr>
          <w:p w14:paraId="5E09A55F" w14:textId="77777777" w:rsidR="00866670" w:rsidRPr="00996FE6" w:rsidRDefault="00866670" w:rsidP="004D2765">
            <w:pPr>
              <w:keepNext/>
              <w:tabs>
                <w:tab w:val="clear" w:pos="284"/>
              </w:tabs>
              <w:ind w:left="851" w:hanging="851"/>
              <w:jc w:val="center"/>
              <w:rPr>
                <w:bCs/>
                <w:iCs/>
                <w:noProof/>
                <w:lang w:val="nl-NL" w:eastAsia="nl-NL"/>
              </w:rPr>
            </w:pPr>
            <w:r w:rsidRPr="00996FE6">
              <w:rPr>
                <w:bCs/>
                <w:iCs/>
                <w:noProof/>
                <w:lang w:val="nl-NL" w:eastAsia="nl-NL"/>
              </w:rPr>
              <w:t>&gt; 2 mg/l</w:t>
            </w:r>
          </w:p>
        </w:tc>
      </w:tr>
      <w:tr w:rsidR="00866670" w:rsidRPr="00996FE6" w14:paraId="7BF345D7" w14:textId="77777777" w:rsidTr="009E08FC">
        <w:tc>
          <w:tcPr>
            <w:tcW w:w="2880" w:type="dxa"/>
          </w:tcPr>
          <w:p w14:paraId="0D6CE1C3" w14:textId="77777777" w:rsidR="00866670" w:rsidRPr="00996FE6" w:rsidRDefault="00866670" w:rsidP="004D2765">
            <w:pPr>
              <w:keepNext/>
              <w:tabs>
                <w:tab w:val="clear" w:pos="284"/>
              </w:tabs>
              <w:ind w:left="851" w:hanging="851"/>
              <w:jc w:val="left"/>
              <w:rPr>
                <w:bCs/>
                <w:iCs/>
                <w:noProof/>
                <w:lang w:val="nl-NL" w:eastAsia="nl-NL"/>
              </w:rPr>
            </w:pPr>
            <w:r w:rsidRPr="00996FE6">
              <w:rPr>
                <w:bCs/>
                <w:iCs/>
                <w:noProof/>
                <w:lang w:val="nl-NL" w:eastAsia="nl-NL"/>
              </w:rPr>
              <w:t>Gram-pozitivni anaerobi</w:t>
            </w:r>
          </w:p>
        </w:tc>
        <w:tc>
          <w:tcPr>
            <w:tcW w:w="1440" w:type="dxa"/>
          </w:tcPr>
          <w:p w14:paraId="251DA186" w14:textId="77777777" w:rsidR="00866670" w:rsidRPr="00996FE6" w:rsidRDefault="00866670" w:rsidP="004D2765">
            <w:pPr>
              <w:keepNext/>
              <w:tabs>
                <w:tab w:val="clear" w:pos="284"/>
              </w:tabs>
              <w:ind w:left="851" w:hanging="851"/>
              <w:jc w:val="center"/>
              <w:rPr>
                <w:bCs/>
                <w:iCs/>
                <w:lang w:val="nl-NL" w:eastAsia="nl-NL"/>
              </w:rPr>
            </w:pPr>
            <w:r w:rsidRPr="00996FE6">
              <w:rPr>
                <w:bCs/>
                <w:iCs/>
                <w:noProof/>
                <w:lang w:val="fr-FR" w:eastAsia="nl-NL"/>
              </w:rPr>
              <w:sym w:font="Symbol" w:char="00A3"/>
            </w:r>
            <w:r w:rsidRPr="00996FE6">
              <w:rPr>
                <w:bCs/>
                <w:iCs/>
                <w:noProof/>
                <w:lang w:val="fr-FR" w:eastAsia="nl-NL"/>
              </w:rPr>
              <w:t xml:space="preserve"> </w:t>
            </w:r>
            <w:r w:rsidRPr="00996FE6">
              <w:rPr>
                <w:bCs/>
                <w:iCs/>
                <w:noProof/>
                <w:lang w:val="nl-NL" w:eastAsia="nl-NL"/>
              </w:rPr>
              <w:t>2 mg/l</w:t>
            </w:r>
          </w:p>
        </w:tc>
        <w:tc>
          <w:tcPr>
            <w:tcW w:w="2655" w:type="dxa"/>
          </w:tcPr>
          <w:p w14:paraId="7CCA678B" w14:textId="77777777" w:rsidR="00866670" w:rsidRPr="00996FE6" w:rsidRDefault="00866670" w:rsidP="004D2765">
            <w:pPr>
              <w:keepNext/>
              <w:tabs>
                <w:tab w:val="clear" w:pos="284"/>
              </w:tabs>
              <w:ind w:left="851" w:hanging="851"/>
              <w:jc w:val="center"/>
              <w:rPr>
                <w:bCs/>
                <w:iCs/>
                <w:lang w:val="nl-NL" w:eastAsia="nl-NL"/>
              </w:rPr>
            </w:pPr>
            <w:r w:rsidRPr="00996FE6">
              <w:rPr>
                <w:bCs/>
                <w:iCs/>
                <w:noProof/>
                <w:lang w:val="fr-FR" w:eastAsia="nl-NL"/>
              </w:rPr>
              <w:t xml:space="preserve">&gt; </w:t>
            </w:r>
            <w:r w:rsidRPr="00996FE6">
              <w:rPr>
                <w:bCs/>
                <w:iCs/>
                <w:noProof/>
                <w:lang w:val="nl-NL" w:eastAsia="nl-NL"/>
              </w:rPr>
              <w:t>2 mg/l</w:t>
            </w:r>
          </w:p>
        </w:tc>
      </w:tr>
    </w:tbl>
    <w:p w14:paraId="5427DE8A" w14:textId="77777777" w:rsidR="00160582" w:rsidRPr="00996FE6" w:rsidRDefault="00160582" w:rsidP="004D2765">
      <w:pPr>
        <w:tabs>
          <w:tab w:val="clear" w:pos="284"/>
          <w:tab w:val="left" w:pos="180"/>
        </w:tabs>
        <w:rPr>
          <w:noProof/>
          <w:lang w:val="nl-NL" w:eastAsia="nl-NL"/>
        </w:rPr>
      </w:pPr>
    </w:p>
    <w:p w14:paraId="0406A76A" w14:textId="05BAFD77" w:rsidR="00160582" w:rsidRPr="00996FE6" w:rsidRDefault="00160582" w:rsidP="00E61461">
      <w:pPr>
        <w:tabs>
          <w:tab w:val="clear" w:pos="284"/>
        </w:tabs>
        <w:autoSpaceDE w:val="0"/>
        <w:autoSpaceDN w:val="0"/>
        <w:adjustRightInd w:val="0"/>
        <w:rPr>
          <w:sz w:val="20"/>
          <w:szCs w:val="20"/>
          <w:lang w:val="sr-Latn-RS"/>
        </w:rPr>
      </w:pPr>
      <w:r w:rsidRPr="00996FE6">
        <w:rPr>
          <w:sz w:val="20"/>
          <w:szCs w:val="20"/>
          <w:vertAlign w:val="superscript"/>
          <w:lang w:val="sr-Latn-RS"/>
        </w:rPr>
        <w:t>1</w:t>
      </w:r>
      <w:r w:rsidRPr="00996FE6">
        <w:rPr>
          <w:sz w:val="20"/>
          <w:szCs w:val="20"/>
          <w:lang w:val="sr-Latn-RS"/>
        </w:rPr>
        <w:t xml:space="preserve"> S. aureus sa vr</w:t>
      </w:r>
      <w:r w:rsidR="00880430" w:rsidRPr="00996FE6">
        <w:rPr>
          <w:sz w:val="20"/>
          <w:szCs w:val="20"/>
          <w:lang w:val="sr-Latn-RS"/>
        </w:rPr>
        <w:t>ij</w:t>
      </w:r>
      <w:r w:rsidRPr="00996FE6">
        <w:rPr>
          <w:sz w:val="20"/>
          <w:szCs w:val="20"/>
          <w:lang w:val="sr-Latn-RS"/>
        </w:rPr>
        <w:t>ednostima MIC za vankomicin od 2 mg/</w:t>
      </w:r>
      <w:r w:rsidR="00246A34" w:rsidRPr="00996FE6">
        <w:rPr>
          <w:sz w:val="20"/>
          <w:szCs w:val="20"/>
          <w:lang w:val="sr-Latn-RS"/>
        </w:rPr>
        <w:t>l</w:t>
      </w:r>
      <w:r w:rsidRPr="00996FE6">
        <w:rPr>
          <w:sz w:val="20"/>
          <w:szCs w:val="20"/>
          <w:lang w:val="sr-Latn-RS"/>
        </w:rPr>
        <w:t xml:space="preserve"> su na granici distribucije divljeg tipa i može doći do smanjenog kliničkog odgovora</w:t>
      </w:r>
    </w:p>
    <w:p w14:paraId="69E563CB" w14:textId="77777777" w:rsidR="00866670" w:rsidRPr="00996FE6" w:rsidRDefault="00866670" w:rsidP="004D2765">
      <w:pPr>
        <w:tabs>
          <w:tab w:val="clear" w:pos="284"/>
          <w:tab w:val="left" w:pos="180"/>
        </w:tabs>
        <w:ind w:left="180" w:hanging="180"/>
        <w:rPr>
          <w:noProof/>
          <w:lang w:val="sr-Latn-RS" w:eastAsia="nl-NL"/>
        </w:rPr>
      </w:pPr>
    </w:p>
    <w:p w14:paraId="1BEBFC6B" w14:textId="77777777" w:rsidR="00313B56" w:rsidRPr="00996FE6" w:rsidRDefault="00313B56" w:rsidP="004D2765">
      <w:pPr>
        <w:tabs>
          <w:tab w:val="clear" w:pos="284"/>
          <w:tab w:val="left" w:pos="180"/>
        </w:tabs>
        <w:ind w:left="180" w:hanging="180"/>
        <w:rPr>
          <w:noProof/>
          <w:lang w:val="sr-Latn-RS" w:eastAsia="nl-NL"/>
        </w:rPr>
      </w:pPr>
    </w:p>
    <w:tbl>
      <w:tblPr>
        <w:tblW w:w="0" w:type="auto"/>
        <w:tblInd w:w="117" w:type="dxa"/>
        <w:tblBorders>
          <w:top w:val="single" w:sz="6" w:space="0" w:color="000000"/>
          <w:left w:val="single" w:sz="6" w:space="0" w:color="000000"/>
          <w:bottom w:val="single" w:sz="6" w:space="0" w:color="000000"/>
          <w:right w:val="single" w:sz="6" w:space="0" w:color="000000"/>
          <w:insideV w:val="single" w:sz="6" w:space="0" w:color="000000"/>
        </w:tblBorders>
        <w:tblLayout w:type="fixed"/>
        <w:tblCellMar>
          <w:left w:w="117" w:type="dxa"/>
          <w:right w:w="117" w:type="dxa"/>
        </w:tblCellMar>
        <w:tblLook w:val="0000" w:firstRow="0" w:lastRow="0" w:firstColumn="0" w:lastColumn="0" w:noHBand="0" w:noVBand="0"/>
      </w:tblPr>
      <w:tblGrid>
        <w:gridCol w:w="6821"/>
      </w:tblGrid>
      <w:tr w:rsidR="00866670" w:rsidRPr="00996FE6" w14:paraId="4678680E" w14:textId="77777777" w:rsidTr="009E08FC">
        <w:tc>
          <w:tcPr>
            <w:tcW w:w="6821" w:type="dxa"/>
            <w:tcBorders>
              <w:top w:val="single" w:sz="6" w:space="0" w:color="000000"/>
            </w:tcBorders>
            <w:shd w:val="clear" w:color="FFFFFF" w:fill="FFFFFF"/>
          </w:tcPr>
          <w:p w14:paraId="20325876" w14:textId="77777777" w:rsidR="00866670" w:rsidRPr="00996FE6" w:rsidRDefault="00866670" w:rsidP="004D2765">
            <w:pPr>
              <w:rPr>
                <w:bCs/>
                <w:iCs/>
                <w:noProof/>
                <w:u w:val="single"/>
              </w:rPr>
            </w:pPr>
            <w:r w:rsidRPr="00996FE6">
              <w:rPr>
                <w:bCs/>
                <w:iCs/>
                <w:noProof/>
                <w:u w:val="single"/>
              </w:rPr>
              <w:t>Uobičajeno osjetljivi sojevi</w:t>
            </w:r>
          </w:p>
        </w:tc>
      </w:tr>
      <w:tr w:rsidR="00866670" w:rsidRPr="00996FE6" w14:paraId="790425F5" w14:textId="77777777" w:rsidTr="009E08FC">
        <w:tc>
          <w:tcPr>
            <w:tcW w:w="6821" w:type="dxa"/>
            <w:shd w:val="clear" w:color="FFFFFF" w:fill="FFFFFF"/>
          </w:tcPr>
          <w:p w14:paraId="143CBBFA" w14:textId="77777777" w:rsidR="00866670" w:rsidRPr="00996FE6" w:rsidRDefault="00866670" w:rsidP="004D2765">
            <w:pPr>
              <w:pStyle w:val="Heading1"/>
              <w:jc w:val="left"/>
              <w:rPr>
                <w:rFonts w:ascii="Times New Roman" w:hAnsi="Times New Roman" w:cs="Times New Roman"/>
                <w:bCs w:val="0"/>
                <w:i w:val="0"/>
                <w:iCs w:val="0"/>
                <w:noProof/>
                <w:sz w:val="22"/>
                <w:szCs w:val="22"/>
                <w:u w:val="none"/>
                <w:lang w:val="nl-NL" w:eastAsia="nl-NL"/>
              </w:rPr>
            </w:pPr>
            <w:r w:rsidRPr="00996FE6">
              <w:rPr>
                <w:rFonts w:ascii="Times New Roman" w:hAnsi="Times New Roman" w:cs="Times New Roman"/>
                <w:bCs w:val="0"/>
                <w:i w:val="0"/>
                <w:iCs w:val="0"/>
                <w:noProof/>
                <w:sz w:val="22"/>
                <w:szCs w:val="22"/>
                <w:u w:val="none"/>
                <w:lang w:val="nl-NL" w:eastAsia="nl-NL"/>
              </w:rPr>
              <w:t xml:space="preserve">Gram-pozitivni </w:t>
            </w:r>
          </w:p>
        </w:tc>
      </w:tr>
      <w:tr w:rsidR="00866670" w:rsidRPr="00996FE6" w14:paraId="08E96D25" w14:textId="77777777" w:rsidTr="009E08FC">
        <w:tc>
          <w:tcPr>
            <w:tcW w:w="6821" w:type="dxa"/>
            <w:shd w:val="clear" w:color="FFFFFF" w:fill="FFFFFF"/>
          </w:tcPr>
          <w:p w14:paraId="2F31146D" w14:textId="77777777" w:rsidR="00866670" w:rsidRPr="00996FE6" w:rsidRDefault="00866670" w:rsidP="004D2765">
            <w:pPr>
              <w:rPr>
                <w:bCs/>
                <w:iCs/>
                <w:noProof/>
              </w:rPr>
            </w:pPr>
            <w:r w:rsidRPr="00996FE6">
              <w:rPr>
                <w:bCs/>
                <w:i/>
                <w:noProof/>
              </w:rPr>
              <w:t>Enterococcus faecalis</w:t>
            </w:r>
            <w:r w:rsidRPr="00996FE6">
              <w:rPr>
                <w:bCs/>
                <w:iCs/>
                <w:noProof/>
              </w:rPr>
              <w:t>.</w:t>
            </w:r>
          </w:p>
        </w:tc>
      </w:tr>
      <w:tr w:rsidR="00866670" w:rsidRPr="00996FE6" w14:paraId="50CF20FF" w14:textId="77777777" w:rsidTr="009E08FC">
        <w:tc>
          <w:tcPr>
            <w:tcW w:w="6821" w:type="dxa"/>
            <w:shd w:val="clear" w:color="FFFFFF" w:fill="FFFFFF"/>
          </w:tcPr>
          <w:p w14:paraId="3C0189A3" w14:textId="77777777" w:rsidR="00866670" w:rsidRPr="00996FE6" w:rsidRDefault="00866670" w:rsidP="004D2765">
            <w:pPr>
              <w:rPr>
                <w:bCs/>
                <w:i/>
                <w:noProof/>
              </w:rPr>
            </w:pPr>
            <w:r w:rsidRPr="00996FE6">
              <w:rPr>
                <w:bCs/>
                <w:i/>
                <w:noProof/>
              </w:rPr>
              <w:t>Staphylococcus aureus</w:t>
            </w:r>
          </w:p>
          <w:p w14:paraId="7E0CEC38" w14:textId="4817FC4A" w:rsidR="00160582" w:rsidRPr="00996FE6" w:rsidRDefault="00160582" w:rsidP="004D2765">
            <w:pPr>
              <w:rPr>
                <w:bCs/>
                <w:noProof/>
              </w:rPr>
            </w:pPr>
            <w:r w:rsidRPr="00996FE6">
              <w:rPr>
                <w:bCs/>
                <w:i/>
                <w:noProof/>
              </w:rPr>
              <w:t xml:space="preserve">Staphylococcus aureus </w:t>
            </w:r>
            <w:r w:rsidRPr="00996FE6">
              <w:rPr>
                <w:bCs/>
                <w:noProof/>
              </w:rPr>
              <w:t>meticilin rezistentan</w:t>
            </w:r>
          </w:p>
        </w:tc>
      </w:tr>
      <w:tr w:rsidR="00866670" w:rsidRPr="00996FE6" w14:paraId="4D99D203" w14:textId="77777777" w:rsidTr="00160582">
        <w:trPr>
          <w:trHeight w:val="241"/>
        </w:trPr>
        <w:tc>
          <w:tcPr>
            <w:tcW w:w="6821" w:type="dxa"/>
            <w:shd w:val="clear" w:color="FFFFFF" w:fill="FFFFFF"/>
          </w:tcPr>
          <w:p w14:paraId="3531ABD5" w14:textId="77777777" w:rsidR="00866670" w:rsidRPr="00996FE6" w:rsidRDefault="00866670" w:rsidP="004D2765">
            <w:pPr>
              <w:rPr>
                <w:bCs/>
                <w:iCs/>
                <w:noProof/>
              </w:rPr>
            </w:pPr>
            <w:r w:rsidRPr="00996FE6">
              <w:rPr>
                <w:bCs/>
                <w:i/>
                <w:noProof/>
              </w:rPr>
              <w:t>Staphylococcus</w:t>
            </w:r>
            <w:r w:rsidRPr="00996FE6">
              <w:rPr>
                <w:bCs/>
                <w:iCs/>
                <w:noProof/>
              </w:rPr>
              <w:t xml:space="preserve"> koagulaza negativni </w:t>
            </w:r>
          </w:p>
        </w:tc>
      </w:tr>
      <w:tr w:rsidR="00866670" w:rsidRPr="00996FE6" w14:paraId="1217916A" w14:textId="77777777" w:rsidTr="009E08FC">
        <w:tc>
          <w:tcPr>
            <w:tcW w:w="6821" w:type="dxa"/>
            <w:shd w:val="clear" w:color="FFFFFF" w:fill="FFFFFF"/>
          </w:tcPr>
          <w:p w14:paraId="211A8972" w14:textId="77777777" w:rsidR="00866670" w:rsidRPr="00996FE6" w:rsidRDefault="00866670" w:rsidP="004D2765">
            <w:pPr>
              <w:rPr>
                <w:bCs/>
                <w:iCs/>
                <w:noProof/>
              </w:rPr>
            </w:pPr>
            <w:r w:rsidRPr="00996FE6">
              <w:rPr>
                <w:bCs/>
                <w:i/>
                <w:noProof/>
              </w:rPr>
              <w:t xml:space="preserve">Streptococcus </w:t>
            </w:r>
            <w:r w:rsidRPr="00996FE6">
              <w:rPr>
                <w:bCs/>
                <w:iCs/>
                <w:noProof/>
              </w:rPr>
              <w:t>spp.</w:t>
            </w:r>
          </w:p>
        </w:tc>
      </w:tr>
      <w:tr w:rsidR="00866670" w:rsidRPr="00996FE6" w14:paraId="7E1DB9BF" w14:textId="77777777" w:rsidTr="009E08FC">
        <w:tc>
          <w:tcPr>
            <w:tcW w:w="6821" w:type="dxa"/>
            <w:shd w:val="clear" w:color="FFFFFF" w:fill="FFFFFF"/>
          </w:tcPr>
          <w:p w14:paraId="5724F676" w14:textId="77777777" w:rsidR="00866670" w:rsidRPr="00996FE6" w:rsidRDefault="00866670" w:rsidP="004D2765">
            <w:pPr>
              <w:rPr>
                <w:bCs/>
                <w:i/>
                <w:noProof/>
              </w:rPr>
            </w:pPr>
            <w:r w:rsidRPr="00996FE6">
              <w:rPr>
                <w:bCs/>
                <w:i/>
                <w:noProof/>
              </w:rPr>
              <w:t>Streptococcus pneumoniae</w:t>
            </w:r>
          </w:p>
          <w:p w14:paraId="10F17BBC" w14:textId="77777777" w:rsidR="00160582" w:rsidRPr="00996FE6" w:rsidRDefault="00160582" w:rsidP="004D2765">
            <w:pPr>
              <w:rPr>
                <w:bCs/>
                <w:i/>
                <w:noProof/>
              </w:rPr>
            </w:pPr>
            <w:r w:rsidRPr="00996FE6">
              <w:rPr>
                <w:bCs/>
                <w:i/>
                <w:noProof/>
              </w:rPr>
              <w:t xml:space="preserve">Enterococcus </w:t>
            </w:r>
            <w:r w:rsidRPr="00996FE6">
              <w:rPr>
                <w:bCs/>
                <w:noProof/>
              </w:rPr>
              <w:t>spp</w:t>
            </w:r>
            <w:r w:rsidRPr="00996FE6">
              <w:rPr>
                <w:bCs/>
                <w:i/>
                <w:noProof/>
              </w:rPr>
              <w:t>.</w:t>
            </w:r>
          </w:p>
          <w:p w14:paraId="41E8E2F9" w14:textId="77777777" w:rsidR="00160582" w:rsidRPr="00996FE6" w:rsidRDefault="00160582" w:rsidP="004D2765">
            <w:pPr>
              <w:rPr>
                <w:bCs/>
                <w:i/>
                <w:noProof/>
              </w:rPr>
            </w:pPr>
            <w:r w:rsidRPr="00996FE6">
              <w:rPr>
                <w:bCs/>
                <w:i/>
                <w:noProof/>
              </w:rPr>
              <w:t xml:space="preserve">Staphylococcus </w:t>
            </w:r>
            <w:r w:rsidRPr="00996FE6">
              <w:rPr>
                <w:bCs/>
                <w:noProof/>
              </w:rPr>
              <w:t>spp</w:t>
            </w:r>
            <w:r w:rsidRPr="00996FE6">
              <w:rPr>
                <w:bCs/>
                <w:i/>
                <w:noProof/>
              </w:rPr>
              <w:t>.</w:t>
            </w:r>
          </w:p>
          <w:p w14:paraId="3568B828" w14:textId="77777777" w:rsidR="00160582" w:rsidRPr="00996FE6" w:rsidRDefault="00160582" w:rsidP="004D2765">
            <w:pPr>
              <w:rPr>
                <w:bCs/>
                <w:i/>
                <w:noProof/>
              </w:rPr>
            </w:pPr>
          </w:p>
          <w:p w14:paraId="2D324F6C" w14:textId="76BDA117" w:rsidR="00160582" w:rsidRPr="00996FE6" w:rsidRDefault="00160582" w:rsidP="004D2765">
            <w:pPr>
              <w:rPr>
                <w:b/>
                <w:bCs/>
                <w:noProof/>
              </w:rPr>
            </w:pPr>
            <w:r w:rsidRPr="00996FE6">
              <w:rPr>
                <w:b/>
                <w:bCs/>
                <w:noProof/>
              </w:rPr>
              <w:t>Anaerobni mikroorganizmi</w:t>
            </w:r>
          </w:p>
        </w:tc>
      </w:tr>
      <w:tr w:rsidR="00866670" w:rsidRPr="00996FE6" w14:paraId="25AD6C42" w14:textId="77777777" w:rsidTr="009E08FC">
        <w:tc>
          <w:tcPr>
            <w:tcW w:w="6821" w:type="dxa"/>
            <w:tcBorders>
              <w:bottom w:val="single" w:sz="4" w:space="0" w:color="auto"/>
            </w:tcBorders>
            <w:shd w:val="clear" w:color="FFFFFF" w:fill="FFFFFF"/>
          </w:tcPr>
          <w:p w14:paraId="063BE52A" w14:textId="77777777" w:rsidR="00866670" w:rsidRPr="00996FE6" w:rsidRDefault="00866670" w:rsidP="004D2765">
            <w:pPr>
              <w:rPr>
                <w:bCs/>
                <w:i/>
                <w:iCs/>
                <w:noProof/>
              </w:rPr>
            </w:pPr>
            <w:r w:rsidRPr="00996FE6">
              <w:rPr>
                <w:bCs/>
                <w:i/>
                <w:noProof/>
              </w:rPr>
              <w:t xml:space="preserve">Clostridium </w:t>
            </w:r>
            <w:r w:rsidRPr="00996FE6">
              <w:rPr>
                <w:bCs/>
                <w:iCs/>
                <w:noProof/>
              </w:rPr>
              <w:t>spp.</w:t>
            </w:r>
            <w:r w:rsidR="00160582" w:rsidRPr="00996FE6">
              <w:rPr>
                <w:bCs/>
                <w:iCs/>
                <w:noProof/>
              </w:rPr>
              <w:t xml:space="preserve"> izuzev </w:t>
            </w:r>
            <w:r w:rsidR="00160582" w:rsidRPr="00996FE6">
              <w:rPr>
                <w:bCs/>
                <w:i/>
                <w:iCs/>
                <w:noProof/>
              </w:rPr>
              <w:t>Clostridium innocuum</w:t>
            </w:r>
          </w:p>
          <w:p w14:paraId="64CB7CB5" w14:textId="77777777" w:rsidR="00160582" w:rsidRPr="00996FE6" w:rsidRDefault="00160582" w:rsidP="004D2765">
            <w:pPr>
              <w:rPr>
                <w:bCs/>
                <w:iCs/>
                <w:noProof/>
              </w:rPr>
            </w:pPr>
            <w:r w:rsidRPr="00996FE6">
              <w:rPr>
                <w:bCs/>
                <w:i/>
                <w:iCs/>
                <w:noProof/>
              </w:rPr>
              <w:t>Eubacterium</w:t>
            </w:r>
            <w:r w:rsidRPr="00996FE6">
              <w:rPr>
                <w:bCs/>
                <w:iCs/>
                <w:noProof/>
              </w:rPr>
              <w:t xml:space="preserve"> spp.</w:t>
            </w:r>
          </w:p>
          <w:p w14:paraId="4D922BD2" w14:textId="77777777" w:rsidR="00160582" w:rsidRPr="00996FE6" w:rsidRDefault="00160582" w:rsidP="004D2765">
            <w:pPr>
              <w:rPr>
                <w:bCs/>
                <w:iCs/>
                <w:noProof/>
              </w:rPr>
            </w:pPr>
            <w:r w:rsidRPr="00996FE6">
              <w:rPr>
                <w:bCs/>
                <w:i/>
                <w:iCs/>
                <w:noProof/>
              </w:rPr>
              <w:t>Peptostreptococcus</w:t>
            </w:r>
            <w:r w:rsidRPr="00996FE6">
              <w:rPr>
                <w:bCs/>
                <w:iCs/>
                <w:noProof/>
              </w:rPr>
              <w:t xml:space="preserve"> spp.</w:t>
            </w:r>
          </w:p>
          <w:p w14:paraId="556BDA95" w14:textId="7D42C02F" w:rsidR="00160582" w:rsidRPr="00996FE6" w:rsidRDefault="00160582" w:rsidP="004D2765">
            <w:pPr>
              <w:rPr>
                <w:bCs/>
                <w:iCs/>
                <w:noProof/>
              </w:rPr>
            </w:pPr>
          </w:p>
        </w:tc>
      </w:tr>
      <w:tr w:rsidR="00866670" w:rsidRPr="00986F86" w14:paraId="01F2D4AA" w14:textId="77777777" w:rsidTr="009E08FC">
        <w:tc>
          <w:tcPr>
            <w:tcW w:w="6821" w:type="dxa"/>
            <w:tcBorders>
              <w:top w:val="single" w:sz="4" w:space="0" w:color="auto"/>
              <w:left w:val="single" w:sz="4" w:space="0" w:color="auto"/>
              <w:bottom w:val="nil"/>
              <w:right w:val="single" w:sz="4" w:space="0" w:color="auto"/>
            </w:tcBorders>
            <w:shd w:val="clear" w:color="FFFFFF" w:fill="FFFFFF"/>
          </w:tcPr>
          <w:p w14:paraId="091EE98F" w14:textId="77777777" w:rsidR="00866670" w:rsidRPr="00996FE6" w:rsidRDefault="00866670" w:rsidP="004D2765">
            <w:pPr>
              <w:rPr>
                <w:bCs/>
                <w:iCs/>
                <w:noProof/>
                <w:lang w:val="sv-SE"/>
              </w:rPr>
            </w:pPr>
            <w:r w:rsidRPr="00996FE6">
              <w:rPr>
                <w:bCs/>
                <w:iCs/>
                <w:u w:val="single"/>
                <w:lang w:val="sv-SE"/>
              </w:rPr>
              <w:t>Sojevi kod kojih stečena rezistencija može predstavljati problem</w:t>
            </w:r>
          </w:p>
        </w:tc>
      </w:tr>
      <w:tr w:rsidR="00866670" w:rsidRPr="00996FE6" w14:paraId="1E8668B0" w14:textId="77777777" w:rsidTr="009E08FC">
        <w:tc>
          <w:tcPr>
            <w:tcW w:w="6821" w:type="dxa"/>
            <w:tcBorders>
              <w:top w:val="nil"/>
              <w:left w:val="single" w:sz="4" w:space="0" w:color="auto"/>
              <w:bottom w:val="single" w:sz="4" w:space="0" w:color="auto"/>
              <w:right w:val="single" w:sz="4" w:space="0" w:color="auto"/>
            </w:tcBorders>
            <w:shd w:val="clear" w:color="FFFFFF" w:fill="FFFFFF"/>
          </w:tcPr>
          <w:p w14:paraId="5BD53CB2" w14:textId="77777777" w:rsidR="00866670" w:rsidRPr="00996FE6" w:rsidRDefault="00866670" w:rsidP="004D2765">
            <w:pPr>
              <w:rPr>
                <w:bCs/>
                <w:i/>
              </w:rPr>
            </w:pPr>
            <w:r w:rsidRPr="00996FE6">
              <w:rPr>
                <w:bCs/>
                <w:i/>
              </w:rPr>
              <w:t>Enterococcus faecium</w:t>
            </w:r>
          </w:p>
        </w:tc>
      </w:tr>
      <w:tr w:rsidR="00866670" w:rsidRPr="00996FE6" w14:paraId="10507918" w14:textId="77777777" w:rsidTr="009E08FC">
        <w:tc>
          <w:tcPr>
            <w:tcW w:w="6821" w:type="dxa"/>
            <w:tcBorders>
              <w:top w:val="single" w:sz="4" w:space="0" w:color="auto"/>
              <w:left w:val="single" w:sz="4" w:space="0" w:color="auto"/>
              <w:bottom w:val="nil"/>
              <w:right w:val="single" w:sz="4" w:space="0" w:color="auto"/>
            </w:tcBorders>
            <w:shd w:val="clear" w:color="FFFFFF" w:fill="FFFFFF"/>
          </w:tcPr>
          <w:p w14:paraId="256AE142" w14:textId="77777777" w:rsidR="00866670" w:rsidRPr="00996FE6" w:rsidRDefault="00866670" w:rsidP="004D2765">
            <w:pPr>
              <w:rPr>
                <w:bCs/>
                <w:iCs/>
                <w:noProof/>
                <w:u w:val="single"/>
              </w:rPr>
            </w:pPr>
            <w:r w:rsidRPr="00996FE6">
              <w:rPr>
                <w:bCs/>
                <w:iCs/>
                <w:noProof/>
                <w:u w:val="single"/>
              </w:rPr>
              <w:t>Nasljedno rezistentni</w:t>
            </w:r>
          </w:p>
        </w:tc>
      </w:tr>
      <w:tr w:rsidR="00866670" w:rsidRPr="00996FE6" w14:paraId="5E4CC47C" w14:textId="77777777" w:rsidTr="009E08FC">
        <w:tc>
          <w:tcPr>
            <w:tcW w:w="6821" w:type="dxa"/>
            <w:tcBorders>
              <w:top w:val="nil"/>
              <w:left w:val="single" w:sz="4" w:space="0" w:color="auto"/>
              <w:bottom w:val="nil"/>
              <w:right w:val="single" w:sz="4" w:space="0" w:color="auto"/>
            </w:tcBorders>
            <w:shd w:val="clear" w:color="FFFFFF" w:fill="FFFFFF"/>
          </w:tcPr>
          <w:p w14:paraId="7A425892" w14:textId="77777777" w:rsidR="00866670" w:rsidRPr="00996FE6" w:rsidRDefault="00866670" w:rsidP="004D2765">
            <w:pPr>
              <w:rPr>
                <w:b/>
                <w:bCs/>
                <w:iCs/>
                <w:noProof/>
              </w:rPr>
            </w:pPr>
            <w:r w:rsidRPr="00996FE6">
              <w:rPr>
                <w:b/>
                <w:bCs/>
                <w:iCs/>
                <w:noProof/>
              </w:rPr>
              <w:t>Gram-negativne bakterije</w:t>
            </w:r>
          </w:p>
        </w:tc>
      </w:tr>
      <w:tr w:rsidR="00866670" w:rsidRPr="00996FE6" w14:paraId="441AD24E" w14:textId="77777777" w:rsidTr="007F43D6">
        <w:tc>
          <w:tcPr>
            <w:tcW w:w="6821" w:type="dxa"/>
            <w:tcBorders>
              <w:top w:val="nil"/>
              <w:left w:val="single" w:sz="4" w:space="0" w:color="auto"/>
              <w:bottom w:val="single" w:sz="4" w:space="0" w:color="auto"/>
              <w:right w:val="single" w:sz="4" w:space="0" w:color="auto"/>
            </w:tcBorders>
            <w:shd w:val="clear" w:color="FFFFFF" w:fill="FFFFFF"/>
          </w:tcPr>
          <w:p w14:paraId="43387EF5" w14:textId="77777777" w:rsidR="007F43D6" w:rsidRPr="00996FE6" w:rsidRDefault="007F43D6" w:rsidP="004D2765">
            <w:pPr>
              <w:rPr>
                <w:bCs/>
                <w:iCs/>
                <w:noProof/>
              </w:rPr>
            </w:pPr>
          </w:p>
          <w:p w14:paraId="330CCB6F" w14:textId="77777777" w:rsidR="007F43D6" w:rsidRPr="00996FE6" w:rsidRDefault="007F43D6" w:rsidP="007F43D6">
            <w:pPr>
              <w:tabs>
                <w:tab w:val="clear" w:pos="284"/>
                <w:tab w:val="left" w:pos="720"/>
              </w:tabs>
              <w:autoSpaceDE w:val="0"/>
              <w:autoSpaceDN w:val="0"/>
              <w:adjustRightInd w:val="0"/>
              <w:jc w:val="left"/>
              <w:rPr>
                <w:b/>
                <w:bCs/>
                <w:sz w:val="20"/>
                <w:szCs w:val="20"/>
              </w:rPr>
            </w:pPr>
            <w:r w:rsidRPr="00996FE6">
              <w:rPr>
                <w:b/>
                <w:bCs/>
                <w:sz w:val="20"/>
                <w:szCs w:val="20"/>
              </w:rPr>
              <w:t>Gram pozitivne aerobne vrste</w:t>
            </w:r>
          </w:p>
          <w:p w14:paraId="0CE521EA" w14:textId="77777777" w:rsidR="007F43D6" w:rsidRPr="00996FE6" w:rsidRDefault="007F43D6" w:rsidP="007F43D6">
            <w:pPr>
              <w:tabs>
                <w:tab w:val="clear" w:pos="284"/>
                <w:tab w:val="left" w:pos="720"/>
              </w:tabs>
              <w:autoSpaceDE w:val="0"/>
              <w:autoSpaceDN w:val="0"/>
              <w:adjustRightInd w:val="0"/>
              <w:jc w:val="left"/>
              <w:rPr>
                <w:i/>
                <w:sz w:val="20"/>
                <w:szCs w:val="20"/>
              </w:rPr>
            </w:pPr>
            <w:r w:rsidRPr="00996FE6">
              <w:rPr>
                <w:sz w:val="20"/>
                <w:szCs w:val="20"/>
              </w:rPr>
              <w:t xml:space="preserve">       </w:t>
            </w:r>
            <w:r w:rsidRPr="00996FE6">
              <w:rPr>
                <w:i/>
                <w:sz w:val="20"/>
                <w:szCs w:val="20"/>
              </w:rPr>
              <w:t>Erysipelothrix rhusiopathiae</w:t>
            </w:r>
          </w:p>
          <w:p w14:paraId="4D52D783" w14:textId="77777777" w:rsidR="007F43D6" w:rsidRPr="00996FE6" w:rsidRDefault="007F43D6" w:rsidP="007F43D6">
            <w:pPr>
              <w:tabs>
                <w:tab w:val="clear" w:pos="284"/>
                <w:tab w:val="left" w:pos="720"/>
              </w:tabs>
              <w:autoSpaceDE w:val="0"/>
              <w:autoSpaceDN w:val="0"/>
              <w:adjustRightInd w:val="0"/>
              <w:jc w:val="left"/>
              <w:rPr>
                <w:i/>
                <w:sz w:val="20"/>
                <w:szCs w:val="20"/>
              </w:rPr>
            </w:pPr>
            <w:r w:rsidRPr="00996FE6">
              <w:rPr>
                <w:i/>
                <w:sz w:val="20"/>
                <w:szCs w:val="20"/>
              </w:rPr>
              <w:t xml:space="preserve">       Heterofermentative Lactobacillus</w:t>
            </w:r>
          </w:p>
          <w:p w14:paraId="7E229DB2" w14:textId="77777777" w:rsidR="007F43D6" w:rsidRPr="00996FE6" w:rsidRDefault="007F43D6" w:rsidP="007F43D6">
            <w:pPr>
              <w:tabs>
                <w:tab w:val="clear" w:pos="284"/>
                <w:tab w:val="left" w:pos="720"/>
              </w:tabs>
              <w:autoSpaceDE w:val="0"/>
              <w:autoSpaceDN w:val="0"/>
              <w:adjustRightInd w:val="0"/>
              <w:jc w:val="left"/>
              <w:rPr>
                <w:sz w:val="20"/>
                <w:szCs w:val="20"/>
              </w:rPr>
            </w:pPr>
            <w:r w:rsidRPr="00996FE6">
              <w:rPr>
                <w:i/>
                <w:sz w:val="20"/>
                <w:szCs w:val="20"/>
              </w:rPr>
              <w:t xml:space="preserve">       Leuconostoc</w:t>
            </w:r>
            <w:r w:rsidRPr="00996FE6">
              <w:rPr>
                <w:sz w:val="20"/>
                <w:szCs w:val="20"/>
              </w:rPr>
              <w:t xml:space="preserve"> spp.</w:t>
            </w:r>
          </w:p>
          <w:p w14:paraId="11089F17" w14:textId="77777777" w:rsidR="007F43D6" w:rsidRPr="00996FE6" w:rsidRDefault="007F43D6" w:rsidP="007F43D6">
            <w:pPr>
              <w:tabs>
                <w:tab w:val="clear" w:pos="284"/>
                <w:tab w:val="center" w:pos="4536"/>
                <w:tab w:val="right" w:pos="9072"/>
              </w:tabs>
              <w:rPr>
                <w:sz w:val="20"/>
                <w:szCs w:val="20"/>
              </w:rPr>
            </w:pPr>
            <w:r w:rsidRPr="00996FE6">
              <w:rPr>
                <w:sz w:val="20"/>
                <w:szCs w:val="20"/>
              </w:rPr>
              <w:t xml:space="preserve">       </w:t>
            </w:r>
            <w:r w:rsidRPr="00996FE6">
              <w:rPr>
                <w:i/>
                <w:sz w:val="20"/>
                <w:szCs w:val="20"/>
              </w:rPr>
              <w:t>Pediococcus</w:t>
            </w:r>
            <w:r w:rsidRPr="00996FE6">
              <w:rPr>
                <w:sz w:val="20"/>
                <w:szCs w:val="20"/>
              </w:rPr>
              <w:t xml:space="preserve"> spp.</w:t>
            </w:r>
          </w:p>
          <w:p w14:paraId="12CBFEB7" w14:textId="77777777" w:rsidR="007F43D6" w:rsidRPr="00996FE6" w:rsidRDefault="007F43D6" w:rsidP="007F43D6">
            <w:pPr>
              <w:tabs>
                <w:tab w:val="clear" w:pos="284"/>
                <w:tab w:val="center" w:pos="4536"/>
                <w:tab w:val="right" w:pos="9072"/>
              </w:tabs>
              <w:rPr>
                <w:sz w:val="20"/>
                <w:szCs w:val="20"/>
              </w:rPr>
            </w:pPr>
          </w:p>
          <w:p w14:paraId="36F75F4A" w14:textId="77777777" w:rsidR="007F43D6" w:rsidRPr="00996FE6" w:rsidRDefault="007F43D6" w:rsidP="007F43D6">
            <w:pPr>
              <w:tabs>
                <w:tab w:val="clear" w:pos="284"/>
                <w:tab w:val="left" w:pos="720"/>
              </w:tabs>
              <w:autoSpaceDE w:val="0"/>
              <w:autoSpaceDN w:val="0"/>
              <w:adjustRightInd w:val="0"/>
              <w:jc w:val="left"/>
              <w:rPr>
                <w:b/>
                <w:bCs/>
                <w:sz w:val="20"/>
                <w:szCs w:val="20"/>
              </w:rPr>
            </w:pPr>
            <w:r w:rsidRPr="00996FE6">
              <w:rPr>
                <w:b/>
                <w:bCs/>
                <w:sz w:val="20"/>
                <w:szCs w:val="20"/>
              </w:rPr>
              <w:t>Anaerobne vrste</w:t>
            </w:r>
          </w:p>
          <w:p w14:paraId="187E65F9" w14:textId="4B0F652F" w:rsidR="007F43D6" w:rsidRPr="00996FE6" w:rsidRDefault="007F43D6" w:rsidP="007F43D6">
            <w:pPr>
              <w:rPr>
                <w:bCs/>
                <w:iCs/>
                <w:noProof/>
              </w:rPr>
            </w:pPr>
            <w:r w:rsidRPr="00996FE6">
              <w:rPr>
                <w:sz w:val="20"/>
                <w:szCs w:val="20"/>
              </w:rPr>
              <w:t xml:space="preserve">       </w:t>
            </w:r>
            <w:r w:rsidRPr="00996FE6">
              <w:rPr>
                <w:i/>
                <w:sz w:val="20"/>
                <w:szCs w:val="20"/>
              </w:rPr>
              <w:t>Clostridium innocuum</w:t>
            </w:r>
          </w:p>
        </w:tc>
      </w:tr>
      <w:tr w:rsidR="007F43D6" w:rsidRPr="00996FE6" w14:paraId="1E476F1D" w14:textId="77777777" w:rsidTr="007F43D6">
        <w:tc>
          <w:tcPr>
            <w:tcW w:w="6821" w:type="dxa"/>
            <w:tcBorders>
              <w:top w:val="single" w:sz="4" w:space="0" w:color="auto"/>
              <w:left w:val="single" w:sz="4" w:space="0" w:color="auto"/>
              <w:bottom w:val="single" w:sz="4" w:space="0" w:color="auto"/>
              <w:right w:val="single" w:sz="4" w:space="0" w:color="auto"/>
            </w:tcBorders>
            <w:shd w:val="clear" w:color="FFFFFF" w:fill="FFFFFF"/>
          </w:tcPr>
          <w:p w14:paraId="2D8D3C1A" w14:textId="350694A3" w:rsidR="007F43D6" w:rsidRPr="00996FE6" w:rsidDel="007F43D6" w:rsidRDefault="007F43D6" w:rsidP="004D2765">
            <w:pPr>
              <w:rPr>
                <w:bCs/>
                <w:i/>
                <w:noProof/>
              </w:rPr>
            </w:pPr>
            <w:r w:rsidRPr="00996FE6">
              <w:rPr>
                <w:sz w:val="20"/>
                <w:szCs w:val="20"/>
              </w:rPr>
              <w:t>Pojava rezistencije na vankomicin se razlikuje od jedne bolnice do druge tako da treba kontaktirati lokalnu mikrobiološku laboratoriju za relevantne lokalne informacije.</w:t>
            </w:r>
          </w:p>
        </w:tc>
      </w:tr>
    </w:tbl>
    <w:p w14:paraId="37E46F7A" w14:textId="77777777" w:rsidR="00866670" w:rsidRPr="00996FE6" w:rsidRDefault="00866670" w:rsidP="004D2765">
      <w:pPr>
        <w:tabs>
          <w:tab w:val="clear" w:pos="284"/>
        </w:tabs>
        <w:autoSpaceDE w:val="0"/>
        <w:autoSpaceDN w:val="0"/>
        <w:adjustRightInd w:val="0"/>
        <w:jc w:val="left"/>
        <w:rPr>
          <w:sz w:val="20"/>
          <w:szCs w:val="20"/>
          <w:lang w:val="nl-NL"/>
        </w:rPr>
      </w:pPr>
    </w:p>
    <w:p w14:paraId="54977E20" w14:textId="77777777" w:rsidR="00CE09F3" w:rsidRPr="00996FE6" w:rsidRDefault="00CE09F3" w:rsidP="004D2765">
      <w:pPr>
        <w:jc w:val="left"/>
        <w:rPr>
          <w:b/>
          <w:bCs/>
          <w:szCs w:val="22"/>
          <w:lang w:val="nl-NL"/>
        </w:rPr>
      </w:pPr>
      <w:r w:rsidRPr="00996FE6">
        <w:rPr>
          <w:b/>
          <w:bCs/>
          <w:szCs w:val="22"/>
          <w:lang w:val="nl-NL"/>
        </w:rPr>
        <w:t>5.2. Farmakokinetički podaci</w:t>
      </w:r>
    </w:p>
    <w:p w14:paraId="077B4A44" w14:textId="1FDCBFF7" w:rsidR="00C6260D" w:rsidRPr="00996FE6" w:rsidRDefault="00C6260D" w:rsidP="004D2765">
      <w:pPr>
        <w:jc w:val="left"/>
        <w:rPr>
          <w:szCs w:val="22"/>
          <w:lang w:val="nl-NL"/>
        </w:rPr>
      </w:pPr>
    </w:p>
    <w:p w14:paraId="44E9B53A" w14:textId="77777777" w:rsidR="007F43D6" w:rsidRPr="00996FE6" w:rsidRDefault="007F43D6" w:rsidP="00E61461">
      <w:pPr>
        <w:rPr>
          <w:szCs w:val="22"/>
          <w:lang w:val="nl-NL"/>
        </w:rPr>
      </w:pPr>
      <w:r w:rsidRPr="00996FE6">
        <w:rPr>
          <w:szCs w:val="22"/>
          <w:u w:val="single"/>
          <w:lang w:val="nl-NL"/>
        </w:rPr>
        <w:t>Resorpcija</w:t>
      </w:r>
    </w:p>
    <w:p w14:paraId="54DA4923" w14:textId="0172DF2B" w:rsidR="007F43D6" w:rsidRPr="00996FE6" w:rsidRDefault="007F43D6" w:rsidP="00E61461">
      <w:pPr>
        <w:rPr>
          <w:szCs w:val="22"/>
          <w:lang w:val="nl-NL"/>
        </w:rPr>
      </w:pPr>
      <w:r w:rsidRPr="00996FE6">
        <w:rPr>
          <w:szCs w:val="22"/>
          <w:lang w:val="nl-NL"/>
        </w:rPr>
        <w:t>Vankomicin se prim</w:t>
      </w:r>
      <w:r w:rsidR="00880430" w:rsidRPr="00996FE6">
        <w:rPr>
          <w:szCs w:val="22"/>
          <w:lang w:val="nl-NL"/>
        </w:rPr>
        <w:t>j</w:t>
      </w:r>
      <w:r w:rsidRPr="00996FE6">
        <w:rPr>
          <w:szCs w:val="22"/>
          <w:lang w:val="nl-NL"/>
        </w:rPr>
        <w:t>enjuje intravenski za terapiju sistemskih infekcija.</w:t>
      </w:r>
    </w:p>
    <w:p w14:paraId="5534A01A" w14:textId="77777777" w:rsidR="007F43D6" w:rsidRPr="00996FE6" w:rsidRDefault="007F43D6" w:rsidP="00E61461">
      <w:pPr>
        <w:rPr>
          <w:szCs w:val="22"/>
          <w:lang w:val="nl-NL"/>
        </w:rPr>
      </w:pPr>
    </w:p>
    <w:p w14:paraId="5EEEDDDC" w14:textId="3BA75071" w:rsidR="007F43D6" w:rsidRPr="00996FE6" w:rsidRDefault="007F43D6" w:rsidP="00E61461">
      <w:pPr>
        <w:rPr>
          <w:szCs w:val="22"/>
          <w:lang w:val="nl-NL"/>
        </w:rPr>
      </w:pPr>
      <w:r w:rsidRPr="00996FE6">
        <w:rPr>
          <w:szCs w:val="22"/>
          <w:lang w:val="nl-NL"/>
        </w:rPr>
        <w:t>Kod pacijenata sa očuvanom funkcijom bubrega, intravenskom upotrebom ponovljenih doza od 1000 mg vankomicina (15 mg/kg) u vidu infuzije tokom 60 minuta postižu se pros</w:t>
      </w:r>
      <w:r w:rsidR="00880430" w:rsidRPr="00996FE6">
        <w:rPr>
          <w:szCs w:val="22"/>
          <w:lang w:val="nl-NL"/>
        </w:rPr>
        <w:t>j</w:t>
      </w:r>
      <w:r w:rsidRPr="00996FE6">
        <w:rPr>
          <w:szCs w:val="22"/>
          <w:lang w:val="nl-NL"/>
        </w:rPr>
        <w:t>e</w:t>
      </w:r>
      <w:r w:rsidRPr="00996FE6">
        <w:rPr>
          <w:szCs w:val="22"/>
          <w:lang w:val="sr-Latn-RS"/>
        </w:rPr>
        <w:t>čne</w:t>
      </w:r>
      <w:r w:rsidRPr="00996FE6">
        <w:rPr>
          <w:szCs w:val="22"/>
          <w:lang w:val="nl-NL"/>
        </w:rPr>
        <w:t xml:space="preserve"> koncentracije u plazmi od 50-60 mg/</w:t>
      </w:r>
      <w:r w:rsidR="009F3C18" w:rsidRPr="00996FE6">
        <w:rPr>
          <w:szCs w:val="22"/>
          <w:lang w:val="nl-NL"/>
        </w:rPr>
        <w:t>l</w:t>
      </w:r>
      <w:r w:rsidRPr="00996FE6">
        <w:rPr>
          <w:szCs w:val="22"/>
          <w:lang w:val="nl-NL"/>
        </w:rPr>
        <w:t>, 20-25 mg/</w:t>
      </w:r>
      <w:r w:rsidR="009F3C18" w:rsidRPr="00996FE6">
        <w:rPr>
          <w:szCs w:val="22"/>
          <w:lang w:val="nl-NL"/>
        </w:rPr>
        <w:t>l</w:t>
      </w:r>
      <w:r w:rsidRPr="00996FE6">
        <w:rPr>
          <w:szCs w:val="22"/>
          <w:lang w:val="nl-NL"/>
        </w:rPr>
        <w:t xml:space="preserve"> i 5-10 mg/</w:t>
      </w:r>
      <w:r w:rsidR="009F3C18" w:rsidRPr="00996FE6">
        <w:rPr>
          <w:szCs w:val="22"/>
          <w:lang w:val="nl-NL"/>
        </w:rPr>
        <w:t>l</w:t>
      </w:r>
      <w:r w:rsidRPr="00996FE6">
        <w:rPr>
          <w:szCs w:val="22"/>
          <w:lang w:val="nl-NL"/>
        </w:rPr>
        <w:t>, odmah, 2 sata i 11 sati nakon završetka infuzije, ovim redosl</w:t>
      </w:r>
      <w:r w:rsidR="009F3C18" w:rsidRPr="00996FE6">
        <w:rPr>
          <w:szCs w:val="22"/>
          <w:lang w:val="nl-NL"/>
        </w:rPr>
        <w:t>j</w:t>
      </w:r>
      <w:r w:rsidRPr="00996FE6">
        <w:rPr>
          <w:szCs w:val="22"/>
          <w:lang w:val="nl-NL"/>
        </w:rPr>
        <w:t>edom. Koncentracije u plazmi nakon ponovljenog doziranja su slične onima koje se postižu nakon prim</w:t>
      </w:r>
      <w:r w:rsidR="00880430" w:rsidRPr="00996FE6">
        <w:rPr>
          <w:szCs w:val="22"/>
          <w:lang w:val="nl-NL"/>
        </w:rPr>
        <w:t>j</w:t>
      </w:r>
      <w:r w:rsidRPr="00996FE6">
        <w:rPr>
          <w:szCs w:val="22"/>
          <w:lang w:val="nl-NL"/>
        </w:rPr>
        <w:t>ene jedne doze.</w:t>
      </w:r>
    </w:p>
    <w:p w14:paraId="0CC227A7" w14:textId="77777777" w:rsidR="007F43D6" w:rsidRPr="00996FE6" w:rsidRDefault="007F43D6" w:rsidP="00E61461">
      <w:pPr>
        <w:rPr>
          <w:szCs w:val="22"/>
          <w:lang w:val="nl-NL"/>
        </w:rPr>
      </w:pPr>
    </w:p>
    <w:p w14:paraId="0F77E645" w14:textId="3E26CE17" w:rsidR="007F43D6" w:rsidRPr="00996FE6" w:rsidRDefault="007F43D6" w:rsidP="00E61461">
      <w:pPr>
        <w:rPr>
          <w:szCs w:val="22"/>
          <w:lang w:val="sr-Latn-RS"/>
        </w:rPr>
      </w:pPr>
      <w:r w:rsidRPr="00996FE6">
        <w:rPr>
          <w:szCs w:val="22"/>
          <w:lang w:val="nl-NL"/>
        </w:rPr>
        <w:lastRenderedPageBreak/>
        <w:t>Oralno</w:t>
      </w:r>
      <w:r w:rsidRPr="00996FE6">
        <w:rPr>
          <w:szCs w:val="22"/>
          <w:lang w:val="sr-Latn-RS"/>
        </w:rPr>
        <w:t xml:space="preserve"> </w:t>
      </w:r>
      <w:r w:rsidRPr="00996FE6">
        <w:rPr>
          <w:szCs w:val="22"/>
          <w:lang w:val="nl-NL"/>
        </w:rPr>
        <w:t>prim</w:t>
      </w:r>
      <w:r w:rsidR="009F3C18" w:rsidRPr="00996FE6">
        <w:rPr>
          <w:szCs w:val="22"/>
          <w:lang w:val="nl-NL"/>
        </w:rPr>
        <w:t>i</w:t>
      </w:r>
      <w:r w:rsidR="00880430" w:rsidRPr="00996FE6">
        <w:rPr>
          <w:szCs w:val="22"/>
          <w:lang w:val="nl-NL"/>
        </w:rPr>
        <w:t>j</w:t>
      </w:r>
      <w:r w:rsidRPr="00996FE6">
        <w:rPr>
          <w:szCs w:val="22"/>
          <w:lang w:val="nl-NL"/>
        </w:rPr>
        <w:t>enjen</w:t>
      </w:r>
      <w:r w:rsidRPr="00996FE6">
        <w:rPr>
          <w:szCs w:val="22"/>
          <w:lang w:val="sr-Latn-RS"/>
        </w:rPr>
        <w:t xml:space="preserve"> </w:t>
      </w:r>
      <w:r w:rsidRPr="00996FE6">
        <w:rPr>
          <w:szCs w:val="22"/>
          <w:lang w:val="nl-NL"/>
        </w:rPr>
        <w:t>vankomicin</w:t>
      </w:r>
      <w:r w:rsidRPr="00996FE6">
        <w:rPr>
          <w:szCs w:val="22"/>
          <w:lang w:val="sr-Latn-RS"/>
        </w:rPr>
        <w:t xml:space="preserve"> </w:t>
      </w:r>
      <w:r w:rsidRPr="00996FE6">
        <w:rPr>
          <w:szCs w:val="22"/>
          <w:lang w:val="nl-NL"/>
        </w:rPr>
        <w:t>obi</w:t>
      </w:r>
      <w:r w:rsidRPr="00996FE6">
        <w:rPr>
          <w:szCs w:val="22"/>
          <w:lang w:val="sr-Latn-RS"/>
        </w:rPr>
        <w:t>č</w:t>
      </w:r>
      <w:r w:rsidRPr="00996FE6">
        <w:rPr>
          <w:szCs w:val="22"/>
          <w:lang w:val="nl-NL"/>
        </w:rPr>
        <w:t>no</w:t>
      </w:r>
      <w:r w:rsidRPr="00996FE6">
        <w:rPr>
          <w:szCs w:val="22"/>
          <w:lang w:val="sr-Latn-RS"/>
        </w:rPr>
        <w:t xml:space="preserve"> </w:t>
      </w:r>
      <w:r w:rsidRPr="00996FE6">
        <w:rPr>
          <w:szCs w:val="22"/>
          <w:lang w:val="nl-NL"/>
        </w:rPr>
        <w:t>ne</w:t>
      </w:r>
      <w:r w:rsidRPr="00996FE6">
        <w:rPr>
          <w:szCs w:val="22"/>
          <w:lang w:val="sr-Latn-RS"/>
        </w:rPr>
        <w:t xml:space="preserve"> </w:t>
      </w:r>
      <w:r w:rsidRPr="00996FE6">
        <w:rPr>
          <w:szCs w:val="22"/>
          <w:lang w:val="nl-NL"/>
        </w:rPr>
        <w:t>prolazi</w:t>
      </w:r>
      <w:r w:rsidRPr="00996FE6">
        <w:rPr>
          <w:szCs w:val="22"/>
          <w:lang w:val="sr-Latn-RS"/>
        </w:rPr>
        <w:t xml:space="preserve"> </w:t>
      </w:r>
      <w:r w:rsidRPr="00996FE6">
        <w:rPr>
          <w:szCs w:val="22"/>
          <w:lang w:val="nl-NL"/>
        </w:rPr>
        <w:t>u</w:t>
      </w:r>
      <w:r w:rsidRPr="00996FE6">
        <w:rPr>
          <w:szCs w:val="22"/>
          <w:lang w:val="sr-Latn-RS"/>
        </w:rPr>
        <w:t xml:space="preserve"> </w:t>
      </w:r>
      <w:r w:rsidRPr="00996FE6">
        <w:rPr>
          <w:szCs w:val="22"/>
          <w:lang w:val="nl-NL"/>
        </w:rPr>
        <w:t>sistemsku</w:t>
      </w:r>
      <w:r w:rsidRPr="00996FE6">
        <w:rPr>
          <w:szCs w:val="22"/>
          <w:lang w:val="sr-Latn-RS"/>
        </w:rPr>
        <w:t xml:space="preserve"> </w:t>
      </w:r>
      <w:r w:rsidRPr="00996FE6">
        <w:rPr>
          <w:szCs w:val="22"/>
          <w:lang w:val="nl-NL"/>
        </w:rPr>
        <w:t>cirkulaciju. Međutim, postoji mogućnost resorpcije nakon oralne prim</w:t>
      </w:r>
      <w:r w:rsidR="00880430" w:rsidRPr="00996FE6">
        <w:rPr>
          <w:szCs w:val="22"/>
          <w:lang w:val="nl-NL"/>
        </w:rPr>
        <w:t>j</w:t>
      </w:r>
      <w:r w:rsidRPr="00996FE6">
        <w:rPr>
          <w:szCs w:val="22"/>
          <w:lang w:val="nl-NL"/>
        </w:rPr>
        <w:t>ene kod pacijenata</w:t>
      </w:r>
      <w:r w:rsidRPr="00996FE6">
        <w:rPr>
          <w:szCs w:val="22"/>
          <w:lang w:val="sr-Latn-RS"/>
        </w:rPr>
        <w:t xml:space="preserve"> </w:t>
      </w:r>
      <w:r w:rsidRPr="00996FE6">
        <w:rPr>
          <w:szCs w:val="22"/>
          <w:lang w:val="nl-NL"/>
        </w:rPr>
        <w:t>sa</w:t>
      </w:r>
      <w:r w:rsidRPr="00996FE6">
        <w:rPr>
          <w:szCs w:val="22"/>
          <w:lang w:val="sr-Latn-RS"/>
        </w:rPr>
        <w:t xml:space="preserve"> </w:t>
      </w:r>
      <w:r w:rsidRPr="00996FE6">
        <w:rPr>
          <w:szCs w:val="22"/>
          <w:lang w:val="nl-NL"/>
        </w:rPr>
        <w:t>(pseudomembranoznim)</w:t>
      </w:r>
      <w:r w:rsidRPr="00996FE6">
        <w:rPr>
          <w:szCs w:val="22"/>
          <w:lang w:val="sr-Latn-RS"/>
        </w:rPr>
        <w:t xml:space="preserve"> </w:t>
      </w:r>
      <w:r w:rsidRPr="00996FE6">
        <w:rPr>
          <w:szCs w:val="22"/>
          <w:lang w:val="nl-NL"/>
        </w:rPr>
        <w:t>kolitisom.</w:t>
      </w:r>
      <w:r w:rsidRPr="00996FE6">
        <w:rPr>
          <w:szCs w:val="22"/>
          <w:lang w:val="sr-Latn-RS"/>
        </w:rPr>
        <w:t xml:space="preserve"> Ako postoji oštećenje funkcije bubrega postoji mogućnost kumulacije vankomicina.</w:t>
      </w:r>
    </w:p>
    <w:p w14:paraId="05C9AC2D" w14:textId="77777777" w:rsidR="007F43D6" w:rsidRPr="00996FE6" w:rsidRDefault="007F43D6" w:rsidP="00E61461">
      <w:pPr>
        <w:rPr>
          <w:szCs w:val="22"/>
          <w:lang w:val="sr-Latn-RS"/>
        </w:rPr>
      </w:pPr>
    </w:p>
    <w:p w14:paraId="24DEFC49" w14:textId="77777777" w:rsidR="007F43D6" w:rsidRPr="00996FE6" w:rsidRDefault="007F43D6" w:rsidP="00E61461">
      <w:pPr>
        <w:rPr>
          <w:szCs w:val="22"/>
          <w:u w:val="single"/>
          <w:lang w:val="sr-Latn-RS"/>
        </w:rPr>
      </w:pPr>
      <w:r w:rsidRPr="00996FE6">
        <w:rPr>
          <w:szCs w:val="22"/>
          <w:u w:val="single"/>
          <w:lang w:val="sr-Latn-RS"/>
        </w:rPr>
        <w:t>Distribucija</w:t>
      </w:r>
    </w:p>
    <w:p w14:paraId="1981505E" w14:textId="32D24276" w:rsidR="007F43D6" w:rsidRPr="00996FE6" w:rsidRDefault="007F43D6" w:rsidP="00E61461">
      <w:pPr>
        <w:rPr>
          <w:szCs w:val="22"/>
          <w:lang w:val="sr-Latn-RS"/>
        </w:rPr>
      </w:pPr>
      <w:r w:rsidRPr="00996FE6">
        <w:rPr>
          <w:szCs w:val="22"/>
          <w:lang w:val="sr-Latn-RS"/>
        </w:rPr>
        <w:t xml:space="preserve">Volumen distribucije je otprilike 60 </w:t>
      </w:r>
      <w:r w:rsidR="009F3C18" w:rsidRPr="00996FE6">
        <w:rPr>
          <w:szCs w:val="22"/>
          <w:lang w:val="sr-Latn-RS"/>
        </w:rPr>
        <w:t>l</w:t>
      </w:r>
      <w:r w:rsidRPr="00996FE6">
        <w:rPr>
          <w:szCs w:val="22"/>
          <w:lang w:val="sr-Latn-RS"/>
        </w:rPr>
        <w:t>/1,73 m</w:t>
      </w:r>
      <w:r w:rsidRPr="00996FE6">
        <w:rPr>
          <w:szCs w:val="22"/>
          <w:vertAlign w:val="superscript"/>
          <w:lang w:val="sr-Latn-RS"/>
        </w:rPr>
        <w:t>2</w:t>
      </w:r>
      <w:r w:rsidRPr="00996FE6">
        <w:rPr>
          <w:szCs w:val="22"/>
          <w:lang w:val="sr-Latn-RS"/>
        </w:rPr>
        <w:t xml:space="preserve"> površine t</w:t>
      </w:r>
      <w:r w:rsidR="00880430" w:rsidRPr="00996FE6">
        <w:rPr>
          <w:szCs w:val="22"/>
          <w:lang w:val="sr-Latn-RS"/>
        </w:rPr>
        <w:t>ij</w:t>
      </w:r>
      <w:r w:rsidRPr="00996FE6">
        <w:rPr>
          <w:szCs w:val="22"/>
          <w:lang w:val="sr-Latn-RS"/>
        </w:rPr>
        <w:t>ela. Pri koncentracijama vankomicina u serumu od 10 do 100 mg/</w:t>
      </w:r>
      <w:r w:rsidR="009F3C18" w:rsidRPr="00996FE6">
        <w:rPr>
          <w:szCs w:val="22"/>
          <w:lang w:val="sr-Latn-RS"/>
        </w:rPr>
        <w:t>l</w:t>
      </w:r>
      <w:r w:rsidRPr="00996FE6">
        <w:rPr>
          <w:szCs w:val="22"/>
          <w:lang w:val="sr-Latn-RS"/>
        </w:rPr>
        <w:t xml:space="preserve">, </w:t>
      </w:r>
      <w:r w:rsidRPr="00996FE6">
        <w:rPr>
          <w:bCs/>
          <w:szCs w:val="22"/>
          <w:lang w:val="sr-Latn-ME"/>
        </w:rPr>
        <w:t>procenat vezivanja vankomicina za proteine plazme je približno 30-</w:t>
      </w:r>
      <w:r w:rsidRPr="00996FE6">
        <w:rPr>
          <w:szCs w:val="22"/>
          <w:lang w:val="sr-Latn-RS"/>
        </w:rPr>
        <w:t>55%, izm</w:t>
      </w:r>
      <w:r w:rsidR="00880430" w:rsidRPr="00996FE6">
        <w:rPr>
          <w:szCs w:val="22"/>
          <w:lang w:val="sr-Latn-RS"/>
        </w:rPr>
        <w:t>j</w:t>
      </w:r>
      <w:r w:rsidRPr="00996FE6">
        <w:rPr>
          <w:szCs w:val="22"/>
          <w:lang w:val="sr-Latn-RS"/>
        </w:rPr>
        <w:t>ereno ultrafiltracijom.</w:t>
      </w:r>
    </w:p>
    <w:p w14:paraId="10F4E371" w14:textId="77777777" w:rsidR="007F43D6" w:rsidRPr="00996FE6" w:rsidRDefault="007F43D6" w:rsidP="00E61461">
      <w:pPr>
        <w:rPr>
          <w:szCs w:val="22"/>
          <w:lang w:val="sr-Latn-RS"/>
        </w:rPr>
      </w:pPr>
    </w:p>
    <w:p w14:paraId="1DC62FDC" w14:textId="4817C08D" w:rsidR="007F43D6" w:rsidRPr="00996FE6" w:rsidRDefault="007F43D6" w:rsidP="00E61461">
      <w:pPr>
        <w:rPr>
          <w:szCs w:val="22"/>
          <w:lang w:val="sr-Latn-RS"/>
        </w:rPr>
      </w:pPr>
      <w:r w:rsidRPr="00996FE6">
        <w:rPr>
          <w:szCs w:val="22"/>
          <w:lang w:val="sr-Latn-RS"/>
        </w:rPr>
        <w:t>Vankomicin lako prelazi u krv pupčane vrpce preko placente. Ukoliko ne postoji inflamacija moždanih ovojnica, vankomicin prolazi kroz krvno moždanu barijeru u maloj m</w:t>
      </w:r>
      <w:r w:rsidR="00880430" w:rsidRPr="00996FE6">
        <w:rPr>
          <w:szCs w:val="22"/>
          <w:lang w:val="sr-Latn-RS"/>
        </w:rPr>
        <w:t>j</w:t>
      </w:r>
      <w:r w:rsidRPr="00996FE6">
        <w:rPr>
          <w:szCs w:val="22"/>
          <w:lang w:val="sr-Latn-RS"/>
        </w:rPr>
        <w:t>eri.</w:t>
      </w:r>
    </w:p>
    <w:p w14:paraId="5726BB2D" w14:textId="77777777" w:rsidR="007F43D6" w:rsidRPr="00996FE6" w:rsidRDefault="007F43D6" w:rsidP="007F43D6">
      <w:pPr>
        <w:jc w:val="left"/>
        <w:rPr>
          <w:szCs w:val="22"/>
          <w:lang w:val="sr-Latn-RS"/>
        </w:rPr>
      </w:pPr>
    </w:p>
    <w:p w14:paraId="03E7864B" w14:textId="77777777" w:rsidR="007F43D6" w:rsidRPr="00996FE6" w:rsidRDefault="007F43D6" w:rsidP="00E61461">
      <w:pPr>
        <w:rPr>
          <w:szCs w:val="22"/>
          <w:u w:val="single"/>
          <w:lang w:val="sv-SE"/>
        </w:rPr>
      </w:pPr>
      <w:r w:rsidRPr="00996FE6">
        <w:rPr>
          <w:szCs w:val="22"/>
          <w:u w:val="single"/>
          <w:lang w:val="sv-SE"/>
        </w:rPr>
        <w:t xml:space="preserve">Biotransformacija </w:t>
      </w:r>
    </w:p>
    <w:p w14:paraId="64178FA9" w14:textId="63E713CE" w:rsidR="007F43D6" w:rsidRPr="00996FE6" w:rsidRDefault="007F43D6" w:rsidP="00E61461">
      <w:pPr>
        <w:rPr>
          <w:szCs w:val="22"/>
          <w:lang w:val="sv-SE"/>
        </w:rPr>
      </w:pPr>
      <w:r w:rsidRPr="00996FE6">
        <w:rPr>
          <w:szCs w:val="22"/>
          <w:lang w:val="sv-SE"/>
        </w:rPr>
        <w:t>Vankomicin se metaboliše u maloj m</w:t>
      </w:r>
      <w:r w:rsidR="00880430" w:rsidRPr="00996FE6">
        <w:rPr>
          <w:szCs w:val="22"/>
          <w:lang w:val="sv-SE"/>
        </w:rPr>
        <w:t>j</w:t>
      </w:r>
      <w:r w:rsidRPr="00996FE6">
        <w:rPr>
          <w:szCs w:val="22"/>
          <w:lang w:val="sv-SE"/>
        </w:rPr>
        <w:t>eri. Nakon parenteralne prim</w:t>
      </w:r>
      <w:r w:rsidR="00880430" w:rsidRPr="00996FE6">
        <w:rPr>
          <w:szCs w:val="22"/>
          <w:lang w:val="sv-SE"/>
        </w:rPr>
        <w:t>j</w:t>
      </w:r>
      <w:r w:rsidRPr="00996FE6">
        <w:rPr>
          <w:szCs w:val="22"/>
          <w:lang w:val="sv-SE"/>
        </w:rPr>
        <w:t>ene, skoro potpuno se eliminiše kao mikrobiološki aktivna supstanca (</w:t>
      </w:r>
      <w:r w:rsidRPr="00996FE6">
        <w:rPr>
          <w:szCs w:val="22"/>
          <w:lang w:val="sr-Latn-RS"/>
        </w:rPr>
        <w:t>približno 75-90% u roku od 24 sata</w:t>
      </w:r>
      <w:r w:rsidRPr="00996FE6">
        <w:rPr>
          <w:szCs w:val="22"/>
          <w:lang w:val="sv-SE"/>
        </w:rPr>
        <w:t>) putem bubrega glomerularnom filtracijom.</w:t>
      </w:r>
    </w:p>
    <w:p w14:paraId="76EF2ADF" w14:textId="77777777" w:rsidR="007F43D6" w:rsidRPr="00996FE6" w:rsidRDefault="007F43D6" w:rsidP="00E61461">
      <w:pPr>
        <w:rPr>
          <w:szCs w:val="22"/>
          <w:lang w:val="sv-SE"/>
        </w:rPr>
      </w:pPr>
    </w:p>
    <w:p w14:paraId="504C9D1B" w14:textId="77777777" w:rsidR="007F43D6" w:rsidRPr="00996FE6" w:rsidRDefault="007F43D6" w:rsidP="00E61461">
      <w:pPr>
        <w:rPr>
          <w:szCs w:val="22"/>
          <w:u w:val="single"/>
          <w:lang w:val="sv-SE"/>
        </w:rPr>
      </w:pPr>
      <w:r w:rsidRPr="00996FE6">
        <w:rPr>
          <w:szCs w:val="22"/>
          <w:u w:val="single"/>
          <w:lang w:val="sv-SE"/>
        </w:rPr>
        <w:t>Eliminacija</w:t>
      </w:r>
    </w:p>
    <w:p w14:paraId="2633E476" w14:textId="7C37A67F" w:rsidR="007F43D6" w:rsidRPr="00996FE6" w:rsidRDefault="007F43D6" w:rsidP="00E61461">
      <w:pPr>
        <w:rPr>
          <w:szCs w:val="22"/>
          <w:lang w:val="sv-SE"/>
        </w:rPr>
      </w:pPr>
      <w:r w:rsidRPr="00996FE6">
        <w:rPr>
          <w:szCs w:val="22"/>
          <w:lang w:val="sv-SE"/>
        </w:rPr>
        <w:t>Poluvr</w:t>
      </w:r>
      <w:r w:rsidR="00880430" w:rsidRPr="00996FE6">
        <w:rPr>
          <w:szCs w:val="22"/>
          <w:lang w:val="sv-SE"/>
        </w:rPr>
        <w:t>ij</w:t>
      </w:r>
      <w:r w:rsidRPr="00996FE6">
        <w:rPr>
          <w:szCs w:val="22"/>
          <w:lang w:val="sv-SE"/>
        </w:rPr>
        <w:t>eme eliminacije vankomicina je 4 do 6 sati kod pacijenata sa očuvanom funkcijom bubrega, dok je kod d</w:t>
      </w:r>
      <w:r w:rsidR="00880430" w:rsidRPr="00996FE6">
        <w:rPr>
          <w:szCs w:val="22"/>
          <w:lang w:val="sv-SE"/>
        </w:rPr>
        <w:t>j</w:t>
      </w:r>
      <w:r w:rsidRPr="00996FE6">
        <w:rPr>
          <w:szCs w:val="22"/>
          <w:lang w:val="sv-SE"/>
        </w:rPr>
        <w:t xml:space="preserve">ece 2,2-3 sata. Klirens plazme je otprilike 0,058 </w:t>
      </w:r>
      <w:r w:rsidR="009F3C18" w:rsidRPr="00996FE6">
        <w:rPr>
          <w:szCs w:val="22"/>
          <w:lang w:val="sv-SE"/>
        </w:rPr>
        <w:t>l</w:t>
      </w:r>
      <w:r w:rsidRPr="00996FE6">
        <w:rPr>
          <w:szCs w:val="22"/>
          <w:lang w:val="sv-SE"/>
        </w:rPr>
        <w:t>/kg/h</w:t>
      </w:r>
      <w:r w:rsidR="00880430" w:rsidRPr="00996FE6">
        <w:rPr>
          <w:szCs w:val="22"/>
          <w:lang w:val="sv-SE"/>
        </w:rPr>
        <w:t>,</w:t>
      </w:r>
      <w:r w:rsidRPr="00996FE6">
        <w:rPr>
          <w:szCs w:val="22"/>
          <w:lang w:val="sv-SE"/>
        </w:rPr>
        <w:t xml:space="preserve"> a klirens bubrega je 0,048 </w:t>
      </w:r>
      <w:r w:rsidR="009F3C18" w:rsidRPr="00996FE6">
        <w:rPr>
          <w:szCs w:val="22"/>
          <w:lang w:val="sv-SE"/>
        </w:rPr>
        <w:t>l</w:t>
      </w:r>
      <w:r w:rsidRPr="00996FE6">
        <w:rPr>
          <w:szCs w:val="22"/>
          <w:lang w:val="sv-SE"/>
        </w:rPr>
        <w:t>/kg/h. Tokom prva 24 sata, približno 80% prim</w:t>
      </w:r>
      <w:r w:rsidR="00880430" w:rsidRPr="00996FE6">
        <w:rPr>
          <w:szCs w:val="22"/>
          <w:lang w:val="sv-SE"/>
        </w:rPr>
        <w:t>j</w:t>
      </w:r>
      <w:r w:rsidRPr="00996FE6">
        <w:rPr>
          <w:szCs w:val="22"/>
          <w:lang w:val="sv-SE"/>
        </w:rPr>
        <w:t>enjene doze vancomicina se izluči putem urina glomerularnom filtracijom. Ukoliko je funkcija bubrega oštećena, izlučivanje vankomicina je produženo. Kod anefričnih pacijenata poluvr</w:t>
      </w:r>
      <w:r w:rsidR="00880430" w:rsidRPr="00996FE6">
        <w:rPr>
          <w:szCs w:val="22"/>
          <w:lang w:val="sv-SE"/>
        </w:rPr>
        <w:t>ij</w:t>
      </w:r>
      <w:r w:rsidRPr="00996FE6">
        <w:rPr>
          <w:szCs w:val="22"/>
          <w:lang w:val="sv-SE"/>
        </w:rPr>
        <w:t>eme eliminacije je 7,5 dana. Zbog ototoksičnosti kod terapije vankomicinom, neophodno je praćenje koncentacija l</w:t>
      </w:r>
      <w:r w:rsidR="00880430" w:rsidRPr="00996FE6">
        <w:rPr>
          <w:szCs w:val="22"/>
          <w:lang w:val="sv-SE"/>
        </w:rPr>
        <w:t>ij</w:t>
      </w:r>
      <w:r w:rsidRPr="00996FE6">
        <w:rPr>
          <w:szCs w:val="22"/>
          <w:lang w:val="sv-SE"/>
        </w:rPr>
        <w:t>eka u plazmi.</w:t>
      </w:r>
    </w:p>
    <w:p w14:paraId="2FD03991" w14:textId="23077450" w:rsidR="007F43D6" w:rsidRPr="00996FE6" w:rsidRDefault="007F43D6" w:rsidP="00E61461">
      <w:pPr>
        <w:rPr>
          <w:szCs w:val="22"/>
          <w:lang w:val="sv-SE"/>
        </w:rPr>
      </w:pPr>
      <w:r w:rsidRPr="00996FE6">
        <w:rPr>
          <w:szCs w:val="22"/>
          <w:lang w:val="sv-SE"/>
        </w:rPr>
        <w:t>Bilijarno izlučivanje je zanemarljivo (manje od 5% doze l</w:t>
      </w:r>
      <w:r w:rsidR="00880430" w:rsidRPr="00996FE6">
        <w:rPr>
          <w:szCs w:val="22"/>
          <w:lang w:val="sv-SE"/>
        </w:rPr>
        <w:t>ij</w:t>
      </w:r>
      <w:r w:rsidRPr="00996FE6">
        <w:rPr>
          <w:szCs w:val="22"/>
          <w:lang w:val="sv-SE"/>
        </w:rPr>
        <w:t>eka).</w:t>
      </w:r>
    </w:p>
    <w:p w14:paraId="623D3A14" w14:textId="77777777" w:rsidR="007F43D6" w:rsidRPr="00996FE6" w:rsidRDefault="007F43D6" w:rsidP="00E61461">
      <w:pPr>
        <w:rPr>
          <w:szCs w:val="22"/>
          <w:lang w:val="sv-SE"/>
        </w:rPr>
      </w:pPr>
    </w:p>
    <w:p w14:paraId="61E9F944" w14:textId="77777777" w:rsidR="007F43D6" w:rsidRPr="00996FE6" w:rsidRDefault="007F43D6" w:rsidP="00E61461">
      <w:pPr>
        <w:rPr>
          <w:szCs w:val="22"/>
          <w:lang w:val="sv-SE"/>
        </w:rPr>
      </w:pPr>
      <w:r w:rsidRPr="00996FE6">
        <w:rPr>
          <w:szCs w:val="22"/>
          <w:lang w:val="sv-SE"/>
        </w:rPr>
        <w:t>Iako se vankomicin ne eliminiše efikasno hemodijalizom ili peritonealnom dijalizom, prijavljeni su slučajevi povećanja klirensa vankomicina kod hemoperfuzije i hemofiltracije.</w:t>
      </w:r>
    </w:p>
    <w:p w14:paraId="680C8409" w14:textId="40331112" w:rsidR="007F43D6" w:rsidRPr="00996FE6" w:rsidRDefault="007F43D6" w:rsidP="00E61461">
      <w:pPr>
        <w:rPr>
          <w:szCs w:val="22"/>
          <w:lang w:val="sv-SE"/>
        </w:rPr>
      </w:pPr>
      <w:r w:rsidRPr="00996FE6">
        <w:rPr>
          <w:szCs w:val="22"/>
          <w:lang w:val="sv-SE"/>
        </w:rPr>
        <w:t>Nakon oralne prim</w:t>
      </w:r>
      <w:r w:rsidR="00880430" w:rsidRPr="00996FE6">
        <w:rPr>
          <w:szCs w:val="22"/>
          <w:lang w:val="sv-SE"/>
        </w:rPr>
        <w:t>j</w:t>
      </w:r>
      <w:r w:rsidRPr="00996FE6">
        <w:rPr>
          <w:szCs w:val="22"/>
          <w:lang w:val="sv-SE"/>
        </w:rPr>
        <w:t>ene, samo d</w:t>
      </w:r>
      <w:r w:rsidR="00880430" w:rsidRPr="00996FE6">
        <w:rPr>
          <w:szCs w:val="22"/>
          <w:lang w:val="sv-SE"/>
        </w:rPr>
        <w:t>i</w:t>
      </w:r>
      <w:r w:rsidRPr="00996FE6">
        <w:rPr>
          <w:szCs w:val="22"/>
          <w:lang w:val="sv-SE"/>
        </w:rPr>
        <w:t>o prim</w:t>
      </w:r>
      <w:r w:rsidR="00880430" w:rsidRPr="00996FE6">
        <w:rPr>
          <w:szCs w:val="22"/>
          <w:lang w:val="sv-SE"/>
        </w:rPr>
        <w:t>j</w:t>
      </w:r>
      <w:r w:rsidRPr="00996FE6">
        <w:rPr>
          <w:szCs w:val="22"/>
          <w:lang w:val="sv-SE"/>
        </w:rPr>
        <w:t>enjene doze se može naći u urinu. Nasuprot tome, visoke koncentracije vankomicina se nalaze u fecesu (&gt; 3100 mg/kg sa dozama od 2000 mg/dan).</w:t>
      </w:r>
    </w:p>
    <w:p w14:paraId="43324169" w14:textId="77777777" w:rsidR="007F43D6" w:rsidRPr="00996FE6" w:rsidRDefault="007F43D6" w:rsidP="00E61461">
      <w:pPr>
        <w:rPr>
          <w:szCs w:val="22"/>
          <w:lang w:val="sv-SE"/>
        </w:rPr>
      </w:pPr>
    </w:p>
    <w:p w14:paraId="7A042172" w14:textId="77777777" w:rsidR="007F43D6" w:rsidRPr="00996FE6" w:rsidRDefault="007F43D6" w:rsidP="00E61461">
      <w:pPr>
        <w:rPr>
          <w:szCs w:val="22"/>
          <w:u w:val="single"/>
          <w:lang w:val="sv-SE"/>
        </w:rPr>
      </w:pPr>
      <w:r w:rsidRPr="00996FE6">
        <w:rPr>
          <w:szCs w:val="22"/>
          <w:u w:val="single"/>
          <w:lang w:val="sv-SE"/>
        </w:rPr>
        <w:t>Linearnost/nelinearnost</w:t>
      </w:r>
    </w:p>
    <w:p w14:paraId="0B841D7C" w14:textId="473115B4" w:rsidR="007F43D6" w:rsidRPr="00996FE6" w:rsidRDefault="007F43D6" w:rsidP="00E61461">
      <w:pPr>
        <w:rPr>
          <w:szCs w:val="22"/>
          <w:lang w:val="sv-SE"/>
        </w:rPr>
      </w:pPr>
      <w:r w:rsidRPr="00996FE6">
        <w:rPr>
          <w:szCs w:val="22"/>
          <w:lang w:val="sv-SE"/>
        </w:rPr>
        <w:t>Koncentracija vankomicina se uglavnom povećava srazmerno povećanju doze. Koncentracije u plazmi nakon prim</w:t>
      </w:r>
      <w:r w:rsidR="00880430" w:rsidRPr="00996FE6">
        <w:rPr>
          <w:szCs w:val="22"/>
          <w:lang w:val="sv-SE"/>
        </w:rPr>
        <w:t>j</w:t>
      </w:r>
      <w:r w:rsidRPr="00996FE6">
        <w:rPr>
          <w:szCs w:val="22"/>
          <w:lang w:val="sv-SE"/>
        </w:rPr>
        <w:t>ene ponovljenih doza su slične sa onim nakon prim</w:t>
      </w:r>
      <w:r w:rsidR="00880430" w:rsidRPr="00996FE6">
        <w:rPr>
          <w:szCs w:val="22"/>
          <w:lang w:val="sv-SE"/>
        </w:rPr>
        <w:t>j</w:t>
      </w:r>
      <w:r w:rsidRPr="00996FE6">
        <w:rPr>
          <w:szCs w:val="22"/>
          <w:lang w:val="sv-SE"/>
        </w:rPr>
        <w:t>ene pojedinačne doze.</w:t>
      </w:r>
    </w:p>
    <w:p w14:paraId="666BD651" w14:textId="77777777" w:rsidR="007F43D6" w:rsidRPr="00996FE6" w:rsidRDefault="007F43D6" w:rsidP="00E61461">
      <w:pPr>
        <w:rPr>
          <w:szCs w:val="22"/>
          <w:lang w:val="sv-SE"/>
        </w:rPr>
      </w:pPr>
    </w:p>
    <w:p w14:paraId="5209CB13" w14:textId="77777777" w:rsidR="007F43D6" w:rsidRPr="00996FE6" w:rsidRDefault="007F43D6" w:rsidP="00E61461">
      <w:pPr>
        <w:rPr>
          <w:szCs w:val="22"/>
          <w:u w:val="single"/>
          <w:lang w:val="sv-SE"/>
        </w:rPr>
      </w:pPr>
      <w:r w:rsidRPr="00996FE6">
        <w:rPr>
          <w:szCs w:val="22"/>
          <w:u w:val="single"/>
          <w:lang w:val="sv-SE"/>
        </w:rPr>
        <w:t>Karakteristike u specifičnim grupama</w:t>
      </w:r>
    </w:p>
    <w:p w14:paraId="5CC07616" w14:textId="77777777" w:rsidR="007F43D6" w:rsidRPr="00996FE6" w:rsidRDefault="007F43D6" w:rsidP="00E61461">
      <w:pPr>
        <w:rPr>
          <w:szCs w:val="22"/>
          <w:lang w:val="sv-SE"/>
        </w:rPr>
      </w:pPr>
    </w:p>
    <w:p w14:paraId="5E7F1031" w14:textId="77777777" w:rsidR="007F43D6" w:rsidRPr="00996FE6" w:rsidRDefault="007F43D6" w:rsidP="00E61461">
      <w:pPr>
        <w:rPr>
          <w:i/>
          <w:szCs w:val="22"/>
          <w:lang w:val="sv-SE"/>
        </w:rPr>
      </w:pPr>
      <w:r w:rsidRPr="00996FE6">
        <w:rPr>
          <w:i/>
          <w:szCs w:val="22"/>
          <w:lang w:val="sv-SE"/>
        </w:rPr>
        <w:t>Oštećenje funkcije bubrega</w:t>
      </w:r>
    </w:p>
    <w:p w14:paraId="4B9D1EB6" w14:textId="01F2EC8F" w:rsidR="007F43D6" w:rsidRPr="00996FE6" w:rsidRDefault="007F43D6" w:rsidP="00E61461">
      <w:pPr>
        <w:rPr>
          <w:szCs w:val="22"/>
          <w:lang w:val="sv-SE"/>
        </w:rPr>
      </w:pPr>
      <w:r w:rsidRPr="00996FE6">
        <w:rPr>
          <w:szCs w:val="22"/>
          <w:lang w:val="sv-SE"/>
        </w:rPr>
        <w:t>Vankomicin se primarno eliminiše glomerularnom filtracijom. Kod pacijenata sa oštećenjem funkcije bubrega, poluvr</w:t>
      </w:r>
      <w:r w:rsidR="00880430" w:rsidRPr="00996FE6">
        <w:rPr>
          <w:szCs w:val="22"/>
          <w:lang w:val="sv-SE"/>
        </w:rPr>
        <w:t>ij</w:t>
      </w:r>
      <w:r w:rsidRPr="00996FE6">
        <w:rPr>
          <w:szCs w:val="22"/>
          <w:lang w:val="sv-SE"/>
        </w:rPr>
        <w:t xml:space="preserve">eme eliminacije vankomicina je produženo, a ukupni klirens smanjen. Optimalnu dozu treba izračunati u skladu sa preporukama za doziranje navedenim u </w:t>
      </w:r>
      <w:r w:rsidR="009F3C18" w:rsidRPr="00996FE6">
        <w:rPr>
          <w:szCs w:val="22"/>
          <w:lang w:val="sv-SE"/>
        </w:rPr>
        <w:t xml:space="preserve">dijelu </w:t>
      </w:r>
      <w:r w:rsidRPr="00996FE6">
        <w:rPr>
          <w:szCs w:val="22"/>
          <w:lang w:val="sv-SE"/>
        </w:rPr>
        <w:t>4.2 Doziranje i način prim</w:t>
      </w:r>
      <w:r w:rsidR="00880430" w:rsidRPr="00996FE6">
        <w:rPr>
          <w:szCs w:val="22"/>
          <w:lang w:val="sv-SE"/>
        </w:rPr>
        <w:t>j</w:t>
      </w:r>
      <w:r w:rsidRPr="00996FE6">
        <w:rPr>
          <w:szCs w:val="22"/>
          <w:lang w:val="sv-SE"/>
        </w:rPr>
        <w:t>ene.</w:t>
      </w:r>
    </w:p>
    <w:p w14:paraId="65B01012" w14:textId="77777777" w:rsidR="007F43D6" w:rsidRPr="00996FE6" w:rsidRDefault="007F43D6" w:rsidP="00E61461">
      <w:pPr>
        <w:rPr>
          <w:szCs w:val="22"/>
          <w:lang w:val="sv-SE"/>
        </w:rPr>
      </w:pPr>
    </w:p>
    <w:p w14:paraId="2E656838" w14:textId="77777777" w:rsidR="007F43D6" w:rsidRPr="00996FE6" w:rsidRDefault="007F43D6" w:rsidP="00E61461">
      <w:pPr>
        <w:rPr>
          <w:i/>
          <w:szCs w:val="22"/>
          <w:lang w:val="sv-SE"/>
        </w:rPr>
      </w:pPr>
      <w:r w:rsidRPr="00996FE6">
        <w:rPr>
          <w:i/>
          <w:szCs w:val="22"/>
          <w:lang w:val="sv-SE"/>
        </w:rPr>
        <w:t>Oštećenje funkcije jetre</w:t>
      </w:r>
    </w:p>
    <w:p w14:paraId="035BF27B" w14:textId="3444CF01" w:rsidR="007F43D6" w:rsidRPr="00996FE6" w:rsidRDefault="007F43D6" w:rsidP="00E61461">
      <w:pPr>
        <w:rPr>
          <w:szCs w:val="22"/>
          <w:lang w:val="sv-SE"/>
        </w:rPr>
      </w:pPr>
      <w:r w:rsidRPr="00996FE6">
        <w:rPr>
          <w:szCs w:val="22"/>
          <w:lang w:val="sv-SE"/>
        </w:rPr>
        <w:t>Farmakokinetika vankomicina nije prom</w:t>
      </w:r>
      <w:r w:rsidR="00880430" w:rsidRPr="00996FE6">
        <w:rPr>
          <w:szCs w:val="22"/>
          <w:lang w:val="sv-SE"/>
        </w:rPr>
        <w:t>j</w:t>
      </w:r>
      <w:r w:rsidRPr="00996FE6">
        <w:rPr>
          <w:szCs w:val="22"/>
          <w:lang w:val="sv-SE"/>
        </w:rPr>
        <w:t>enjena kod pacijenata sa oštećenjem funkcije jetre.</w:t>
      </w:r>
    </w:p>
    <w:p w14:paraId="79720CC1" w14:textId="77777777" w:rsidR="007F43D6" w:rsidRPr="00996FE6" w:rsidRDefault="007F43D6" w:rsidP="00E61461">
      <w:pPr>
        <w:rPr>
          <w:szCs w:val="22"/>
          <w:lang w:val="sv-SE"/>
        </w:rPr>
      </w:pPr>
    </w:p>
    <w:p w14:paraId="27605189" w14:textId="77777777" w:rsidR="007F43D6" w:rsidRPr="00996FE6" w:rsidRDefault="007F43D6" w:rsidP="00E61461">
      <w:pPr>
        <w:rPr>
          <w:i/>
          <w:szCs w:val="22"/>
          <w:lang w:val="sv-SE"/>
        </w:rPr>
      </w:pPr>
      <w:r w:rsidRPr="00996FE6">
        <w:rPr>
          <w:i/>
          <w:szCs w:val="22"/>
          <w:lang w:val="sv-SE"/>
        </w:rPr>
        <w:t>Trudnice</w:t>
      </w:r>
    </w:p>
    <w:p w14:paraId="3524AD57" w14:textId="13976923" w:rsidR="007F43D6" w:rsidRPr="00996FE6" w:rsidRDefault="007F43D6" w:rsidP="00E61461">
      <w:pPr>
        <w:rPr>
          <w:szCs w:val="22"/>
          <w:lang w:val="sv-SE"/>
        </w:rPr>
      </w:pPr>
      <w:r w:rsidRPr="00996FE6">
        <w:rPr>
          <w:szCs w:val="22"/>
          <w:lang w:val="sv-SE"/>
        </w:rPr>
        <w:t>Kod trudnica je ponekad potrebno značajno povećanje doze vankomicina da bi se postigle terapijske koncentracije l</w:t>
      </w:r>
      <w:r w:rsidR="00C52093" w:rsidRPr="00996FE6">
        <w:rPr>
          <w:szCs w:val="22"/>
          <w:lang w:val="sv-SE"/>
        </w:rPr>
        <w:t>ij</w:t>
      </w:r>
      <w:r w:rsidRPr="00996FE6">
        <w:rPr>
          <w:szCs w:val="22"/>
          <w:lang w:val="sv-SE"/>
        </w:rPr>
        <w:t>eka u serumu (vid</w:t>
      </w:r>
      <w:r w:rsidR="00C52093" w:rsidRPr="00996FE6">
        <w:rPr>
          <w:szCs w:val="22"/>
          <w:lang w:val="sv-SE"/>
        </w:rPr>
        <w:t>j</w:t>
      </w:r>
      <w:r w:rsidRPr="00996FE6">
        <w:rPr>
          <w:szCs w:val="22"/>
          <w:lang w:val="sv-SE"/>
        </w:rPr>
        <w:t xml:space="preserve">eti </w:t>
      </w:r>
      <w:r w:rsidR="009F3C18" w:rsidRPr="00996FE6">
        <w:rPr>
          <w:szCs w:val="22"/>
          <w:lang w:val="sv-SE"/>
        </w:rPr>
        <w:t xml:space="preserve">dio </w:t>
      </w:r>
      <w:r w:rsidRPr="00996FE6">
        <w:rPr>
          <w:szCs w:val="22"/>
          <w:lang w:val="sv-SE"/>
        </w:rPr>
        <w:t>4.6).</w:t>
      </w:r>
    </w:p>
    <w:p w14:paraId="5B1AC1C3" w14:textId="77777777" w:rsidR="007F43D6" w:rsidRPr="00996FE6" w:rsidRDefault="007F43D6" w:rsidP="00E61461">
      <w:pPr>
        <w:rPr>
          <w:szCs w:val="22"/>
          <w:lang w:val="sv-SE"/>
        </w:rPr>
      </w:pPr>
    </w:p>
    <w:p w14:paraId="2C8849E8" w14:textId="77777777" w:rsidR="007F43D6" w:rsidRPr="00996FE6" w:rsidRDefault="007F43D6" w:rsidP="00E61461">
      <w:pPr>
        <w:rPr>
          <w:i/>
          <w:szCs w:val="22"/>
          <w:lang w:val="sv-SE"/>
        </w:rPr>
      </w:pPr>
      <w:r w:rsidRPr="00996FE6">
        <w:rPr>
          <w:i/>
          <w:szCs w:val="22"/>
          <w:lang w:val="sv-SE"/>
        </w:rPr>
        <w:t>Gojazni pacijenti</w:t>
      </w:r>
    </w:p>
    <w:p w14:paraId="03880A9F" w14:textId="78C53995" w:rsidR="007F43D6" w:rsidRPr="00996FE6" w:rsidRDefault="007F43D6" w:rsidP="00E61461">
      <w:pPr>
        <w:rPr>
          <w:szCs w:val="22"/>
          <w:lang w:val="sv-SE"/>
        </w:rPr>
      </w:pPr>
      <w:r w:rsidRPr="00996FE6">
        <w:rPr>
          <w:szCs w:val="22"/>
          <w:lang w:val="sv-SE"/>
        </w:rPr>
        <w:t>Distribucija vankomicina se može prom</w:t>
      </w:r>
      <w:r w:rsidR="00C52093" w:rsidRPr="00996FE6">
        <w:rPr>
          <w:szCs w:val="22"/>
          <w:lang w:val="sv-SE"/>
        </w:rPr>
        <w:t>j</w:t>
      </w:r>
      <w:r w:rsidRPr="00996FE6">
        <w:rPr>
          <w:szCs w:val="22"/>
          <w:lang w:val="sv-SE"/>
        </w:rPr>
        <w:t>eniti kod pacijenata sa povećanom t</w:t>
      </w:r>
      <w:r w:rsidR="00C52093" w:rsidRPr="00996FE6">
        <w:rPr>
          <w:szCs w:val="22"/>
          <w:lang w:val="sv-SE"/>
        </w:rPr>
        <w:t>j</w:t>
      </w:r>
      <w:r w:rsidRPr="00996FE6">
        <w:rPr>
          <w:szCs w:val="22"/>
          <w:lang w:val="sv-SE"/>
        </w:rPr>
        <w:t>elesnom masom zbog povećanja volumena distribucije i klirensa bubrega kao i mogućih prom</w:t>
      </w:r>
      <w:r w:rsidR="00C52093" w:rsidRPr="00996FE6">
        <w:rPr>
          <w:szCs w:val="22"/>
          <w:lang w:val="sv-SE"/>
        </w:rPr>
        <w:t>j</w:t>
      </w:r>
      <w:r w:rsidRPr="00996FE6">
        <w:rPr>
          <w:szCs w:val="22"/>
          <w:lang w:val="sv-SE"/>
        </w:rPr>
        <w:t xml:space="preserve">ena vezivanja proteina u plazmi. </w:t>
      </w:r>
    </w:p>
    <w:p w14:paraId="150C383A" w14:textId="5042B43E" w:rsidR="007F43D6" w:rsidRPr="00996FE6" w:rsidRDefault="007F43D6" w:rsidP="00E61461">
      <w:pPr>
        <w:rPr>
          <w:szCs w:val="22"/>
          <w:lang w:val="sv-SE"/>
        </w:rPr>
      </w:pPr>
      <w:r w:rsidRPr="00996FE6">
        <w:rPr>
          <w:szCs w:val="22"/>
          <w:lang w:val="sv-SE"/>
        </w:rPr>
        <w:t>U ovim subpopulacijama, koncentracije vankomicina u serumu bile su veće od očekivanih kod zdravih, odraslih muških osoba (vid</w:t>
      </w:r>
      <w:r w:rsidR="00C52093" w:rsidRPr="00996FE6">
        <w:rPr>
          <w:szCs w:val="22"/>
          <w:lang w:val="sv-SE"/>
        </w:rPr>
        <w:t>j</w:t>
      </w:r>
      <w:r w:rsidRPr="00996FE6">
        <w:rPr>
          <w:szCs w:val="22"/>
          <w:lang w:val="sv-SE"/>
        </w:rPr>
        <w:t xml:space="preserve">eti </w:t>
      </w:r>
      <w:r w:rsidR="009F3C18" w:rsidRPr="00996FE6">
        <w:rPr>
          <w:szCs w:val="22"/>
          <w:lang w:val="sv-SE"/>
        </w:rPr>
        <w:t xml:space="preserve">dio </w:t>
      </w:r>
      <w:r w:rsidRPr="00996FE6">
        <w:rPr>
          <w:szCs w:val="22"/>
          <w:lang w:val="sv-SE"/>
        </w:rPr>
        <w:t>4.2).</w:t>
      </w:r>
    </w:p>
    <w:p w14:paraId="10D5C0F8" w14:textId="77777777" w:rsidR="007F43D6" w:rsidRPr="00996FE6" w:rsidRDefault="007F43D6" w:rsidP="00E61461">
      <w:pPr>
        <w:rPr>
          <w:szCs w:val="22"/>
          <w:lang w:val="sv-SE"/>
        </w:rPr>
      </w:pPr>
    </w:p>
    <w:p w14:paraId="7358B0E6" w14:textId="77777777" w:rsidR="007F43D6" w:rsidRPr="00996FE6" w:rsidRDefault="007F43D6" w:rsidP="00986F86">
      <w:pPr>
        <w:keepNext/>
        <w:keepLines/>
        <w:rPr>
          <w:i/>
          <w:szCs w:val="22"/>
          <w:lang w:val="sv-SE"/>
        </w:rPr>
      </w:pPr>
      <w:r w:rsidRPr="00996FE6">
        <w:rPr>
          <w:i/>
          <w:szCs w:val="22"/>
          <w:lang w:val="sv-SE"/>
        </w:rPr>
        <w:lastRenderedPageBreak/>
        <w:t>Pedijatrijska populacija</w:t>
      </w:r>
    </w:p>
    <w:p w14:paraId="2C95A464" w14:textId="4FAFEE0C" w:rsidR="007F43D6" w:rsidRPr="00996FE6" w:rsidRDefault="007F43D6" w:rsidP="00986F86">
      <w:pPr>
        <w:keepNext/>
        <w:keepLines/>
        <w:autoSpaceDE w:val="0"/>
        <w:autoSpaceDN w:val="0"/>
        <w:adjustRightInd w:val="0"/>
        <w:rPr>
          <w:szCs w:val="22"/>
          <w:lang w:val="sv-SE"/>
        </w:rPr>
      </w:pPr>
      <w:r w:rsidRPr="00996FE6">
        <w:rPr>
          <w:szCs w:val="22"/>
          <w:lang w:val="sv-SE"/>
        </w:rPr>
        <w:t>Vankomicin je pokazao široku inter-individualnu varijabilnost kod pr</w:t>
      </w:r>
      <w:r w:rsidR="00C52093" w:rsidRPr="00996FE6">
        <w:rPr>
          <w:szCs w:val="22"/>
          <w:lang w:val="sv-SE"/>
        </w:rPr>
        <w:t>ij</w:t>
      </w:r>
      <w:r w:rsidRPr="00996FE6">
        <w:rPr>
          <w:szCs w:val="22"/>
          <w:lang w:val="sv-SE"/>
        </w:rPr>
        <w:t xml:space="preserve">evremeno rođene i novorođenčadi rođene u terminu. Kod novorođenčadi, nakon intravenske upotrebe, volumen distribucije vankomicina varira između 0,38 i 0,97 </w:t>
      </w:r>
      <w:r w:rsidR="009F3C18" w:rsidRPr="00996FE6">
        <w:rPr>
          <w:szCs w:val="22"/>
          <w:lang w:val="sv-SE"/>
        </w:rPr>
        <w:t>l</w:t>
      </w:r>
      <w:r w:rsidRPr="00996FE6">
        <w:rPr>
          <w:szCs w:val="22"/>
          <w:lang w:val="sv-SE"/>
        </w:rPr>
        <w:t>/kg, slično kao kod odraslih, dok klirens varira između 0,63 i 1,4 m</w:t>
      </w:r>
      <w:r w:rsidR="00726B4C" w:rsidRPr="00996FE6">
        <w:rPr>
          <w:szCs w:val="22"/>
          <w:lang w:val="sv-SE"/>
        </w:rPr>
        <w:t>l</w:t>
      </w:r>
      <w:r w:rsidRPr="00996FE6">
        <w:rPr>
          <w:szCs w:val="22"/>
          <w:lang w:val="sv-SE"/>
        </w:rPr>
        <w:t>/kg/min. Poluvr</w:t>
      </w:r>
      <w:r w:rsidR="00C52093" w:rsidRPr="00996FE6">
        <w:rPr>
          <w:szCs w:val="22"/>
          <w:lang w:val="sv-SE"/>
        </w:rPr>
        <w:t>ij</w:t>
      </w:r>
      <w:r w:rsidRPr="00996FE6">
        <w:rPr>
          <w:szCs w:val="22"/>
          <w:lang w:val="sv-SE"/>
        </w:rPr>
        <w:t>eme eliminacije varira između 3,5 i 10 sati i duže je nego kod odraslih, što odražava uobičajeno niže vr</w:t>
      </w:r>
      <w:r w:rsidR="00C52093" w:rsidRPr="00996FE6">
        <w:rPr>
          <w:szCs w:val="22"/>
          <w:lang w:val="sv-SE"/>
        </w:rPr>
        <w:t>ij</w:t>
      </w:r>
      <w:r w:rsidRPr="00996FE6">
        <w:rPr>
          <w:szCs w:val="22"/>
          <w:lang w:val="sv-SE"/>
        </w:rPr>
        <w:t>ednosti za klirens kod novorođenčadi.</w:t>
      </w:r>
    </w:p>
    <w:p w14:paraId="7C8BC072" w14:textId="77777777" w:rsidR="007F43D6" w:rsidRPr="00996FE6" w:rsidRDefault="007F43D6">
      <w:pPr>
        <w:autoSpaceDE w:val="0"/>
        <w:autoSpaceDN w:val="0"/>
        <w:adjustRightInd w:val="0"/>
        <w:rPr>
          <w:szCs w:val="22"/>
          <w:lang w:val="sv-SE"/>
        </w:rPr>
      </w:pPr>
    </w:p>
    <w:p w14:paraId="3A61A183" w14:textId="0F08D3B4" w:rsidR="007F43D6" w:rsidRPr="00996FE6" w:rsidRDefault="007F43D6">
      <w:pPr>
        <w:autoSpaceDE w:val="0"/>
        <w:autoSpaceDN w:val="0"/>
        <w:adjustRightInd w:val="0"/>
        <w:rPr>
          <w:szCs w:val="22"/>
          <w:lang w:val="sv-SE"/>
        </w:rPr>
      </w:pPr>
      <w:r w:rsidRPr="00996FE6">
        <w:rPr>
          <w:szCs w:val="22"/>
          <w:lang w:val="sv-SE"/>
        </w:rPr>
        <w:t>Kod novorođenčadi i starije d</w:t>
      </w:r>
      <w:r w:rsidR="00C52093" w:rsidRPr="00996FE6">
        <w:rPr>
          <w:szCs w:val="22"/>
          <w:lang w:val="sv-SE"/>
        </w:rPr>
        <w:t>j</w:t>
      </w:r>
      <w:r w:rsidRPr="00996FE6">
        <w:rPr>
          <w:szCs w:val="22"/>
          <w:lang w:val="sv-SE"/>
        </w:rPr>
        <w:t xml:space="preserve">ece, volumen distribucije je između 0,26-1,05 </w:t>
      </w:r>
      <w:r w:rsidR="00726B4C" w:rsidRPr="00996FE6">
        <w:rPr>
          <w:szCs w:val="22"/>
          <w:lang w:val="sv-SE"/>
        </w:rPr>
        <w:t>l</w:t>
      </w:r>
      <w:r w:rsidRPr="00996FE6">
        <w:rPr>
          <w:szCs w:val="22"/>
          <w:lang w:val="sv-SE"/>
        </w:rPr>
        <w:t>/kg, dok je klirens između 0,33-1,87 m</w:t>
      </w:r>
      <w:r w:rsidR="00726B4C" w:rsidRPr="00996FE6">
        <w:rPr>
          <w:szCs w:val="22"/>
          <w:lang w:val="sv-SE"/>
        </w:rPr>
        <w:t>l</w:t>
      </w:r>
      <w:r w:rsidRPr="00996FE6">
        <w:rPr>
          <w:szCs w:val="22"/>
          <w:lang w:val="sv-SE"/>
        </w:rPr>
        <w:t>/kg/min.</w:t>
      </w:r>
    </w:p>
    <w:p w14:paraId="0E3A9C8F" w14:textId="77777777" w:rsidR="00866670" w:rsidRPr="00996FE6" w:rsidRDefault="00866670" w:rsidP="004D2765">
      <w:pPr>
        <w:jc w:val="left"/>
        <w:rPr>
          <w:szCs w:val="22"/>
          <w:lang w:val="it-IT"/>
        </w:rPr>
      </w:pPr>
    </w:p>
    <w:p w14:paraId="54977E26" w14:textId="7DB4F317" w:rsidR="00CE09F3" w:rsidRPr="00996FE6" w:rsidRDefault="00CE09F3" w:rsidP="00E61461">
      <w:pPr>
        <w:rPr>
          <w:b/>
          <w:bCs/>
          <w:szCs w:val="22"/>
          <w:lang w:val="it-IT"/>
        </w:rPr>
      </w:pPr>
      <w:r w:rsidRPr="00996FE6">
        <w:rPr>
          <w:b/>
          <w:bCs/>
          <w:szCs w:val="22"/>
          <w:lang w:val="ru-RU"/>
        </w:rPr>
        <w:t>5.3. Pretklinički podaci o bezbednosti</w:t>
      </w:r>
    </w:p>
    <w:p w14:paraId="454F888B" w14:textId="77777777" w:rsidR="001A70E9" w:rsidRPr="00996FE6" w:rsidRDefault="001A70E9" w:rsidP="004D2765">
      <w:pPr>
        <w:autoSpaceDE w:val="0"/>
        <w:autoSpaceDN w:val="0"/>
        <w:adjustRightInd w:val="0"/>
        <w:rPr>
          <w:szCs w:val="22"/>
          <w:lang w:val="pl-PL"/>
        </w:rPr>
      </w:pPr>
    </w:p>
    <w:p w14:paraId="0B3C7642" w14:textId="6EFEF024" w:rsidR="001A70E9" w:rsidRPr="00996FE6" w:rsidRDefault="001A70E9" w:rsidP="00726B4C">
      <w:pPr>
        <w:autoSpaceDE w:val="0"/>
        <w:autoSpaceDN w:val="0"/>
        <w:adjustRightInd w:val="0"/>
        <w:rPr>
          <w:szCs w:val="22"/>
          <w:lang w:val="pl-PL"/>
        </w:rPr>
      </w:pPr>
      <w:r w:rsidRPr="00996FE6">
        <w:rPr>
          <w:szCs w:val="22"/>
          <w:lang w:val="pl-PL"/>
        </w:rPr>
        <w:t>Pretklinički podaci ne ukazuju na poseban rizik za ljude, na osnovu konvencionalnih studija koje ispituju farmakološku bezbjednost i toksičnost nakon ponovljene doze.</w:t>
      </w:r>
    </w:p>
    <w:p w14:paraId="29918BA2" w14:textId="77777777" w:rsidR="001A70E9" w:rsidRPr="00996FE6" w:rsidRDefault="001A70E9">
      <w:pPr>
        <w:autoSpaceDE w:val="0"/>
        <w:autoSpaceDN w:val="0"/>
        <w:adjustRightInd w:val="0"/>
        <w:rPr>
          <w:szCs w:val="22"/>
          <w:lang w:val="pl-PL"/>
        </w:rPr>
      </w:pPr>
      <w:r w:rsidRPr="00996FE6">
        <w:rPr>
          <w:szCs w:val="22"/>
          <w:lang w:val="pl-PL"/>
        </w:rPr>
        <w:t>Dostupni su ograničeni podaci o mutagenim efektima i oni ne ukazuju na postojanje bilo kakvog rizika. Nijesu dostupne dugotrajne studije kojima se ispituje kancerogeni potencijal na životinjama. U studijama teratogenosti, u kojima su pacovi i kunići primali doze koje, u odnosu na površinu tijela približno odgovaraju humanim, nijesu zabilježeni direktni, niti indirektni teratogeni efekti.</w:t>
      </w:r>
    </w:p>
    <w:p w14:paraId="4B477071" w14:textId="4FA68E88" w:rsidR="009D463C" w:rsidRPr="00996FE6" w:rsidRDefault="001A70E9" w:rsidP="00E61461">
      <w:pPr>
        <w:pStyle w:val="NASLOV123"/>
        <w:spacing w:before="0" w:after="0"/>
        <w:jc w:val="both"/>
        <w:rPr>
          <w:b w:val="0"/>
          <w:lang w:val="pl-PL"/>
        </w:rPr>
      </w:pPr>
      <w:r w:rsidRPr="00996FE6">
        <w:rPr>
          <w:b w:val="0"/>
          <w:lang w:val="pl-PL"/>
        </w:rPr>
        <w:t>Nijesu dostupne perinatalne/posnatalne studije  na životinjama, kao ni studije fertilnosti.</w:t>
      </w:r>
    </w:p>
    <w:p w14:paraId="107F78DE" w14:textId="77777777" w:rsidR="001A70E9" w:rsidRPr="00996FE6" w:rsidRDefault="001A70E9" w:rsidP="00E61461">
      <w:pPr>
        <w:pStyle w:val="NASLOV123"/>
        <w:spacing w:before="0" w:after="0"/>
        <w:jc w:val="both"/>
        <w:rPr>
          <w:b w:val="0"/>
          <w:lang w:val="sr-Latn-RS"/>
        </w:rPr>
      </w:pPr>
    </w:p>
    <w:p w14:paraId="3BD9817C" w14:textId="77777777" w:rsidR="004D2765" w:rsidRPr="00996FE6" w:rsidRDefault="004D2765" w:rsidP="004D2765">
      <w:pPr>
        <w:pStyle w:val="NASLOV123"/>
        <w:spacing w:before="0" w:after="0"/>
        <w:rPr>
          <w:b w:val="0"/>
          <w:lang w:val="sr-Latn-RS"/>
        </w:rPr>
      </w:pPr>
    </w:p>
    <w:p w14:paraId="54977E2E" w14:textId="77777777" w:rsidR="00CE09F3" w:rsidRPr="00996FE6" w:rsidRDefault="00CE09F3" w:rsidP="004D2765">
      <w:pPr>
        <w:pStyle w:val="NASLOV123"/>
        <w:spacing w:before="0" w:after="0"/>
        <w:rPr>
          <w:lang w:val="sr-Latn-RS"/>
        </w:rPr>
      </w:pPr>
      <w:r w:rsidRPr="00996FE6">
        <w:rPr>
          <w:lang w:val="sr-Latn-RS"/>
        </w:rPr>
        <w:t>6. FARMACEUTSKI PODACI</w:t>
      </w:r>
    </w:p>
    <w:p w14:paraId="723BA643" w14:textId="77777777" w:rsidR="004D2765" w:rsidRPr="00996FE6" w:rsidRDefault="004D2765" w:rsidP="004D2765">
      <w:pPr>
        <w:pStyle w:val="NASLOV123"/>
        <w:spacing w:before="0" w:after="0"/>
        <w:rPr>
          <w:lang w:val="sr-Latn-RS"/>
        </w:rPr>
      </w:pPr>
    </w:p>
    <w:p w14:paraId="54977E2F" w14:textId="565DEF55" w:rsidR="00CE09F3" w:rsidRPr="00996FE6" w:rsidRDefault="00CE09F3" w:rsidP="004D2765">
      <w:pPr>
        <w:jc w:val="left"/>
        <w:rPr>
          <w:b/>
          <w:bCs/>
          <w:szCs w:val="22"/>
          <w:lang w:val="sr-Latn-CS"/>
        </w:rPr>
      </w:pPr>
      <w:r w:rsidRPr="00996FE6">
        <w:rPr>
          <w:b/>
          <w:bCs/>
          <w:szCs w:val="22"/>
          <w:lang w:val="sr-Latn-RS"/>
        </w:rPr>
        <w:t>6.1. Lista pomo</w:t>
      </w:r>
      <w:r w:rsidRPr="00996FE6">
        <w:rPr>
          <w:b/>
          <w:bCs/>
          <w:szCs w:val="22"/>
          <w:lang w:val="sr-Latn-CS"/>
        </w:rPr>
        <w:t>ćnih supstanci</w:t>
      </w:r>
      <w:r w:rsidR="00CE7DBC" w:rsidRPr="00996FE6">
        <w:rPr>
          <w:b/>
          <w:bCs/>
          <w:szCs w:val="22"/>
          <w:lang w:val="sr-Latn-CS"/>
        </w:rPr>
        <w:t xml:space="preserve"> </w:t>
      </w:r>
      <w:r w:rsidR="00D335CE" w:rsidRPr="00996FE6">
        <w:rPr>
          <w:b/>
          <w:bCs/>
          <w:szCs w:val="22"/>
          <w:lang w:val="sr-Latn-RS"/>
        </w:rPr>
        <w:t>(ekscipijenasa)</w:t>
      </w:r>
      <w:r w:rsidR="00CE7DBC" w:rsidRPr="00996FE6">
        <w:rPr>
          <w:b/>
          <w:bCs/>
          <w:szCs w:val="22"/>
          <w:lang w:val="sr-Latn-CS"/>
        </w:rPr>
        <w:t xml:space="preserve"> </w:t>
      </w:r>
    </w:p>
    <w:p w14:paraId="54977E30" w14:textId="77777777" w:rsidR="003454BE" w:rsidRPr="00996FE6" w:rsidRDefault="003454BE" w:rsidP="004D2765">
      <w:pPr>
        <w:pStyle w:val="Header"/>
        <w:tabs>
          <w:tab w:val="clear" w:pos="4536"/>
          <w:tab w:val="clear" w:pos="9072"/>
          <w:tab w:val="left" w:pos="284"/>
        </w:tabs>
        <w:jc w:val="left"/>
        <w:rPr>
          <w:noProof/>
          <w:szCs w:val="22"/>
          <w:lang w:val="sr-Latn-RS"/>
        </w:rPr>
      </w:pPr>
    </w:p>
    <w:p w14:paraId="1E4DFE4B" w14:textId="341B0B09" w:rsidR="00DE594D" w:rsidRPr="00996FE6" w:rsidRDefault="00EA5824" w:rsidP="004D2765">
      <w:pPr>
        <w:jc w:val="left"/>
        <w:rPr>
          <w:szCs w:val="22"/>
          <w:lang w:val="sr-Latn-RS"/>
        </w:rPr>
      </w:pPr>
      <w:r w:rsidRPr="00996FE6">
        <w:rPr>
          <w:szCs w:val="22"/>
          <w:lang w:val="pl-PL"/>
        </w:rPr>
        <w:t xml:space="preserve">Lijek ne sadrži </w:t>
      </w:r>
      <w:r w:rsidR="001A70E9" w:rsidRPr="00996FE6">
        <w:rPr>
          <w:szCs w:val="22"/>
          <w:lang w:val="pl-PL"/>
        </w:rPr>
        <w:t>pomoćn</w:t>
      </w:r>
      <w:r w:rsidRPr="00996FE6">
        <w:rPr>
          <w:szCs w:val="22"/>
          <w:lang w:val="pl-PL"/>
        </w:rPr>
        <w:t>e</w:t>
      </w:r>
      <w:r w:rsidR="001A70E9" w:rsidRPr="00996FE6">
        <w:rPr>
          <w:szCs w:val="22"/>
          <w:lang w:val="pl-PL"/>
        </w:rPr>
        <w:t xml:space="preserve"> supstanc</w:t>
      </w:r>
      <w:r w:rsidRPr="00996FE6">
        <w:rPr>
          <w:szCs w:val="22"/>
          <w:lang w:val="pl-PL"/>
        </w:rPr>
        <w:t>e</w:t>
      </w:r>
      <w:r w:rsidR="001A70E9" w:rsidRPr="00996FE6">
        <w:rPr>
          <w:szCs w:val="22"/>
          <w:lang w:val="pl-PL"/>
        </w:rPr>
        <w:t>.</w:t>
      </w:r>
    </w:p>
    <w:p w14:paraId="36AEE734" w14:textId="77777777" w:rsidR="00F82CE2" w:rsidRPr="00996FE6" w:rsidRDefault="00F82CE2" w:rsidP="004D2765">
      <w:pPr>
        <w:jc w:val="left"/>
        <w:rPr>
          <w:szCs w:val="22"/>
          <w:lang w:val="sr-Latn-RS"/>
        </w:rPr>
      </w:pPr>
    </w:p>
    <w:p w14:paraId="54977E35" w14:textId="75664A87" w:rsidR="00CE09F3" w:rsidRPr="00996FE6" w:rsidRDefault="00CE09F3" w:rsidP="004D2765">
      <w:pPr>
        <w:jc w:val="left"/>
        <w:rPr>
          <w:b/>
          <w:bCs/>
          <w:szCs w:val="22"/>
          <w:lang w:val="sr-Latn-RS"/>
        </w:rPr>
      </w:pPr>
      <w:r w:rsidRPr="00996FE6">
        <w:rPr>
          <w:b/>
          <w:bCs/>
          <w:szCs w:val="22"/>
          <w:lang w:val="sr-Latn-RS"/>
        </w:rPr>
        <w:t>6.2. Inkompatibilnost</w:t>
      </w:r>
      <w:r w:rsidR="004D2765" w:rsidRPr="00996FE6">
        <w:rPr>
          <w:b/>
          <w:bCs/>
          <w:szCs w:val="22"/>
          <w:lang w:val="sr-Latn-RS"/>
        </w:rPr>
        <w:t>i</w:t>
      </w:r>
    </w:p>
    <w:p w14:paraId="54977E36" w14:textId="77777777" w:rsidR="003454BE" w:rsidRPr="00996FE6" w:rsidRDefault="003454BE" w:rsidP="004D2765">
      <w:pPr>
        <w:jc w:val="left"/>
        <w:rPr>
          <w:szCs w:val="22"/>
          <w:lang w:val="sr-Latn-RS"/>
        </w:rPr>
      </w:pPr>
    </w:p>
    <w:p w14:paraId="3DB64B8A" w14:textId="0677AF9B" w:rsidR="007F43D6" w:rsidRPr="00996FE6" w:rsidRDefault="001A70E9" w:rsidP="007F43D6">
      <w:pPr>
        <w:autoSpaceDE w:val="0"/>
        <w:autoSpaceDN w:val="0"/>
        <w:adjustRightInd w:val="0"/>
        <w:rPr>
          <w:szCs w:val="22"/>
          <w:lang w:val="pl-PL"/>
        </w:rPr>
      </w:pPr>
      <w:r w:rsidRPr="00996FE6">
        <w:rPr>
          <w:szCs w:val="22"/>
          <w:lang w:val="pl-PL"/>
        </w:rPr>
        <w:t xml:space="preserve">Rastvori vankomicina imaju nisku pH-vrijednost. Ovo može dovesti do hemijske ili fizičke nestabilnosti ako se miješaju sa drugim supstancama. </w:t>
      </w:r>
      <w:r w:rsidR="007F43D6" w:rsidRPr="00996FE6">
        <w:rPr>
          <w:szCs w:val="22"/>
          <w:lang w:val="pl-PL"/>
        </w:rPr>
        <w:t>Treba iz</w:t>
      </w:r>
      <w:r w:rsidR="00C52093" w:rsidRPr="00996FE6">
        <w:rPr>
          <w:szCs w:val="22"/>
          <w:lang w:val="pl-PL"/>
        </w:rPr>
        <w:t>bj</w:t>
      </w:r>
      <w:r w:rsidR="007F43D6" w:rsidRPr="00996FE6">
        <w:rPr>
          <w:szCs w:val="22"/>
          <w:lang w:val="pl-PL"/>
        </w:rPr>
        <w:t>egavati m</w:t>
      </w:r>
      <w:r w:rsidR="00C52093" w:rsidRPr="00996FE6">
        <w:rPr>
          <w:szCs w:val="22"/>
          <w:lang w:val="pl-PL"/>
        </w:rPr>
        <w:t>ij</w:t>
      </w:r>
      <w:r w:rsidR="007F43D6" w:rsidRPr="00996FE6">
        <w:rPr>
          <w:szCs w:val="22"/>
          <w:lang w:val="pl-PL"/>
        </w:rPr>
        <w:t xml:space="preserve">ešanje sa baznim rastvorima. </w:t>
      </w:r>
    </w:p>
    <w:p w14:paraId="157CCA0C" w14:textId="77777777" w:rsidR="007F43D6" w:rsidRPr="00996FE6" w:rsidRDefault="007F43D6" w:rsidP="007F43D6">
      <w:pPr>
        <w:autoSpaceDE w:val="0"/>
        <w:autoSpaceDN w:val="0"/>
        <w:adjustRightInd w:val="0"/>
        <w:rPr>
          <w:szCs w:val="22"/>
          <w:lang w:val="pl-PL"/>
        </w:rPr>
      </w:pPr>
    </w:p>
    <w:p w14:paraId="6F5FEAD3" w14:textId="6711B87F" w:rsidR="007F43D6" w:rsidRPr="00996FE6" w:rsidRDefault="007F43D6" w:rsidP="007F43D6">
      <w:pPr>
        <w:autoSpaceDE w:val="0"/>
        <w:autoSpaceDN w:val="0"/>
        <w:adjustRightInd w:val="0"/>
        <w:rPr>
          <w:szCs w:val="22"/>
          <w:lang w:val="pl-PL"/>
        </w:rPr>
      </w:pPr>
      <w:r w:rsidRPr="00996FE6">
        <w:rPr>
          <w:szCs w:val="22"/>
          <w:lang w:val="pl-PL"/>
        </w:rPr>
        <w:t>Pokazalo se da postoji fizička inkompatibilnost između rastvora vankomicina i beta-laktamskih antibiotika, kada se rastvori pom</w:t>
      </w:r>
      <w:r w:rsidR="00C52093" w:rsidRPr="00996FE6">
        <w:rPr>
          <w:szCs w:val="22"/>
          <w:lang w:val="pl-PL"/>
        </w:rPr>
        <w:t>ij</w:t>
      </w:r>
      <w:r w:rsidRPr="00996FE6">
        <w:rPr>
          <w:szCs w:val="22"/>
          <w:lang w:val="pl-PL"/>
        </w:rPr>
        <w:t>ešaju. Verovatnoća za pojavu taloga se povećava pri većim koncentracijama vankomicina. Preporučuje se da se intravenski putevi dobro isperu između prim</w:t>
      </w:r>
      <w:r w:rsidR="00C52093" w:rsidRPr="00996FE6">
        <w:rPr>
          <w:szCs w:val="22"/>
          <w:lang w:val="pl-PL"/>
        </w:rPr>
        <w:t>j</w:t>
      </w:r>
      <w:r w:rsidRPr="00996FE6">
        <w:rPr>
          <w:szCs w:val="22"/>
          <w:lang w:val="pl-PL"/>
        </w:rPr>
        <w:t>ene ovih antibiotika. Takođe se sav</w:t>
      </w:r>
      <w:r w:rsidR="00C52093" w:rsidRPr="00996FE6">
        <w:rPr>
          <w:szCs w:val="22"/>
          <w:lang w:val="pl-PL"/>
        </w:rPr>
        <w:t>j</w:t>
      </w:r>
      <w:r w:rsidRPr="00996FE6">
        <w:rPr>
          <w:szCs w:val="22"/>
          <w:lang w:val="pl-PL"/>
        </w:rPr>
        <w:t>etuje da se rastvori vankomicina razblaže na koncentraciju od 5 mg/</w:t>
      </w:r>
      <w:r w:rsidR="00EA5824" w:rsidRPr="00996FE6">
        <w:rPr>
          <w:szCs w:val="22"/>
          <w:lang w:val="pl-PL"/>
        </w:rPr>
        <w:t xml:space="preserve">ml </w:t>
      </w:r>
      <w:r w:rsidRPr="00996FE6">
        <w:rPr>
          <w:szCs w:val="22"/>
          <w:lang w:val="pl-PL"/>
        </w:rPr>
        <w:t>ili manju.</w:t>
      </w:r>
    </w:p>
    <w:p w14:paraId="4DC090E5" w14:textId="77777777" w:rsidR="007F43D6" w:rsidRPr="00996FE6" w:rsidRDefault="007F43D6" w:rsidP="007F43D6">
      <w:pPr>
        <w:autoSpaceDE w:val="0"/>
        <w:autoSpaceDN w:val="0"/>
        <w:adjustRightInd w:val="0"/>
        <w:rPr>
          <w:szCs w:val="22"/>
          <w:lang w:val="pl-PL"/>
        </w:rPr>
      </w:pPr>
    </w:p>
    <w:p w14:paraId="6F837EED" w14:textId="174B30AA" w:rsidR="007F43D6" w:rsidRPr="00996FE6" w:rsidRDefault="007F43D6" w:rsidP="007F43D6">
      <w:pPr>
        <w:autoSpaceDE w:val="0"/>
        <w:autoSpaceDN w:val="0"/>
        <w:adjustRightInd w:val="0"/>
        <w:rPr>
          <w:szCs w:val="22"/>
          <w:lang w:val="pl-PL"/>
        </w:rPr>
      </w:pPr>
      <w:r w:rsidRPr="00996FE6">
        <w:rPr>
          <w:szCs w:val="22"/>
          <w:lang w:val="pl-PL"/>
        </w:rPr>
        <w:t>Iako intravitrealna injekcija ne spada u odobrene načine prim</w:t>
      </w:r>
      <w:r w:rsidR="00C52093" w:rsidRPr="00996FE6">
        <w:rPr>
          <w:szCs w:val="22"/>
          <w:lang w:val="pl-PL"/>
        </w:rPr>
        <w:t>j</w:t>
      </w:r>
      <w:r w:rsidRPr="00996FE6">
        <w:rPr>
          <w:szCs w:val="22"/>
          <w:lang w:val="pl-PL"/>
        </w:rPr>
        <w:t>ene vankomicina, prijavljena je pojava precipitacije posl</w:t>
      </w:r>
      <w:r w:rsidR="00C52093" w:rsidRPr="00996FE6">
        <w:rPr>
          <w:szCs w:val="22"/>
          <w:lang w:val="pl-PL"/>
        </w:rPr>
        <w:t>ij</w:t>
      </w:r>
      <w:r w:rsidRPr="00996FE6">
        <w:rPr>
          <w:szCs w:val="22"/>
          <w:lang w:val="pl-PL"/>
        </w:rPr>
        <w:t>e intravitrealne injekcije vankomicina i ceftazidima za l</w:t>
      </w:r>
      <w:r w:rsidR="00C52093" w:rsidRPr="00996FE6">
        <w:rPr>
          <w:szCs w:val="22"/>
          <w:lang w:val="pl-PL"/>
        </w:rPr>
        <w:t>ij</w:t>
      </w:r>
      <w:r w:rsidRPr="00996FE6">
        <w:rPr>
          <w:szCs w:val="22"/>
          <w:lang w:val="pl-PL"/>
        </w:rPr>
        <w:t>ečenje endoftalmitisa, pri korišćenju različitih špriceva i igala. Precipitati su se postepeno rastvorili, a za potpuno očišćenje očne duplje bilo je potrebno dva m</w:t>
      </w:r>
      <w:r w:rsidR="00C52093" w:rsidRPr="00996FE6">
        <w:rPr>
          <w:szCs w:val="22"/>
          <w:lang w:val="pl-PL"/>
        </w:rPr>
        <w:t>j</w:t>
      </w:r>
      <w:r w:rsidRPr="00996FE6">
        <w:rPr>
          <w:szCs w:val="22"/>
          <w:lang w:val="pl-PL"/>
        </w:rPr>
        <w:t>eseca, sa poboljšanjem oštrine vida.</w:t>
      </w:r>
    </w:p>
    <w:p w14:paraId="22A92CDB" w14:textId="77777777" w:rsidR="007F43D6" w:rsidRPr="00996FE6" w:rsidRDefault="007F43D6" w:rsidP="007F43D6">
      <w:pPr>
        <w:autoSpaceDE w:val="0"/>
        <w:autoSpaceDN w:val="0"/>
        <w:adjustRightInd w:val="0"/>
        <w:rPr>
          <w:szCs w:val="22"/>
          <w:lang w:val="pl-PL"/>
        </w:rPr>
      </w:pPr>
    </w:p>
    <w:p w14:paraId="4F2A909E" w14:textId="77777777" w:rsidR="007F43D6" w:rsidRPr="00996FE6" w:rsidRDefault="007F43D6" w:rsidP="007F43D6">
      <w:pPr>
        <w:autoSpaceDE w:val="0"/>
        <w:autoSpaceDN w:val="0"/>
        <w:adjustRightInd w:val="0"/>
        <w:rPr>
          <w:szCs w:val="22"/>
          <w:u w:val="single"/>
          <w:lang w:val="it-IT"/>
        </w:rPr>
      </w:pPr>
      <w:r w:rsidRPr="00996FE6">
        <w:rPr>
          <w:szCs w:val="22"/>
          <w:u w:val="single"/>
          <w:lang w:val="it-IT"/>
        </w:rPr>
        <w:t xml:space="preserve">Kompatibilnost sa intravenskim tečnostima </w:t>
      </w:r>
    </w:p>
    <w:p w14:paraId="2EFAED0B" w14:textId="77777777" w:rsidR="007F43D6" w:rsidRPr="00996FE6" w:rsidRDefault="007F43D6" w:rsidP="007F43D6">
      <w:pPr>
        <w:autoSpaceDE w:val="0"/>
        <w:autoSpaceDN w:val="0"/>
        <w:adjustRightInd w:val="0"/>
        <w:rPr>
          <w:szCs w:val="22"/>
          <w:lang w:val="it-IT"/>
        </w:rPr>
      </w:pPr>
      <w:r w:rsidRPr="00996FE6">
        <w:rPr>
          <w:szCs w:val="22"/>
          <w:lang w:val="it-IT"/>
        </w:rPr>
        <w:t>Za pravljenje infuzionog rastvora pogodni su:</w:t>
      </w:r>
    </w:p>
    <w:p w14:paraId="6B648B32" w14:textId="77777777" w:rsidR="007F43D6" w:rsidRPr="00996FE6" w:rsidRDefault="007F43D6" w:rsidP="007F43D6">
      <w:pPr>
        <w:autoSpaceDE w:val="0"/>
        <w:autoSpaceDN w:val="0"/>
        <w:adjustRightInd w:val="0"/>
        <w:rPr>
          <w:szCs w:val="22"/>
          <w:lang w:val="it-IT"/>
        </w:rPr>
      </w:pPr>
      <w:r w:rsidRPr="00996FE6">
        <w:rPr>
          <w:szCs w:val="22"/>
          <w:lang w:val="it-IT"/>
        </w:rPr>
        <w:t>- voda za injekcije</w:t>
      </w:r>
    </w:p>
    <w:p w14:paraId="0B3CF2F4" w14:textId="77777777" w:rsidR="007F43D6" w:rsidRPr="00996FE6" w:rsidRDefault="007F43D6" w:rsidP="007F43D6">
      <w:pPr>
        <w:autoSpaceDE w:val="0"/>
        <w:autoSpaceDN w:val="0"/>
        <w:adjustRightInd w:val="0"/>
        <w:rPr>
          <w:szCs w:val="22"/>
          <w:lang w:val="it-IT"/>
        </w:rPr>
      </w:pPr>
      <w:r w:rsidRPr="00996FE6">
        <w:rPr>
          <w:szCs w:val="22"/>
          <w:lang w:val="it-IT"/>
        </w:rPr>
        <w:t>- 5% rastvor glukoze</w:t>
      </w:r>
    </w:p>
    <w:p w14:paraId="3C4142CC" w14:textId="77777777" w:rsidR="007F43D6" w:rsidRPr="00996FE6" w:rsidRDefault="007F43D6" w:rsidP="007F43D6">
      <w:pPr>
        <w:autoSpaceDE w:val="0"/>
        <w:autoSpaceDN w:val="0"/>
        <w:adjustRightInd w:val="0"/>
        <w:rPr>
          <w:szCs w:val="22"/>
          <w:lang w:val="it-IT"/>
        </w:rPr>
      </w:pPr>
      <w:r w:rsidRPr="00996FE6">
        <w:rPr>
          <w:szCs w:val="22"/>
          <w:lang w:val="it-IT"/>
        </w:rPr>
        <w:t>- fiziološki rastvor natrijum-hlorida</w:t>
      </w:r>
    </w:p>
    <w:p w14:paraId="2D81B5F6" w14:textId="77777777" w:rsidR="004E41A7" w:rsidRPr="00996FE6" w:rsidRDefault="004E41A7" w:rsidP="004D2765">
      <w:pPr>
        <w:jc w:val="left"/>
        <w:rPr>
          <w:szCs w:val="22"/>
          <w:lang w:val="it-IT"/>
        </w:rPr>
      </w:pPr>
    </w:p>
    <w:p w14:paraId="54977E39" w14:textId="7DBC9465" w:rsidR="00CE09F3" w:rsidRPr="00996FE6" w:rsidRDefault="00CE09F3" w:rsidP="004D2765">
      <w:pPr>
        <w:jc w:val="left"/>
        <w:rPr>
          <w:b/>
          <w:bCs/>
          <w:szCs w:val="22"/>
          <w:lang w:val="it-IT"/>
        </w:rPr>
      </w:pPr>
      <w:r w:rsidRPr="00996FE6">
        <w:rPr>
          <w:b/>
          <w:bCs/>
          <w:szCs w:val="22"/>
          <w:lang w:val="it-IT"/>
        </w:rPr>
        <w:t>6.3. Rok upotrebe</w:t>
      </w:r>
      <w:r w:rsidR="000646F7" w:rsidRPr="00996FE6">
        <w:rPr>
          <w:b/>
          <w:bCs/>
          <w:szCs w:val="22"/>
          <w:lang w:val="it-IT"/>
        </w:rPr>
        <w:t xml:space="preserve">   </w:t>
      </w:r>
    </w:p>
    <w:p w14:paraId="54977E3A" w14:textId="77777777" w:rsidR="003454BE" w:rsidRPr="00996FE6" w:rsidRDefault="003454BE" w:rsidP="004D2765">
      <w:pPr>
        <w:pStyle w:val="ListContinue2"/>
        <w:spacing w:after="0"/>
        <w:ind w:left="0"/>
        <w:rPr>
          <w:rFonts w:ascii="Times New Roman" w:hAnsi="Times New Roman" w:cs="Times New Roman"/>
          <w:sz w:val="22"/>
          <w:szCs w:val="22"/>
          <w:u w:val="single"/>
        </w:rPr>
      </w:pPr>
    </w:p>
    <w:p w14:paraId="093AE000" w14:textId="77777777" w:rsidR="005E3FE9" w:rsidRPr="00996FE6" w:rsidRDefault="005E3FE9" w:rsidP="004D2765">
      <w:pPr>
        <w:autoSpaceDE w:val="0"/>
        <w:autoSpaceDN w:val="0"/>
        <w:adjustRightInd w:val="0"/>
        <w:rPr>
          <w:szCs w:val="22"/>
          <w:lang w:val="it-IT"/>
        </w:rPr>
      </w:pPr>
      <w:r w:rsidRPr="00996FE6">
        <w:rPr>
          <w:szCs w:val="22"/>
          <w:lang w:val="it-IT"/>
        </w:rPr>
        <w:t>2 godine.</w:t>
      </w:r>
    </w:p>
    <w:p w14:paraId="32B00371" w14:textId="77777777" w:rsidR="005E3FE9" w:rsidRPr="00996FE6" w:rsidRDefault="005E3FE9" w:rsidP="004D2765">
      <w:pPr>
        <w:autoSpaceDE w:val="0"/>
        <w:autoSpaceDN w:val="0"/>
        <w:adjustRightInd w:val="0"/>
        <w:rPr>
          <w:szCs w:val="22"/>
          <w:lang w:val="it-IT"/>
        </w:rPr>
      </w:pPr>
    </w:p>
    <w:p w14:paraId="0F90CA9A" w14:textId="77777777" w:rsidR="00A76E41" w:rsidRPr="00996FE6" w:rsidRDefault="00A76E41" w:rsidP="00A76E41">
      <w:pPr>
        <w:autoSpaceDE w:val="0"/>
        <w:autoSpaceDN w:val="0"/>
        <w:adjustRightInd w:val="0"/>
        <w:rPr>
          <w:szCs w:val="22"/>
          <w:lang w:val="pl-PL"/>
        </w:rPr>
      </w:pPr>
      <w:r w:rsidRPr="00996FE6">
        <w:rPr>
          <w:szCs w:val="22"/>
          <w:u w:val="single"/>
          <w:lang w:val="pl-PL"/>
        </w:rPr>
        <w:t>Rok upotrebe nakon rekonstitucije</w:t>
      </w:r>
      <w:r w:rsidRPr="00996FE6">
        <w:rPr>
          <w:szCs w:val="22"/>
          <w:lang w:val="pl-PL"/>
        </w:rPr>
        <w:t>:</w:t>
      </w:r>
    </w:p>
    <w:p w14:paraId="40B922AE" w14:textId="77777777" w:rsidR="00A76E41" w:rsidRPr="00996FE6" w:rsidRDefault="00A76E41" w:rsidP="00A76E41">
      <w:pPr>
        <w:autoSpaceDE w:val="0"/>
        <w:autoSpaceDN w:val="0"/>
        <w:adjustRightInd w:val="0"/>
        <w:rPr>
          <w:szCs w:val="22"/>
          <w:lang w:val="pl-PL"/>
        </w:rPr>
      </w:pPr>
      <w:r w:rsidRPr="00996FE6">
        <w:rPr>
          <w:szCs w:val="22"/>
          <w:lang w:val="pl-PL"/>
        </w:rPr>
        <w:t>Dokazana je fizička i hemijska stabilnost rastvora nakon rekonstitucije sa vodom za injekcije u toku 96 sati na temperaturi do 25°C stepeni.</w:t>
      </w:r>
    </w:p>
    <w:p w14:paraId="6049DEDE" w14:textId="1974318C" w:rsidR="005E3FE9" w:rsidRPr="00996FE6" w:rsidRDefault="00A76E41" w:rsidP="00A76E41">
      <w:pPr>
        <w:autoSpaceDE w:val="0"/>
        <w:autoSpaceDN w:val="0"/>
        <w:adjustRightInd w:val="0"/>
        <w:rPr>
          <w:szCs w:val="22"/>
          <w:lang w:val="pl-PL"/>
        </w:rPr>
      </w:pPr>
      <w:r w:rsidRPr="00996FE6">
        <w:rPr>
          <w:szCs w:val="22"/>
          <w:lang w:val="pl-PL"/>
        </w:rPr>
        <w:lastRenderedPageBreak/>
        <w:t>Mikrobiološka stabilnost rastvora nije potvrđena. Sa mikrobiološke tačke gledišta rekonstituisani rastvor se mora upotrijebiti odmah.</w:t>
      </w:r>
    </w:p>
    <w:p w14:paraId="78FB9912" w14:textId="77777777" w:rsidR="0097620C" w:rsidRPr="00996FE6" w:rsidRDefault="0097620C" w:rsidP="004D2765">
      <w:pPr>
        <w:autoSpaceDE w:val="0"/>
        <w:autoSpaceDN w:val="0"/>
        <w:adjustRightInd w:val="0"/>
        <w:rPr>
          <w:szCs w:val="22"/>
          <w:lang w:val="pl-PL"/>
        </w:rPr>
      </w:pPr>
    </w:p>
    <w:p w14:paraId="276C0E87" w14:textId="77777777" w:rsidR="0097620C" w:rsidRPr="00986F86" w:rsidRDefault="0097620C" w:rsidP="0097620C">
      <w:pPr>
        <w:autoSpaceDE w:val="0"/>
        <w:autoSpaceDN w:val="0"/>
        <w:adjustRightInd w:val="0"/>
        <w:rPr>
          <w:szCs w:val="22"/>
          <w:lang w:val="pl-PL"/>
        </w:rPr>
      </w:pPr>
      <w:r w:rsidRPr="00986F86">
        <w:rPr>
          <w:szCs w:val="22"/>
          <w:u w:val="single"/>
          <w:lang w:val="pl-PL"/>
        </w:rPr>
        <w:t>Rok upotrebe nakon razblaženja</w:t>
      </w:r>
      <w:r w:rsidRPr="00986F86">
        <w:rPr>
          <w:szCs w:val="22"/>
          <w:lang w:val="pl-PL"/>
        </w:rPr>
        <w:t>:</w:t>
      </w:r>
    </w:p>
    <w:p w14:paraId="77760D35" w14:textId="6C7A4BD2" w:rsidR="0097620C" w:rsidRPr="00986F86" w:rsidRDefault="0097620C" w:rsidP="0097620C">
      <w:pPr>
        <w:autoSpaceDE w:val="0"/>
        <w:autoSpaceDN w:val="0"/>
        <w:adjustRightInd w:val="0"/>
        <w:rPr>
          <w:szCs w:val="22"/>
          <w:lang w:val="pl-PL"/>
        </w:rPr>
      </w:pPr>
      <w:r w:rsidRPr="00986F86">
        <w:rPr>
          <w:szCs w:val="22"/>
          <w:lang w:val="pl-PL"/>
        </w:rPr>
        <w:t>Dokazana je fizička i hemijska stabilnost rastvora nakon razblaženja sa vodom za injekcije, 0,9% rastvorom natrijum</w:t>
      </w:r>
      <w:r w:rsidR="00EA5824" w:rsidRPr="00986F86">
        <w:rPr>
          <w:szCs w:val="22"/>
          <w:lang w:val="pl-PL"/>
        </w:rPr>
        <w:t xml:space="preserve"> </w:t>
      </w:r>
      <w:r w:rsidRPr="00986F86">
        <w:rPr>
          <w:szCs w:val="22"/>
          <w:lang w:val="pl-PL"/>
        </w:rPr>
        <w:t>hlorida i 5% rastvorom glukoze u toku 96 sati u frižideru na temperaturi od 2 do 8</w:t>
      </w:r>
      <w:r w:rsidRPr="00986F86">
        <w:rPr>
          <w:szCs w:val="22"/>
          <w:vertAlign w:val="superscript"/>
          <w:lang w:val="pl-PL"/>
        </w:rPr>
        <w:t>o</w:t>
      </w:r>
      <w:r w:rsidRPr="00986F86">
        <w:rPr>
          <w:szCs w:val="22"/>
          <w:lang w:val="pl-PL"/>
        </w:rPr>
        <w:t>C.</w:t>
      </w:r>
    </w:p>
    <w:p w14:paraId="06E5A4FE" w14:textId="77777777" w:rsidR="0097620C" w:rsidRPr="00986F86" w:rsidRDefault="0097620C" w:rsidP="0097620C">
      <w:pPr>
        <w:autoSpaceDE w:val="0"/>
        <w:autoSpaceDN w:val="0"/>
        <w:adjustRightInd w:val="0"/>
        <w:rPr>
          <w:szCs w:val="22"/>
          <w:lang w:val="pl-PL"/>
        </w:rPr>
      </w:pPr>
      <w:r w:rsidRPr="00986F86">
        <w:rPr>
          <w:szCs w:val="22"/>
          <w:lang w:val="pl-PL"/>
        </w:rPr>
        <w:t>Mikrobiološka stabilnost rastvora nije potvrđena.</w:t>
      </w:r>
    </w:p>
    <w:p w14:paraId="5F0E3872" w14:textId="73805B31" w:rsidR="0097620C" w:rsidRPr="00996FE6" w:rsidRDefault="0097620C" w:rsidP="0097620C">
      <w:pPr>
        <w:autoSpaceDE w:val="0"/>
        <w:autoSpaceDN w:val="0"/>
        <w:adjustRightInd w:val="0"/>
        <w:rPr>
          <w:szCs w:val="22"/>
          <w:lang w:val="pl-PL"/>
        </w:rPr>
      </w:pPr>
      <w:r w:rsidRPr="00986F86">
        <w:rPr>
          <w:szCs w:val="22"/>
          <w:lang w:val="pl-PL"/>
        </w:rPr>
        <w:t>Sa mikrobiološke tačke gledišta rastvor treba odmah prim</w:t>
      </w:r>
      <w:r w:rsidR="00C52093" w:rsidRPr="00986F86">
        <w:rPr>
          <w:szCs w:val="22"/>
          <w:lang w:val="pl-PL"/>
        </w:rPr>
        <w:t>j</w:t>
      </w:r>
      <w:r w:rsidRPr="00986F86">
        <w:rPr>
          <w:szCs w:val="22"/>
          <w:lang w:val="pl-PL"/>
        </w:rPr>
        <w:t>eniti nakon pripreme za upotrebu. Ako se l</w:t>
      </w:r>
      <w:r w:rsidR="00C52093" w:rsidRPr="00986F86">
        <w:rPr>
          <w:szCs w:val="22"/>
          <w:lang w:val="pl-PL"/>
        </w:rPr>
        <w:t>ij</w:t>
      </w:r>
      <w:r w:rsidRPr="00986F86">
        <w:rPr>
          <w:szCs w:val="22"/>
          <w:lang w:val="pl-PL"/>
        </w:rPr>
        <w:t>ek ne upotr</w:t>
      </w:r>
      <w:r w:rsidR="00EA5824" w:rsidRPr="00986F86">
        <w:rPr>
          <w:szCs w:val="22"/>
          <w:lang w:val="pl-PL"/>
        </w:rPr>
        <w:t>ij</w:t>
      </w:r>
      <w:r w:rsidRPr="00986F86">
        <w:rPr>
          <w:szCs w:val="22"/>
          <w:lang w:val="pl-PL"/>
        </w:rPr>
        <w:t>ebi odmah, odgovornost za vr</w:t>
      </w:r>
      <w:r w:rsidR="00C52093" w:rsidRPr="00986F86">
        <w:rPr>
          <w:szCs w:val="22"/>
          <w:lang w:val="pl-PL"/>
        </w:rPr>
        <w:t>ij</w:t>
      </w:r>
      <w:r w:rsidRPr="00986F86">
        <w:rPr>
          <w:szCs w:val="22"/>
          <w:lang w:val="pl-PL"/>
        </w:rPr>
        <w:t>eme i uslove čuvanja pr</w:t>
      </w:r>
      <w:r w:rsidR="00C52093" w:rsidRPr="00986F86">
        <w:rPr>
          <w:szCs w:val="22"/>
          <w:lang w:val="pl-PL"/>
        </w:rPr>
        <w:t>ij</w:t>
      </w:r>
      <w:r w:rsidRPr="00986F86">
        <w:rPr>
          <w:szCs w:val="22"/>
          <w:lang w:val="pl-PL"/>
        </w:rPr>
        <w:t xml:space="preserve">e upotrebe preuzima korisnik, i </w:t>
      </w:r>
      <w:r w:rsidRPr="00986F86">
        <w:rPr>
          <w:noProof/>
          <w:lang w:val="pl-PL"/>
        </w:rPr>
        <w:t>obično ne bi sm</w:t>
      </w:r>
      <w:r w:rsidR="00C52093" w:rsidRPr="00986F86">
        <w:rPr>
          <w:noProof/>
          <w:lang w:val="pl-PL"/>
        </w:rPr>
        <w:t>j</w:t>
      </w:r>
      <w:r w:rsidRPr="00986F86">
        <w:rPr>
          <w:noProof/>
          <w:lang w:val="pl-PL"/>
        </w:rPr>
        <w:t>eli da budu duži od 24 sata na temperaturi od 2°C do 8°C, osim ako razblaživanje nije obavljeno u strogo kontrolisanim i validiranim aseptičnim uslovima</w:t>
      </w:r>
      <w:r w:rsidRPr="00986F86">
        <w:rPr>
          <w:szCs w:val="22"/>
          <w:lang w:val="pl-PL"/>
        </w:rPr>
        <w:t>.</w:t>
      </w:r>
    </w:p>
    <w:p w14:paraId="54977E42" w14:textId="77777777" w:rsidR="00CE09F3" w:rsidRPr="00996FE6" w:rsidRDefault="00CE09F3" w:rsidP="004D2765">
      <w:pPr>
        <w:jc w:val="left"/>
        <w:rPr>
          <w:szCs w:val="22"/>
          <w:lang w:val="pl-PL"/>
        </w:rPr>
      </w:pPr>
    </w:p>
    <w:p w14:paraId="4E1E9409" w14:textId="379A1E74" w:rsidR="00994528" w:rsidRPr="00996FE6" w:rsidRDefault="00CE09F3" w:rsidP="004D2765">
      <w:pPr>
        <w:jc w:val="left"/>
        <w:rPr>
          <w:b/>
          <w:bCs/>
          <w:szCs w:val="22"/>
          <w:lang w:val="ru-RU"/>
        </w:rPr>
      </w:pPr>
      <w:r w:rsidRPr="00996FE6">
        <w:rPr>
          <w:b/>
          <w:bCs/>
          <w:szCs w:val="22"/>
          <w:lang w:val="ru-RU"/>
        </w:rPr>
        <w:t xml:space="preserve">6.4. </w:t>
      </w:r>
      <w:r w:rsidR="001A70E9" w:rsidRPr="00996FE6">
        <w:rPr>
          <w:b/>
          <w:bCs/>
          <w:szCs w:val="22"/>
          <w:lang w:val="pl-PL"/>
        </w:rPr>
        <w:t>Posebne mjere upozorenja pri čuvanju lijeka</w:t>
      </w:r>
    </w:p>
    <w:p w14:paraId="54977E43" w14:textId="797FC669" w:rsidR="00CE09F3" w:rsidRPr="00996FE6" w:rsidRDefault="00CE09F3" w:rsidP="004D2765">
      <w:pPr>
        <w:jc w:val="left"/>
        <w:rPr>
          <w:b/>
          <w:bCs/>
          <w:szCs w:val="22"/>
          <w:lang w:val="pl-PL"/>
        </w:rPr>
      </w:pPr>
    </w:p>
    <w:p w14:paraId="57AE8CFF" w14:textId="7379DEF1" w:rsidR="00756370" w:rsidRPr="00996FE6" w:rsidRDefault="001A70E9" w:rsidP="004D2765">
      <w:pPr>
        <w:jc w:val="left"/>
        <w:rPr>
          <w:szCs w:val="22"/>
          <w:lang w:val="pl-PL"/>
        </w:rPr>
      </w:pPr>
      <w:r w:rsidRPr="00996FE6">
        <w:rPr>
          <w:szCs w:val="22"/>
          <w:lang w:val="pl-PL"/>
        </w:rPr>
        <w:t>Čuvati na temperaturi do 25 °C u originalnom pakovanju radi zaštite od svjetlosti.</w:t>
      </w:r>
    </w:p>
    <w:p w14:paraId="3527301E" w14:textId="6D185267" w:rsidR="0097620C" w:rsidRPr="00996FE6" w:rsidRDefault="0097620C" w:rsidP="004D2765">
      <w:pPr>
        <w:jc w:val="left"/>
        <w:rPr>
          <w:bCs/>
          <w:szCs w:val="22"/>
          <w:lang w:val="sr-Latn-CS"/>
        </w:rPr>
      </w:pPr>
      <w:r w:rsidRPr="00996FE6">
        <w:rPr>
          <w:bCs/>
          <w:szCs w:val="22"/>
          <w:lang w:val="sr-Latn-CS"/>
        </w:rPr>
        <w:t>Za uslove čuvanja nakon rekonstitucije i razblaživanja l</w:t>
      </w:r>
      <w:r w:rsidR="00C52093" w:rsidRPr="00996FE6">
        <w:rPr>
          <w:bCs/>
          <w:szCs w:val="22"/>
          <w:lang w:val="sr-Latn-CS"/>
        </w:rPr>
        <w:t>ij</w:t>
      </w:r>
      <w:r w:rsidRPr="00996FE6">
        <w:rPr>
          <w:bCs/>
          <w:szCs w:val="22"/>
          <w:lang w:val="sr-Latn-CS"/>
        </w:rPr>
        <w:t>eka, vid</w:t>
      </w:r>
      <w:r w:rsidR="00C52093" w:rsidRPr="00996FE6">
        <w:rPr>
          <w:bCs/>
          <w:szCs w:val="22"/>
          <w:lang w:val="sr-Latn-CS"/>
        </w:rPr>
        <w:t>j</w:t>
      </w:r>
      <w:r w:rsidRPr="00996FE6">
        <w:rPr>
          <w:bCs/>
          <w:szCs w:val="22"/>
          <w:lang w:val="sr-Latn-CS"/>
        </w:rPr>
        <w:t xml:space="preserve">eti </w:t>
      </w:r>
      <w:r w:rsidR="00EA5824" w:rsidRPr="00996FE6">
        <w:rPr>
          <w:bCs/>
          <w:szCs w:val="22"/>
          <w:lang w:val="sr-Latn-CS"/>
        </w:rPr>
        <w:t xml:space="preserve">dio </w:t>
      </w:r>
      <w:r w:rsidRPr="00996FE6">
        <w:rPr>
          <w:bCs/>
          <w:szCs w:val="22"/>
          <w:lang w:val="sr-Latn-CS"/>
        </w:rPr>
        <w:t>6.3.</w:t>
      </w:r>
    </w:p>
    <w:p w14:paraId="240CA194" w14:textId="19ABBCDA" w:rsidR="00DE594D" w:rsidRPr="00996FE6" w:rsidRDefault="00DE594D" w:rsidP="004D2765">
      <w:pPr>
        <w:jc w:val="left"/>
        <w:rPr>
          <w:szCs w:val="22"/>
          <w:lang w:val="pl-PL"/>
        </w:rPr>
      </w:pPr>
    </w:p>
    <w:p w14:paraId="54977E49" w14:textId="3623B98C" w:rsidR="00CE09F3" w:rsidRPr="00996FE6" w:rsidRDefault="0022223A" w:rsidP="004D2765">
      <w:pPr>
        <w:jc w:val="left"/>
        <w:rPr>
          <w:b/>
          <w:bCs/>
          <w:szCs w:val="22"/>
          <w:lang w:val="ru-RU"/>
        </w:rPr>
      </w:pPr>
      <w:r w:rsidRPr="00996FE6">
        <w:rPr>
          <w:b/>
          <w:bCs/>
          <w:szCs w:val="22"/>
          <w:lang w:val="sr-Latn-CS"/>
        </w:rPr>
        <w:t xml:space="preserve">6.5. </w:t>
      </w:r>
      <w:r w:rsidR="001A70E9" w:rsidRPr="00996FE6">
        <w:rPr>
          <w:b/>
          <w:bCs/>
          <w:szCs w:val="22"/>
          <w:lang w:val="sv-SE"/>
        </w:rPr>
        <w:t>Vrsta i sadržaj pakovanja</w:t>
      </w:r>
      <w:r w:rsidR="00F42610" w:rsidRPr="00996FE6">
        <w:rPr>
          <w:b/>
          <w:bCs/>
          <w:szCs w:val="22"/>
          <w:lang w:val="sr-Latn-CS"/>
        </w:rPr>
        <w:t xml:space="preserve"> </w:t>
      </w:r>
    </w:p>
    <w:p w14:paraId="54977E4A" w14:textId="77777777" w:rsidR="003454BE" w:rsidRPr="00996FE6" w:rsidRDefault="003454BE" w:rsidP="004D2765">
      <w:pPr>
        <w:tabs>
          <w:tab w:val="clear" w:pos="284"/>
        </w:tabs>
        <w:autoSpaceDE w:val="0"/>
        <w:autoSpaceDN w:val="0"/>
        <w:adjustRightInd w:val="0"/>
        <w:jc w:val="left"/>
        <w:rPr>
          <w:noProof/>
          <w:szCs w:val="22"/>
          <w:u w:val="single"/>
          <w:lang w:val="pl-PL"/>
        </w:rPr>
      </w:pPr>
    </w:p>
    <w:p w14:paraId="0F11E406" w14:textId="12CE4657" w:rsidR="001A70E9" w:rsidRPr="00996FE6" w:rsidRDefault="001A70E9" w:rsidP="004D2765">
      <w:pPr>
        <w:tabs>
          <w:tab w:val="clear" w:pos="284"/>
        </w:tabs>
        <w:autoSpaceDE w:val="0"/>
        <w:autoSpaceDN w:val="0"/>
        <w:adjustRightInd w:val="0"/>
        <w:rPr>
          <w:i/>
          <w:szCs w:val="22"/>
          <w:u w:val="single"/>
          <w:lang w:val="pl-PL"/>
        </w:rPr>
      </w:pPr>
      <w:r w:rsidRPr="00996FE6">
        <w:rPr>
          <w:i/>
          <w:szCs w:val="22"/>
          <w:u w:val="single"/>
          <w:lang w:val="pl-PL"/>
        </w:rPr>
        <w:t>Vancomycin-MIP 5x500mg:</w:t>
      </w:r>
    </w:p>
    <w:p w14:paraId="33C81249" w14:textId="77777777" w:rsidR="0097620C" w:rsidRPr="00996FE6" w:rsidRDefault="0097620C" w:rsidP="0097620C">
      <w:pPr>
        <w:autoSpaceDE w:val="0"/>
        <w:autoSpaceDN w:val="0"/>
        <w:adjustRightInd w:val="0"/>
        <w:rPr>
          <w:szCs w:val="22"/>
          <w:lang w:val="pl-PL"/>
        </w:rPr>
      </w:pPr>
      <w:r w:rsidRPr="00996FE6">
        <w:rPr>
          <w:szCs w:val="22"/>
          <w:lang w:val="pl-PL"/>
        </w:rPr>
        <w:t xml:space="preserve">Unutrašnje pakovanje je bočica od bezbojnog stakla tip I, sa zatvaračem od brombutil gume. Na zatvaraču se nalazi fiksirana aluminijumska kapica i </w:t>
      </w:r>
      <w:r w:rsidRPr="00986F86">
        <w:rPr>
          <w:szCs w:val="22"/>
          <w:lang w:val="pl-PL"/>
        </w:rPr>
        <w:t>zaštitni plastični poklopac od polipropilena</w:t>
      </w:r>
      <w:r w:rsidRPr="00D92B9A">
        <w:rPr>
          <w:szCs w:val="22"/>
          <w:lang w:val="pl-PL"/>
        </w:rPr>
        <w:t>.</w:t>
      </w:r>
      <w:r w:rsidRPr="00996FE6">
        <w:rPr>
          <w:szCs w:val="22"/>
          <w:lang w:val="pl-PL"/>
        </w:rPr>
        <w:t xml:space="preserve"> Bočice sadrže 500 mg vankomicina u obliku praška. </w:t>
      </w:r>
    </w:p>
    <w:p w14:paraId="0356D2F6" w14:textId="45E1B653" w:rsidR="005E3FE9" w:rsidRPr="00996FE6" w:rsidRDefault="0097620C" w:rsidP="0097620C">
      <w:pPr>
        <w:autoSpaceDE w:val="0"/>
        <w:autoSpaceDN w:val="0"/>
        <w:adjustRightInd w:val="0"/>
        <w:rPr>
          <w:szCs w:val="22"/>
          <w:lang w:val="pl-PL"/>
        </w:rPr>
      </w:pPr>
      <w:r w:rsidRPr="00996FE6">
        <w:rPr>
          <w:szCs w:val="22"/>
          <w:lang w:val="pl-PL"/>
        </w:rPr>
        <w:t>Spoljašnje pakovanje je složiva kartonska kutija u kojoj se nalazi 5 bočica (5x500 mg) i Uputstvo za l</w:t>
      </w:r>
      <w:r w:rsidR="00C52093" w:rsidRPr="00996FE6">
        <w:rPr>
          <w:szCs w:val="22"/>
          <w:lang w:val="pl-PL"/>
        </w:rPr>
        <w:t>ij</w:t>
      </w:r>
      <w:r w:rsidRPr="00996FE6">
        <w:rPr>
          <w:szCs w:val="22"/>
          <w:lang w:val="pl-PL"/>
        </w:rPr>
        <w:t>ek.</w:t>
      </w:r>
      <w:r w:rsidR="001A70E9" w:rsidRPr="00996FE6">
        <w:rPr>
          <w:szCs w:val="22"/>
          <w:lang w:val="pl-PL"/>
        </w:rPr>
        <w:t xml:space="preserve"> </w:t>
      </w:r>
    </w:p>
    <w:p w14:paraId="34E7D034" w14:textId="77777777" w:rsidR="005E3FE9" w:rsidRPr="00996FE6" w:rsidRDefault="005E3FE9" w:rsidP="004D2765">
      <w:pPr>
        <w:autoSpaceDE w:val="0"/>
        <w:autoSpaceDN w:val="0"/>
        <w:adjustRightInd w:val="0"/>
        <w:rPr>
          <w:szCs w:val="22"/>
          <w:lang w:val="pl-PL"/>
        </w:rPr>
      </w:pPr>
    </w:p>
    <w:p w14:paraId="5B992285" w14:textId="4906D634" w:rsidR="001A70E9" w:rsidRPr="00996FE6" w:rsidRDefault="001A70E9" w:rsidP="004D2765">
      <w:pPr>
        <w:tabs>
          <w:tab w:val="clear" w:pos="284"/>
        </w:tabs>
        <w:autoSpaceDE w:val="0"/>
        <w:autoSpaceDN w:val="0"/>
        <w:adjustRightInd w:val="0"/>
        <w:jc w:val="left"/>
        <w:rPr>
          <w:i/>
          <w:szCs w:val="22"/>
          <w:u w:val="single"/>
          <w:lang w:val="pl-PL"/>
        </w:rPr>
      </w:pPr>
      <w:r w:rsidRPr="00996FE6">
        <w:rPr>
          <w:i/>
          <w:szCs w:val="22"/>
          <w:u w:val="single"/>
          <w:lang w:val="pl-PL"/>
        </w:rPr>
        <w:t>Vancomycin-MIP 5x1000mg:</w:t>
      </w:r>
    </w:p>
    <w:p w14:paraId="0AA3C9A2" w14:textId="77777777" w:rsidR="0097620C" w:rsidRPr="00996FE6" w:rsidRDefault="0097620C" w:rsidP="0097620C">
      <w:pPr>
        <w:autoSpaceDE w:val="0"/>
        <w:autoSpaceDN w:val="0"/>
        <w:adjustRightInd w:val="0"/>
        <w:rPr>
          <w:szCs w:val="22"/>
          <w:lang w:val="pl-PL"/>
        </w:rPr>
      </w:pPr>
      <w:r w:rsidRPr="00996FE6">
        <w:rPr>
          <w:szCs w:val="22"/>
          <w:lang w:val="pl-PL"/>
        </w:rPr>
        <w:t xml:space="preserve">Unutrašnje pakovanje je bočica od bezbojnog stakla tip I, sa zatvaračem od brombutil gume. Na zatvaraču se nalazi fiksirana aluminijumska kapica </w:t>
      </w:r>
      <w:r w:rsidRPr="00D92B9A">
        <w:rPr>
          <w:szCs w:val="22"/>
          <w:lang w:val="pl-PL"/>
        </w:rPr>
        <w:t>i zaštitni plastični poklopac od polipropilena</w:t>
      </w:r>
      <w:r w:rsidRPr="00996FE6">
        <w:rPr>
          <w:szCs w:val="22"/>
          <w:lang w:val="pl-PL"/>
        </w:rPr>
        <w:t>. Bočice sadrže 1000 mg vankomicina u obliku praška.</w:t>
      </w:r>
    </w:p>
    <w:p w14:paraId="608A1BFE" w14:textId="390BBA86" w:rsidR="005E3FE9" w:rsidRPr="00996FE6" w:rsidRDefault="0097620C" w:rsidP="0097620C">
      <w:pPr>
        <w:autoSpaceDE w:val="0"/>
        <w:autoSpaceDN w:val="0"/>
        <w:adjustRightInd w:val="0"/>
        <w:rPr>
          <w:szCs w:val="22"/>
          <w:lang w:val="pl-PL"/>
        </w:rPr>
      </w:pPr>
      <w:r w:rsidRPr="00996FE6">
        <w:rPr>
          <w:szCs w:val="22"/>
          <w:lang w:val="pl-PL"/>
        </w:rPr>
        <w:t>Spoljašnje pakovanje je složiva kartonska kutija u kojoj se nalazi 5 bočica (5x1000 mg) i Uputstvo za l</w:t>
      </w:r>
      <w:r w:rsidR="00C52093" w:rsidRPr="00996FE6">
        <w:rPr>
          <w:szCs w:val="22"/>
          <w:lang w:val="pl-PL"/>
        </w:rPr>
        <w:t>ij</w:t>
      </w:r>
      <w:r w:rsidRPr="00996FE6">
        <w:rPr>
          <w:szCs w:val="22"/>
          <w:lang w:val="pl-PL"/>
        </w:rPr>
        <w:t>ek.</w:t>
      </w:r>
    </w:p>
    <w:p w14:paraId="54977E4E" w14:textId="77777777" w:rsidR="00CE09F3" w:rsidRPr="00996FE6" w:rsidRDefault="00CE09F3" w:rsidP="004D2765">
      <w:pPr>
        <w:jc w:val="left"/>
        <w:rPr>
          <w:szCs w:val="22"/>
          <w:lang w:val="pl-PL"/>
        </w:rPr>
      </w:pPr>
    </w:p>
    <w:p w14:paraId="54977E4F" w14:textId="045C09AF" w:rsidR="00CE09F3" w:rsidRPr="00996FE6" w:rsidRDefault="00CE09F3" w:rsidP="004D2765">
      <w:pPr>
        <w:jc w:val="left"/>
        <w:rPr>
          <w:b/>
          <w:bCs/>
          <w:szCs w:val="22"/>
          <w:lang w:val="pl-PL"/>
        </w:rPr>
      </w:pPr>
      <w:r w:rsidRPr="00996FE6">
        <w:rPr>
          <w:b/>
          <w:bCs/>
          <w:szCs w:val="22"/>
          <w:lang w:val="ru-RU"/>
        </w:rPr>
        <w:t xml:space="preserve">6.6. </w:t>
      </w:r>
      <w:r w:rsidR="001A70E9" w:rsidRPr="00996FE6">
        <w:rPr>
          <w:b/>
          <w:bCs/>
          <w:szCs w:val="22"/>
          <w:lang w:val="pl-PL"/>
        </w:rPr>
        <w:t>Posebne mjere opreza pri odlaganju materijala koji treba odbaciti nakon primjene lijeka</w:t>
      </w:r>
      <w:r w:rsidR="00D335CE" w:rsidRPr="00996FE6">
        <w:rPr>
          <w:b/>
          <w:bCs/>
          <w:szCs w:val="22"/>
          <w:lang w:val="pl-PL"/>
        </w:rPr>
        <w:t xml:space="preserve"> (i druga uputstva za rukovanje lijekom)</w:t>
      </w:r>
    </w:p>
    <w:p w14:paraId="13D3FC8A" w14:textId="49AA9FBE" w:rsidR="009D463C" w:rsidRPr="00996FE6" w:rsidRDefault="009D463C" w:rsidP="004D2765">
      <w:pPr>
        <w:tabs>
          <w:tab w:val="clear" w:pos="284"/>
        </w:tabs>
        <w:spacing w:line="250" w:lineRule="auto"/>
        <w:ind w:right="1214"/>
        <w:jc w:val="left"/>
        <w:rPr>
          <w:szCs w:val="22"/>
          <w:lang w:val="pl-PL"/>
        </w:rPr>
      </w:pPr>
    </w:p>
    <w:p w14:paraId="0533EF6B" w14:textId="77777777" w:rsidR="00EA5824" w:rsidRPr="00996FE6" w:rsidRDefault="00EA5824" w:rsidP="00EA5824">
      <w:pPr>
        <w:pStyle w:val="Header"/>
        <w:tabs>
          <w:tab w:val="left" w:pos="284"/>
        </w:tabs>
        <w:jc w:val="left"/>
        <w:rPr>
          <w:szCs w:val="22"/>
          <w:lang w:val="sr-Latn-CS"/>
        </w:rPr>
      </w:pPr>
      <w:r w:rsidRPr="00996FE6">
        <w:rPr>
          <w:spacing w:val="-2"/>
          <w:szCs w:val="22"/>
          <w:lang w:val="sr-Latn-CS"/>
        </w:rPr>
        <w:t>Svu</w:t>
      </w:r>
      <w:r w:rsidRPr="00996FE6">
        <w:rPr>
          <w:szCs w:val="22"/>
          <w:lang w:val="sr-Latn-CS"/>
        </w:rPr>
        <w:t xml:space="preserve"> neiskorišćenu količinu lijeka ili otpadnog materijala nakon njegove upotrebe treba ukloniti u skladu sa važećim propisima.</w:t>
      </w:r>
    </w:p>
    <w:p w14:paraId="31BF0920" w14:textId="77777777" w:rsidR="00EA5824" w:rsidRPr="00996FE6" w:rsidRDefault="00EA5824" w:rsidP="004D2765">
      <w:pPr>
        <w:tabs>
          <w:tab w:val="clear" w:pos="284"/>
        </w:tabs>
        <w:spacing w:line="250" w:lineRule="auto"/>
        <w:ind w:right="1214"/>
        <w:jc w:val="left"/>
        <w:rPr>
          <w:szCs w:val="22"/>
          <w:lang w:val="pl-PL"/>
        </w:rPr>
      </w:pPr>
    </w:p>
    <w:p w14:paraId="3931ED38" w14:textId="77777777" w:rsidR="0097620C" w:rsidRPr="00996FE6" w:rsidRDefault="0097620C" w:rsidP="0097620C">
      <w:pPr>
        <w:autoSpaceDE w:val="0"/>
        <w:autoSpaceDN w:val="0"/>
        <w:adjustRightInd w:val="0"/>
        <w:rPr>
          <w:szCs w:val="22"/>
          <w:lang w:val="pl-PL"/>
        </w:rPr>
      </w:pPr>
      <w:r w:rsidRPr="00996FE6">
        <w:rPr>
          <w:szCs w:val="22"/>
          <w:u w:val="single"/>
          <w:lang w:val="pl-PL"/>
        </w:rPr>
        <w:t>Priprema rastvora</w:t>
      </w:r>
      <w:r w:rsidRPr="00996FE6">
        <w:rPr>
          <w:szCs w:val="22"/>
          <w:lang w:val="pl-PL"/>
        </w:rPr>
        <w:t>:</w:t>
      </w:r>
    </w:p>
    <w:p w14:paraId="4B663CBC" w14:textId="505CDC0D" w:rsidR="0097620C" w:rsidRPr="00996FE6" w:rsidRDefault="0097620C" w:rsidP="0097620C">
      <w:pPr>
        <w:autoSpaceDE w:val="0"/>
        <w:autoSpaceDN w:val="0"/>
        <w:adjustRightInd w:val="0"/>
        <w:rPr>
          <w:szCs w:val="22"/>
          <w:lang w:val="pl-PL"/>
        </w:rPr>
      </w:pPr>
      <w:r w:rsidRPr="00996FE6">
        <w:rPr>
          <w:szCs w:val="22"/>
          <w:lang w:val="pl-PL"/>
        </w:rPr>
        <w:t>Neposredno pr</w:t>
      </w:r>
      <w:r w:rsidR="00C52093" w:rsidRPr="00996FE6">
        <w:rPr>
          <w:szCs w:val="22"/>
          <w:lang w:val="pl-PL"/>
        </w:rPr>
        <w:t>ij</w:t>
      </w:r>
      <w:r w:rsidRPr="00996FE6">
        <w:rPr>
          <w:szCs w:val="22"/>
          <w:lang w:val="pl-PL"/>
        </w:rPr>
        <w:t>e prim</w:t>
      </w:r>
      <w:r w:rsidR="00C52093" w:rsidRPr="00996FE6">
        <w:rPr>
          <w:szCs w:val="22"/>
          <w:lang w:val="pl-PL"/>
        </w:rPr>
        <w:t>j</w:t>
      </w:r>
      <w:r w:rsidRPr="00996FE6">
        <w:rPr>
          <w:szCs w:val="22"/>
          <w:lang w:val="pl-PL"/>
        </w:rPr>
        <w:t>ene l</w:t>
      </w:r>
      <w:r w:rsidR="00C52093" w:rsidRPr="00996FE6">
        <w:rPr>
          <w:szCs w:val="22"/>
          <w:lang w:val="pl-PL"/>
        </w:rPr>
        <w:t>ij</w:t>
      </w:r>
      <w:r w:rsidRPr="00996FE6">
        <w:rPr>
          <w:szCs w:val="22"/>
          <w:lang w:val="pl-PL"/>
        </w:rPr>
        <w:t>eka, dodati 10 m</w:t>
      </w:r>
      <w:r w:rsidR="00094872" w:rsidRPr="00996FE6">
        <w:rPr>
          <w:szCs w:val="22"/>
          <w:lang w:val="pl-PL"/>
        </w:rPr>
        <w:t>l</w:t>
      </w:r>
      <w:r w:rsidRPr="00996FE6">
        <w:rPr>
          <w:szCs w:val="22"/>
          <w:lang w:val="pl-PL"/>
        </w:rPr>
        <w:t xml:space="preserve"> sterilne vode za injekcije u bočicu koja sadrži vankomicin</w:t>
      </w:r>
      <w:r w:rsidR="00094872" w:rsidRPr="00996FE6">
        <w:rPr>
          <w:szCs w:val="22"/>
          <w:lang w:val="pl-PL"/>
        </w:rPr>
        <w:t xml:space="preserve"> </w:t>
      </w:r>
      <w:r w:rsidRPr="00996FE6">
        <w:rPr>
          <w:szCs w:val="22"/>
          <w:lang w:val="pl-PL"/>
        </w:rPr>
        <w:t>hidrohlorid 500 mg prašak za rastvor za infuziju. Slično tome, dodajte 20 m</w:t>
      </w:r>
      <w:r w:rsidR="00094872" w:rsidRPr="00996FE6">
        <w:rPr>
          <w:szCs w:val="22"/>
          <w:lang w:val="pl-PL"/>
        </w:rPr>
        <w:t>l</w:t>
      </w:r>
      <w:r w:rsidRPr="00996FE6">
        <w:rPr>
          <w:szCs w:val="22"/>
          <w:lang w:val="pl-PL"/>
        </w:rPr>
        <w:t xml:space="preserve"> sterilne vode za injekcije u bočicu koja sadrži vankomicin</w:t>
      </w:r>
      <w:r w:rsidR="00094872" w:rsidRPr="00996FE6">
        <w:rPr>
          <w:szCs w:val="22"/>
          <w:lang w:val="pl-PL"/>
        </w:rPr>
        <w:t xml:space="preserve"> </w:t>
      </w:r>
      <w:r w:rsidRPr="00996FE6">
        <w:rPr>
          <w:szCs w:val="22"/>
          <w:lang w:val="pl-PL"/>
        </w:rPr>
        <w:t>hidrohlorid 1000 mg prašak za rastvor za infuziju. Bočice koje se rekonstituišu na ovaj način daju rastvor koncentracije 50 mg/m</w:t>
      </w:r>
      <w:r w:rsidR="00094872" w:rsidRPr="00996FE6">
        <w:rPr>
          <w:szCs w:val="22"/>
          <w:lang w:val="pl-PL"/>
        </w:rPr>
        <w:t>l</w:t>
      </w:r>
      <w:r w:rsidRPr="00996FE6">
        <w:rPr>
          <w:szCs w:val="22"/>
          <w:lang w:val="pl-PL"/>
        </w:rPr>
        <w:t>. Dalje rastvaranje je neophodno u zavisnosti od načina prim</w:t>
      </w:r>
      <w:r w:rsidR="00C52093" w:rsidRPr="00996FE6">
        <w:rPr>
          <w:szCs w:val="22"/>
          <w:lang w:val="pl-PL"/>
        </w:rPr>
        <w:t>j</w:t>
      </w:r>
      <w:r w:rsidRPr="00996FE6">
        <w:rPr>
          <w:szCs w:val="22"/>
          <w:lang w:val="pl-PL"/>
        </w:rPr>
        <w:t>ene l</w:t>
      </w:r>
      <w:r w:rsidR="00C52093" w:rsidRPr="00996FE6">
        <w:rPr>
          <w:szCs w:val="22"/>
          <w:lang w:val="pl-PL"/>
        </w:rPr>
        <w:t>ij</w:t>
      </w:r>
      <w:r w:rsidRPr="00996FE6">
        <w:rPr>
          <w:szCs w:val="22"/>
          <w:lang w:val="pl-PL"/>
        </w:rPr>
        <w:t>eka.</w:t>
      </w:r>
    </w:p>
    <w:p w14:paraId="2C34C566" w14:textId="77777777" w:rsidR="0097620C" w:rsidRPr="00996FE6" w:rsidRDefault="0097620C" w:rsidP="0097620C">
      <w:pPr>
        <w:autoSpaceDE w:val="0"/>
        <w:autoSpaceDN w:val="0"/>
        <w:adjustRightInd w:val="0"/>
        <w:rPr>
          <w:szCs w:val="22"/>
          <w:lang w:val="pl-PL"/>
        </w:rPr>
      </w:pPr>
    </w:p>
    <w:p w14:paraId="7F85B05E" w14:textId="300C97FE" w:rsidR="0097620C" w:rsidRPr="00996FE6" w:rsidRDefault="0097620C" w:rsidP="0097620C">
      <w:pPr>
        <w:autoSpaceDE w:val="0"/>
        <w:autoSpaceDN w:val="0"/>
        <w:adjustRightInd w:val="0"/>
        <w:rPr>
          <w:i/>
          <w:szCs w:val="22"/>
          <w:u w:val="single"/>
          <w:lang w:val="it-IT"/>
        </w:rPr>
      </w:pPr>
      <w:r w:rsidRPr="00996FE6">
        <w:rPr>
          <w:i/>
          <w:szCs w:val="22"/>
          <w:u w:val="single"/>
          <w:lang w:val="it-IT"/>
        </w:rPr>
        <w:t>Intermitentna infuzija (preporučen način prim</w:t>
      </w:r>
      <w:r w:rsidR="00C52093" w:rsidRPr="00996FE6">
        <w:rPr>
          <w:i/>
          <w:szCs w:val="22"/>
          <w:u w:val="single"/>
          <w:lang w:val="it-IT"/>
        </w:rPr>
        <w:t>j</w:t>
      </w:r>
      <w:r w:rsidRPr="00996FE6">
        <w:rPr>
          <w:i/>
          <w:szCs w:val="22"/>
          <w:u w:val="single"/>
          <w:lang w:val="it-IT"/>
        </w:rPr>
        <w:t>ene)</w:t>
      </w:r>
    </w:p>
    <w:p w14:paraId="46CC0FF1" w14:textId="51D32483" w:rsidR="0097620C" w:rsidRPr="00996FE6" w:rsidRDefault="0097620C" w:rsidP="0097620C">
      <w:pPr>
        <w:autoSpaceDE w:val="0"/>
        <w:autoSpaceDN w:val="0"/>
        <w:adjustRightInd w:val="0"/>
        <w:rPr>
          <w:szCs w:val="22"/>
          <w:lang w:val="it-IT"/>
        </w:rPr>
      </w:pPr>
      <w:r w:rsidRPr="00996FE6">
        <w:rPr>
          <w:szCs w:val="22"/>
          <w:lang w:val="it-IT"/>
        </w:rPr>
        <w:t>Rekonstituisani rastvor koji sadrži 500 mg vankomicina treba razblažiti sa najmanje 100 m</w:t>
      </w:r>
      <w:r w:rsidR="00094872" w:rsidRPr="00996FE6">
        <w:rPr>
          <w:szCs w:val="22"/>
          <w:lang w:val="it-IT"/>
        </w:rPr>
        <w:t>l</w:t>
      </w:r>
      <w:r w:rsidRPr="00996FE6">
        <w:rPr>
          <w:szCs w:val="22"/>
          <w:lang w:val="it-IT"/>
        </w:rPr>
        <w:t xml:space="preserve"> rastvarača.</w:t>
      </w:r>
    </w:p>
    <w:p w14:paraId="1D8C6BE4" w14:textId="4106E255" w:rsidR="0097620C" w:rsidRPr="00996FE6" w:rsidRDefault="0097620C" w:rsidP="0097620C">
      <w:pPr>
        <w:autoSpaceDE w:val="0"/>
        <w:autoSpaceDN w:val="0"/>
        <w:adjustRightInd w:val="0"/>
        <w:rPr>
          <w:szCs w:val="22"/>
          <w:lang w:val="it-IT"/>
        </w:rPr>
      </w:pPr>
      <w:r w:rsidRPr="00996FE6">
        <w:rPr>
          <w:szCs w:val="22"/>
          <w:lang w:val="it-IT"/>
        </w:rPr>
        <w:t>Rekonstituisani rastvor koji sadrži 1000 mg vankomicina treba razblažiti sa najmanje 200 m</w:t>
      </w:r>
      <w:r w:rsidR="00094872" w:rsidRPr="00996FE6">
        <w:rPr>
          <w:szCs w:val="22"/>
          <w:lang w:val="it-IT"/>
        </w:rPr>
        <w:t>l</w:t>
      </w:r>
      <w:r w:rsidRPr="00996FE6">
        <w:rPr>
          <w:szCs w:val="22"/>
          <w:lang w:val="it-IT"/>
        </w:rPr>
        <w:t xml:space="preserve"> rastvarača.</w:t>
      </w:r>
    </w:p>
    <w:p w14:paraId="2F13CD6A" w14:textId="77777777" w:rsidR="0097620C" w:rsidRPr="00996FE6" w:rsidRDefault="0097620C" w:rsidP="0097620C">
      <w:pPr>
        <w:autoSpaceDE w:val="0"/>
        <w:autoSpaceDN w:val="0"/>
        <w:adjustRightInd w:val="0"/>
        <w:rPr>
          <w:szCs w:val="22"/>
          <w:lang w:val="it-IT"/>
        </w:rPr>
      </w:pPr>
    </w:p>
    <w:p w14:paraId="25BC2F34" w14:textId="3A1FCA9A" w:rsidR="0097620C" w:rsidRPr="00996FE6" w:rsidRDefault="0097620C" w:rsidP="0097620C">
      <w:pPr>
        <w:autoSpaceDE w:val="0"/>
        <w:autoSpaceDN w:val="0"/>
        <w:adjustRightInd w:val="0"/>
        <w:rPr>
          <w:szCs w:val="22"/>
          <w:lang w:val="it-IT"/>
        </w:rPr>
      </w:pPr>
      <w:r w:rsidRPr="00996FE6">
        <w:rPr>
          <w:szCs w:val="22"/>
          <w:lang w:val="it-IT"/>
        </w:rPr>
        <w:t>Pogodni rastvarači su rastvor natrijum</w:t>
      </w:r>
      <w:r w:rsidR="00094872" w:rsidRPr="00996FE6">
        <w:rPr>
          <w:szCs w:val="22"/>
          <w:lang w:val="it-IT"/>
        </w:rPr>
        <w:t xml:space="preserve"> </w:t>
      </w:r>
      <w:r w:rsidRPr="00996FE6">
        <w:rPr>
          <w:szCs w:val="22"/>
          <w:lang w:val="it-IT"/>
        </w:rPr>
        <w:t>hlorida ili rastvor glukoze. Željenu dozu treba prim</w:t>
      </w:r>
      <w:r w:rsidR="00C52093" w:rsidRPr="00996FE6">
        <w:rPr>
          <w:szCs w:val="22"/>
          <w:lang w:val="it-IT"/>
        </w:rPr>
        <w:t>j</w:t>
      </w:r>
      <w:r w:rsidRPr="00996FE6">
        <w:rPr>
          <w:szCs w:val="22"/>
          <w:lang w:val="it-IT"/>
        </w:rPr>
        <w:t>eniti kao intravensku infuziju u trajanju od najmanje 60 minuta. Ako se prim</w:t>
      </w:r>
      <w:r w:rsidR="00C52093" w:rsidRPr="00996FE6">
        <w:rPr>
          <w:szCs w:val="22"/>
          <w:lang w:val="it-IT"/>
        </w:rPr>
        <w:t>j</w:t>
      </w:r>
      <w:r w:rsidRPr="00996FE6">
        <w:rPr>
          <w:szCs w:val="22"/>
          <w:lang w:val="it-IT"/>
        </w:rPr>
        <w:t>enjuje većom brzinom ili u većoj koncentraciji, postoji mogućnost indukovanja značajne hipotenzije uz tromboflebits. Brza prim</w:t>
      </w:r>
      <w:r w:rsidR="00C52093" w:rsidRPr="00996FE6">
        <w:rPr>
          <w:szCs w:val="22"/>
          <w:lang w:val="it-IT"/>
        </w:rPr>
        <w:t>j</w:t>
      </w:r>
      <w:r w:rsidRPr="00996FE6">
        <w:rPr>
          <w:szCs w:val="22"/>
          <w:lang w:val="it-IT"/>
        </w:rPr>
        <w:t>ena može dovesti do crvenila i prolaznog osipa na vratu i ramenima.</w:t>
      </w:r>
    </w:p>
    <w:p w14:paraId="3F6BB39C" w14:textId="77777777" w:rsidR="0097620C" w:rsidRPr="00996FE6" w:rsidRDefault="0097620C" w:rsidP="0097620C">
      <w:pPr>
        <w:autoSpaceDE w:val="0"/>
        <w:autoSpaceDN w:val="0"/>
        <w:adjustRightInd w:val="0"/>
        <w:rPr>
          <w:szCs w:val="22"/>
          <w:lang w:val="it-IT"/>
        </w:rPr>
      </w:pPr>
    </w:p>
    <w:p w14:paraId="21D639B8" w14:textId="7B512A26" w:rsidR="0097620C" w:rsidRPr="00996FE6" w:rsidRDefault="0097620C" w:rsidP="0097620C">
      <w:pPr>
        <w:autoSpaceDE w:val="0"/>
        <w:autoSpaceDN w:val="0"/>
        <w:adjustRightInd w:val="0"/>
        <w:rPr>
          <w:i/>
          <w:szCs w:val="22"/>
          <w:u w:val="single"/>
          <w:lang w:val="it-IT"/>
        </w:rPr>
      </w:pPr>
      <w:r w:rsidRPr="00996FE6">
        <w:rPr>
          <w:i/>
          <w:szCs w:val="22"/>
          <w:u w:val="single"/>
          <w:lang w:val="it-IT"/>
        </w:rPr>
        <w:t>Kontinuirana prim</w:t>
      </w:r>
      <w:r w:rsidR="008C515F" w:rsidRPr="00996FE6">
        <w:rPr>
          <w:i/>
          <w:szCs w:val="22"/>
          <w:u w:val="single"/>
          <w:lang w:val="it-IT"/>
        </w:rPr>
        <w:t>j</w:t>
      </w:r>
      <w:r w:rsidRPr="00996FE6">
        <w:rPr>
          <w:i/>
          <w:szCs w:val="22"/>
          <w:u w:val="single"/>
          <w:lang w:val="it-IT"/>
        </w:rPr>
        <w:t>ena (treba prim</w:t>
      </w:r>
      <w:r w:rsidR="008C515F" w:rsidRPr="00996FE6">
        <w:rPr>
          <w:i/>
          <w:szCs w:val="22"/>
          <w:u w:val="single"/>
          <w:lang w:val="it-IT"/>
        </w:rPr>
        <w:t>j</w:t>
      </w:r>
      <w:r w:rsidRPr="00996FE6">
        <w:rPr>
          <w:i/>
          <w:szCs w:val="22"/>
          <w:u w:val="single"/>
          <w:lang w:val="it-IT"/>
        </w:rPr>
        <w:t>enjivati samo kada intermitentna infuzija nije izvodljiva)</w:t>
      </w:r>
    </w:p>
    <w:p w14:paraId="32711DB6" w14:textId="013F6C74" w:rsidR="0097620C" w:rsidRPr="00996FE6" w:rsidRDefault="0097620C" w:rsidP="0097620C">
      <w:pPr>
        <w:autoSpaceDE w:val="0"/>
        <w:autoSpaceDN w:val="0"/>
        <w:adjustRightInd w:val="0"/>
        <w:rPr>
          <w:szCs w:val="22"/>
          <w:lang w:val="it-IT"/>
        </w:rPr>
      </w:pPr>
      <w:r w:rsidRPr="00996FE6">
        <w:rPr>
          <w:szCs w:val="22"/>
          <w:lang w:val="it-IT"/>
        </w:rPr>
        <w:t>1000 mg ili 2000 mg vankomicina se može dodati u dovoljnu količinu 0,9% rastvora natrijum</w:t>
      </w:r>
      <w:r w:rsidR="00EA5824" w:rsidRPr="00996FE6">
        <w:rPr>
          <w:szCs w:val="22"/>
          <w:lang w:val="it-IT"/>
        </w:rPr>
        <w:t xml:space="preserve"> </w:t>
      </w:r>
      <w:r w:rsidRPr="00996FE6">
        <w:rPr>
          <w:szCs w:val="22"/>
          <w:lang w:val="it-IT"/>
        </w:rPr>
        <w:t>hlorida ili 5% rastvora glukoze da bi se postigla željena doza koju treba prim</w:t>
      </w:r>
      <w:r w:rsidR="008C515F" w:rsidRPr="00996FE6">
        <w:rPr>
          <w:szCs w:val="22"/>
          <w:lang w:val="it-IT"/>
        </w:rPr>
        <w:t>j</w:t>
      </w:r>
      <w:r w:rsidRPr="00996FE6">
        <w:rPr>
          <w:szCs w:val="22"/>
          <w:lang w:val="it-IT"/>
        </w:rPr>
        <w:t xml:space="preserve">eniti kao infuziju tokom 24 sata. Preporučuje </w:t>
      </w:r>
      <w:r w:rsidRPr="00996FE6">
        <w:rPr>
          <w:szCs w:val="22"/>
          <w:lang w:val="it-IT"/>
        </w:rPr>
        <w:lastRenderedPageBreak/>
        <w:t>se da koncentracija vankomicina ne bude veća od 5 mg/</w:t>
      </w:r>
      <w:r w:rsidR="00EA5824" w:rsidRPr="00996FE6">
        <w:rPr>
          <w:szCs w:val="22"/>
          <w:lang w:val="it-IT"/>
        </w:rPr>
        <w:t>ml</w:t>
      </w:r>
      <w:r w:rsidRPr="00996FE6">
        <w:rPr>
          <w:szCs w:val="22"/>
          <w:lang w:val="it-IT"/>
        </w:rPr>
        <w:t>. Kod određenih pacijenata kod kojih je ograničen unos tečnosti, sm</w:t>
      </w:r>
      <w:r w:rsidR="008C515F" w:rsidRPr="00996FE6">
        <w:rPr>
          <w:szCs w:val="22"/>
          <w:lang w:val="it-IT"/>
        </w:rPr>
        <w:t>i</w:t>
      </w:r>
      <w:r w:rsidRPr="00996FE6">
        <w:rPr>
          <w:szCs w:val="22"/>
          <w:lang w:val="it-IT"/>
        </w:rPr>
        <w:t>ju se koristiti koncentracije l</w:t>
      </w:r>
      <w:r w:rsidR="008C515F" w:rsidRPr="00996FE6">
        <w:rPr>
          <w:szCs w:val="22"/>
          <w:lang w:val="it-IT"/>
        </w:rPr>
        <w:t>ij</w:t>
      </w:r>
      <w:r w:rsidRPr="00996FE6">
        <w:rPr>
          <w:szCs w:val="22"/>
          <w:lang w:val="it-IT"/>
        </w:rPr>
        <w:t>eka do 10 mg/</w:t>
      </w:r>
      <w:r w:rsidR="00EA5824" w:rsidRPr="00996FE6">
        <w:rPr>
          <w:szCs w:val="22"/>
          <w:lang w:val="it-IT"/>
        </w:rPr>
        <w:t>ml</w:t>
      </w:r>
      <w:r w:rsidRPr="00996FE6">
        <w:rPr>
          <w:szCs w:val="22"/>
          <w:lang w:val="it-IT"/>
        </w:rPr>
        <w:t>. Brzina infuzije ne sm</w:t>
      </w:r>
      <w:r w:rsidR="008C515F" w:rsidRPr="00996FE6">
        <w:rPr>
          <w:szCs w:val="22"/>
          <w:lang w:val="it-IT"/>
        </w:rPr>
        <w:t>ij</w:t>
      </w:r>
      <w:r w:rsidRPr="00996FE6">
        <w:rPr>
          <w:szCs w:val="22"/>
          <w:lang w:val="it-IT"/>
        </w:rPr>
        <w:t>e biti veća od 10 mg/min.</w:t>
      </w:r>
    </w:p>
    <w:p w14:paraId="388DAF1A" w14:textId="77777777" w:rsidR="0097620C" w:rsidRPr="00996FE6" w:rsidRDefault="0097620C" w:rsidP="0097620C">
      <w:pPr>
        <w:autoSpaceDE w:val="0"/>
        <w:autoSpaceDN w:val="0"/>
        <w:adjustRightInd w:val="0"/>
        <w:rPr>
          <w:szCs w:val="22"/>
          <w:lang w:val="it-IT"/>
        </w:rPr>
      </w:pPr>
    </w:p>
    <w:p w14:paraId="2E834613" w14:textId="07DA25CE" w:rsidR="0097620C" w:rsidRPr="00996FE6" w:rsidRDefault="0097620C" w:rsidP="0097620C">
      <w:pPr>
        <w:autoSpaceDE w:val="0"/>
        <w:autoSpaceDN w:val="0"/>
        <w:adjustRightInd w:val="0"/>
        <w:rPr>
          <w:szCs w:val="22"/>
          <w:lang w:val="it-IT"/>
        </w:rPr>
      </w:pPr>
      <w:r w:rsidRPr="00996FE6">
        <w:rPr>
          <w:szCs w:val="22"/>
          <w:lang w:val="it-IT"/>
        </w:rPr>
        <w:t>Za uslove čuvanja nakon rekonstitucije/razblaženja vid</w:t>
      </w:r>
      <w:r w:rsidR="008C515F" w:rsidRPr="00996FE6">
        <w:rPr>
          <w:szCs w:val="22"/>
          <w:lang w:val="it-IT"/>
        </w:rPr>
        <w:t>j</w:t>
      </w:r>
      <w:r w:rsidRPr="00996FE6">
        <w:rPr>
          <w:szCs w:val="22"/>
          <w:lang w:val="it-IT"/>
        </w:rPr>
        <w:t xml:space="preserve">eti </w:t>
      </w:r>
      <w:r w:rsidR="00EA5824" w:rsidRPr="00996FE6">
        <w:rPr>
          <w:szCs w:val="22"/>
          <w:lang w:val="it-IT"/>
        </w:rPr>
        <w:t xml:space="preserve">dio </w:t>
      </w:r>
      <w:r w:rsidRPr="00996FE6">
        <w:rPr>
          <w:szCs w:val="22"/>
          <w:lang w:val="it-IT"/>
        </w:rPr>
        <w:t>6.3.</w:t>
      </w:r>
    </w:p>
    <w:p w14:paraId="7D240145" w14:textId="23870345" w:rsidR="0097620C" w:rsidRPr="00996FE6" w:rsidRDefault="0097620C" w:rsidP="0097620C">
      <w:pPr>
        <w:autoSpaceDE w:val="0"/>
        <w:autoSpaceDN w:val="0"/>
        <w:adjustRightInd w:val="0"/>
        <w:rPr>
          <w:szCs w:val="22"/>
          <w:lang w:val="it-IT"/>
        </w:rPr>
      </w:pPr>
      <w:r w:rsidRPr="00996FE6">
        <w:rPr>
          <w:szCs w:val="22"/>
          <w:lang w:val="it-IT"/>
        </w:rPr>
        <w:t>Pr</w:t>
      </w:r>
      <w:r w:rsidR="008C515F" w:rsidRPr="00996FE6">
        <w:rPr>
          <w:szCs w:val="22"/>
          <w:lang w:val="it-IT"/>
        </w:rPr>
        <w:t>ij</w:t>
      </w:r>
      <w:r w:rsidRPr="00996FE6">
        <w:rPr>
          <w:szCs w:val="22"/>
          <w:lang w:val="it-IT"/>
        </w:rPr>
        <w:t>e prim</w:t>
      </w:r>
      <w:r w:rsidR="008C515F" w:rsidRPr="00996FE6">
        <w:rPr>
          <w:szCs w:val="22"/>
          <w:lang w:val="it-IT"/>
        </w:rPr>
        <w:t>j</w:t>
      </w:r>
      <w:r w:rsidRPr="00996FE6">
        <w:rPr>
          <w:szCs w:val="22"/>
          <w:lang w:val="it-IT"/>
        </w:rPr>
        <w:t>ene, rekonstituisani i razblaženi rastvor treba vizuelno prov</w:t>
      </w:r>
      <w:r w:rsidR="008C515F" w:rsidRPr="00996FE6">
        <w:rPr>
          <w:szCs w:val="22"/>
          <w:lang w:val="it-IT"/>
        </w:rPr>
        <w:t>j</w:t>
      </w:r>
      <w:r w:rsidRPr="00996FE6">
        <w:rPr>
          <w:szCs w:val="22"/>
          <w:lang w:val="it-IT"/>
        </w:rPr>
        <w:t>eriti na prisustvo čestica i obojenost.</w:t>
      </w:r>
    </w:p>
    <w:p w14:paraId="6951A103" w14:textId="0D9529B6" w:rsidR="0097620C" w:rsidRPr="00996FE6" w:rsidRDefault="0097620C" w:rsidP="0097620C">
      <w:pPr>
        <w:pStyle w:val="Header"/>
        <w:tabs>
          <w:tab w:val="left" w:pos="284"/>
        </w:tabs>
        <w:jc w:val="left"/>
        <w:rPr>
          <w:szCs w:val="22"/>
          <w:lang w:val="sr-Latn-CS"/>
        </w:rPr>
      </w:pPr>
      <w:r w:rsidRPr="00996FE6">
        <w:rPr>
          <w:szCs w:val="22"/>
          <w:lang w:val="it-IT"/>
        </w:rPr>
        <w:t>Samo bistar i bezbojan rastvor bez vidljivih čestica sm</w:t>
      </w:r>
      <w:r w:rsidR="008C515F" w:rsidRPr="00996FE6">
        <w:rPr>
          <w:szCs w:val="22"/>
          <w:lang w:val="it-IT"/>
        </w:rPr>
        <w:t>ij</w:t>
      </w:r>
      <w:r w:rsidRPr="00996FE6">
        <w:rPr>
          <w:szCs w:val="22"/>
          <w:lang w:val="it-IT"/>
        </w:rPr>
        <w:t>e da se koristi.</w:t>
      </w:r>
    </w:p>
    <w:p w14:paraId="7B9ACE1F" w14:textId="77777777" w:rsidR="0097620C" w:rsidRPr="00996FE6" w:rsidRDefault="0097620C" w:rsidP="0097620C">
      <w:pPr>
        <w:pStyle w:val="Header"/>
        <w:tabs>
          <w:tab w:val="left" w:pos="284"/>
        </w:tabs>
        <w:jc w:val="left"/>
        <w:rPr>
          <w:szCs w:val="22"/>
          <w:lang w:val="sr-Latn-CS"/>
        </w:rPr>
      </w:pPr>
    </w:p>
    <w:p w14:paraId="764408DE" w14:textId="62571B23" w:rsidR="0097620C" w:rsidRPr="00996FE6" w:rsidRDefault="0097620C" w:rsidP="00D65699">
      <w:pPr>
        <w:tabs>
          <w:tab w:val="clear" w:pos="284"/>
        </w:tabs>
        <w:spacing w:line="250" w:lineRule="auto"/>
        <w:jc w:val="left"/>
        <w:rPr>
          <w:szCs w:val="22"/>
          <w:lang w:val="pl-PL"/>
        </w:rPr>
      </w:pPr>
      <w:r w:rsidRPr="00996FE6">
        <w:rPr>
          <w:b/>
          <w:i/>
          <w:szCs w:val="22"/>
        </w:rPr>
        <w:t>U</w:t>
      </w:r>
      <w:r w:rsidRPr="00996FE6">
        <w:rPr>
          <w:b/>
          <w:i/>
          <w:szCs w:val="22"/>
          <w:lang w:val="sr-Latn-CS"/>
        </w:rPr>
        <w:t xml:space="preserve"> </w:t>
      </w:r>
      <w:r w:rsidRPr="00996FE6">
        <w:rPr>
          <w:b/>
          <w:i/>
          <w:szCs w:val="22"/>
        </w:rPr>
        <w:t>cilju</w:t>
      </w:r>
      <w:r w:rsidRPr="00996FE6">
        <w:rPr>
          <w:b/>
          <w:i/>
          <w:szCs w:val="22"/>
          <w:lang w:val="sr-Latn-CS"/>
        </w:rPr>
        <w:t xml:space="preserve"> </w:t>
      </w:r>
      <w:r w:rsidRPr="00996FE6">
        <w:rPr>
          <w:b/>
          <w:i/>
          <w:szCs w:val="22"/>
        </w:rPr>
        <w:t>spr</w:t>
      </w:r>
      <w:r w:rsidR="008C515F" w:rsidRPr="00996FE6">
        <w:rPr>
          <w:b/>
          <w:i/>
          <w:szCs w:val="22"/>
        </w:rPr>
        <w:t>j</w:t>
      </w:r>
      <w:r w:rsidRPr="00996FE6">
        <w:rPr>
          <w:b/>
          <w:i/>
          <w:szCs w:val="22"/>
        </w:rPr>
        <w:t>e</w:t>
      </w:r>
      <w:r w:rsidRPr="00996FE6">
        <w:rPr>
          <w:b/>
          <w:i/>
          <w:szCs w:val="22"/>
          <w:lang w:val="sr-Latn-CS"/>
        </w:rPr>
        <w:t>č</w:t>
      </w:r>
      <w:r w:rsidRPr="00996FE6">
        <w:rPr>
          <w:b/>
          <w:i/>
          <w:szCs w:val="22"/>
        </w:rPr>
        <w:t>avanja</w:t>
      </w:r>
      <w:r w:rsidRPr="00996FE6">
        <w:rPr>
          <w:b/>
          <w:i/>
          <w:szCs w:val="22"/>
          <w:lang w:val="sr-Latn-CS"/>
        </w:rPr>
        <w:t xml:space="preserve"> </w:t>
      </w:r>
      <w:r w:rsidRPr="00996FE6">
        <w:rPr>
          <w:b/>
          <w:i/>
          <w:szCs w:val="22"/>
        </w:rPr>
        <w:t>gre</w:t>
      </w:r>
      <w:r w:rsidRPr="00996FE6">
        <w:rPr>
          <w:b/>
          <w:i/>
          <w:szCs w:val="22"/>
          <w:lang w:val="sr-Latn-CS"/>
        </w:rPr>
        <w:t>š</w:t>
      </w:r>
      <w:r w:rsidRPr="00996FE6">
        <w:rPr>
          <w:b/>
          <w:i/>
          <w:szCs w:val="22"/>
        </w:rPr>
        <w:t>ke</w:t>
      </w:r>
      <w:r w:rsidRPr="00996FE6">
        <w:rPr>
          <w:b/>
          <w:i/>
          <w:szCs w:val="22"/>
          <w:lang w:val="sr-Latn-CS"/>
        </w:rPr>
        <w:t xml:space="preserve"> </w:t>
      </w:r>
      <w:r w:rsidRPr="00996FE6">
        <w:rPr>
          <w:b/>
          <w:i/>
          <w:szCs w:val="22"/>
        </w:rPr>
        <w:t>va</w:t>
      </w:r>
      <w:r w:rsidRPr="00996FE6">
        <w:rPr>
          <w:b/>
          <w:i/>
          <w:szCs w:val="22"/>
          <w:lang w:val="sr-Latn-CS"/>
        </w:rPr>
        <w:t>ž</w:t>
      </w:r>
      <w:r w:rsidRPr="00996FE6">
        <w:rPr>
          <w:b/>
          <w:i/>
          <w:szCs w:val="22"/>
        </w:rPr>
        <w:t>no</w:t>
      </w:r>
      <w:r w:rsidRPr="00996FE6">
        <w:rPr>
          <w:b/>
          <w:i/>
          <w:szCs w:val="22"/>
          <w:lang w:val="sr-Latn-CS"/>
        </w:rPr>
        <w:t xml:space="preserve"> </w:t>
      </w:r>
      <w:r w:rsidRPr="00996FE6">
        <w:rPr>
          <w:b/>
          <w:i/>
          <w:szCs w:val="22"/>
        </w:rPr>
        <w:t>je</w:t>
      </w:r>
      <w:r w:rsidRPr="00996FE6">
        <w:rPr>
          <w:b/>
          <w:i/>
          <w:szCs w:val="22"/>
          <w:lang w:val="sr-Latn-CS"/>
        </w:rPr>
        <w:t xml:space="preserve"> </w:t>
      </w:r>
      <w:r w:rsidRPr="00996FE6">
        <w:rPr>
          <w:b/>
          <w:i/>
          <w:szCs w:val="22"/>
        </w:rPr>
        <w:t>vidljivo</w:t>
      </w:r>
      <w:r w:rsidRPr="00996FE6">
        <w:rPr>
          <w:b/>
          <w:i/>
          <w:szCs w:val="22"/>
          <w:lang w:val="sr-Latn-CS"/>
        </w:rPr>
        <w:t xml:space="preserve"> </w:t>
      </w:r>
      <w:r w:rsidRPr="00996FE6">
        <w:rPr>
          <w:b/>
          <w:i/>
          <w:szCs w:val="22"/>
        </w:rPr>
        <w:t>ob</w:t>
      </w:r>
      <w:r w:rsidR="0059787B">
        <w:rPr>
          <w:b/>
          <w:i/>
          <w:szCs w:val="22"/>
        </w:rPr>
        <w:t>i</w:t>
      </w:r>
      <w:r w:rsidR="008C515F" w:rsidRPr="00996FE6">
        <w:rPr>
          <w:b/>
          <w:i/>
          <w:szCs w:val="22"/>
        </w:rPr>
        <w:t>lj</w:t>
      </w:r>
      <w:r w:rsidRPr="00996FE6">
        <w:rPr>
          <w:b/>
          <w:i/>
          <w:szCs w:val="22"/>
        </w:rPr>
        <w:t>ele</w:t>
      </w:r>
      <w:r w:rsidRPr="00996FE6">
        <w:rPr>
          <w:b/>
          <w:i/>
          <w:szCs w:val="22"/>
          <w:lang w:val="sr-Latn-CS"/>
        </w:rPr>
        <w:t>ž</w:t>
      </w:r>
      <w:r w:rsidRPr="00996FE6">
        <w:rPr>
          <w:b/>
          <w:i/>
          <w:szCs w:val="22"/>
        </w:rPr>
        <w:t>iti</w:t>
      </w:r>
      <w:r w:rsidRPr="00996FE6">
        <w:rPr>
          <w:b/>
          <w:i/>
          <w:szCs w:val="22"/>
          <w:lang w:val="sr-Latn-CS"/>
        </w:rPr>
        <w:t xml:space="preserve"> </w:t>
      </w:r>
      <w:r w:rsidRPr="00996FE6">
        <w:rPr>
          <w:b/>
          <w:i/>
          <w:szCs w:val="22"/>
        </w:rPr>
        <w:t>pripremljene</w:t>
      </w:r>
      <w:r w:rsidRPr="00996FE6">
        <w:rPr>
          <w:b/>
          <w:i/>
          <w:szCs w:val="22"/>
          <w:lang w:val="sr-Latn-CS"/>
        </w:rPr>
        <w:t xml:space="preserve"> </w:t>
      </w:r>
      <w:r w:rsidRPr="00996FE6">
        <w:rPr>
          <w:b/>
          <w:i/>
          <w:szCs w:val="22"/>
        </w:rPr>
        <w:t>rastvore</w:t>
      </w:r>
      <w:r w:rsidRPr="00996FE6">
        <w:rPr>
          <w:b/>
          <w:i/>
          <w:szCs w:val="22"/>
          <w:lang w:val="sr-Latn-CS"/>
        </w:rPr>
        <w:t xml:space="preserve"> </w:t>
      </w:r>
      <w:r w:rsidRPr="00996FE6">
        <w:rPr>
          <w:b/>
          <w:i/>
          <w:szCs w:val="22"/>
        </w:rPr>
        <w:t>kako</w:t>
      </w:r>
      <w:r w:rsidRPr="00996FE6">
        <w:rPr>
          <w:b/>
          <w:i/>
          <w:szCs w:val="22"/>
          <w:lang w:val="sr-Latn-CS"/>
        </w:rPr>
        <w:t xml:space="preserve"> </w:t>
      </w:r>
      <w:r w:rsidRPr="00996FE6">
        <w:rPr>
          <w:b/>
          <w:i/>
          <w:szCs w:val="22"/>
        </w:rPr>
        <w:t>bi</w:t>
      </w:r>
      <w:r w:rsidRPr="00996FE6">
        <w:rPr>
          <w:b/>
          <w:i/>
          <w:szCs w:val="22"/>
          <w:lang w:val="sr-Latn-CS"/>
        </w:rPr>
        <w:t xml:space="preserve"> </w:t>
      </w:r>
      <w:r w:rsidRPr="00996FE6">
        <w:rPr>
          <w:b/>
          <w:i/>
          <w:szCs w:val="22"/>
        </w:rPr>
        <w:t>bili</w:t>
      </w:r>
      <w:r w:rsidR="00D65699" w:rsidRPr="00996FE6">
        <w:rPr>
          <w:b/>
          <w:i/>
          <w:szCs w:val="22"/>
          <w:lang w:val="sr-Latn-CS"/>
        </w:rPr>
        <w:t xml:space="preserve"> </w:t>
      </w:r>
      <w:r w:rsidRPr="00996FE6">
        <w:rPr>
          <w:b/>
          <w:i/>
          <w:szCs w:val="22"/>
        </w:rPr>
        <w:t>sigurni</w:t>
      </w:r>
      <w:r w:rsidRPr="00996FE6">
        <w:rPr>
          <w:b/>
          <w:i/>
          <w:szCs w:val="22"/>
          <w:lang w:val="sr-Latn-CS"/>
        </w:rPr>
        <w:t xml:space="preserve"> </w:t>
      </w:r>
      <w:r w:rsidRPr="00996FE6">
        <w:rPr>
          <w:b/>
          <w:i/>
          <w:szCs w:val="22"/>
        </w:rPr>
        <w:t>da</w:t>
      </w:r>
      <w:r w:rsidRPr="00996FE6">
        <w:rPr>
          <w:b/>
          <w:i/>
          <w:szCs w:val="22"/>
          <w:lang w:val="sr-Latn-CS"/>
        </w:rPr>
        <w:t xml:space="preserve"> </w:t>
      </w:r>
      <w:r w:rsidRPr="00996FE6">
        <w:rPr>
          <w:b/>
          <w:i/>
          <w:szCs w:val="22"/>
        </w:rPr>
        <w:t>je</w:t>
      </w:r>
      <w:r w:rsidRPr="00996FE6">
        <w:rPr>
          <w:b/>
          <w:i/>
          <w:szCs w:val="22"/>
          <w:lang w:val="sr-Latn-CS"/>
        </w:rPr>
        <w:t xml:space="preserve"> </w:t>
      </w:r>
      <w:r w:rsidRPr="00996FE6">
        <w:rPr>
          <w:b/>
          <w:i/>
          <w:szCs w:val="22"/>
        </w:rPr>
        <w:t>l</w:t>
      </w:r>
      <w:r w:rsidR="008C515F" w:rsidRPr="00996FE6">
        <w:rPr>
          <w:b/>
          <w:i/>
          <w:szCs w:val="22"/>
        </w:rPr>
        <w:t>ij</w:t>
      </w:r>
      <w:r w:rsidRPr="00996FE6">
        <w:rPr>
          <w:b/>
          <w:i/>
          <w:szCs w:val="22"/>
        </w:rPr>
        <w:t>ek</w:t>
      </w:r>
      <w:r w:rsidRPr="00996FE6">
        <w:rPr>
          <w:b/>
          <w:i/>
          <w:szCs w:val="22"/>
          <w:lang w:val="sr-Latn-CS"/>
        </w:rPr>
        <w:t xml:space="preserve"> </w:t>
      </w:r>
      <w:r w:rsidRPr="00996FE6">
        <w:rPr>
          <w:b/>
          <w:i/>
          <w:szCs w:val="22"/>
        </w:rPr>
        <w:t>koji</w:t>
      </w:r>
      <w:r w:rsidRPr="00996FE6">
        <w:rPr>
          <w:b/>
          <w:i/>
          <w:szCs w:val="22"/>
          <w:lang w:val="sr-Latn-CS"/>
        </w:rPr>
        <w:t xml:space="preserve"> </w:t>
      </w:r>
      <w:r w:rsidRPr="00996FE6">
        <w:rPr>
          <w:b/>
          <w:i/>
          <w:szCs w:val="22"/>
        </w:rPr>
        <w:t>se</w:t>
      </w:r>
      <w:r w:rsidRPr="00996FE6">
        <w:rPr>
          <w:b/>
          <w:i/>
          <w:szCs w:val="22"/>
          <w:lang w:val="sr-Latn-CS"/>
        </w:rPr>
        <w:t xml:space="preserve"> </w:t>
      </w:r>
      <w:r w:rsidRPr="00996FE6">
        <w:rPr>
          <w:b/>
          <w:i/>
          <w:szCs w:val="22"/>
        </w:rPr>
        <w:t>priprema</w:t>
      </w:r>
      <w:r w:rsidRPr="00996FE6">
        <w:rPr>
          <w:b/>
          <w:i/>
          <w:szCs w:val="22"/>
          <w:lang w:val="sr-Latn-CS"/>
        </w:rPr>
        <w:t xml:space="preserve"> </w:t>
      </w:r>
      <w:r w:rsidRPr="00996FE6">
        <w:rPr>
          <w:b/>
          <w:i/>
          <w:szCs w:val="22"/>
        </w:rPr>
        <w:t>i</w:t>
      </w:r>
      <w:r w:rsidRPr="00996FE6">
        <w:rPr>
          <w:b/>
          <w:i/>
          <w:szCs w:val="22"/>
          <w:lang w:val="sr-Latn-CS"/>
        </w:rPr>
        <w:t xml:space="preserve"> </w:t>
      </w:r>
      <w:r w:rsidRPr="00996FE6">
        <w:rPr>
          <w:b/>
          <w:i/>
          <w:szCs w:val="22"/>
        </w:rPr>
        <w:t>daje</w:t>
      </w:r>
      <w:r w:rsidRPr="00996FE6">
        <w:rPr>
          <w:b/>
          <w:i/>
          <w:szCs w:val="22"/>
          <w:lang w:val="sr-Latn-CS"/>
        </w:rPr>
        <w:t xml:space="preserve"> </w:t>
      </w:r>
      <w:r w:rsidRPr="00996FE6">
        <w:rPr>
          <w:b/>
          <w:i/>
          <w:szCs w:val="22"/>
        </w:rPr>
        <w:t>nam</w:t>
      </w:r>
      <w:r w:rsidR="008C515F" w:rsidRPr="00996FE6">
        <w:rPr>
          <w:b/>
          <w:i/>
          <w:szCs w:val="22"/>
        </w:rPr>
        <w:t>ij</w:t>
      </w:r>
      <w:r w:rsidRPr="00996FE6">
        <w:rPr>
          <w:b/>
          <w:i/>
          <w:szCs w:val="22"/>
        </w:rPr>
        <w:t>enjen</w:t>
      </w:r>
      <w:r w:rsidRPr="00996FE6">
        <w:rPr>
          <w:b/>
          <w:i/>
          <w:szCs w:val="22"/>
          <w:lang w:val="sr-Latn-CS"/>
        </w:rPr>
        <w:t xml:space="preserve"> </w:t>
      </w:r>
      <w:r w:rsidRPr="00996FE6">
        <w:rPr>
          <w:b/>
          <w:i/>
          <w:szCs w:val="22"/>
        </w:rPr>
        <w:t>za</w:t>
      </w:r>
      <w:r w:rsidRPr="00996FE6">
        <w:rPr>
          <w:b/>
          <w:i/>
          <w:szCs w:val="22"/>
          <w:lang w:val="sr-Latn-CS"/>
        </w:rPr>
        <w:t xml:space="preserve"> </w:t>
      </w:r>
      <w:r w:rsidRPr="00996FE6">
        <w:rPr>
          <w:b/>
          <w:i/>
          <w:szCs w:val="22"/>
        </w:rPr>
        <w:t>oralnu</w:t>
      </w:r>
      <w:r w:rsidRPr="00996FE6">
        <w:rPr>
          <w:b/>
          <w:i/>
          <w:szCs w:val="22"/>
          <w:lang w:val="sr-Latn-CS"/>
        </w:rPr>
        <w:t xml:space="preserve"> </w:t>
      </w:r>
      <w:r w:rsidRPr="00996FE6">
        <w:rPr>
          <w:b/>
          <w:i/>
          <w:szCs w:val="22"/>
        </w:rPr>
        <w:t>odnosno</w:t>
      </w:r>
      <w:r w:rsidRPr="00996FE6">
        <w:rPr>
          <w:b/>
          <w:i/>
          <w:szCs w:val="22"/>
          <w:lang w:val="sr-Latn-CS"/>
        </w:rPr>
        <w:t xml:space="preserve"> </w:t>
      </w:r>
      <w:r w:rsidRPr="00996FE6">
        <w:rPr>
          <w:b/>
          <w:i/>
          <w:szCs w:val="22"/>
        </w:rPr>
        <w:t>intravensku</w:t>
      </w:r>
      <w:r w:rsidRPr="00996FE6">
        <w:rPr>
          <w:b/>
          <w:i/>
          <w:szCs w:val="22"/>
          <w:lang w:val="sr-Latn-CS"/>
        </w:rPr>
        <w:t xml:space="preserve"> </w:t>
      </w:r>
      <w:r w:rsidRPr="00996FE6">
        <w:rPr>
          <w:b/>
          <w:i/>
          <w:szCs w:val="22"/>
        </w:rPr>
        <w:t>prim</w:t>
      </w:r>
      <w:r w:rsidR="008C515F" w:rsidRPr="00996FE6">
        <w:rPr>
          <w:b/>
          <w:i/>
          <w:szCs w:val="22"/>
        </w:rPr>
        <w:t>j</w:t>
      </w:r>
      <w:r w:rsidRPr="00996FE6">
        <w:rPr>
          <w:b/>
          <w:i/>
          <w:szCs w:val="22"/>
        </w:rPr>
        <w:t>enu</w:t>
      </w:r>
      <w:r w:rsidRPr="00996FE6">
        <w:rPr>
          <w:b/>
          <w:i/>
          <w:szCs w:val="22"/>
          <w:lang w:val="sr-Latn-CS"/>
        </w:rPr>
        <w:t>.</w:t>
      </w:r>
    </w:p>
    <w:p w14:paraId="08AA6A12" w14:textId="77777777" w:rsidR="00094872" w:rsidRPr="00996FE6" w:rsidRDefault="00094872" w:rsidP="00094872">
      <w:pPr>
        <w:pStyle w:val="Header"/>
        <w:tabs>
          <w:tab w:val="left" w:pos="284"/>
        </w:tabs>
        <w:jc w:val="left"/>
        <w:rPr>
          <w:spacing w:val="-2"/>
          <w:szCs w:val="22"/>
          <w:lang w:val="sr-Latn-CS"/>
        </w:rPr>
      </w:pPr>
    </w:p>
    <w:p w14:paraId="4BD45788" w14:textId="77777777" w:rsidR="004D2765" w:rsidRPr="00996FE6" w:rsidRDefault="004D2765" w:rsidP="004D2765">
      <w:pPr>
        <w:tabs>
          <w:tab w:val="clear" w:pos="284"/>
        </w:tabs>
        <w:spacing w:line="250" w:lineRule="auto"/>
        <w:ind w:right="1214"/>
        <w:jc w:val="left"/>
        <w:rPr>
          <w:szCs w:val="22"/>
          <w:lang w:val="pl-PL"/>
        </w:rPr>
      </w:pPr>
    </w:p>
    <w:p w14:paraId="1C2E7CF1" w14:textId="77777777" w:rsidR="004D2765" w:rsidRPr="00F92CE5" w:rsidRDefault="00CE09F3" w:rsidP="004D2765">
      <w:pPr>
        <w:pStyle w:val="NASLOV123"/>
        <w:spacing w:before="0" w:after="0"/>
        <w:rPr>
          <w:lang w:val="sr-Latn-RS"/>
        </w:rPr>
      </w:pPr>
      <w:r w:rsidRPr="00F92CE5">
        <w:rPr>
          <w:lang w:val="sr-Latn-RS"/>
        </w:rPr>
        <w:t>7. NOSILAC DOZVOLE</w:t>
      </w:r>
    </w:p>
    <w:p w14:paraId="54977E5B" w14:textId="2C2ED858" w:rsidR="00CE09F3" w:rsidRPr="00F92CE5" w:rsidRDefault="00CE09F3" w:rsidP="004D2765">
      <w:pPr>
        <w:pStyle w:val="NASLOV123"/>
        <w:spacing w:before="0" w:after="0"/>
        <w:rPr>
          <w:lang w:val="sr-Latn-RS"/>
        </w:rPr>
      </w:pPr>
      <w:r w:rsidRPr="00F92CE5">
        <w:rPr>
          <w:lang w:val="sr-Latn-RS"/>
        </w:rPr>
        <w:t xml:space="preserve"> </w:t>
      </w:r>
    </w:p>
    <w:p w14:paraId="668BF4BB" w14:textId="639F36DE" w:rsidR="00607472" w:rsidRPr="00F92CE5" w:rsidRDefault="001A70E9" w:rsidP="004D2765">
      <w:pPr>
        <w:widowControl w:val="0"/>
        <w:autoSpaceDE w:val="0"/>
        <w:autoSpaceDN w:val="0"/>
        <w:rPr>
          <w:szCs w:val="22"/>
          <w:lang w:val="sr-Latn-RS"/>
        </w:rPr>
      </w:pPr>
      <w:r w:rsidRPr="00F92CE5">
        <w:rPr>
          <w:szCs w:val="22"/>
          <w:lang w:val="sr-Latn-RS"/>
        </w:rPr>
        <w:t>MIP Pharma CG d.o.o., Trg Nezavisnosti 1/I, 81000 Podgorica, Crna Gora</w:t>
      </w:r>
    </w:p>
    <w:p w14:paraId="330FE2B6" w14:textId="77777777" w:rsidR="004D2765" w:rsidRPr="00F92CE5" w:rsidRDefault="004D2765" w:rsidP="004D2765">
      <w:pPr>
        <w:widowControl w:val="0"/>
        <w:autoSpaceDE w:val="0"/>
        <w:autoSpaceDN w:val="0"/>
        <w:rPr>
          <w:szCs w:val="22"/>
          <w:lang w:val="sr-Latn-RS"/>
        </w:rPr>
      </w:pPr>
    </w:p>
    <w:p w14:paraId="5A1C1B6B" w14:textId="77777777" w:rsidR="004D2765" w:rsidRPr="00F92CE5" w:rsidRDefault="004D2765" w:rsidP="004D2765">
      <w:pPr>
        <w:widowControl w:val="0"/>
        <w:autoSpaceDE w:val="0"/>
        <w:autoSpaceDN w:val="0"/>
        <w:rPr>
          <w:bCs/>
          <w:szCs w:val="22"/>
          <w:lang w:val="sr-Latn-RS"/>
        </w:rPr>
      </w:pPr>
    </w:p>
    <w:p w14:paraId="54977E5E" w14:textId="39A29110" w:rsidR="00CE09F3" w:rsidRPr="00F92CE5" w:rsidRDefault="00CE09F3" w:rsidP="004D2765">
      <w:pPr>
        <w:pStyle w:val="NASLOV123"/>
        <w:spacing w:before="0" w:after="0"/>
        <w:rPr>
          <w:lang w:val="sr-Latn-RS"/>
        </w:rPr>
      </w:pPr>
      <w:r w:rsidRPr="00F92CE5">
        <w:rPr>
          <w:lang w:val="sr-Latn-RS"/>
        </w:rPr>
        <w:t xml:space="preserve">8. </w:t>
      </w:r>
      <w:r w:rsidR="00B43FE0" w:rsidRPr="00F92CE5">
        <w:rPr>
          <w:lang w:val="sr-Latn-RS"/>
        </w:rPr>
        <w:t>BROJ DOZVOLE</w:t>
      </w:r>
      <w:r w:rsidR="00D335CE" w:rsidRPr="00F92CE5">
        <w:rPr>
          <w:lang w:val="sr-Latn-RS"/>
        </w:rPr>
        <w:t xml:space="preserve"> ZA STAVLJANJE LIJEKA U PROMET</w:t>
      </w:r>
    </w:p>
    <w:p w14:paraId="30BE6882" w14:textId="77777777" w:rsidR="004D2765" w:rsidRPr="00F92CE5" w:rsidRDefault="004D2765" w:rsidP="004D2765">
      <w:pPr>
        <w:pStyle w:val="NASLOV123"/>
        <w:spacing w:before="0" w:after="0"/>
        <w:rPr>
          <w:lang w:val="sr-Latn-RS"/>
        </w:rPr>
      </w:pPr>
    </w:p>
    <w:p w14:paraId="11B1B428" w14:textId="65DFA2C4" w:rsidR="001A70E9" w:rsidRPr="00F92CE5" w:rsidRDefault="001A70E9" w:rsidP="004D2765">
      <w:pPr>
        <w:autoSpaceDE w:val="0"/>
        <w:autoSpaceDN w:val="0"/>
        <w:adjustRightInd w:val="0"/>
        <w:rPr>
          <w:szCs w:val="22"/>
          <w:lang w:val="sr-Latn-RS"/>
        </w:rPr>
      </w:pPr>
      <w:r w:rsidRPr="00F92CE5">
        <w:rPr>
          <w:szCs w:val="22"/>
          <w:lang w:val="sr-Latn-RS"/>
        </w:rPr>
        <w:t>Vancomycin-MIP, prašak za rastvor za infuziju, 500mg, bočica, staklena, 5x</w:t>
      </w:r>
      <w:r w:rsidR="00F92CE5" w:rsidRPr="00F92CE5">
        <w:rPr>
          <w:szCs w:val="22"/>
          <w:lang w:val="sr-Latn-RS"/>
        </w:rPr>
        <w:t>500</w:t>
      </w:r>
      <w:r w:rsidRPr="00F92CE5">
        <w:rPr>
          <w:szCs w:val="22"/>
          <w:lang w:val="sr-Latn-RS"/>
        </w:rPr>
        <w:t xml:space="preserve">mg: </w:t>
      </w:r>
      <w:r w:rsidR="00F92CE5" w:rsidRPr="00F92CE5">
        <w:rPr>
          <w:szCs w:val="22"/>
          <w:lang w:val="sr-Latn-RS"/>
        </w:rPr>
        <w:t>2030/25/1591 - 9636</w:t>
      </w:r>
    </w:p>
    <w:p w14:paraId="76303784" w14:textId="3A0A9222" w:rsidR="007A695C" w:rsidRPr="00F92CE5" w:rsidRDefault="001A70E9" w:rsidP="00986F86">
      <w:pPr>
        <w:autoSpaceDE w:val="0"/>
        <w:autoSpaceDN w:val="0"/>
        <w:adjustRightInd w:val="0"/>
        <w:rPr>
          <w:szCs w:val="22"/>
          <w:lang w:val="sr-Latn-RS"/>
        </w:rPr>
      </w:pPr>
      <w:r w:rsidRPr="00F92CE5">
        <w:rPr>
          <w:szCs w:val="22"/>
          <w:lang w:val="sr-Latn-RS"/>
        </w:rPr>
        <w:t>Vancomycin-MIP, prašak za rastvor za infuziju, 1000mg, bočica, staklena, 5x</w:t>
      </w:r>
      <w:r w:rsidR="00F92CE5" w:rsidRPr="00F92CE5">
        <w:rPr>
          <w:szCs w:val="22"/>
          <w:lang w:val="sr-Latn-RS"/>
        </w:rPr>
        <w:t>1000</w:t>
      </w:r>
      <w:r w:rsidRPr="00F92CE5">
        <w:rPr>
          <w:szCs w:val="22"/>
          <w:lang w:val="sr-Latn-RS"/>
        </w:rPr>
        <w:t xml:space="preserve">mg: </w:t>
      </w:r>
      <w:r w:rsidR="00F92CE5" w:rsidRPr="00F92CE5">
        <w:rPr>
          <w:szCs w:val="22"/>
          <w:lang w:val="sr-Latn-RS"/>
        </w:rPr>
        <w:t>2030/25/1592 - 9637</w:t>
      </w:r>
    </w:p>
    <w:p w14:paraId="29F9A5A4" w14:textId="77777777" w:rsidR="00F92CE5" w:rsidRPr="00F92CE5" w:rsidRDefault="00F92CE5" w:rsidP="00986F86">
      <w:pPr>
        <w:autoSpaceDE w:val="0"/>
        <w:autoSpaceDN w:val="0"/>
        <w:adjustRightInd w:val="0"/>
        <w:rPr>
          <w:szCs w:val="22"/>
          <w:lang w:val="sr-Latn-RS"/>
        </w:rPr>
      </w:pPr>
    </w:p>
    <w:p w14:paraId="6731B6BF" w14:textId="77777777" w:rsidR="004D2765" w:rsidRPr="00F92CE5" w:rsidRDefault="004D2765" w:rsidP="004D2765">
      <w:pPr>
        <w:tabs>
          <w:tab w:val="clear" w:pos="284"/>
          <w:tab w:val="center" w:pos="4536"/>
          <w:tab w:val="right" w:pos="9072"/>
        </w:tabs>
        <w:jc w:val="left"/>
        <w:rPr>
          <w:szCs w:val="22"/>
          <w:lang w:val="sr-Latn-RS"/>
        </w:rPr>
      </w:pPr>
    </w:p>
    <w:p w14:paraId="54977E62" w14:textId="67FCB24A" w:rsidR="000126F6" w:rsidRPr="00F92CE5" w:rsidRDefault="00CE09F3" w:rsidP="004D2765">
      <w:pPr>
        <w:pStyle w:val="NASLOV123"/>
        <w:spacing w:before="0" w:after="0"/>
        <w:rPr>
          <w:lang w:val="sr-Latn-RS"/>
        </w:rPr>
      </w:pPr>
      <w:r w:rsidRPr="00F92CE5">
        <w:rPr>
          <w:lang w:val="sr-Latn-RS"/>
        </w:rPr>
        <w:t xml:space="preserve">9. </w:t>
      </w:r>
      <w:r w:rsidR="00B43FE0" w:rsidRPr="00F92CE5">
        <w:rPr>
          <w:lang w:val="sr-Latn-RS"/>
        </w:rPr>
        <w:t>DATUM PRVE DOZVOLE/ OBNOVE DOZVOLE</w:t>
      </w:r>
      <w:r w:rsidR="00B0410A" w:rsidRPr="00F92CE5">
        <w:rPr>
          <w:lang w:val="sr-Latn-RS"/>
        </w:rPr>
        <w:t xml:space="preserve"> ZA STAVLJANJE LIJEKA U PROMET</w:t>
      </w:r>
    </w:p>
    <w:p w14:paraId="6450AA74" w14:textId="0617A80B" w:rsidR="00F92CE5" w:rsidRPr="00F92CE5" w:rsidRDefault="00F92CE5" w:rsidP="004D2765">
      <w:pPr>
        <w:pStyle w:val="NASLOV123"/>
        <w:spacing w:before="0" w:after="0"/>
        <w:rPr>
          <w:lang w:val="sr-Latn-RS"/>
        </w:rPr>
      </w:pPr>
    </w:p>
    <w:p w14:paraId="54965E8C" w14:textId="181FC7A9" w:rsidR="00F92CE5" w:rsidRPr="00F92CE5" w:rsidRDefault="00F92CE5" w:rsidP="004D2765">
      <w:pPr>
        <w:pStyle w:val="NASLOV123"/>
        <w:spacing w:before="0" w:after="0"/>
        <w:rPr>
          <w:b w:val="0"/>
          <w:lang w:val="sr-Latn-RS"/>
        </w:rPr>
      </w:pPr>
      <w:r w:rsidRPr="00F92CE5">
        <w:rPr>
          <w:b w:val="0"/>
          <w:lang w:val="sr-Latn-RS"/>
        </w:rPr>
        <w:t>Datum prve dozvole: 19.09.2014. godine</w:t>
      </w:r>
    </w:p>
    <w:p w14:paraId="32F9896A" w14:textId="6AD7A60F" w:rsidR="00F92CE5" w:rsidRPr="00F92CE5" w:rsidRDefault="00F92CE5" w:rsidP="004D2765">
      <w:pPr>
        <w:pStyle w:val="NASLOV123"/>
        <w:spacing w:before="0" w:after="0"/>
        <w:rPr>
          <w:b w:val="0"/>
          <w:lang w:val="sr-Latn-RS"/>
        </w:rPr>
      </w:pPr>
      <w:r w:rsidRPr="00F92CE5">
        <w:rPr>
          <w:b w:val="0"/>
          <w:lang w:val="sr-Latn-RS"/>
        </w:rPr>
        <w:t xml:space="preserve">Datum poslednje obnove dozvole: </w:t>
      </w:r>
      <w:bookmarkStart w:id="5" w:name="_GoBack"/>
      <w:r w:rsidRPr="00F92CE5">
        <w:rPr>
          <w:b w:val="0"/>
          <w:lang w:val="sr-Latn-RS"/>
        </w:rPr>
        <w:t>31.03.2025. godine</w:t>
      </w:r>
      <w:bookmarkEnd w:id="5"/>
    </w:p>
    <w:p w14:paraId="28CC8358" w14:textId="77777777" w:rsidR="004D2765" w:rsidRPr="00F92CE5" w:rsidRDefault="004D2765" w:rsidP="004D2765">
      <w:pPr>
        <w:pStyle w:val="NASLOV123"/>
        <w:spacing w:before="0" w:after="0"/>
        <w:rPr>
          <w:b w:val="0"/>
          <w:lang w:val="sr-Latn-RS"/>
        </w:rPr>
      </w:pPr>
    </w:p>
    <w:p w14:paraId="083F386C" w14:textId="77777777" w:rsidR="00D335CE" w:rsidRPr="00F92CE5" w:rsidRDefault="00D335CE" w:rsidP="004D2765">
      <w:pPr>
        <w:autoSpaceDE w:val="0"/>
        <w:autoSpaceDN w:val="0"/>
        <w:adjustRightInd w:val="0"/>
        <w:rPr>
          <w:szCs w:val="22"/>
          <w:lang w:val="sr-Latn-RS"/>
        </w:rPr>
      </w:pPr>
    </w:p>
    <w:p w14:paraId="54977E66" w14:textId="50B1B233" w:rsidR="00CE09F3" w:rsidRPr="00F92CE5" w:rsidRDefault="00CE09F3" w:rsidP="004D2765">
      <w:pPr>
        <w:pStyle w:val="NASLOV123"/>
        <w:spacing w:before="0" w:after="0"/>
        <w:rPr>
          <w:lang w:val="sr-Latn-RS"/>
        </w:rPr>
      </w:pPr>
      <w:r w:rsidRPr="00F92CE5">
        <w:rPr>
          <w:lang w:val="sr-Latn-RS"/>
        </w:rPr>
        <w:t xml:space="preserve">10. </w:t>
      </w:r>
      <w:r w:rsidR="00B43FE0" w:rsidRPr="00F92CE5">
        <w:rPr>
          <w:lang w:val="sr-Latn-RS"/>
        </w:rPr>
        <w:t xml:space="preserve">DATUM </w:t>
      </w:r>
      <w:r w:rsidR="00F92CE5" w:rsidRPr="00F92CE5">
        <w:rPr>
          <w:lang w:val="sr-Latn-RS"/>
        </w:rPr>
        <w:t>REVIZIJE TEKSTA</w:t>
      </w:r>
    </w:p>
    <w:p w14:paraId="0A6D4115" w14:textId="6ACE2F3E" w:rsidR="00F92CE5" w:rsidRPr="00F92CE5" w:rsidRDefault="00F92CE5" w:rsidP="004D2765">
      <w:pPr>
        <w:pStyle w:val="NASLOV123"/>
        <w:spacing w:before="0" w:after="0"/>
        <w:rPr>
          <w:lang w:val="sr-Latn-RS"/>
        </w:rPr>
      </w:pPr>
    </w:p>
    <w:p w14:paraId="02F756FC" w14:textId="176778D9" w:rsidR="00F92CE5" w:rsidRPr="00F92CE5" w:rsidRDefault="00F92CE5" w:rsidP="004D2765">
      <w:pPr>
        <w:pStyle w:val="NASLOV123"/>
        <w:spacing w:before="0" w:after="0"/>
        <w:rPr>
          <w:b w:val="0"/>
          <w:lang w:val="sr-Latn-RS"/>
        </w:rPr>
      </w:pPr>
      <w:r w:rsidRPr="00F92CE5">
        <w:rPr>
          <w:b w:val="0"/>
          <w:lang w:val="sr-Latn-RS"/>
        </w:rPr>
        <w:t>Mart, 2025. godine</w:t>
      </w:r>
    </w:p>
    <w:p w14:paraId="720B4BB8" w14:textId="77777777" w:rsidR="004D2765" w:rsidRPr="00996FE6" w:rsidRDefault="004D2765" w:rsidP="004D2765">
      <w:pPr>
        <w:pStyle w:val="NASLOV123"/>
        <w:spacing w:before="0" w:after="0"/>
        <w:rPr>
          <w:lang w:val="sv-SE"/>
        </w:rPr>
      </w:pPr>
    </w:p>
    <w:p w14:paraId="54977E69" w14:textId="6DC81995" w:rsidR="004D230F" w:rsidRDefault="004D230F" w:rsidP="004D2765">
      <w:pPr>
        <w:widowControl w:val="0"/>
        <w:tabs>
          <w:tab w:val="left" w:pos="567"/>
        </w:tabs>
        <w:autoSpaceDE w:val="0"/>
        <w:autoSpaceDN w:val="0"/>
        <w:jc w:val="left"/>
        <w:rPr>
          <w:szCs w:val="22"/>
          <w:lang w:val="sr-Latn-CS"/>
        </w:rPr>
      </w:pPr>
    </w:p>
    <w:sectPr w:rsidR="004D230F" w:rsidSect="00827E6E">
      <w:footerReference w:type="even" r:id="rId11"/>
      <w:footerReference w:type="default" r:id="rId12"/>
      <w:pgSz w:w="11907" w:h="16840" w:code="9"/>
      <w:pgMar w:top="905"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DA429" w14:textId="77777777" w:rsidR="00264C7D" w:rsidRDefault="00264C7D">
      <w:r>
        <w:separator/>
      </w:r>
    </w:p>
  </w:endnote>
  <w:endnote w:type="continuationSeparator" w:id="0">
    <w:p w14:paraId="0A2D37BC" w14:textId="77777777" w:rsidR="00264C7D" w:rsidRDefault="0026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207" w:usb1="08070000" w:usb2="00000010" w:usb3="00000000" w:csb0="0002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77E72" w14:textId="77777777" w:rsidR="00827E6E" w:rsidRDefault="00827E6E"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77E73" w14:textId="77777777" w:rsidR="00827E6E" w:rsidRDefault="00827E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77E74" w14:textId="4BDCC62D" w:rsidR="00827E6E" w:rsidRPr="00827E6E" w:rsidRDefault="00264C7D" w:rsidP="00CE09F3">
    <w:pPr>
      <w:pStyle w:val="Footer"/>
      <w:tabs>
        <w:tab w:val="left" w:pos="5448"/>
      </w:tabs>
      <w:spacing w:before="360"/>
      <w:jc w:val="center"/>
      <w:rPr>
        <w:szCs w:val="22"/>
      </w:rPr>
    </w:pPr>
    <w:sdt>
      <w:sdtPr>
        <w:id w:val="25862803"/>
        <w:docPartObj>
          <w:docPartGallery w:val="Page Numbers (Bottom of Page)"/>
          <w:docPartUnique/>
        </w:docPartObj>
      </w:sdtPr>
      <w:sdtEndPr>
        <w:rPr>
          <w:szCs w:val="22"/>
        </w:rPr>
      </w:sdtEndPr>
      <w:sdtContent>
        <w:sdt>
          <w:sdtPr>
            <w:id w:val="565050477"/>
            <w:docPartObj>
              <w:docPartGallery w:val="Page Numbers (Top of Page)"/>
              <w:docPartUnique/>
            </w:docPartObj>
          </w:sdtPr>
          <w:sdtEndPr>
            <w:rPr>
              <w:szCs w:val="22"/>
            </w:rPr>
          </w:sdtEndPr>
          <w:sdtContent>
            <w:r w:rsidR="00827E6E" w:rsidRPr="00827E6E">
              <w:rPr>
                <w:szCs w:val="22"/>
              </w:rPr>
              <w:fldChar w:fldCharType="begin"/>
            </w:r>
            <w:r w:rsidR="00827E6E" w:rsidRPr="00827E6E">
              <w:rPr>
                <w:szCs w:val="22"/>
              </w:rPr>
              <w:instrText xml:space="preserve"> PAGE </w:instrText>
            </w:r>
            <w:r w:rsidR="00827E6E" w:rsidRPr="00827E6E">
              <w:rPr>
                <w:szCs w:val="22"/>
              </w:rPr>
              <w:fldChar w:fldCharType="separate"/>
            </w:r>
            <w:r w:rsidR="00F92CE5">
              <w:rPr>
                <w:noProof/>
                <w:szCs w:val="22"/>
              </w:rPr>
              <w:t>16</w:t>
            </w:r>
            <w:r w:rsidR="00827E6E" w:rsidRPr="00827E6E">
              <w:rPr>
                <w:szCs w:val="22"/>
              </w:rPr>
              <w:fldChar w:fldCharType="end"/>
            </w:r>
            <w:r w:rsidR="00827E6E" w:rsidRPr="00827E6E">
              <w:rPr>
                <w:szCs w:val="22"/>
              </w:rPr>
              <w:t>/</w:t>
            </w:r>
            <w:r w:rsidR="00827E6E" w:rsidRPr="00827E6E">
              <w:rPr>
                <w:szCs w:val="22"/>
              </w:rPr>
              <w:fldChar w:fldCharType="begin"/>
            </w:r>
            <w:r w:rsidR="00827E6E" w:rsidRPr="00827E6E">
              <w:rPr>
                <w:szCs w:val="22"/>
              </w:rPr>
              <w:instrText xml:space="preserve"> NUMPAGES  </w:instrText>
            </w:r>
            <w:r w:rsidR="00827E6E" w:rsidRPr="00827E6E">
              <w:rPr>
                <w:szCs w:val="22"/>
              </w:rPr>
              <w:fldChar w:fldCharType="separate"/>
            </w:r>
            <w:r w:rsidR="00F92CE5">
              <w:rPr>
                <w:noProof/>
                <w:szCs w:val="22"/>
              </w:rPr>
              <w:t>17</w:t>
            </w:r>
            <w:r w:rsidR="00827E6E" w:rsidRPr="00827E6E">
              <w:rPr>
                <w:szCs w:val="22"/>
              </w:rPr>
              <w:fldChar w:fldCharType="end"/>
            </w:r>
          </w:sdtContent>
        </w:sdt>
      </w:sdtContent>
    </w:sdt>
  </w:p>
  <w:p w14:paraId="54977E75" w14:textId="77777777" w:rsidR="00827E6E" w:rsidRPr="00C536C2" w:rsidRDefault="00827E6E"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04F13" w14:textId="77777777" w:rsidR="00264C7D" w:rsidRDefault="00264C7D">
      <w:r>
        <w:separator/>
      </w:r>
    </w:p>
  </w:footnote>
  <w:footnote w:type="continuationSeparator" w:id="0">
    <w:p w14:paraId="2FA1115E" w14:textId="77777777" w:rsidR="00264C7D" w:rsidRDefault="00264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AB9"/>
    <w:multiLevelType w:val="hybridMultilevel"/>
    <w:tmpl w:val="14961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812A7"/>
    <w:multiLevelType w:val="hybridMultilevel"/>
    <w:tmpl w:val="6B2A8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F6EC5"/>
    <w:multiLevelType w:val="multilevel"/>
    <w:tmpl w:val="241A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4" w15:restartNumberingAfterBreak="0">
    <w:nsid w:val="099C5768"/>
    <w:multiLevelType w:val="hybridMultilevel"/>
    <w:tmpl w:val="70CCB1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BD1F53"/>
    <w:multiLevelType w:val="hybridMultilevel"/>
    <w:tmpl w:val="ED60F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996C28"/>
    <w:multiLevelType w:val="hybridMultilevel"/>
    <w:tmpl w:val="AEE6349A"/>
    <w:lvl w:ilvl="0" w:tplc="081A0019">
      <w:start w:val="1"/>
      <w:numFmt w:val="lowerLetter"/>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8" w15:restartNumberingAfterBreak="0">
    <w:nsid w:val="38153E06"/>
    <w:multiLevelType w:val="hybridMultilevel"/>
    <w:tmpl w:val="4AE81642"/>
    <w:lvl w:ilvl="0" w:tplc="BF92D1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FB1190"/>
    <w:multiLevelType w:val="hybridMultilevel"/>
    <w:tmpl w:val="E0CEEE8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4E793E7E"/>
    <w:multiLevelType w:val="hybridMultilevel"/>
    <w:tmpl w:val="D8168088"/>
    <w:lvl w:ilvl="0" w:tplc="DFBE24EC">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5AB87F12"/>
    <w:multiLevelType w:val="hybridMultilevel"/>
    <w:tmpl w:val="02B88738"/>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2"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6"/>
  </w:num>
  <w:num w:numId="2">
    <w:abstractNumId w:val="3"/>
    <w:lvlOverride w:ilvl="0">
      <w:startOverride w:val="7"/>
    </w:lvlOverride>
  </w:num>
  <w:num w:numId="3">
    <w:abstractNumId w:val="12"/>
  </w:num>
  <w:num w:numId="4">
    <w:abstractNumId w:val="7"/>
  </w:num>
  <w:num w:numId="5">
    <w:abstractNumId w:val="11"/>
  </w:num>
  <w:num w:numId="6">
    <w:abstractNumId w:val="0"/>
  </w:num>
  <w:num w:numId="7">
    <w:abstractNumId w:val="5"/>
  </w:num>
  <w:num w:numId="8">
    <w:abstractNumId w:val="9"/>
  </w:num>
  <w:num w:numId="9">
    <w:abstractNumId w:val="10"/>
  </w:num>
  <w:num w:numId="10">
    <w:abstractNumId w:val="2"/>
  </w:num>
  <w:num w:numId="11">
    <w:abstractNumId w:val="8"/>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0DB8"/>
    <w:rsid w:val="00004981"/>
    <w:rsid w:val="000126F6"/>
    <w:rsid w:val="00013721"/>
    <w:rsid w:val="00013B3F"/>
    <w:rsid w:val="00017801"/>
    <w:rsid w:val="00020024"/>
    <w:rsid w:val="00020B60"/>
    <w:rsid w:val="00020D46"/>
    <w:rsid w:val="000212E3"/>
    <w:rsid w:val="00027E6B"/>
    <w:rsid w:val="00031435"/>
    <w:rsid w:val="00031890"/>
    <w:rsid w:val="00032482"/>
    <w:rsid w:val="00034A63"/>
    <w:rsid w:val="0003568A"/>
    <w:rsid w:val="000365D2"/>
    <w:rsid w:val="000403C9"/>
    <w:rsid w:val="000430A9"/>
    <w:rsid w:val="000508C5"/>
    <w:rsid w:val="00050A50"/>
    <w:rsid w:val="00051595"/>
    <w:rsid w:val="000556AE"/>
    <w:rsid w:val="0005798D"/>
    <w:rsid w:val="0006026B"/>
    <w:rsid w:val="000616BF"/>
    <w:rsid w:val="00061C88"/>
    <w:rsid w:val="00062A72"/>
    <w:rsid w:val="00062AD9"/>
    <w:rsid w:val="00062F29"/>
    <w:rsid w:val="00064273"/>
    <w:rsid w:val="000646F7"/>
    <w:rsid w:val="00071648"/>
    <w:rsid w:val="00075B4D"/>
    <w:rsid w:val="000821B3"/>
    <w:rsid w:val="00083BE0"/>
    <w:rsid w:val="00083DDB"/>
    <w:rsid w:val="00084D2F"/>
    <w:rsid w:val="00086DF7"/>
    <w:rsid w:val="00087469"/>
    <w:rsid w:val="00087471"/>
    <w:rsid w:val="0009110A"/>
    <w:rsid w:val="00091A04"/>
    <w:rsid w:val="00091B50"/>
    <w:rsid w:val="00094872"/>
    <w:rsid w:val="00095256"/>
    <w:rsid w:val="00095FB6"/>
    <w:rsid w:val="00097003"/>
    <w:rsid w:val="0009758B"/>
    <w:rsid w:val="000A0AE3"/>
    <w:rsid w:val="000A0F4A"/>
    <w:rsid w:val="000A1394"/>
    <w:rsid w:val="000A5291"/>
    <w:rsid w:val="000A6187"/>
    <w:rsid w:val="000A7A6E"/>
    <w:rsid w:val="000A7BE5"/>
    <w:rsid w:val="000B596A"/>
    <w:rsid w:val="000C0853"/>
    <w:rsid w:val="000C121B"/>
    <w:rsid w:val="000D103F"/>
    <w:rsid w:val="000D5631"/>
    <w:rsid w:val="000D6D7F"/>
    <w:rsid w:val="000D725C"/>
    <w:rsid w:val="000E5579"/>
    <w:rsid w:val="000E697C"/>
    <w:rsid w:val="000E6EC7"/>
    <w:rsid w:val="000E75C0"/>
    <w:rsid w:val="000E7A3B"/>
    <w:rsid w:val="000F4966"/>
    <w:rsid w:val="000F4BC5"/>
    <w:rsid w:val="000F52FC"/>
    <w:rsid w:val="000F72EB"/>
    <w:rsid w:val="00100957"/>
    <w:rsid w:val="00101FC4"/>
    <w:rsid w:val="0010373A"/>
    <w:rsid w:val="00104FF4"/>
    <w:rsid w:val="001075D4"/>
    <w:rsid w:val="0011052B"/>
    <w:rsid w:val="0011273E"/>
    <w:rsid w:val="001135C9"/>
    <w:rsid w:val="00120412"/>
    <w:rsid w:val="00120848"/>
    <w:rsid w:val="00121582"/>
    <w:rsid w:val="00130931"/>
    <w:rsid w:val="001328BF"/>
    <w:rsid w:val="0013335F"/>
    <w:rsid w:val="00135C8E"/>
    <w:rsid w:val="00137EF3"/>
    <w:rsid w:val="00141198"/>
    <w:rsid w:val="00141639"/>
    <w:rsid w:val="0014180A"/>
    <w:rsid w:val="0014349D"/>
    <w:rsid w:val="0014499C"/>
    <w:rsid w:val="00150EA5"/>
    <w:rsid w:val="00151B92"/>
    <w:rsid w:val="00151C41"/>
    <w:rsid w:val="00155CDE"/>
    <w:rsid w:val="00160582"/>
    <w:rsid w:val="00161864"/>
    <w:rsid w:val="00162C17"/>
    <w:rsid w:val="00162DD8"/>
    <w:rsid w:val="00162F8A"/>
    <w:rsid w:val="00173D18"/>
    <w:rsid w:val="00174BD1"/>
    <w:rsid w:val="00175772"/>
    <w:rsid w:val="00175A7E"/>
    <w:rsid w:val="001803AB"/>
    <w:rsid w:val="001807BA"/>
    <w:rsid w:val="00180C04"/>
    <w:rsid w:val="00180C97"/>
    <w:rsid w:val="001829B6"/>
    <w:rsid w:val="0018491F"/>
    <w:rsid w:val="0018601D"/>
    <w:rsid w:val="00192AB0"/>
    <w:rsid w:val="001A04A6"/>
    <w:rsid w:val="001A0F98"/>
    <w:rsid w:val="001A6915"/>
    <w:rsid w:val="001A6C18"/>
    <w:rsid w:val="001A7066"/>
    <w:rsid w:val="001A70E9"/>
    <w:rsid w:val="001A723B"/>
    <w:rsid w:val="001A7712"/>
    <w:rsid w:val="001B6424"/>
    <w:rsid w:val="001B673E"/>
    <w:rsid w:val="001B6BD3"/>
    <w:rsid w:val="001B706A"/>
    <w:rsid w:val="001B73B9"/>
    <w:rsid w:val="001C094B"/>
    <w:rsid w:val="001C4452"/>
    <w:rsid w:val="001C517A"/>
    <w:rsid w:val="001C5B35"/>
    <w:rsid w:val="001C622E"/>
    <w:rsid w:val="001C75CC"/>
    <w:rsid w:val="001D10C9"/>
    <w:rsid w:val="001D1D7C"/>
    <w:rsid w:val="001D5244"/>
    <w:rsid w:val="001D53A0"/>
    <w:rsid w:val="001E0A07"/>
    <w:rsid w:val="001E3D6A"/>
    <w:rsid w:val="001E592E"/>
    <w:rsid w:val="001E6145"/>
    <w:rsid w:val="001E63C5"/>
    <w:rsid w:val="001E7646"/>
    <w:rsid w:val="001F1F5B"/>
    <w:rsid w:val="001F2D4E"/>
    <w:rsid w:val="001F39B6"/>
    <w:rsid w:val="001F40F1"/>
    <w:rsid w:val="00200CBF"/>
    <w:rsid w:val="00204514"/>
    <w:rsid w:val="002070FE"/>
    <w:rsid w:val="00207D27"/>
    <w:rsid w:val="00210FD7"/>
    <w:rsid w:val="00211370"/>
    <w:rsid w:val="00213474"/>
    <w:rsid w:val="00213861"/>
    <w:rsid w:val="00214427"/>
    <w:rsid w:val="00222031"/>
    <w:rsid w:val="0022218E"/>
    <w:rsid w:val="0022223A"/>
    <w:rsid w:val="00222977"/>
    <w:rsid w:val="00226A9D"/>
    <w:rsid w:val="00231746"/>
    <w:rsid w:val="00232498"/>
    <w:rsid w:val="00234435"/>
    <w:rsid w:val="00235981"/>
    <w:rsid w:val="0024132F"/>
    <w:rsid w:val="00242DCD"/>
    <w:rsid w:val="00243726"/>
    <w:rsid w:val="00245472"/>
    <w:rsid w:val="00246A34"/>
    <w:rsid w:val="00247B07"/>
    <w:rsid w:val="00247C5C"/>
    <w:rsid w:val="002509A7"/>
    <w:rsid w:val="00251493"/>
    <w:rsid w:val="002542CA"/>
    <w:rsid w:val="00257550"/>
    <w:rsid w:val="002602FB"/>
    <w:rsid w:val="00264C7D"/>
    <w:rsid w:val="00265E76"/>
    <w:rsid w:val="00270DBD"/>
    <w:rsid w:val="00273122"/>
    <w:rsid w:val="00273BE0"/>
    <w:rsid w:val="0027421A"/>
    <w:rsid w:val="0028197F"/>
    <w:rsid w:val="00282C0A"/>
    <w:rsid w:val="00285934"/>
    <w:rsid w:val="002918DE"/>
    <w:rsid w:val="002A416D"/>
    <w:rsid w:val="002A6742"/>
    <w:rsid w:val="002A6EE2"/>
    <w:rsid w:val="002B39A9"/>
    <w:rsid w:val="002B6F6A"/>
    <w:rsid w:val="002C0FBF"/>
    <w:rsid w:val="002C22C9"/>
    <w:rsid w:val="002C3E7B"/>
    <w:rsid w:val="002C79BC"/>
    <w:rsid w:val="002D147C"/>
    <w:rsid w:val="002D1F97"/>
    <w:rsid w:val="002D517F"/>
    <w:rsid w:val="002D7A30"/>
    <w:rsid w:val="002E1D84"/>
    <w:rsid w:val="002E1F1F"/>
    <w:rsid w:val="002E2CCC"/>
    <w:rsid w:val="002F5E2F"/>
    <w:rsid w:val="002F7C63"/>
    <w:rsid w:val="00300BE6"/>
    <w:rsid w:val="00304FC4"/>
    <w:rsid w:val="00307E38"/>
    <w:rsid w:val="00310EBF"/>
    <w:rsid w:val="0031107C"/>
    <w:rsid w:val="00311223"/>
    <w:rsid w:val="00313B56"/>
    <w:rsid w:val="00315361"/>
    <w:rsid w:val="00316FC0"/>
    <w:rsid w:val="00317969"/>
    <w:rsid w:val="00320E08"/>
    <w:rsid w:val="003220BD"/>
    <w:rsid w:val="00323FE8"/>
    <w:rsid w:val="00331DC9"/>
    <w:rsid w:val="0033305E"/>
    <w:rsid w:val="0034071C"/>
    <w:rsid w:val="003452C0"/>
    <w:rsid w:val="003452DF"/>
    <w:rsid w:val="003454BE"/>
    <w:rsid w:val="00346651"/>
    <w:rsid w:val="003472D8"/>
    <w:rsid w:val="00352396"/>
    <w:rsid w:val="00352809"/>
    <w:rsid w:val="00352C35"/>
    <w:rsid w:val="00356091"/>
    <w:rsid w:val="00357695"/>
    <w:rsid w:val="0036297B"/>
    <w:rsid w:val="00364E55"/>
    <w:rsid w:val="00366847"/>
    <w:rsid w:val="003702EE"/>
    <w:rsid w:val="003707A6"/>
    <w:rsid w:val="00371034"/>
    <w:rsid w:val="003713BD"/>
    <w:rsid w:val="003731BC"/>
    <w:rsid w:val="00375008"/>
    <w:rsid w:val="00376C41"/>
    <w:rsid w:val="00376CB9"/>
    <w:rsid w:val="003816A2"/>
    <w:rsid w:val="003829FC"/>
    <w:rsid w:val="00383195"/>
    <w:rsid w:val="00392D5E"/>
    <w:rsid w:val="00394E2F"/>
    <w:rsid w:val="00397E65"/>
    <w:rsid w:val="003A0309"/>
    <w:rsid w:val="003A06F5"/>
    <w:rsid w:val="003A2DF8"/>
    <w:rsid w:val="003A3AC3"/>
    <w:rsid w:val="003B1C17"/>
    <w:rsid w:val="003B2082"/>
    <w:rsid w:val="003B4120"/>
    <w:rsid w:val="003C1837"/>
    <w:rsid w:val="003C18A4"/>
    <w:rsid w:val="003C2577"/>
    <w:rsid w:val="003C4E9A"/>
    <w:rsid w:val="003D0AB3"/>
    <w:rsid w:val="003D2248"/>
    <w:rsid w:val="003D2672"/>
    <w:rsid w:val="003D2CA2"/>
    <w:rsid w:val="003D32E3"/>
    <w:rsid w:val="003D45E5"/>
    <w:rsid w:val="003D5723"/>
    <w:rsid w:val="003D5CE8"/>
    <w:rsid w:val="003E001C"/>
    <w:rsid w:val="003E2D65"/>
    <w:rsid w:val="003E3867"/>
    <w:rsid w:val="003E3EC7"/>
    <w:rsid w:val="003E465E"/>
    <w:rsid w:val="003E6890"/>
    <w:rsid w:val="003F7809"/>
    <w:rsid w:val="004027F1"/>
    <w:rsid w:val="00402E17"/>
    <w:rsid w:val="0040475A"/>
    <w:rsid w:val="004123CD"/>
    <w:rsid w:val="00414B79"/>
    <w:rsid w:val="004177C1"/>
    <w:rsid w:val="00420C94"/>
    <w:rsid w:val="004212DE"/>
    <w:rsid w:val="00423210"/>
    <w:rsid w:val="004234ED"/>
    <w:rsid w:val="00425994"/>
    <w:rsid w:val="00427090"/>
    <w:rsid w:val="00427D41"/>
    <w:rsid w:val="00432652"/>
    <w:rsid w:val="0043330D"/>
    <w:rsid w:val="0043451B"/>
    <w:rsid w:val="00435528"/>
    <w:rsid w:val="00436FCA"/>
    <w:rsid w:val="00441709"/>
    <w:rsid w:val="004420EF"/>
    <w:rsid w:val="00442873"/>
    <w:rsid w:val="00443940"/>
    <w:rsid w:val="00445161"/>
    <w:rsid w:val="004507B2"/>
    <w:rsid w:val="00450842"/>
    <w:rsid w:val="00453554"/>
    <w:rsid w:val="00455D08"/>
    <w:rsid w:val="00460C0B"/>
    <w:rsid w:val="00462C33"/>
    <w:rsid w:val="004646A8"/>
    <w:rsid w:val="00467BB2"/>
    <w:rsid w:val="004709C5"/>
    <w:rsid w:val="00470D27"/>
    <w:rsid w:val="004710E3"/>
    <w:rsid w:val="00471F25"/>
    <w:rsid w:val="00475F9D"/>
    <w:rsid w:val="0047634D"/>
    <w:rsid w:val="004772D2"/>
    <w:rsid w:val="004803CA"/>
    <w:rsid w:val="00480E23"/>
    <w:rsid w:val="00481CC5"/>
    <w:rsid w:val="00483866"/>
    <w:rsid w:val="0048606F"/>
    <w:rsid w:val="00491BCD"/>
    <w:rsid w:val="00492248"/>
    <w:rsid w:val="0049604F"/>
    <w:rsid w:val="00496B5C"/>
    <w:rsid w:val="00497648"/>
    <w:rsid w:val="004A06AD"/>
    <w:rsid w:val="004A0B5D"/>
    <w:rsid w:val="004A34C9"/>
    <w:rsid w:val="004A6BAB"/>
    <w:rsid w:val="004B01DA"/>
    <w:rsid w:val="004B0729"/>
    <w:rsid w:val="004B1D01"/>
    <w:rsid w:val="004B5A11"/>
    <w:rsid w:val="004B6E75"/>
    <w:rsid w:val="004B7247"/>
    <w:rsid w:val="004B7500"/>
    <w:rsid w:val="004B7A50"/>
    <w:rsid w:val="004C0B44"/>
    <w:rsid w:val="004C1C29"/>
    <w:rsid w:val="004C4362"/>
    <w:rsid w:val="004C54D7"/>
    <w:rsid w:val="004C602E"/>
    <w:rsid w:val="004D03FF"/>
    <w:rsid w:val="004D1D83"/>
    <w:rsid w:val="004D230F"/>
    <w:rsid w:val="004D2765"/>
    <w:rsid w:val="004D299F"/>
    <w:rsid w:val="004D3726"/>
    <w:rsid w:val="004D4BE1"/>
    <w:rsid w:val="004E0FBF"/>
    <w:rsid w:val="004E2880"/>
    <w:rsid w:val="004E3285"/>
    <w:rsid w:val="004E3F71"/>
    <w:rsid w:val="004E41A7"/>
    <w:rsid w:val="004E4C48"/>
    <w:rsid w:val="004E6166"/>
    <w:rsid w:val="004F1FA0"/>
    <w:rsid w:val="004F21A0"/>
    <w:rsid w:val="004F4636"/>
    <w:rsid w:val="00501822"/>
    <w:rsid w:val="00503974"/>
    <w:rsid w:val="00505551"/>
    <w:rsid w:val="00510303"/>
    <w:rsid w:val="00511B09"/>
    <w:rsid w:val="00512F45"/>
    <w:rsid w:val="00513173"/>
    <w:rsid w:val="00516C97"/>
    <w:rsid w:val="0052230B"/>
    <w:rsid w:val="00523923"/>
    <w:rsid w:val="005242D0"/>
    <w:rsid w:val="00525A8A"/>
    <w:rsid w:val="005261DD"/>
    <w:rsid w:val="005276F0"/>
    <w:rsid w:val="00530909"/>
    <w:rsid w:val="0053099F"/>
    <w:rsid w:val="005341D7"/>
    <w:rsid w:val="00544002"/>
    <w:rsid w:val="00545683"/>
    <w:rsid w:val="00550541"/>
    <w:rsid w:val="00551410"/>
    <w:rsid w:val="005522CF"/>
    <w:rsid w:val="00553BAC"/>
    <w:rsid w:val="0055458A"/>
    <w:rsid w:val="005568E0"/>
    <w:rsid w:val="00561C3F"/>
    <w:rsid w:val="00566BAD"/>
    <w:rsid w:val="005704B6"/>
    <w:rsid w:val="00574696"/>
    <w:rsid w:val="00576329"/>
    <w:rsid w:val="00587368"/>
    <w:rsid w:val="00587EF1"/>
    <w:rsid w:val="005920CC"/>
    <w:rsid w:val="005930CD"/>
    <w:rsid w:val="0059435D"/>
    <w:rsid w:val="0059787B"/>
    <w:rsid w:val="005A1ECF"/>
    <w:rsid w:val="005A20B2"/>
    <w:rsid w:val="005A420C"/>
    <w:rsid w:val="005A4DEB"/>
    <w:rsid w:val="005A5338"/>
    <w:rsid w:val="005A6BF7"/>
    <w:rsid w:val="005A6F1F"/>
    <w:rsid w:val="005A75EA"/>
    <w:rsid w:val="005B3388"/>
    <w:rsid w:val="005B3CEE"/>
    <w:rsid w:val="005B5B3A"/>
    <w:rsid w:val="005C06A6"/>
    <w:rsid w:val="005C0C48"/>
    <w:rsid w:val="005C3F73"/>
    <w:rsid w:val="005C4CA5"/>
    <w:rsid w:val="005C4F71"/>
    <w:rsid w:val="005C52E5"/>
    <w:rsid w:val="005C575F"/>
    <w:rsid w:val="005C7891"/>
    <w:rsid w:val="005D048B"/>
    <w:rsid w:val="005D0627"/>
    <w:rsid w:val="005D1AC7"/>
    <w:rsid w:val="005D21E6"/>
    <w:rsid w:val="005D2204"/>
    <w:rsid w:val="005D2C36"/>
    <w:rsid w:val="005D3E1C"/>
    <w:rsid w:val="005D46AC"/>
    <w:rsid w:val="005D74CE"/>
    <w:rsid w:val="005E0643"/>
    <w:rsid w:val="005E370D"/>
    <w:rsid w:val="005E3FE9"/>
    <w:rsid w:val="005F5E73"/>
    <w:rsid w:val="005F681C"/>
    <w:rsid w:val="00601CD4"/>
    <w:rsid w:val="00603302"/>
    <w:rsid w:val="00604E4F"/>
    <w:rsid w:val="006054EE"/>
    <w:rsid w:val="00607472"/>
    <w:rsid w:val="006118B6"/>
    <w:rsid w:val="00611A76"/>
    <w:rsid w:val="006270C0"/>
    <w:rsid w:val="00630195"/>
    <w:rsid w:val="0063076D"/>
    <w:rsid w:val="00630CD7"/>
    <w:rsid w:val="00631D44"/>
    <w:rsid w:val="0063337E"/>
    <w:rsid w:val="006343A9"/>
    <w:rsid w:val="006348B3"/>
    <w:rsid w:val="00635E94"/>
    <w:rsid w:val="0064342F"/>
    <w:rsid w:val="006554BB"/>
    <w:rsid w:val="00655565"/>
    <w:rsid w:val="006559AF"/>
    <w:rsid w:val="0066087F"/>
    <w:rsid w:val="00660ED5"/>
    <w:rsid w:val="00662F67"/>
    <w:rsid w:val="00664F16"/>
    <w:rsid w:val="00667012"/>
    <w:rsid w:val="0067104D"/>
    <w:rsid w:val="00673C70"/>
    <w:rsid w:val="006800A3"/>
    <w:rsid w:val="00680C4D"/>
    <w:rsid w:val="00682493"/>
    <w:rsid w:val="0068390D"/>
    <w:rsid w:val="00684EFA"/>
    <w:rsid w:val="006858CE"/>
    <w:rsid w:val="0069028C"/>
    <w:rsid w:val="0069260D"/>
    <w:rsid w:val="0069281D"/>
    <w:rsid w:val="00693874"/>
    <w:rsid w:val="00693F46"/>
    <w:rsid w:val="006A15BD"/>
    <w:rsid w:val="006A36E2"/>
    <w:rsid w:val="006A5A85"/>
    <w:rsid w:val="006A5BD7"/>
    <w:rsid w:val="006A5D2F"/>
    <w:rsid w:val="006B1908"/>
    <w:rsid w:val="006B3E2C"/>
    <w:rsid w:val="006B3E4E"/>
    <w:rsid w:val="006B411D"/>
    <w:rsid w:val="006B720F"/>
    <w:rsid w:val="006C18DC"/>
    <w:rsid w:val="006C51A3"/>
    <w:rsid w:val="006C66B9"/>
    <w:rsid w:val="006D145B"/>
    <w:rsid w:val="006D3281"/>
    <w:rsid w:val="006E4B04"/>
    <w:rsid w:val="006E6199"/>
    <w:rsid w:val="006E7F39"/>
    <w:rsid w:val="006E7F9C"/>
    <w:rsid w:val="006F158F"/>
    <w:rsid w:val="006F60F6"/>
    <w:rsid w:val="006F7124"/>
    <w:rsid w:val="00703423"/>
    <w:rsid w:val="0070528C"/>
    <w:rsid w:val="00705ADD"/>
    <w:rsid w:val="00710AC0"/>
    <w:rsid w:val="00712F01"/>
    <w:rsid w:val="007143AC"/>
    <w:rsid w:val="00714571"/>
    <w:rsid w:val="00720AC8"/>
    <w:rsid w:val="00726B4C"/>
    <w:rsid w:val="00731739"/>
    <w:rsid w:val="007318C9"/>
    <w:rsid w:val="00736AA6"/>
    <w:rsid w:val="0074001D"/>
    <w:rsid w:val="00742BA1"/>
    <w:rsid w:val="00746711"/>
    <w:rsid w:val="00756370"/>
    <w:rsid w:val="00760659"/>
    <w:rsid w:val="00761D35"/>
    <w:rsid w:val="00763A3B"/>
    <w:rsid w:val="00764648"/>
    <w:rsid w:val="007672F3"/>
    <w:rsid w:val="00771674"/>
    <w:rsid w:val="00772E69"/>
    <w:rsid w:val="00784618"/>
    <w:rsid w:val="007A0B98"/>
    <w:rsid w:val="007A5F66"/>
    <w:rsid w:val="007A695C"/>
    <w:rsid w:val="007B16C4"/>
    <w:rsid w:val="007B1A5B"/>
    <w:rsid w:val="007B2118"/>
    <w:rsid w:val="007B3E1E"/>
    <w:rsid w:val="007B3E2E"/>
    <w:rsid w:val="007B4083"/>
    <w:rsid w:val="007C2CD5"/>
    <w:rsid w:val="007C2D7E"/>
    <w:rsid w:val="007C2E14"/>
    <w:rsid w:val="007C54F5"/>
    <w:rsid w:val="007D0F04"/>
    <w:rsid w:val="007D17FD"/>
    <w:rsid w:val="007D3380"/>
    <w:rsid w:val="007D48C5"/>
    <w:rsid w:val="007D685F"/>
    <w:rsid w:val="007D71C9"/>
    <w:rsid w:val="007E0160"/>
    <w:rsid w:val="007E03D6"/>
    <w:rsid w:val="007E06F0"/>
    <w:rsid w:val="007E1E0B"/>
    <w:rsid w:val="007E4512"/>
    <w:rsid w:val="007E49AF"/>
    <w:rsid w:val="007E504D"/>
    <w:rsid w:val="007E567A"/>
    <w:rsid w:val="007E5EB4"/>
    <w:rsid w:val="007E63A3"/>
    <w:rsid w:val="007F007C"/>
    <w:rsid w:val="007F43D6"/>
    <w:rsid w:val="007F587A"/>
    <w:rsid w:val="007F5A76"/>
    <w:rsid w:val="007F6584"/>
    <w:rsid w:val="00802DFC"/>
    <w:rsid w:val="008037B6"/>
    <w:rsid w:val="008064A0"/>
    <w:rsid w:val="00811D08"/>
    <w:rsid w:val="00811D67"/>
    <w:rsid w:val="008146CF"/>
    <w:rsid w:val="00814732"/>
    <w:rsid w:val="00814781"/>
    <w:rsid w:val="00820693"/>
    <w:rsid w:val="00821B62"/>
    <w:rsid w:val="0082251A"/>
    <w:rsid w:val="008267E1"/>
    <w:rsid w:val="00827E6E"/>
    <w:rsid w:val="008305D4"/>
    <w:rsid w:val="00832315"/>
    <w:rsid w:val="00832A5D"/>
    <w:rsid w:val="00833AEF"/>
    <w:rsid w:val="00834DBB"/>
    <w:rsid w:val="008424DA"/>
    <w:rsid w:val="00842B79"/>
    <w:rsid w:val="00842F9D"/>
    <w:rsid w:val="00842FCB"/>
    <w:rsid w:val="00842FFB"/>
    <w:rsid w:val="00845771"/>
    <w:rsid w:val="008501D2"/>
    <w:rsid w:val="0085213B"/>
    <w:rsid w:val="0085465F"/>
    <w:rsid w:val="0085521F"/>
    <w:rsid w:val="0086351A"/>
    <w:rsid w:val="00866311"/>
    <w:rsid w:val="00866670"/>
    <w:rsid w:val="00866847"/>
    <w:rsid w:val="00867B10"/>
    <w:rsid w:val="00867C9A"/>
    <w:rsid w:val="0087073D"/>
    <w:rsid w:val="00874B61"/>
    <w:rsid w:val="00876C84"/>
    <w:rsid w:val="00880430"/>
    <w:rsid w:val="008829BA"/>
    <w:rsid w:val="00891D50"/>
    <w:rsid w:val="00892D6C"/>
    <w:rsid w:val="00893945"/>
    <w:rsid w:val="008979FA"/>
    <w:rsid w:val="008A12CB"/>
    <w:rsid w:val="008A1C2A"/>
    <w:rsid w:val="008A33D4"/>
    <w:rsid w:val="008A48B7"/>
    <w:rsid w:val="008A5274"/>
    <w:rsid w:val="008B050C"/>
    <w:rsid w:val="008B2DE3"/>
    <w:rsid w:val="008B3EB5"/>
    <w:rsid w:val="008B758B"/>
    <w:rsid w:val="008C1CB7"/>
    <w:rsid w:val="008C515F"/>
    <w:rsid w:val="008C5809"/>
    <w:rsid w:val="008C6B69"/>
    <w:rsid w:val="008C7039"/>
    <w:rsid w:val="008D4ED2"/>
    <w:rsid w:val="008D7849"/>
    <w:rsid w:val="008D78C9"/>
    <w:rsid w:val="008E0ECD"/>
    <w:rsid w:val="008E0FC9"/>
    <w:rsid w:val="008E187C"/>
    <w:rsid w:val="008E22B9"/>
    <w:rsid w:val="008E2B13"/>
    <w:rsid w:val="008E79CD"/>
    <w:rsid w:val="008F1818"/>
    <w:rsid w:val="00903DBD"/>
    <w:rsid w:val="009051FC"/>
    <w:rsid w:val="00905538"/>
    <w:rsid w:val="00905849"/>
    <w:rsid w:val="00905AB9"/>
    <w:rsid w:val="00905DC7"/>
    <w:rsid w:val="00911F6D"/>
    <w:rsid w:val="00913684"/>
    <w:rsid w:val="00913827"/>
    <w:rsid w:val="00913E1A"/>
    <w:rsid w:val="0091419D"/>
    <w:rsid w:val="00921B7A"/>
    <w:rsid w:val="00923865"/>
    <w:rsid w:val="009262C4"/>
    <w:rsid w:val="0093016E"/>
    <w:rsid w:val="00930E6E"/>
    <w:rsid w:val="009330F0"/>
    <w:rsid w:val="00934B4D"/>
    <w:rsid w:val="009379A1"/>
    <w:rsid w:val="009436B2"/>
    <w:rsid w:val="00943AFF"/>
    <w:rsid w:val="00946B37"/>
    <w:rsid w:val="00947E7B"/>
    <w:rsid w:val="009531A6"/>
    <w:rsid w:val="009540BF"/>
    <w:rsid w:val="00955C75"/>
    <w:rsid w:val="00956827"/>
    <w:rsid w:val="00962C92"/>
    <w:rsid w:val="00962F81"/>
    <w:rsid w:val="00965496"/>
    <w:rsid w:val="00966639"/>
    <w:rsid w:val="009677DF"/>
    <w:rsid w:val="0097620C"/>
    <w:rsid w:val="00982B43"/>
    <w:rsid w:val="00983E81"/>
    <w:rsid w:val="00984B5C"/>
    <w:rsid w:val="00986F86"/>
    <w:rsid w:val="009927E5"/>
    <w:rsid w:val="009930D9"/>
    <w:rsid w:val="00993830"/>
    <w:rsid w:val="00994528"/>
    <w:rsid w:val="009946F8"/>
    <w:rsid w:val="00996358"/>
    <w:rsid w:val="00996E6B"/>
    <w:rsid w:val="00996FE6"/>
    <w:rsid w:val="009A0328"/>
    <w:rsid w:val="009A1D64"/>
    <w:rsid w:val="009A2A7E"/>
    <w:rsid w:val="009A6227"/>
    <w:rsid w:val="009A651C"/>
    <w:rsid w:val="009B1292"/>
    <w:rsid w:val="009B2430"/>
    <w:rsid w:val="009B338B"/>
    <w:rsid w:val="009B58AD"/>
    <w:rsid w:val="009B5DC2"/>
    <w:rsid w:val="009B709B"/>
    <w:rsid w:val="009B753A"/>
    <w:rsid w:val="009B7935"/>
    <w:rsid w:val="009C2597"/>
    <w:rsid w:val="009C32CB"/>
    <w:rsid w:val="009C6A2D"/>
    <w:rsid w:val="009C76A1"/>
    <w:rsid w:val="009C7BA2"/>
    <w:rsid w:val="009C7D80"/>
    <w:rsid w:val="009D1161"/>
    <w:rsid w:val="009D40F9"/>
    <w:rsid w:val="009D463C"/>
    <w:rsid w:val="009D667B"/>
    <w:rsid w:val="009E07AE"/>
    <w:rsid w:val="009E08FC"/>
    <w:rsid w:val="009E424B"/>
    <w:rsid w:val="009E517B"/>
    <w:rsid w:val="009E5934"/>
    <w:rsid w:val="009E595B"/>
    <w:rsid w:val="009E6BDC"/>
    <w:rsid w:val="009F0267"/>
    <w:rsid w:val="009F2D66"/>
    <w:rsid w:val="009F3C18"/>
    <w:rsid w:val="009F4449"/>
    <w:rsid w:val="009F48EB"/>
    <w:rsid w:val="00A02252"/>
    <w:rsid w:val="00A04879"/>
    <w:rsid w:val="00A06C38"/>
    <w:rsid w:val="00A07BA7"/>
    <w:rsid w:val="00A10301"/>
    <w:rsid w:val="00A116A7"/>
    <w:rsid w:val="00A127F1"/>
    <w:rsid w:val="00A12DFE"/>
    <w:rsid w:val="00A1456E"/>
    <w:rsid w:val="00A23279"/>
    <w:rsid w:val="00A243BA"/>
    <w:rsid w:val="00A26A4C"/>
    <w:rsid w:val="00A27130"/>
    <w:rsid w:val="00A27488"/>
    <w:rsid w:val="00A27F2F"/>
    <w:rsid w:val="00A31974"/>
    <w:rsid w:val="00A32715"/>
    <w:rsid w:val="00A3280D"/>
    <w:rsid w:val="00A361E5"/>
    <w:rsid w:val="00A377C5"/>
    <w:rsid w:val="00A41EAC"/>
    <w:rsid w:val="00A44114"/>
    <w:rsid w:val="00A47B17"/>
    <w:rsid w:val="00A519C1"/>
    <w:rsid w:val="00A6159D"/>
    <w:rsid w:val="00A619BD"/>
    <w:rsid w:val="00A62E4B"/>
    <w:rsid w:val="00A67CBC"/>
    <w:rsid w:val="00A7147C"/>
    <w:rsid w:val="00A75468"/>
    <w:rsid w:val="00A75EF4"/>
    <w:rsid w:val="00A7660B"/>
    <w:rsid w:val="00A76A92"/>
    <w:rsid w:val="00A76E41"/>
    <w:rsid w:val="00A77E9D"/>
    <w:rsid w:val="00A86574"/>
    <w:rsid w:val="00A86897"/>
    <w:rsid w:val="00A87433"/>
    <w:rsid w:val="00A902D4"/>
    <w:rsid w:val="00A95733"/>
    <w:rsid w:val="00A95783"/>
    <w:rsid w:val="00A96966"/>
    <w:rsid w:val="00AA0E3B"/>
    <w:rsid w:val="00AA3C09"/>
    <w:rsid w:val="00AA5026"/>
    <w:rsid w:val="00AA7763"/>
    <w:rsid w:val="00AB0DC6"/>
    <w:rsid w:val="00AB5465"/>
    <w:rsid w:val="00AB5FA5"/>
    <w:rsid w:val="00AB785E"/>
    <w:rsid w:val="00AB78B4"/>
    <w:rsid w:val="00AC01E7"/>
    <w:rsid w:val="00AC0AEF"/>
    <w:rsid w:val="00AD47C8"/>
    <w:rsid w:val="00AD4B53"/>
    <w:rsid w:val="00AD62B3"/>
    <w:rsid w:val="00AD7FE1"/>
    <w:rsid w:val="00AE27C8"/>
    <w:rsid w:val="00AE4487"/>
    <w:rsid w:val="00AE5B2D"/>
    <w:rsid w:val="00AE681E"/>
    <w:rsid w:val="00AF58C6"/>
    <w:rsid w:val="00AF5CF6"/>
    <w:rsid w:val="00AF6C27"/>
    <w:rsid w:val="00AF7FD0"/>
    <w:rsid w:val="00B0410A"/>
    <w:rsid w:val="00B06033"/>
    <w:rsid w:val="00B10189"/>
    <w:rsid w:val="00B10519"/>
    <w:rsid w:val="00B15736"/>
    <w:rsid w:val="00B16ED7"/>
    <w:rsid w:val="00B200C5"/>
    <w:rsid w:val="00B26FAC"/>
    <w:rsid w:val="00B31AA2"/>
    <w:rsid w:val="00B32ADE"/>
    <w:rsid w:val="00B33724"/>
    <w:rsid w:val="00B349A5"/>
    <w:rsid w:val="00B43FE0"/>
    <w:rsid w:val="00B47548"/>
    <w:rsid w:val="00B50A59"/>
    <w:rsid w:val="00B51E6D"/>
    <w:rsid w:val="00B52D3D"/>
    <w:rsid w:val="00B54E10"/>
    <w:rsid w:val="00B5699C"/>
    <w:rsid w:val="00B61123"/>
    <w:rsid w:val="00B6151E"/>
    <w:rsid w:val="00B63338"/>
    <w:rsid w:val="00B63866"/>
    <w:rsid w:val="00B670AF"/>
    <w:rsid w:val="00B7008D"/>
    <w:rsid w:val="00B71259"/>
    <w:rsid w:val="00B74574"/>
    <w:rsid w:val="00B74C0B"/>
    <w:rsid w:val="00B77133"/>
    <w:rsid w:val="00B77B87"/>
    <w:rsid w:val="00B82535"/>
    <w:rsid w:val="00B8400D"/>
    <w:rsid w:val="00B93A37"/>
    <w:rsid w:val="00B94244"/>
    <w:rsid w:val="00B947CB"/>
    <w:rsid w:val="00B95005"/>
    <w:rsid w:val="00B9505E"/>
    <w:rsid w:val="00B97F2C"/>
    <w:rsid w:val="00BA1819"/>
    <w:rsid w:val="00BA4650"/>
    <w:rsid w:val="00BA4C24"/>
    <w:rsid w:val="00BA5A22"/>
    <w:rsid w:val="00BA79F8"/>
    <w:rsid w:val="00BB0118"/>
    <w:rsid w:val="00BB0A8A"/>
    <w:rsid w:val="00BB2335"/>
    <w:rsid w:val="00BB3434"/>
    <w:rsid w:val="00BB4BBC"/>
    <w:rsid w:val="00BB55E5"/>
    <w:rsid w:val="00BC11ED"/>
    <w:rsid w:val="00BC1EDA"/>
    <w:rsid w:val="00BC3DC9"/>
    <w:rsid w:val="00BC4DCF"/>
    <w:rsid w:val="00BC60BA"/>
    <w:rsid w:val="00BD38DE"/>
    <w:rsid w:val="00BD44F0"/>
    <w:rsid w:val="00BD53F6"/>
    <w:rsid w:val="00BD55BC"/>
    <w:rsid w:val="00BD5991"/>
    <w:rsid w:val="00BD717C"/>
    <w:rsid w:val="00BD725A"/>
    <w:rsid w:val="00BD7803"/>
    <w:rsid w:val="00BE0758"/>
    <w:rsid w:val="00BE2829"/>
    <w:rsid w:val="00BE2B54"/>
    <w:rsid w:val="00BE2E76"/>
    <w:rsid w:val="00BE3C7D"/>
    <w:rsid w:val="00BF3750"/>
    <w:rsid w:val="00BF567E"/>
    <w:rsid w:val="00BF77A8"/>
    <w:rsid w:val="00C004F6"/>
    <w:rsid w:val="00C00B9C"/>
    <w:rsid w:val="00C02AF4"/>
    <w:rsid w:val="00C02CEA"/>
    <w:rsid w:val="00C03071"/>
    <w:rsid w:val="00C03BD6"/>
    <w:rsid w:val="00C04B57"/>
    <w:rsid w:val="00C04CC6"/>
    <w:rsid w:val="00C06244"/>
    <w:rsid w:val="00C065A7"/>
    <w:rsid w:val="00C12382"/>
    <w:rsid w:val="00C21927"/>
    <w:rsid w:val="00C23D1F"/>
    <w:rsid w:val="00C270CC"/>
    <w:rsid w:val="00C352B7"/>
    <w:rsid w:val="00C35D48"/>
    <w:rsid w:val="00C35DC8"/>
    <w:rsid w:val="00C36DFF"/>
    <w:rsid w:val="00C42284"/>
    <w:rsid w:val="00C425A1"/>
    <w:rsid w:val="00C515F8"/>
    <w:rsid w:val="00C52093"/>
    <w:rsid w:val="00C52B16"/>
    <w:rsid w:val="00C536C2"/>
    <w:rsid w:val="00C5403C"/>
    <w:rsid w:val="00C54362"/>
    <w:rsid w:val="00C54550"/>
    <w:rsid w:val="00C55B4B"/>
    <w:rsid w:val="00C55F47"/>
    <w:rsid w:val="00C56A4B"/>
    <w:rsid w:val="00C56E2E"/>
    <w:rsid w:val="00C6260D"/>
    <w:rsid w:val="00C64A31"/>
    <w:rsid w:val="00C669DC"/>
    <w:rsid w:val="00C718E7"/>
    <w:rsid w:val="00C73235"/>
    <w:rsid w:val="00C74820"/>
    <w:rsid w:val="00C75BFA"/>
    <w:rsid w:val="00C76098"/>
    <w:rsid w:val="00C82E8B"/>
    <w:rsid w:val="00C849DD"/>
    <w:rsid w:val="00C84B91"/>
    <w:rsid w:val="00C935E4"/>
    <w:rsid w:val="00C949EA"/>
    <w:rsid w:val="00C95E76"/>
    <w:rsid w:val="00CA4FAC"/>
    <w:rsid w:val="00CA7E34"/>
    <w:rsid w:val="00CC2CB9"/>
    <w:rsid w:val="00CC4C88"/>
    <w:rsid w:val="00CD0000"/>
    <w:rsid w:val="00CD0B1F"/>
    <w:rsid w:val="00CD0B4F"/>
    <w:rsid w:val="00CD3F96"/>
    <w:rsid w:val="00CD45AB"/>
    <w:rsid w:val="00CE09F3"/>
    <w:rsid w:val="00CE3D35"/>
    <w:rsid w:val="00CE75F9"/>
    <w:rsid w:val="00CE76DA"/>
    <w:rsid w:val="00CE7DBC"/>
    <w:rsid w:val="00CF0BCA"/>
    <w:rsid w:val="00CF0E60"/>
    <w:rsid w:val="00CF6A0E"/>
    <w:rsid w:val="00D0148B"/>
    <w:rsid w:val="00D04970"/>
    <w:rsid w:val="00D11BBA"/>
    <w:rsid w:val="00D11E94"/>
    <w:rsid w:val="00D12561"/>
    <w:rsid w:val="00D15559"/>
    <w:rsid w:val="00D16C29"/>
    <w:rsid w:val="00D17100"/>
    <w:rsid w:val="00D2434A"/>
    <w:rsid w:val="00D30389"/>
    <w:rsid w:val="00D335CE"/>
    <w:rsid w:val="00D337F6"/>
    <w:rsid w:val="00D37295"/>
    <w:rsid w:val="00D40226"/>
    <w:rsid w:val="00D42CB1"/>
    <w:rsid w:val="00D4574C"/>
    <w:rsid w:val="00D52B7F"/>
    <w:rsid w:val="00D52CDB"/>
    <w:rsid w:val="00D562F6"/>
    <w:rsid w:val="00D57B76"/>
    <w:rsid w:val="00D61710"/>
    <w:rsid w:val="00D618B2"/>
    <w:rsid w:val="00D62A93"/>
    <w:rsid w:val="00D65699"/>
    <w:rsid w:val="00D6611E"/>
    <w:rsid w:val="00D71451"/>
    <w:rsid w:val="00D71FB7"/>
    <w:rsid w:val="00D7294D"/>
    <w:rsid w:val="00D74ECF"/>
    <w:rsid w:val="00D774A6"/>
    <w:rsid w:val="00D803B7"/>
    <w:rsid w:val="00D845BE"/>
    <w:rsid w:val="00D85F37"/>
    <w:rsid w:val="00D87B38"/>
    <w:rsid w:val="00D92B9A"/>
    <w:rsid w:val="00D93550"/>
    <w:rsid w:val="00D96B71"/>
    <w:rsid w:val="00DB068F"/>
    <w:rsid w:val="00DB1610"/>
    <w:rsid w:val="00DB3442"/>
    <w:rsid w:val="00DB4534"/>
    <w:rsid w:val="00DB4FB5"/>
    <w:rsid w:val="00DB584D"/>
    <w:rsid w:val="00DB5F01"/>
    <w:rsid w:val="00DB628C"/>
    <w:rsid w:val="00DB6D90"/>
    <w:rsid w:val="00DC2D0D"/>
    <w:rsid w:val="00DC577A"/>
    <w:rsid w:val="00DC6D8D"/>
    <w:rsid w:val="00DC740B"/>
    <w:rsid w:val="00DD17EC"/>
    <w:rsid w:val="00DD2A82"/>
    <w:rsid w:val="00DD3E3C"/>
    <w:rsid w:val="00DD411C"/>
    <w:rsid w:val="00DD5624"/>
    <w:rsid w:val="00DE289A"/>
    <w:rsid w:val="00DE505C"/>
    <w:rsid w:val="00DE594D"/>
    <w:rsid w:val="00DF18DC"/>
    <w:rsid w:val="00DF3CD9"/>
    <w:rsid w:val="00DF46E4"/>
    <w:rsid w:val="00DF5C20"/>
    <w:rsid w:val="00DF5EF3"/>
    <w:rsid w:val="00E00190"/>
    <w:rsid w:val="00E01D33"/>
    <w:rsid w:val="00E04640"/>
    <w:rsid w:val="00E04856"/>
    <w:rsid w:val="00E06B7D"/>
    <w:rsid w:val="00E16333"/>
    <w:rsid w:val="00E176B8"/>
    <w:rsid w:val="00E178FF"/>
    <w:rsid w:val="00E21EC6"/>
    <w:rsid w:val="00E240FD"/>
    <w:rsid w:val="00E31496"/>
    <w:rsid w:val="00E333BD"/>
    <w:rsid w:val="00E348B7"/>
    <w:rsid w:val="00E3758B"/>
    <w:rsid w:val="00E44BB6"/>
    <w:rsid w:val="00E4682D"/>
    <w:rsid w:val="00E47862"/>
    <w:rsid w:val="00E5082F"/>
    <w:rsid w:val="00E50CD3"/>
    <w:rsid w:val="00E52489"/>
    <w:rsid w:val="00E524BD"/>
    <w:rsid w:val="00E52D95"/>
    <w:rsid w:val="00E5341C"/>
    <w:rsid w:val="00E54089"/>
    <w:rsid w:val="00E56089"/>
    <w:rsid w:val="00E61461"/>
    <w:rsid w:val="00E65B2F"/>
    <w:rsid w:val="00E700B2"/>
    <w:rsid w:val="00E72056"/>
    <w:rsid w:val="00E762EE"/>
    <w:rsid w:val="00E76A43"/>
    <w:rsid w:val="00E80E5E"/>
    <w:rsid w:val="00E81FDB"/>
    <w:rsid w:val="00E828DC"/>
    <w:rsid w:val="00E87BE1"/>
    <w:rsid w:val="00E953E5"/>
    <w:rsid w:val="00E96717"/>
    <w:rsid w:val="00E97EBD"/>
    <w:rsid w:val="00EA0146"/>
    <w:rsid w:val="00EA020F"/>
    <w:rsid w:val="00EA1D06"/>
    <w:rsid w:val="00EA1F85"/>
    <w:rsid w:val="00EA5824"/>
    <w:rsid w:val="00EB41CC"/>
    <w:rsid w:val="00EB4690"/>
    <w:rsid w:val="00EB51C8"/>
    <w:rsid w:val="00EC06C3"/>
    <w:rsid w:val="00EC0EF3"/>
    <w:rsid w:val="00EC0FA2"/>
    <w:rsid w:val="00EC0FA4"/>
    <w:rsid w:val="00EC2C74"/>
    <w:rsid w:val="00ED02B7"/>
    <w:rsid w:val="00ED194E"/>
    <w:rsid w:val="00ED4585"/>
    <w:rsid w:val="00ED735F"/>
    <w:rsid w:val="00EE0749"/>
    <w:rsid w:val="00EE44A2"/>
    <w:rsid w:val="00EE4802"/>
    <w:rsid w:val="00EE4A58"/>
    <w:rsid w:val="00EE6BB8"/>
    <w:rsid w:val="00EE7D89"/>
    <w:rsid w:val="00EF08D6"/>
    <w:rsid w:val="00EF1D58"/>
    <w:rsid w:val="00EF4E35"/>
    <w:rsid w:val="00EF69BC"/>
    <w:rsid w:val="00EF7AB5"/>
    <w:rsid w:val="00F007BE"/>
    <w:rsid w:val="00F03661"/>
    <w:rsid w:val="00F037FF"/>
    <w:rsid w:val="00F03B5B"/>
    <w:rsid w:val="00F051E6"/>
    <w:rsid w:val="00F061E1"/>
    <w:rsid w:val="00F07D51"/>
    <w:rsid w:val="00F11942"/>
    <w:rsid w:val="00F20463"/>
    <w:rsid w:val="00F25896"/>
    <w:rsid w:val="00F3738B"/>
    <w:rsid w:val="00F41AD0"/>
    <w:rsid w:val="00F42610"/>
    <w:rsid w:val="00F4529B"/>
    <w:rsid w:val="00F5775F"/>
    <w:rsid w:val="00F57CA2"/>
    <w:rsid w:val="00F61F51"/>
    <w:rsid w:val="00F62927"/>
    <w:rsid w:val="00F63F24"/>
    <w:rsid w:val="00F66627"/>
    <w:rsid w:val="00F72684"/>
    <w:rsid w:val="00F81500"/>
    <w:rsid w:val="00F82CE2"/>
    <w:rsid w:val="00F83636"/>
    <w:rsid w:val="00F8369E"/>
    <w:rsid w:val="00F9012F"/>
    <w:rsid w:val="00F92763"/>
    <w:rsid w:val="00F92A28"/>
    <w:rsid w:val="00F92C33"/>
    <w:rsid w:val="00F92CE5"/>
    <w:rsid w:val="00F94D82"/>
    <w:rsid w:val="00FA4FF7"/>
    <w:rsid w:val="00FA67D0"/>
    <w:rsid w:val="00FA726A"/>
    <w:rsid w:val="00FB11CC"/>
    <w:rsid w:val="00FB13E4"/>
    <w:rsid w:val="00FB1AFB"/>
    <w:rsid w:val="00FC16D7"/>
    <w:rsid w:val="00FC5F16"/>
    <w:rsid w:val="00FC61C1"/>
    <w:rsid w:val="00FC6443"/>
    <w:rsid w:val="00FD3286"/>
    <w:rsid w:val="00FD4CD0"/>
    <w:rsid w:val="00FE262D"/>
    <w:rsid w:val="00FE29F1"/>
    <w:rsid w:val="00FE514F"/>
    <w:rsid w:val="00FE5D71"/>
    <w:rsid w:val="00FF0441"/>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77948"/>
  <w15:docId w15:val="{8B6C79EE-84B6-484D-81A8-E84C9991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Header Char Char,Header Char1 Char Char,Header Char Char Char Char, Char Char Char Char Char, Char Char1 Char Char,Header Char1, Char Char Char, Char Char1, Char, Char Char1 Char,Char Char Char Char,Char Char1 Char"/>
    <w:basedOn w:val="Normal"/>
    <w:link w:val="HeaderChar2"/>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customStyle="1" w:styleId="Default">
    <w:name w:val="Default"/>
    <w:rsid w:val="006D145B"/>
    <w:pPr>
      <w:autoSpaceDE w:val="0"/>
      <w:autoSpaceDN w:val="0"/>
      <w:adjustRightInd w:val="0"/>
    </w:pPr>
    <w:rPr>
      <w:color w:val="000000"/>
      <w:sz w:val="24"/>
      <w:szCs w:val="24"/>
    </w:rPr>
  </w:style>
  <w:style w:type="character" w:customStyle="1" w:styleId="HeaderChar2">
    <w:name w:val="Header Char2"/>
    <w:aliases w:val="Header Char Char1, Char Char Char1,Header Char Char Char,Header Char1 Char Char Char,Header Char Char Char Char Char, Char Char Char Char Char Char, Char Char1 Char Char Char,Header Char1 Char, Char Char Char Char, Char Char1 Char1"/>
    <w:link w:val="Header"/>
    <w:rsid w:val="006D145B"/>
    <w:rPr>
      <w:sz w:val="22"/>
      <w:szCs w:val="24"/>
    </w:rPr>
  </w:style>
  <w:style w:type="paragraph" w:styleId="ListContinue2">
    <w:name w:val="List Continue 2"/>
    <w:basedOn w:val="Normal"/>
    <w:rsid w:val="006D145B"/>
    <w:pPr>
      <w:widowControl w:val="0"/>
      <w:tabs>
        <w:tab w:val="clear" w:pos="284"/>
      </w:tabs>
      <w:autoSpaceDE w:val="0"/>
      <w:autoSpaceDN w:val="0"/>
      <w:adjustRightInd w:val="0"/>
      <w:spacing w:after="120"/>
      <w:ind w:left="566"/>
      <w:jc w:val="left"/>
    </w:pPr>
    <w:rPr>
      <w:rFonts w:ascii="Arial" w:hAnsi="Arial" w:cs="Arial"/>
      <w:sz w:val="20"/>
      <w:szCs w:val="20"/>
      <w:lang w:val="sr-Latn-CS" w:eastAsia="sr-Latn-CS"/>
    </w:rPr>
  </w:style>
  <w:style w:type="paragraph" w:styleId="Revision">
    <w:name w:val="Revision"/>
    <w:hidden/>
    <w:uiPriority w:val="99"/>
    <w:semiHidden/>
    <w:rsid w:val="00CE7DBC"/>
    <w:rPr>
      <w:sz w:val="22"/>
      <w:szCs w:val="24"/>
    </w:rPr>
  </w:style>
  <w:style w:type="paragraph" w:styleId="ListParagraph">
    <w:name w:val="List Paragraph"/>
    <w:basedOn w:val="Normal"/>
    <w:uiPriority w:val="34"/>
    <w:qFormat/>
    <w:rsid w:val="005A6BF7"/>
    <w:pPr>
      <w:ind w:left="720"/>
      <w:contextualSpacing/>
    </w:pPr>
  </w:style>
  <w:style w:type="table" w:styleId="TableGrid">
    <w:name w:val="Table Grid"/>
    <w:basedOn w:val="TableNormal"/>
    <w:rsid w:val="00705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B3E1E"/>
    <w:rPr>
      <w:color w:val="0000FF" w:themeColor="hyperlink"/>
      <w:u w:val="single"/>
    </w:rPr>
  </w:style>
  <w:style w:type="character" w:customStyle="1" w:styleId="NichtaufgelsteErwhnung1">
    <w:name w:val="Nicht aufgelöste Erwähnung1"/>
    <w:basedOn w:val="DefaultParagraphFont"/>
    <w:uiPriority w:val="99"/>
    <w:semiHidden/>
    <w:unhideWhenUsed/>
    <w:rsid w:val="007B3E1E"/>
    <w:rPr>
      <w:color w:val="808080"/>
      <w:shd w:val="clear" w:color="auto" w:fill="E6E6E6"/>
    </w:rPr>
  </w:style>
  <w:style w:type="character" w:styleId="Emphasis">
    <w:name w:val="Emphasis"/>
    <w:basedOn w:val="DefaultParagraphFont"/>
    <w:qFormat/>
    <w:rsid w:val="00AE681E"/>
    <w:rPr>
      <w:i/>
      <w:iCs/>
    </w:rPr>
  </w:style>
  <w:style w:type="numbering" w:styleId="111111">
    <w:name w:val="Outline List 2"/>
    <w:basedOn w:val="NoList"/>
    <w:semiHidden/>
    <w:unhideWhenUsed/>
    <w:rsid w:val="00EF4E35"/>
    <w:pPr>
      <w:numPr>
        <w:numId w:val="10"/>
      </w:numPr>
    </w:pPr>
  </w:style>
  <w:style w:type="paragraph" w:customStyle="1" w:styleId="CM3">
    <w:name w:val="CM3"/>
    <w:basedOn w:val="Normal"/>
    <w:next w:val="Normal"/>
    <w:rsid w:val="00866670"/>
    <w:pPr>
      <w:widowControl w:val="0"/>
      <w:tabs>
        <w:tab w:val="clear" w:pos="284"/>
      </w:tabs>
      <w:autoSpaceDE w:val="0"/>
      <w:autoSpaceDN w:val="0"/>
      <w:adjustRightInd w:val="0"/>
      <w:spacing w:line="191" w:lineRule="atLeast"/>
      <w:jc w:val="left"/>
    </w:pPr>
    <w:rPr>
      <w:rFonts w:ascii="Courier" w:hAnsi="Courier"/>
      <w:sz w:val="24"/>
      <w:lang w:val="de-DE" w:eastAsia="de-DE"/>
    </w:rPr>
  </w:style>
  <w:style w:type="paragraph" w:styleId="NoSpacing">
    <w:name w:val="No Spacing"/>
    <w:uiPriority w:val="1"/>
    <w:qFormat/>
    <w:rsid w:val="00D335CE"/>
    <w:rPr>
      <w:sz w:val="24"/>
      <w:szCs w:val="24"/>
    </w:rPr>
  </w:style>
  <w:style w:type="character" w:customStyle="1" w:styleId="NichtaufgelsteErwhnung2">
    <w:name w:val="Nicht aufgelöste Erwähnung2"/>
    <w:basedOn w:val="DefaultParagraphFont"/>
    <w:uiPriority w:val="99"/>
    <w:semiHidden/>
    <w:unhideWhenUsed/>
    <w:rsid w:val="00E61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8434">
      <w:bodyDiv w:val="1"/>
      <w:marLeft w:val="0"/>
      <w:marRight w:val="0"/>
      <w:marTop w:val="0"/>
      <w:marBottom w:val="0"/>
      <w:divBdr>
        <w:top w:val="none" w:sz="0" w:space="0" w:color="auto"/>
        <w:left w:val="none" w:sz="0" w:space="0" w:color="auto"/>
        <w:bottom w:val="none" w:sz="0" w:space="0" w:color="auto"/>
        <w:right w:val="none" w:sz="0" w:space="0" w:color="auto"/>
      </w:divBdr>
    </w:div>
    <w:div w:id="171846559">
      <w:bodyDiv w:val="1"/>
      <w:marLeft w:val="0"/>
      <w:marRight w:val="0"/>
      <w:marTop w:val="0"/>
      <w:marBottom w:val="0"/>
      <w:divBdr>
        <w:top w:val="none" w:sz="0" w:space="0" w:color="auto"/>
        <w:left w:val="none" w:sz="0" w:space="0" w:color="auto"/>
        <w:bottom w:val="none" w:sz="0" w:space="0" w:color="auto"/>
        <w:right w:val="none" w:sz="0" w:space="0" w:color="auto"/>
      </w:divBdr>
    </w:div>
    <w:div w:id="412435854">
      <w:bodyDiv w:val="1"/>
      <w:marLeft w:val="0"/>
      <w:marRight w:val="0"/>
      <w:marTop w:val="0"/>
      <w:marBottom w:val="0"/>
      <w:divBdr>
        <w:top w:val="none" w:sz="0" w:space="0" w:color="auto"/>
        <w:left w:val="none" w:sz="0" w:space="0" w:color="auto"/>
        <w:bottom w:val="none" w:sz="0" w:space="0" w:color="auto"/>
        <w:right w:val="none" w:sz="0" w:space="0" w:color="auto"/>
      </w:divBdr>
    </w:div>
    <w:div w:id="445733511">
      <w:bodyDiv w:val="1"/>
      <w:marLeft w:val="0"/>
      <w:marRight w:val="0"/>
      <w:marTop w:val="0"/>
      <w:marBottom w:val="0"/>
      <w:divBdr>
        <w:top w:val="none" w:sz="0" w:space="0" w:color="auto"/>
        <w:left w:val="none" w:sz="0" w:space="0" w:color="auto"/>
        <w:bottom w:val="none" w:sz="0" w:space="0" w:color="auto"/>
        <w:right w:val="none" w:sz="0" w:space="0" w:color="auto"/>
      </w:divBdr>
    </w:div>
    <w:div w:id="516623891">
      <w:bodyDiv w:val="1"/>
      <w:marLeft w:val="0"/>
      <w:marRight w:val="0"/>
      <w:marTop w:val="0"/>
      <w:marBottom w:val="0"/>
      <w:divBdr>
        <w:top w:val="none" w:sz="0" w:space="0" w:color="auto"/>
        <w:left w:val="none" w:sz="0" w:space="0" w:color="auto"/>
        <w:bottom w:val="none" w:sz="0" w:space="0" w:color="auto"/>
        <w:right w:val="none" w:sz="0" w:space="0" w:color="auto"/>
      </w:divBdr>
    </w:div>
    <w:div w:id="610750049">
      <w:bodyDiv w:val="1"/>
      <w:marLeft w:val="0"/>
      <w:marRight w:val="0"/>
      <w:marTop w:val="0"/>
      <w:marBottom w:val="0"/>
      <w:divBdr>
        <w:top w:val="none" w:sz="0" w:space="0" w:color="auto"/>
        <w:left w:val="none" w:sz="0" w:space="0" w:color="auto"/>
        <w:bottom w:val="none" w:sz="0" w:space="0" w:color="auto"/>
        <w:right w:val="none" w:sz="0" w:space="0" w:color="auto"/>
      </w:divBdr>
    </w:div>
    <w:div w:id="878208075">
      <w:bodyDiv w:val="1"/>
      <w:marLeft w:val="0"/>
      <w:marRight w:val="0"/>
      <w:marTop w:val="0"/>
      <w:marBottom w:val="0"/>
      <w:divBdr>
        <w:top w:val="none" w:sz="0" w:space="0" w:color="auto"/>
        <w:left w:val="none" w:sz="0" w:space="0" w:color="auto"/>
        <w:bottom w:val="none" w:sz="0" w:space="0" w:color="auto"/>
        <w:right w:val="none" w:sz="0" w:space="0" w:color="auto"/>
      </w:divBdr>
    </w:div>
    <w:div w:id="1215431330">
      <w:bodyDiv w:val="1"/>
      <w:marLeft w:val="0"/>
      <w:marRight w:val="0"/>
      <w:marTop w:val="0"/>
      <w:marBottom w:val="0"/>
      <w:divBdr>
        <w:top w:val="none" w:sz="0" w:space="0" w:color="auto"/>
        <w:left w:val="none" w:sz="0" w:space="0" w:color="auto"/>
        <w:bottom w:val="none" w:sz="0" w:space="0" w:color="auto"/>
        <w:right w:val="none" w:sz="0" w:space="0" w:color="auto"/>
      </w:divBdr>
    </w:div>
    <w:div w:id="1327444227">
      <w:bodyDiv w:val="1"/>
      <w:marLeft w:val="0"/>
      <w:marRight w:val="0"/>
      <w:marTop w:val="0"/>
      <w:marBottom w:val="0"/>
      <w:divBdr>
        <w:top w:val="none" w:sz="0" w:space="0" w:color="auto"/>
        <w:left w:val="none" w:sz="0" w:space="0" w:color="auto"/>
        <w:bottom w:val="none" w:sz="0" w:space="0" w:color="auto"/>
        <w:right w:val="none" w:sz="0" w:space="0" w:color="auto"/>
      </w:divBdr>
    </w:div>
    <w:div w:id="1366753455">
      <w:bodyDiv w:val="1"/>
      <w:marLeft w:val="0"/>
      <w:marRight w:val="0"/>
      <w:marTop w:val="0"/>
      <w:marBottom w:val="0"/>
      <w:divBdr>
        <w:top w:val="none" w:sz="0" w:space="0" w:color="auto"/>
        <w:left w:val="none" w:sz="0" w:space="0" w:color="auto"/>
        <w:bottom w:val="none" w:sz="0" w:space="0" w:color="auto"/>
        <w:right w:val="none" w:sz="0" w:space="0" w:color="auto"/>
      </w:divBdr>
    </w:div>
    <w:div w:id="1493837627">
      <w:bodyDiv w:val="1"/>
      <w:marLeft w:val="0"/>
      <w:marRight w:val="0"/>
      <w:marTop w:val="0"/>
      <w:marBottom w:val="0"/>
      <w:divBdr>
        <w:top w:val="none" w:sz="0" w:space="0" w:color="auto"/>
        <w:left w:val="none" w:sz="0" w:space="0" w:color="auto"/>
        <w:bottom w:val="none" w:sz="0" w:space="0" w:color="auto"/>
        <w:right w:val="none" w:sz="0" w:space="0" w:color="auto"/>
      </w:divBdr>
    </w:div>
    <w:div w:id="1508401072">
      <w:bodyDiv w:val="1"/>
      <w:marLeft w:val="0"/>
      <w:marRight w:val="0"/>
      <w:marTop w:val="0"/>
      <w:marBottom w:val="0"/>
      <w:divBdr>
        <w:top w:val="none" w:sz="0" w:space="0" w:color="auto"/>
        <w:left w:val="none" w:sz="0" w:space="0" w:color="auto"/>
        <w:bottom w:val="none" w:sz="0" w:space="0" w:color="auto"/>
        <w:right w:val="none" w:sz="0" w:space="0" w:color="auto"/>
      </w:divBdr>
    </w:div>
    <w:div w:id="1550334705">
      <w:bodyDiv w:val="1"/>
      <w:marLeft w:val="0"/>
      <w:marRight w:val="0"/>
      <w:marTop w:val="0"/>
      <w:marBottom w:val="0"/>
      <w:divBdr>
        <w:top w:val="none" w:sz="0" w:space="0" w:color="auto"/>
        <w:left w:val="none" w:sz="0" w:space="0" w:color="auto"/>
        <w:bottom w:val="none" w:sz="0" w:space="0" w:color="auto"/>
        <w:right w:val="none" w:sz="0" w:space="0" w:color="auto"/>
      </w:divBdr>
    </w:div>
    <w:div w:id="1583177435">
      <w:bodyDiv w:val="1"/>
      <w:marLeft w:val="0"/>
      <w:marRight w:val="0"/>
      <w:marTop w:val="0"/>
      <w:marBottom w:val="0"/>
      <w:divBdr>
        <w:top w:val="none" w:sz="0" w:space="0" w:color="auto"/>
        <w:left w:val="none" w:sz="0" w:space="0" w:color="auto"/>
        <w:bottom w:val="none" w:sz="0" w:space="0" w:color="auto"/>
        <w:right w:val="none" w:sz="0" w:space="0" w:color="auto"/>
      </w:divBdr>
    </w:div>
    <w:div w:id="1607273416">
      <w:bodyDiv w:val="1"/>
      <w:marLeft w:val="0"/>
      <w:marRight w:val="0"/>
      <w:marTop w:val="0"/>
      <w:marBottom w:val="0"/>
      <w:divBdr>
        <w:top w:val="none" w:sz="0" w:space="0" w:color="auto"/>
        <w:left w:val="none" w:sz="0" w:space="0" w:color="auto"/>
        <w:bottom w:val="none" w:sz="0" w:space="0" w:color="auto"/>
        <w:right w:val="none" w:sz="0" w:space="0" w:color="auto"/>
      </w:divBdr>
    </w:div>
    <w:div w:id="1647663190">
      <w:bodyDiv w:val="1"/>
      <w:marLeft w:val="0"/>
      <w:marRight w:val="0"/>
      <w:marTop w:val="0"/>
      <w:marBottom w:val="0"/>
      <w:divBdr>
        <w:top w:val="none" w:sz="0" w:space="0" w:color="auto"/>
        <w:left w:val="none" w:sz="0" w:space="0" w:color="auto"/>
        <w:bottom w:val="none" w:sz="0" w:space="0" w:color="auto"/>
        <w:right w:val="none" w:sz="0" w:space="0" w:color="auto"/>
      </w:divBdr>
    </w:div>
    <w:div w:id="1993944964">
      <w:bodyDiv w:val="1"/>
      <w:marLeft w:val="0"/>
      <w:marRight w:val="0"/>
      <w:marTop w:val="0"/>
      <w:marBottom w:val="0"/>
      <w:divBdr>
        <w:top w:val="none" w:sz="0" w:space="0" w:color="auto"/>
        <w:left w:val="none" w:sz="0" w:space="0" w:color="auto"/>
        <w:bottom w:val="none" w:sz="0" w:space="0" w:color="auto"/>
        <w:right w:val="none" w:sz="0" w:space="0" w:color="auto"/>
      </w:divBdr>
    </w:div>
    <w:div w:id="212796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r.wikipedia.org/wiki/English_langu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8B4AD-5E67-4AD5-92E0-B91894CF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17</Pages>
  <Words>7244</Words>
  <Characters>41292</Characters>
  <Application>Microsoft Office Word</Application>
  <DocSecurity>0</DocSecurity>
  <Lines>344</Lines>
  <Paragraphs>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SAŽETAK KARAKTERISTIKA LEKA</vt:lpstr>
      <vt:lpstr>SAŽETAK KARAKTERISTIKA LEKA</vt:lpstr>
    </vt:vector>
  </TitlesOfParts>
  <Company/>
  <LinksUpToDate>false</LinksUpToDate>
  <CharactersWithSpaces>48440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Olja Borozan</cp:lastModifiedBy>
  <cp:revision>11</cp:revision>
  <cp:lastPrinted>2019-03-08T10:15:00Z</cp:lastPrinted>
  <dcterms:created xsi:type="dcterms:W3CDTF">2025-03-05T12:10:00Z</dcterms:created>
  <dcterms:modified xsi:type="dcterms:W3CDTF">2025-03-31T06:32:00Z</dcterms:modified>
</cp:coreProperties>
</file>