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A0DA2" w14:textId="77777777" w:rsidR="002510A5" w:rsidRPr="00245390" w:rsidRDefault="002510A5" w:rsidP="002510A5">
      <w:pPr>
        <w:jc w:val="center"/>
        <w:rPr>
          <w:b/>
          <w:bCs/>
          <w:iCs/>
          <w:sz w:val="22"/>
          <w:szCs w:val="22"/>
          <w:u w:val="single"/>
          <w:lang w:val="sr-Latn-ME"/>
        </w:rPr>
      </w:pPr>
      <w:r w:rsidRPr="00245390">
        <w:rPr>
          <w:b/>
          <w:bCs/>
          <w:iCs/>
          <w:sz w:val="22"/>
          <w:szCs w:val="22"/>
          <w:u w:val="single"/>
          <w:lang w:val="sr-Latn-ME"/>
        </w:rPr>
        <w:t>SAŽETAK KARAKTERISTIKA LIJEKA</w:t>
      </w:r>
    </w:p>
    <w:p w14:paraId="502CCD90" w14:textId="77777777" w:rsidR="003C17AB" w:rsidRPr="00245390" w:rsidRDefault="003C17AB" w:rsidP="00CA1FEB">
      <w:pPr>
        <w:rPr>
          <w:sz w:val="22"/>
          <w:szCs w:val="22"/>
          <w:lang w:val="sr-Latn-ME"/>
        </w:rPr>
      </w:pPr>
    </w:p>
    <w:p w14:paraId="0CC4D0F7" w14:textId="77777777" w:rsidR="003C17AB" w:rsidRPr="00245390" w:rsidRDefault="003C17AB" w:rsidP="00F5167F">
      <w:pPr>
        <w:tabs>
          <w:tab w:val="left" w:pos="540"/>
          <w:tab w:val="left" w:pos="569"/>
        </w:tabs>
        <w:rPr>
          <w:noProof/>
          <w:sz w:val="22"/>
          <w:szCs w:val="22"/>
          <w:lang w:val="sr-Latn-ME"/>
        </w:rPr>
      </w:pPr>
    </w:p>
    <w:p w14:paraId="75913E36" w14:textId="77777777" w:rsidR="00C37FD7" w:rsidRPr="00245390" w:rsidRDefault="00C37FD7" w:rsidP="00F5167F">
      <w:pPr>
        <w:tabs>
          <w:tab w:val="left" w:pos="540"/>
          <w:tab w:val="left" w:pos="569"/>
        </w:tabs>
        <w:rPr>
          <w:bCs/>
          <w:sz w:val="22"/>
          <w:szCs w:val="22"/>
          <w:lang w:val="sr-Latn-ME"/>
        </w:rPr>
      </w:pPr>
    </w:p>
    <w:p w14:paraId="600C9D71" w14:textId="77777777" w:rsidR="00411B4B" w:rsidRPr="00245390" w:rsidRDefault="00411B4B" w:rsidP="00F5167F">
      <w:pPr>
        <w:tabs>
          <w:tab w:val="left" w:pos="540"/>
          <w:tab w:val="left" w:pos="569"/>
        </w:tabs>
        <w:rPr>
          <w:b/>
          <w:bCs/>
          <w:sz w:val="22"/>
          <w:szCs w:val="22"/>
          <w:lang w:val="sr-Latn-ME"/>
        </w:rPr>
      </w:pPr>
      <w:r w:rsidRPr="00245390">
        <w:rPr>
          <w:b/>
          <w:bCs/>
          <w:sz w:val="22"/>
          <w:szCs w:val="22"/>
          <w:lang w:val="sr-Latn-ME"/>
        </w:rPr>
        <w:t>1.</w:t>
      </w:r>
      <w:r w:rsidR="00F5167F" w:rsidRPr="00245390">
        <w:rPr>
          <w:b/>
          <w:bCs/>
          <w:sz w:val="22"/>
          <w:szCs w:val="22"/>
          <w:lang w:val="sr-Latn-ME"/>
        </w:rPr>
        <w:tab/>
      </w:r>
      <w:r w:rsidR="002846DB" w:rsidRPr="00245390">
        <w:rPr>
          <w:b/>
          <w:bCs/>
          <w:sz w:val="22"/>
          <w:szCs w:val="22"/>
          <w:lang w:val="sr-Latn-ME"/>
        </w:rPr>
        <w:t xml:space="preserve">NAZIV </w:t>
      </w:r>
      <w:r w:rsidRPr="00245390">
        <w:rPr>
          <w:b/>
          <w:bCs/>
          <w:sz w:val="22"/>
          <w:szCs w:val="22"/>
          <w:lang w:val="sr-Latn-ME"/>
        </w:rPr>
        <w:t>LIJEKA</w:t>
      </w:r>
    </w:p>
    <w:p w14:paraId="5F00F3C1" w14:textId="77777777" w:rsidR="00EC2532" w:rsidRPr="00245390" w:rsidRDefault="00EC2532">
      <w:pPr>
        <w:rPr>
          <w:sz w:val="22"/>
          <w:szCs w:val="22"/>
          <w:lang w:val="sr-Latn-ME"/>
        </w:rPr>
      </w:pPr>
    </w:p>
    <w:p w14:paraId="32C07B4B" w14:textId="73802D2B" w:rsidR="007D25C1" w:rsidRPr="00245390" w:rsidRDefault="007D25C1" w:rsidP="007D25C1">
      <w:pPr>
        <w:jc w:val="both"/>
        <w:rPr>
          <w:rFonts w:eastAsia="TimesNewRoman"/>
          <w:sz w:val="22"/>
          <w:szCs w:val="22"/>
          <w:lang w:val="sr-Latn-ME" w:eastAsia="sr-Latn-RS"/>
        </w:rPr>
      </w:pPr>
      <w:r w:rsidRPr="00245390">
        <w:rPr>
          <w:rFonts w:eastAsia="TimesNewRoman"/>
          <w:sz w:val="22"/>
          <w:szCs w:val="22"/>
          <w:lang w:val="sr-Latn-ME" w:eastAsia="sr-Latn-RS"/>
        </w:rPr>
        <w:t>Merocid, 1000 mg, prašak za rastvor za injekciju/infuziju</w:t>
      </w:r>
    </w:p>
    <w:p w14:paraId="1D46C9E9" w14:textId="77777777" w:rsidR="007D25C1" w:rsidRPr="00245390" w:rsidRDefault="007D25C1" w:rsidP="007D25C1">
      <w:pPr>
        <w:jc w:val="both"/>
        <w:rPr>
          <w:sz w:val="22"/>
          <w:szCs w:val="22"/>
          <w:lang w:val="sr-Latn-ME"/>
        </w:rPr>
      </w:pPr>
    </w:p>
    <w:p w14:paraId="3FBCA512" w14:textId="77777777" w:rsidR="007D25C1" w:rsidRPr="00245390" w:rsidRDefault="007D25C1" w:rsidP="007D25C1">
      <w:pPr>
        <w:jc w:val="both"/>
        <w:rPr>
          <w:sz w:val="22"/>
          <w:szCs w:val="22"/>
          <w:lang w:val="sr-Latn-ME"/>
        </w:rPr>
      </w:pPr>
      <w:r w:rsidRPr="00245390">
        <w:rPr>
          <w:sz w:val="22"/>
          <w:szCs w:val="22"/>
          <w:lang w:val="sr-Latn-ME"/>
        </w:rPr>
        <w:t xml:space="preserve">INN: </w:t>
      </w:r>
      <w:r w:rsidRPr="00245390">
        <w:rPr>
          <w:rFonts w:eastAsia="TimesNewRoman"/>
          <w:sz w:val="22"/>
          <w:szCs w:val="22"/>
          <w:lang w:val="sr-Latn-ME" w:eastAsia="sr-Latn-RS"/>
        </w:rPr>
        <w:t>meropenem</w:t>
      </w:r>
    </w:p>
    <w:p w14:paraId="46EEA8A0" w14:textId="6CD1BE56" w:rsidR="006D20A5" w:rsidRPr="00245390" w:rsidRDefault="006D20A5">
      <w:pPr>
        <w:rPr>
          <w:bCs/>
          <w:sz w:val="22"/>
          <w:szCs w:val="22"/>
          <w:lang w:val="sr-Latn-ME"/>
        </w:rPr>
      </w:pPr>
    </w:p>
    <w:p w14:paraId="457FCB8C" w14:textId="77777777" w:rsidR="00092681" w:rsidRPr="00245390" w:rsidRDefault="00092681">
      <w:pPr>
        <w:rPr>
          <w:bCs/>
          <w:sz w:val="22"/>
          <w:szCs w:val="22"/>
          <w:lang w:val="sr-Latn-ME"/>
        </w:rPr>
      </w:pPr>
    </w:p>
    <w:p w14:paraId="29880D54" w14:textId="77777777" w:rsidR="00411B4B" w:rsidRPr="00245390" w:rsidRDefault="00411B4B" w:rsidP="00F5167F">
      <w:pPr>
        <w:tabs>
          <w:tab w:val="left" w:pos="540"/>
          <w:tab w:val="left" w:pos="569"/>
        </w:tabs>
        <w:rPr>
          <w:b/>
          <w:bCs/>
          <w:sz w:val="22"/>
          <w:szCs w:val="22"/>
          <w:lang w:val="sr-Latn-ME"/>
        </w:rPr>
      </w:pPr>
      <w:r w:rsidRPr="00245390">
        <w:rPr>
          <w:b/>
          <w:bCs/>
          <w:sz w:val="22"/>
          <w:szCs w:val="22"/>
          <w:lang w:val="sr-Latn-ME"/>
        </w:rPr>
        <w:t xml:space="preserve">2. </w:t>
      </w:r>
      <w:r w:rsidR="00F5167F" w:rsidRPr="00245390">
        <w:rPr>
          <w:b/>
          <w:bCs/>
          <w:sz w:val="22"/>
          <w:szCs w:val="22"/>
          <w:lang w:val="sr-Latn-ME"/>
        </w:rPr>
        <w:tab/>
      </w:r>
      <w:r w:rsidRPr="00245390">
        <w:rPr>
          <w:b/>
          <w:bCs/>
          <w:sz w:val="22"/>
          <w:szCs w:val="22"/>
          <w:lang w:val="sr-Latn-ME"/>
        </w:rPr>
        <w:t>KVALITATIVNI I KVANTITATIVNI SASTAV</w:t>
      </w:r>
    </w:p>
    <w:p w14:paraId="6374125A" w14:textId="77777777" w:rsidR="005A0B2E" w:rsidRPr="00245390" w:rsidRDefault="005A0B2E">
      <w:pPr>
        <w:rPr>
          <w:sz w:val="22"/>
          <w:szCs w:val="22"/>
          <w:lang w:val="sr-Latn-ME"/>
        </w:rPr>
      </w:pPr>
    </w:p>
    <w:p w14:paraId="2D0EDA2F" w14:textId="08B357F5" w:rsidR="007D25C1" w:rsidRPr="00245390" w:rsidRDefault="007D25C1"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Jedna bočica sadrži 1000 mg meropenema u obliku meropenem trihidrata.</w:t>
      </w:r>
    </w:p>
    <w:p w14:paraId="2DD4F6C5" w14:textId="77777777" w:rsidR="007D25C1" w:rsidRPr="00245390" w:rsidRDefault="007D25C1" w:rsidP="007D25C1">
      <w:pPr>
        <w:autoSpaceDE w:val="0"/>
        <w:autoSpaceDN w:val="0"/>
        <w:adjustRightInd w:val="0"/>
        <w:jc w:val="both"/>
        <w:rPr>
          <w:rFonts w:eastAsia="TimesNewRoman"/>
          <w:sz w:val="22"/>
          <w:szCs w:val="22"/>
          <w:lang w:val="sr-Latn-ME" w:eastAsia="sr-Latn-RS"/>
        </w:rPr>
      </w:pPr>
    </w:p>
    <w:p w14:paraId="5E0BB829" w14:textId="12A95460" w:rsidR="007D25C1" w:rsidRPr="00245390" w:rsidRDefault="007D25C1"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Pomoćna supstanca sa potvrđenim dejstvom:</w:t>
      </w:r>
    </w:p>
    <w:p w14:paraId="02A4D983" w14:textId="5CEA62CE" w:rsidR="007D25C1" w:rsidRPr="00245390" w:rsidRDefault="007D25C1"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Jedna bočica sadrži 208 mg natrijum</w:t>
      </w:r>
      <w:r w:rsidR="00092681" w:rsidRPr="00245390">
        <w:rPr>
          <w:rFonts w:eastAsia="TimesNewRoman"/>
          <w:sz w:val="22"/>
          <w:szCs w:val="22"/>
          <w:lang w:val="sr-Latn-ME" w:eastAsia="sr-Latn-RS"/>
        </w:rPr>
        <w:t xml:space="preserve"> </w:t>
      </w:r>
      <w:r w:rsidRPr="00245390">
        <w:rPr>
          <w:rFonts w:eastAsia="TimesNewRoman"/>
          <w:sz w:val="22"/>
          <w:szCs w:val="22"/>
          <w:lang w:val="sr-Latn-ME" w:eastAsia="sr-Latn-RS"/>
        </w:rPr>
        <w:t>karbonata što odgovara približno 90 mg natrijuma.</w:t>
      </w:r>
    </w:p>
    <w:p w14:paraId="10BA378F" w14:textId="77777777" w:rsidR="007D25C1" w:rsidRPr="00245390" w:rsidRDefault="007D25C1">
      <w:pPr>
        <w:rPr>
          <w:sz w:val="22"/>
          <w:szCs w:val="22"/>
          <w:lang w:val="sr-Latn-ME"/>
        </w:rPr>
      </w:pPr>
    </w:p>
    <w:p w14:paraId="76F0E16E" w14:textId="3554C945" w:rsidR="0003793F" w:rsidRPr="00245390" w:rsidRDefault="0003793F">
      <w:pPr>
        <w:rPr>
          <w:sz w:val="22"/>
          <w:szCs w:val="22"/>
          <w:lang w:val="sr-Latn-ME"/>
        </w:rPr>
      </w:pPr>
      <w:r w:rsidRPr="00245390">
        <w:rPr>
          <w:sz w:val="22"/>
          <w:szCs w:val="22"/>
          <w:lang w:val="sr-Latn-ME"/>
        </w:rPr>
        <w:t>Za spisak svih ekscipijenasa, pogledati dio 6.1.</w:t>
      </w:r>
    </w:p>
    <w:p w14:paraId="120537E5" w14:textId="73774DE6" w:rsidR="0003793F" w:rsidRPr="00245390" w:rsidRDefault="0003793F">
      <w:pPr>
        <w:rPr>
          <w:sz w:val="22"/>
          <w:szCs w:val="22"/>
          <w:lang w:val="sr-Latn-ME"/>
        </w:rPr>
      </w:pPr>
    </w:p>
    <w:p w14:paraId="42F474E1" w14:textId="77777777" w:rsidR="00092681" w:rsidRPr="00245390" w:rsidRDefault="00092681">
      <w:pPr>
        <w:rPr>
          <w:sz w:val="22"/>
          <w:szCs w:val="22"/>
          <w:lang w:val="sr-Latn-ME"/>
        </w:rPr>
      </w:pPr>
    </w:p>
    <w:p w14:paraId="7CD12872" w14:textId="77777777" w:rsidR="00411B4B" w:rsidRPr="00245390" w:rsidRDefault="00411B4B" w:rsidP="00F5167F">
      <w:pPr>
        <w:tabs>
          <w:tab w:val="left" w:pos="540"/>
          <w:tab w:val="left" w:pos="569"/>
        </w:tabs>
        <w:rPr>
          <w:b/>
          <w:bCs/>
          <w:sz w:val="22"/>
          <w:szCs w:val="22"/>
          <w:lang w:val="sr-Latn-ME"/>
        </w:rPr>
      </w:pPr>
      <w:r w:rsidRPr="00245390">
        <w:rPr>
          <w:b/>
          <w:bCs/>
          <w:sz w:val="22"/>
          <w:szCs w:val="22"/>
          <w:lang w:val="sr-Latn-ME"/>
        </w:rPr>
        <w:t xml:space="preserve">3. </w:t>
      </w:r>
      <w:r w:rsidR="00F5167F" w:rsidRPr="00245390">
        <w:rPr>
          <w:b/>
          <w:bCs/>
          <w:sz w:val="22"/>
          <w:szCs w:val="22"/>
          <w:lang w:val="sr-Latn-ME"/>
        </w:rPr>
        <w:tab/>
      </w:r>
      <w:r w:rsidRPr="00245390">
        <w:rPr>
          <w:b/>
          <w:bCs/>
          <w:sz w:val="22"/>
          <w:szCs w:val="22"/>
          <w:lang w:val="sr-Latn-ME"/>
        </w:rPr>
        <w:t>FARMACEUTSKI OBLIK</w:t>
      </w:r>
      <w:r w:rsidR="009F2D23" w:rsidRPr="00245390">
        <w:rPr>
          <w:b/>
          <w:bCs/>
          <w:sz w:val="22"/>
          <w:szCs w:val="22"/>
          <w:lang w:val="sr-Latn-ME"/>
        </w:rPr>
        <w:t xml:space="preserve"> </w:t>
      </w:r>
    </w:p>
    <w:p w14:paraId="77816FF1" w14:textId="77777777" w:rsidR="007D25C1" w:rsidRPr="00245390" w:rsidRDefault="007D25C1" w:rsidP="007D25C1">
      <w:pPr>
        <w:autoSpaceDE w:val="0"/>
        <w:autoSpaceDN w:val="0"/>
        <w:adjustRightInd w:val="0"/>
        <w:jc w:val="both"/>
        <w:rPr>
          <w:rFonts w:eastAsia="TimesNewRoman"/>
          <w:sz w:val="22"/>
          <w:szCs w:val="22"/>
          <w:lang w:val="sr-Latn-ME" w:eastAsia="sr-Latn-RS"/>
        </w:rPr>
      </w:pPr>
    </w:p>
    <w:p w14:paraId="3AB46D98" w14:textId="4BBA79B7" w:rsidR="007D25C1" w:rsidRPr="00245390" w:rsidRDefault="007D25C1"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Prašak za rastvor za injekciju/infuziju.</w:t>
      </w:r>
    </w:p>
    <w:p w14:paraId="36DD2B39" w14:textId="49B48236" w:rsidR="007D25C1" w:rsidRPr="00245390" w:rsidRDefault="007D25C1" w:rsidP="007D25C1">
      <w:pPr>
        <w:tabs>
          <w:tab w:val="left" w:pos="540"/>
          <w:tab w:val="left" w:pos="569"/>
        </w:tabs>
        <w:jc w:val="both"/>
        <w:rPr>
          <w:b/>
          <w:bCs/>
          <w:sz w:val="22"/>
          <w:szCs w:val="22"/>
          <w:lang w:val="sr-Latn-ME"/>
        </w:rPr>
      </w:pPr>
      <w:r w:rsidRPr="00245390">
        <w:rPr>
          <w:rFonts w:eastAsia="TimesNewRoman"/>
          <w:sz w:val="22"/>
          <w:szCs w:val="22"/>
          <w:lang w:val="sr-Latn-ME" w:eastAsia="sr-Latn-RS"/>
        </w:rPr>
        <w:t>Prašak bijele do sv</w:t>
      </w:r>
      <w:r w:rsidR="00092681" w:rsidRPr="00245390">
        <w:rPr>
          <w:rFonts w:eastAsia="TimesNewRoman"/>
          <w:sz w:val="22"/>
          <w:szCs w:val="22"/>
          <w:lang w:val="sr-Latn-ME" w:eastAsia="sr-Latn-RS"/>
        </w:rPr>
        <w:t>i</w:t>
      </w:r>
      <w:r w:rsidRPr="00245390">
        <w:rPr>
          <w:rFonts w:eastAsia="TimesNewRoman"/>
          <w:sz w:val="22"/>
          <w:szCs w:val="22"/>
          <w:lang w:val="sr-Latn-ME" w:eastAsia="sr-Latn-RS"/>
        </w:rPr>
        <w:t>jetložute boje.</w:t>
      </w:r>
    </w:p>
    <w:p w14:paraId="7F09A9E7" w14:textId="29D969EF" w:rsidR="00411B4B" w:rsidRPr="00245390" w:rsidRDefault="00411B4B">
      <w:pPr>
        <w:rPr>
          <w:bCs/>
          <w:sz w:val="22"/>
          <w:szCs w:val="22"/>
          <w:lang w:val="sr-Latn-ME"/>
        </w:rPr>
      </w:pPr>
    </w:p>
    <w:p w14:paraId="14C1CED8" w14:textId="77777777" w:rsidR="00092681" w:rsidRPr="00245390" w:rsidRDefault="00092681">
      <w:pPr>
        <w:rPr>
          <w:bCs/>
          <w:sz w:val="22"/>
          <w:szCs w:val="22"/>
          <w:lang w:val="sr-Latn-ME"/>
        </w:rPr>
      </w:pPr>
    </w:p>
    <w:p w14:paraId="01BFA9F2"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 xml:space="preserve">4. </w:t>
      </w:r>
      <w:r w:rsidR="00480FB1" w:rsidRPr="00245390">
        <w:rPr>
          <w:b/>
          <w:bCs/>
          <w:sz w:val="22"/>
          <w:szCs w:val="22"/>
          <w:lang w:val="sr-Latn-ME"/>
        </w:rPr>
        <w:tab/>
      </w:r>
      <w:r w:rsidRPr="00245390">
        <w:rPr>
          <w:b/>
          <w:bCs/>
          <w:sz w:val="22"/>
          <w:szCs w:val="22"/>
          <w:lang w:val="sr-Latn-ME"/>
        </w:rPr>
        <w:t>KLINIČKI PODACI</w:t>
      </w:r>
    </w:p>
    <w:p w14:paraId="30E76AB4" w14:textId="77777777" w:rsidR="00CD6F02" w:rsidRPr="00245390" w:rsidRDefault="00CD6F02" w:rsidP="00EE5F09">
      <w:pPr>
        <w:tabs>
          <w:tab w:val="left" w:pos="540"/>
          <w:tab w:val="left" w:pos="569"/>
        </w:tabs>
        <w:jc w:val="both"/>
        <w:rPr>
          <w:bCs/>
          <w:sz w:val="22"/>
          <w:szCs w:val="22"/>
          <w:lang w:val="sr-Latn-ME"/>
        </w:rPr>
      </w:pPr>
    </w:p>
    <w:p w14:paraId="38F5414D"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 xml:space="preserve">4.1. </w:t>
      </w:r>
      <w:r w:rsidR="00480FB1" w:rsidRPr="00245390">
        <w:rPr>
          <w:b/>
          <w:bCs/>
          <w:sz w:val="22"/>
          <w:szCs w:val="22"/>
          <w:lang w:val="sr-Latn-ME"/>
        </w:rPr>
        <w:tab/>
      </w:r>
      <w:r w:rsidRPr="00245390">
        <w:rPr>
          <w:b/>
          <w:bCs/>
          <w:sz w:val="22"/>
          <w:szCs w:val="22"/>
          <w:lang w:val="sr-Latn-ME"/>
        </w:rPr>
        <w:t>Terapijske indikacije</w:t>
      </w:r>
    </w:p>
    <w:p w14:paraId="33D70383" w14:textId="596285AF" w:rsidR="00411B4B" w:rsidRPr="00245390" w:rsidRDefault="00411B4B" w:rsidP="00EE5F09">
      <w:pPr>
        <w:tabs>
          <w:tab w:val="left" w:pos="540"/>
          <w:tab w:val="left" w:pos="569"/>
        </w:tabs>
        <w:jc w:val="both"/>
        <w:rPr>
          <w:bCs/>
          <w:sz w:val="22"/>
          <w:szCs w:val="22"/>
          <w:lang w:val="sr-Latn-ME"/>
        </w:rPr>
      </w:pPr>
    </w:p>
    <w:p w14:paraId="6A196EC6" w14:textId="23CF4289" w:rsidR="007D25C1" w:rsidRPr="00245390" w:rsidRDefault="007D25C1">
      <w:pPr>
        <w:autoSpaceDE w:val="0"/>
        <w:autoSpaceDN w:val="0"/>
        <w:adjustRightInd w:val="0"/>
        <w:jc w:val="both"/>
        <w:rPr>
          <w:rFonts w:eastAsia="TimesNewRoman"/>
          <w:sz w:val="22"/>
          <w:szCs w:val="22"/>
          <w:lang w:val="sr-Latn-ME" w:eastAsia="sr-Latn-RS"/>
        </w:rPr>
      </w:pPr>
      <w:bookmarkStart w:id="0" w:name="_Hlk69131996"/>
      <w:r w:rsidRPr="00245390">
        <w:rPr>
          <w:rFonts w:eastAsia="TimesNewRoman"/>
          <w:sz w:val="22"/>
          <w:szCs w:val="22"/>
          <w:lang w:val="sr-Latn-ME" w:eastAsia="sr-Latn-RS"/>
        </w:rPr>
        <w:t xml:space="preserve">Lijek Merocid je indikovan kod odraslih i djece starije od 3 mjeseca za liječenje sljedećih bakterijskih infekcija (vidjeti </w:t>
      </w:r>
      <w:r w:rsidR="00192CB4" w:rsidRPr="00245390">
        <w:rPr>
          <w:rFonts w:eastAsia="TimesNewRoman"/>
          <w:sz w:val="22"/>
          <w:szCs w:val="22"/>
          <w:lang w:val="sr-Latn-ME" w:eastAsia="sr-Latn-RS"/>
        </w:rPr>
        <w:t>djelove</w:t>
      </w:r>
      <w:r w:rsidRPr="00245390">
        <w:rPr>
          <w:rFonts w:eastAsia="TimesNewRoman"/>
          <w:sz w:val="22"/>
          <w:szCs w:val="22"/>
          <w:lang w:val="sr-Latn-ME" w:eastAsia="sr-Latn-RS"/>
        </w:rPr>
        <w:t xml:space="preserve"> 4.4 i 5.1):</w:t>
      </w:r>
    </w:p>
    <w:p w14:paraId="6CBB8DAD"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teška pneumonija, uključujući nozokomijalnu pneumoniju i pneumoniju povezanu sa mehaničkom ventilacijom,</w:t>
      </w:r>
    </w:p>
    <w:p w14:paraId="72370754"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bronhopulmonalne infekcije kod cistične fibroze,</w:t>
      </w:r>
    </w:p>
    <w:p w14:paraId="4421077E"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komplikovane infekcije urinarnog trakta,</w:t>
      </w:r>
    </w:p>
    <w:p w14:paraId="42294EDB"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komplikovane intra-abdominalne infekcije,</w:t>
      </w:r>
    </w:p>
    <w:p w14:paraId="45C2F87B"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intra- i post-partalne infekcije,</w:t>
      </w:r>
    </w:p>
    <w:p w14:paraId="63C3671D"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komplikovane infekcije kože i mekih tkiva,</w:t>
      </w:r>
    </w:p>
    <w:p w14:paraId="5A57BAF8"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akutni bakterijski meningitis.</w:t>
      </w:r>
    </w:p>
    <w:p w14:paraId="72ACAA76" w14:textId="77777777" w:rsidR="007D25C1" w:rsidRPr="00245390" w:rsidRDefault="007D25C1">
      <w:pPr>
        <w:autoSpaceDE w:val="0"/>
        <w:autoSpaceDN w:val="0"/>
        <w:adjustRightInd w:val="0"/>
        <w:jc w:val="both"/>
        <w:rPr>
          <w:rFonts w:eastAsia="TimesNewRoman"/>
          <w:sz w:val="22"/>
          <w:szCs w:val="22"/>
          <w:lang w:val="sr-Latn-ME" w:eastAsia="sr-Latn-RS"/>
        </w:rPr>
      </w:pPr>
    </w:p>
    <w:p w14:paraId="6514600F" w14:textId="7EFA96E9" w:rsidR="007D25C1" w:rsidRPr="00245390" w:rsidRDefault="006C4234">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Lijek </w:t>
      </w:r>
      <w:r w:rsidR="007D25C1" w:rsidRPr="00245390">
        <w:rPr>
          <w:rFonts w:eastAsia="TimesNewRoman"/>
          <w:sz w:val="22"/>
          <w:szCs w:val="22"/>
          <w:lang w:val="sr-Latn-ME" w:eastAsia="sr-Latn-RS"/>
        </w:rPr>
        <w:t>Merocid se takođe koristi za liječenje bakterijemije koja je povezana ili se sumnja da je povezana sa bilo kojom gore navedenom infekcijom.</w:t>
      </w:r>
    </w:p>
    <w:p w14:paraId="59B60E91" w14:textId="77777777" w:rsidR="007D25C1" w:rsidRPr="00245390" w:rsidRDefault="007D25C1">
      <w:pPr>
        <w:autoSpaceDE w:val="0"/>
        <w:autoSpaceDN w:val="0"/>
        <w:adjustRightInd w:val="0"/>
        <w:jc w:val="both"/>
        <w:rPr>
          <w:rFonts w:eastAsia="TimesNewRoman"/>
          <w:sz w:val="22"/>
          <w:szCs w:val="22"/>
          <w:lang w:val="sr-Latn-ME" w:eastAsia="sr-Latn-RS"/>
        </w:rPr>
      </w:pPr>
    </w:p>
    <w:p w14:paraId="3859B8D4" w14:textId="76BBE679" w:rsidR="007D25C1" w:rsidRPr="00245390" w:rsidRDefault="006C4234">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Lijek </w:t>
      </w:r>
      <w:r w:rsidR="007D25C1" w:rsidRPr="00245390">
        <w:rPr>
          <w:rFonts w:eastAsia="TimesNewRoman"/>
          <w:sz w:val="22"/>
          <w:szCs w:val="22"/>
          <w:lang w:val="sr-Latn-ME" w:eastAsia="sr-Latn-RS"/>
        </w:rPr>
        <w:t>Merocid se može primijeniti u liječenju febrilnih pacijenata sa neutropenijom ako se sumnja da je temperatura povišena usljed bakterijske infekcije.</w:t>
      </w:r>
    </w:p>
    <w:p w14:paraId="651462EC" w14:textId="77777777" w:rsidR="007D25C1" w:rsidRPr="00245390" w:rsidRDefault="007D25C1">
      <w:pPr>
        <w:autoSpaceDE w:val="0"/>
        <w:autoSpaceDN w:val="0"/>
        <w:adjustRightInd w:val="0"/>
        <w:jc w:val="both"/>
        <w:rPr>
          <w:rFonts w:eastAsia="TimesNewRoman"/>
          <w:sz w:val="22"/>
          <w:szCs w:val="22"/>
          <w:lang w:val="sr-Latn-ME" w:eastAsia="sr-Latn-RS"/>
        </w:rPr>
      </w:pPr>
    </w:p>
    <w:p w14:paraId="5A23E3A1" w14:textId="16DB9DEB" w:rsidR="007D25C1" w:rsidRPr="00245390" w:rsidRDefault="007D25C1">
      <w:pPr>
        <w:tabs>
          <w:tab w:val="left" w:pos="540"/>
          <w:tab w:val="left" w:pos="569"/>
        </w:tabs>
        <w:jc w:val="both"/>
        <w:rPr>
          <w:b/>
          <w:bCs/>
          <w:sz w:val="22"/>
          <w:szCs w:val="22"/>
          <w:lang w:val="sr-Latn-ME"/>
        </w:rPr>
      </w:pPr>
      <w:r w:rsidRPr="00245390">
        <w:rPr>
          <w:rFonts w:eastAsia="TimesNewRoman"/>
          <w:sz w:val="22"/>
          <w:szCs w:val="22"/>
          <w:lang w:val="sr-Latn-ME" w:eastAsia="sr-Latn-RS"/>
        </w:rPr>
        <w:t>Treba uzeti u obzir</w:t>
      </w:r>
      <w:r w:rsidR="00192CB4" w:rsidRPr="00245390">
        <w:rPr>
          <w:rFonts w:eastAsia="TimesNewRoman"/>
          <w:sz w:val="22"/>
          <w:szCs w:val="22"/>
          <w:lang w:val="sr-Latn-ME" w:eastAsia="sr-Latn-RS"/>
        </w:rPr>
        <w:t xml:space="preserve"> </w:t>
      </w:r>
      <w:r w:rsidRPr="00245390">
        <w:rPr>
          <w:rFonts w:eastAsia="TimesNewRoman"/>
          <w:sz w:val="22"/>
          <w:szCs w:val="22"/>
          <w:lang w:val="sr-Latn-ME" w:eastAsia="sr-Latn-RS"/>
        </w:rPr>
        <w:t>zvanične smjernice za adekvatnu primjenu antibiotika.</w:t>
      </w:r>
    </w:p>
    <w:bookmarkEnd w:id="0"/>
    <w:p w14:paraId="33AF6098" w14:textId="77777777" w:rsidR="007D25C1" w:rsidRPr="00245390" w:rsidRDefault="007D25C1" w:rsidP="00EE5F09">
      <w:pPr>
        <w:tabs>
          <w:tab w:val="left" w:pos="540"/>
          <w:tab w:val="left" w:pos="569"/>
        </w:tabs>
        <w:jc w:val="both"/>
        <w:rPr>
          <w:bCs/>
          <w:sz w:val="22"/>
          <w:szCs w:val="22"/>
          <w:lang w:val="sr-Latn-ME"/>
        </w:rPr>
      </w:pPr>
    </w:p>
    <w:p w14:paraId="5AAE7894"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 xml:space="preserve">4.2. </w:t>
      </w:r>
      <w:r w:rsidR="00480FB1" w:rsidRPr="00245390">
        <w:rPr>
          <w:b/>
          <w:bCs/>
          <w:sz w:val="22"/>
          <w:szCs w:val="22"/>
          <w:lang w:val="sr-Latn-ME"/>
        </w:rPr>
        <w:tab/>
      </w:r>
      <w:r w:rsidRPr="00245390">
        <w:rPr>
          <w:b/>
          <w:bCs/>
          <w:sz w:val="22"/>
          <w:szCs w:val="22"/>
          <w:lang w:val="sr-Latn-ME"/>
        </w:rPr>
        <w:t>Doziranje i način primjene</w:t>
      </w:r>
    </w:p>
    <w:p w14:paraId="7254A43F" w14:textId="77777777" w:rsidR="0072020E" w:rsidRPr="00245390" w:rsidRDefault="0072020E" w:rsidP="00EE5F09">
      <w:pPr>
        <w:tabs>
          <w:tab w:val="left" w:pos="540"/>
          <w:tab w:val="left" w:pos="569"/>
        </w:tabs>
        <w:jc w:val="both"/>
        <w:rPr>
          <w:bCs/>
          <w:sz w:val="22"/>
          <w:szCs w:val="22"/>
          <w:lang w:val="sr-Latn-ME"/>
        </w:rPr>
      </w:pPr>
    </w:p>
    <w:p w14:paraId="342E06F7" w14:textId="77777777" w:rsidR="00452E9D" w:rsidRPr="00245390" w:rsidRDefault="00452E9D" w:rsidP="00EE5F09">
      <w:pPr>
        <w:tabs>
          <w:tab w:val="left" w:pos="540"/>
          <w:tab w:val="left" w:pos="569"/>
        </w:tabs>
        <w:jc w:val="both"/>
        <w:rPr>
          <w:bCs/>
          <w:sz w:val="22"/>
          <w:szCs w:val="22"/>
          <w:u w:val="single"/>
          <w:lang w:val="sr-Latn-ME"/>
        </w:rPr>
      </w:pPr>
      <w:r w:rsidRPr="00245390">
        <w:rPr>
          <w:bCs/>
          <w:sz w:val="22"/>
          <w:szCs w:val="22"/>
          <w:u w:val="single"/>
          <w:lang w:val="sr-Latn-ME"/>
        </w:rPr>
        <w:t>Doziranje</w:t>
      </w:r>
    </w:p>
    <w:p w14:paraId="27988CFF"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U dolje navedenim tabelama su date opšte preporuke za doziranje.</w:t>
      </w:r>
    </w:p>
    <w:p w14:paraId="2265CA33" w14:textId="77777777" w:rsidR="007D25C1" w:rsidRPr="00245390" w:rsidRDefault="007D25C1">
      <w:pPr>
        <w:autoSpaceDE w:val="0"/>
        <w:autoSpaceDN w:val="0"/>
        <w:adjustRightInd w:val="0"/>
        <w:jc w:val="both"/>
        <w:rPr>
          <w:rFonts w:eastAsia="TimesNewRoman"/>
          <w:sz w:val="22"/>
          <w:szCs w:val="22"/>
          <w:lang w:val="sr-Latn-ME" w:eastAsia="sr-Latn-RS"/>
        </w:rPr>
      </w:pPr>
    </w:p>
    <w:p w14:paraId="360AC129"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Doza meropenema i dužina terapije određuju se u zavisnosti od vrste i težine infekcije, kao i kliničkog</w:t>
      </w:r>
    </w:p>
    <w:p w14:paraId="55A10DAF"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odgovora pacijenta.</w:t>
      </w:r>
    </w:p>
    <w:p w14:paraId="1E96D52F" w14:textId="77777777" w:rsidR="007D25C1" w:rsidRPr="00245390" w:rsidRDefault="007D25C1">
      <w:pPr>
        <w:autoSpaceDE w:val="0"/>
        <w:autoSpaceDN w:val="0"/>
        <w:adjustRightInd w:val="0"/>
        <w:jc w:val="both"/>
        <w:rPr>
          <w:rFonts w:eastAsia="TimesNewRoman"/>
          <w:sz w:val="22"/>
          <w:szCs w:val="22"/>
          <w:lang w:val="sr-Latn-ME" w:eastAsia="sr-Latn-RS"/>
        </w:rPr>
      </w:pPr>
    </w:p>
    <w:p w14:paraId="2A69B34F" w14:textId="024E41E0"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Doze do 2 g tri puta dnevno kod odraslih i adolescenata, kao i doze do 40 mg/kg tri puta dnevno kod</w:t>
      </w:r>
      <w:r w:rsidR="00192CB4" w:rsidRPr="00245390">
        <w:rPr>
          <w:rFonts w:eastAsia="TimesNewRoman"/>
          <w:sz w:val="22"/>
          <w:szCs w:val="22"/>
          <w:lang w:val="sr-Latn-ME" w:eastAsia="sr-Latn-RS"/>
        </w:rPr>
        <w:t xml:space="preserve"> </w:t>
      </w:r>
      <w:r w:rsidRPr="00245390">
        <w:rPr>
          <w:rFonts w:eastAsia="TimesNewRoman"/>
          <w:sz w:val="22"/>
          <w:szCs w:val="22"/>
          <w:lang w:val="sr-Latn-ME" w:eastAsia="sr-Latn-RS"/>
        </w:rPr>
        <w:t xml:space="preserve">djece mogu biti odgovarajuće za liječenje nekih vrsta infekcija, kao što su infekcije izazvane manje osjetljivim bakterijskim vrstama (npr. </w:t>
      </w:r>
      <w:r w:rsidRPr="00245390">
        <w:rPr>
          <w:i/>
          <w:iCs/>
          <w:sz w:val="22"/>
          <w:szCs w:val="22"/>
          <w:lang w:val="sr-Latn-ME" w:eastAsia="sr-Latn-RS"/>
        </w:rPr>
        <w:t xml:space="preserve">Enterobacteriaceae, Pseudomonas aeruginosa, Acinetobacter </w:t>
      </w:r>
      <w:r w:rsidRPr="00245390">
        <w:rPr>
          <w:rFonts w:eastAsia="TimesNewRoman"/>
          <w:sz w:val="22"/>
          <w:szCs w:val="22"/>
          <w:lang w:val="sr-Latn-ME" w:eastAsia="sr-Latn-RS"/>
        </w:rPr>
        <w:t>spp.) ili za liječenje veoma teških infekcija.</w:t>
      </w:r>
    </w:p>
    <w:p w14:paraId="3410B165" w14:textId="77777777" w:rsidR="007D25C1" w:rsidRPr="00245390" w:rsidRDefault="007D25C1">
      <w:pPr>
        <w:autoSpaceDE w:val="0"/>
        <w:autoSpaceDN w:val="0"/>
        <w:adjustRightInd w:val="0"/>
        <w:jc w:val="both"/>
        <w:rPr>
          <w:rFonts w:eastAsia="TimesNewRoman"/>
          <w:sz w:val="22"/>
          <w:szCs w:val="22"/>
          <w:lang w:val="sr-Latn-ME" w:eastAsia="sr-Latn-RS"/>
        </w:rPr>
      </w:pPr>
    </w:p>
    <w:p w14:paraId="7F724568"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Dodatna podešavanja doziranja neophodna su kod liječenja pacijenata sa bubrežnom insuficijencijom</w:t>
      </w:r>
    </w:p>
    <w:p w14:paraId="5DDD9F31"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(vidjeti tabelu ispod).</w:t>
      </w:r>
    </w:p>
    <w:p w14:paraId="1A30F0BF" w14:textId="77777777" w:rsidR="007D25C1" w:rsidRPr="00245390" w:rsidRDefault="007D25C1">
      <w:pPr>
        <w:autoSpaceDE w:val="0"/>
        <w:autoSpaceDN w:val="0"/>
        <w:adjustRightInd w:val="0"/>
        <w:jc w:val="both"/>
        <w:rPr>
          <w:rFonts w:eastAsia="TimesNewRoman"/>
          <w:sz w:val="22"/>
          <w:szCs w:val="22"/>
          <w:lang w:val="sr-Latn-ME" w:eastAsia="sr-Latn-RS"/>
        </w:rPr>
      </w:pPr>
    </w:p>
    <w:p w14:paraId="62908FF9" w14:textId="77777777" w:rsidR="007D25C1" w:rsidRPr="00245390" w:rsidRDefault="007D25C1">
      <w:pPr>
        <w:tabs>
          <w:tab w:val="left" w:pos="540"/>
          <w:tab w:val="left" w:pos="569"/>
        </w:tabs>
        <w:jc w:val="both"/>
        <w:rPr>
          <w:i/>
          <w:iCs/>
          <w:sz w:val="22"/>
          <w:szCs w:val="22"/>
          <w:lang w:val="sr-Latn-ME" w:eastAsia="sr-Latn-RS"/>
        </w:rPr>
      </w:pPr>
      <w:r w:rsidRPr="00245390">
        <w:rPr>
          <w:i/>
          <w:iCs/>
          <w:sz w:val="22"/>
          <w:szCs w:val="22"/>
          <w:lang w:val="sr-Latn-ME" w:eastAsia="sr-Latn-RS"/>
        </w:rPr>
        <w:t>Odrasli i adolescenti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10"/>
      </w:tblGrid>
      <w:tr w:rsidR="007D25C1" w:rsidRPr="00245390" w14:paraId="7243BADB" w14:textId="77777777" w:rsidTr="006C4234">
        <w:trPr>
          <w:trHeight w:val="429"/>
        </w:trPr>
        <w:tc>
          <w:tcPr>
            <w:tcW w:w="4927" w:type="dxa"/>
            <w:shd w:val="clear" w:color="auto" w:fill="auto"/>
            <w:vAlign w:val="center"/>
          </w:tcPr>
          <w:p w14:paraId="228E4567" w14:textId="01D5350B"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Infekcija</w:t>
            </w:r>
          </w:p>
        </w:tc>
        <w:tc>
          <w:tcPr>
            <w:tcW w:w="4928" w:type="dxa"/>
            <w:shd w:val="clear" w:color="auto" w:fill="auto"/>
            <w:vAlign w:val="center"/>
          </w:tcPr>
          <w:p w14:paraId="4A5D243B"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Primijenjena doza na svakih 8 sati</w:t>
            </w:r>
          </w:p>
        </w:tc>
      </w:tr>
      <w:tr w:rsidR="007D25C1" w:rsidRPr="00245390" w14:paraId="19E419A8" w14:textId="77777777" w:rsidTr="00575C5E">
        <w:tc>
          <w:tcPr>
            <w:tcW w:w="4927" w:type="dxa"/>
            <w:shd w:val="clear" w:color="auto" w:fill="auto"/>
          </w:tcPr>
          <w:p w14:paraId="2B645214"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Teška pneumonija, uključujući nozokomijalnu pneumoniju i pneumoniju povezanu sa mehaničkom ventilacijom</w:t>
            </w:r>
          </w:p>
        </w:tc>
        <w:tc>
          <w:tcPr>
            <w:tcW w:w="4928" w:type="dxa"/>
            <w:shd w:val="clear" w:color="auto" w:fill="auto"/>
            <w:vAlign w:val="center"/>
          </w:tcPr>
          <w:p w14:paraId="42ADA01C"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500 mg ili 1g</w:t>
            </w:r>
          </w:p>
        </w:tc>
      </w:tr>
      <w:tr w:rsidR="007D25C1" w:rsidRPr="00245390" w14:paraId="5C74ADFB" w14:textId="77777777" w:rsidTr="00575C5E">
        <w:tc>
          <w:tcPr>
            <w:tcW w:w="4927" w:type="dxa"/>
            <w:shd w:val="clear" w:color="auto" w:fill="auto"/>
          </w:tcPr>
          <w:p w14:paraId="5EB90072"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Bronhopulmonalne infekcije kod cistične fibroze</w:t>
            </w:r>
          </w:p>
        </w:tc>
        <w:tc>
          <w:tcPr>
            <w:tcW w:w="4928" w:type="dxa"/>
            <w:shd w:val="clear" w:color="auto" w:fill="auto"/>
            <w:vAlign w:val="center"/>
          </w:tcPr>
          <w:p w14:paraId="7A52FB03"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2 g</w:t>
            </w:r>
          </w:p>
        </w:tc>
      </w:tr>
      <w:tr w:rsidR="007D25C1" w:rsidRPr="00245390" w14:paraId="7BD74896" w14:textId="77777777" w:rsidTr="00575C5E">
        <w:tc>
          <w:tcPr>
            <w:tcW w:w="4927" w:type="dxa"/>
            <w:shd w:val="clear" w:color="auto" w:fill="auto"/>
          </w:tcPr>
          <w:p w14:paraId="034354D2"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Komplikovane infekcije urinarnog trakta</w:t>
            </w:r>
          </w:p>
        </w:tc>
        <w:tc>
          <w:tcPr>
            <w:tcW w:w="4928" w:type="dxa"/>
            <w:shd w:val="clear" w:color="auto" w:fill="auto"/>
            <w:vAlign w:val="center"/>
          </w:tcPr>
          <w:p w14:paraId="4919BF93"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500 mg ili 1 g</w:t>
            </w:r>
          </w:p>
        </w:tc>
      </w:tr>
      <w:tr w:rsidR="007D25C1" w:rsidRPr="00245390" w14:paraId="138A08E1" w14:textId="77777777" w:rsidTr="00575C5E">
        <w:tc>
          <w:tcPr>
            <w:tcW w:w="4927" w:type="dxa"/>
            <w:shd w:val="clear" w:color="auto" w:fill="auto"/>
          </w:tcPr>
          <w:p w14:paraId="0D089FB3"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Komplikovane intra-abdominalne infekcije</w:t>
            </w:r>
          </w:p>
        </w:tc>
        <w:tc>
          <w:tcPr>
            <w:tcW w:w="4928" w:type="dxa"/>
            <w:shd w:val="clear" w:color="auto" w:fill="auto"/>
            <w:vAlign w:val="center"/>
          </w:tcPr>
          <w:p w14:paraId="1EE35D96"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500 mg ili 1 g</w:t>
            </w:r>
          </w:p>
        </w:tc>
      </w:tr>
      <w:tr w:rsidR="007D25C1" w:rsidRPr="00245390" w14:paraId="4377AEE8" w14:textId="77777777" w:rsidTr="00575C5E">
        <w:tc>
          <w:tcPr>
            <w:tcW w:w="4927" w:type="dxa"/>
            <w:shd w:val="clear" w:color="auto" w:fill="auto"/>
          </w:tcPr>
          <w:p w14:paraId="31835ADC"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Intra- i post-partalne infekcije</w:t>
            </w:r>
          </w:p>
        </w:tc>
        <w:tc>
          <w:tcPr>
            <w:tcW w:w="4928" w:type="dxa"/>
            <w:shd w:val="clear" w:color="auto" w:fill="auto"/>
            <w:vAlign w:val="center"/>
          </w:tcPr>
          <w:p w14:paraId="17416977"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500 mg ili 1 g</w:t>
            </w:r>
          </w:p>
        </w:tc>
      </w:tr>
      <w:tr w:rsidR="007D25C1" w:rsidRPr="00245390" w14:paraId="042D0B62" w14:textId="77777777" w:rsidTr="00575C5E">
        <w:tc>
          <w:tcPr>
            <w:tcW w:w="4927" w:type="dxa"/>
            <w:shd w:val="clear" w:color="auto" w:fill="auto"/>
          </w:tcPr>
          <w:p w14:paraId="617DC85B"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Komplikovane infekcije kože i mekih tkiva </w:t>
            </w:r>
          </w:p>
        </w:tc>
        <w:tc>
          <w:tcPr>
            <w:tcW w:w="4928" w:type="dxa"/>
            <w:shd w:val="clear" w:color="auto" w:fill="auto"/>
            <w:vAlign w:val="center"/>
          </w:tcPr>
          <w:p w14:paraId="317C2F3D"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500 mg ili 1 g</w:t>
            </w:r>
          </w:p>
        </w:tc>
      </w:tr>
      <w:tr w:rsidR="007D25C1" w:rsidRPr="00245390" w14:paraId="2BFB1165" w14:textId="77777777" w:rsidTr="00575C5E">
        <w:tc>
          <w:tcPr>
            <w:tcW w:w="4927" w:type="dxa"/>
            <w:shd w:val="clear" w:color="auto" w:fill="auto"/>
          </w:tcPr>
          <w:p w14:paraId="4F1A685F"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Akutni bakterijski meningitis </w:t>
            </w:r>
          </w:p>
        </w:tc>
        <w:tc>
          <w:tcPr>
            <w:tcW w:w="4928" w:type="dxa"/>
            <w:shd w:val="clear" w:color="auto" w:fill="auto"/>
            <w:vAlign w:val="center"/>
          </w:tcPr>
          <w:p w14:paraId="4322E013"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2 g</w:t>
            </w:r>
          </w:p>
        </w:tc>
      </w:tr>
      <w:tr w:rsidR="007D25C1" w:rsidRPr="00245390" w14:paraId="77F565A8" w14:textId="77777777" w:rsidTr="00575C5E">
        <w:tc>
          <w:tcPr>
            <w:tcW w:w="4927" w:type="dxa"/>
            <w:shd w:val="clear" w:color="auto" w:fill="auto"/>
          </w:tcPr>
          <w:p w14:paraId="59D71706" w14:textId="77777777" w:rsidR="007D25C1" w:rsidRPr="00245390" w:rsidRDefault="007D25C1">
            <w:pPr>
              <w:jc w:val="both"/>
              <w:rPr>
                <w:sz w:val="22"/>
                <w:szCs w:val="22"/>
                <w:lang w:val="sr-Latn-ME"/>
              </w:rPr>
            </w:pPr>
            <w:r w:rsidRPr="00245390">
              <w:rPr>
                <w:rFonts w:eastAsia="TimesNewRoman"/>
                <w:sz w:val="22"/>
                <w:szCs w:val="22"/>
                <w:lang w:val="sr-Latn-ME"/>
              </w:rPr>
              <w:t xml:space="preserve">Liječenje pacijenata sa febrilnom neutropenijom </w:t>
            </w:r>
          </w:p>
        </w:tc>
        <w:tc>
          <w:tcPr>
            <w:tcW w:w="4928" w:type="dxa"/>
            <w:shd w:val="clear" w:color="auto" w:fill="auto"/>
            <w:vAlign w:val="center"/>
          </w:tcPr>
          <w:p w14:paraId="2B9B1806"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 g</w:t>
            </w:r>
          </w:p>
        </w:tc>
      </w:tr>
    </w:tbl>
    <w:p w14:paraId="64CDF1CB" w14:textId="25957D52" w:rsidR="00452E9D" w:rsidRPr="00245390" w:rsidRDefault="00452E9D" w:rsidP="00EE5F09">
      <w:pPr>
        <w:tabs>
          <w:tab w:val="left" w:pos="540"/>
          <w:tab w:val="left" w:pos="569"/>
        </w:tabs>
        <w:jc w:val="both"/>
        <w:rPr>
          <w:bCs/>
          <w:sz w:val="22"/>
          <w:szCs w:val="22"/>
          <w:u w:val="single"/>
          <w:lang w:val="sr-Latn-ME"/>
        </w:rPr>
      </w:pPr>
    </w:p>
    <w:p w14:paraId="4D1BBC75" w14:textId="7868FDD8" w:rsidR="007D25C1" w:rsidRPr="00245390" w:rsidRDefault="007D25C1">
      <w:pPr>
        <w:autoSpaceDE w:val="0"/>
        <w:autoSpaceDN w:val="0"/>
        <w:adjustRightInd w:val="0"/>
        <w:jc w:val="both"/>
        <w:rPr>
          <w:rFonts w:eastAsia="TimesNewRoman"/>
          <w:sz w:val="22"/>
          <w:szCs w:val="22"/>
          <w:lang w:val="sr-Latn-ME" w:eastAsia="sr-Latn-RS"/>
        </w:rPr>
      </w:pPr>
      <w:r w:rsidRPr="00245390">
        <w:rPr>
          <w:b/>
          <w:bCs/>
          <w:sz w:val="22"/>
          <w:szCs w:val="22"/>
          <w:lang w:val="sr-Latn-ME" w:eastAsia="sr-Latn-RS"/>
        </w:rPr>
        <w:t xml:space="preserve">Način primjene: </w:t>
      </w:r>
      <w:r w:rsidR="00EC6635" w:rsidRPr="00EE5F09">
        <w:rPr>
          <w:bCs/>
          <w:sz w:val="22"/>
          <w:szCs w:val="22"/>
          <w:lang w:val="sr-Latn-ME" w:eastAsia="sr-Latn-RS"/>
        </w:rPr>
        <w:t xml:space="preserve">Lijek </w:t>
      </w:r>
      <w:r w:rsidRPr="00245390">
        <w:rPr>
          <w:rFonts w:eastAsia="TimesNewRoman"/>
          <w:sz w:val="22"/>
          <w:szCs w:val="22"/>
          <w:lang w:val="sr-Latn-ME" w:eastAsia="sr-Latn-RS"/>
        </w:rPr>
        <w:t xml:space="preserve">Merocid se uobičajeno primjenjuje intavenskom infuzijom tokom 15 do 30 minuta (vidjeti </w:t>
      </w:r>
      <w:r w:rsidR="00EC6635" w:rsidRPr="00245390">
        <w:rPr>
          <w:rFonts w:eastAsia="TimesNewRoman"/>
          <w:sz w:val="22"/>
          <w:szCs w:val="22"/>
          <w:lang w:val="sr-Latn-ME" w:eastAsia="sr-Latn-RS"/>
        </w:rPr>
        <w:t>djelove</w:t>
      </w:r>
      <w:r w:rsidRPr="00245390">
        <w:rPr>
          <w:rFonts w:eastAsia="TimesNewRoman"/>
          <w:sz w:val="22"/>
          <w:szCs w:val="22"/>
          <w:lang w:val="sr-Latn-ME" w:eastAsia="sr-Latn-RS"/>
        </w:rPr>
        <w:t xml:space="preserve"> 6.2, 6.3 i 6.6).</w:t>
      </w:r>
    </w:p>
    <w:p w14:paraId="3C19BF6D" w14:textId="77777777" w:rsidR="007D25C1" w:rsidRPr="00245390" w:rsidRDefault="007D25C1">
      <w:pPr>
        <w:autoSpaceDE w:val="0"/>
        <w:autoSpaceDN w:val="0"/>
        <w:adjustRightInd w:val="0"/>
        <w:jc w:val="both"/>
        <w:rPr>
          <w:rFonts w:eastAsia="TimesNewRoman"/>
          <w:sz w:val="22"/>
          <w:szCs w:val="22"/>
          <w:lang w:val="sr-Latn-ME" w:eastAsia="sr-Latn-RS"/>
        </w:rPr>
      </w:pPr>
    </w:p>
    <w:p w14:paraId="42D19A28" w14:textId="162B11D3"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Alternativno, doza do 1 g se može primijeniti kao intravenska bolus injekcija tokom 5 minuta. </w:t>
      </w:r>
      <w:r w:rsidR="00EC6635" w:rsidRPr="00245390">
        <w:rPr>
          <w:noProof/>
          <w:sz w:val="22"/>
          <w:szCs w:val="22"/>
          <w:lang w:val="sr-Latn-ME"/>
        </w:rPr>
        <w:t>Podaci o bezbjednosti primjene 2 g meropenema u vidu intravenske bolus injekcije kod odraslih su ograničeni.</w:t>
      </w:r>
    </w:p>
    <w:p w14:paraId="7E13B709" w14:textId="77777777" w:rsidR="007D25C1" w:rsidRPr="00245390" w:rsidRDefault="007D25C1">
      <w:pPr>
        <w:autoSpaceDE w:val="0"/>
        <w:autoSpaceDN w:val="0"/>
        <w:adjustRightInd w:val="0"/>
        <w:jc w:val="both"/>
        <w:rPr>
          <w:rFonts w:eastAsia="TimesNewRoman"/>
          <w:sz w:val="22"/>
          <w:szCs w:val="22"/>
          <w:lang w:val="sr-Latn-ME" w:eastAsia="sr-Latn-RS"/>
        </w:rPr>
      </w:pPr>
    </w:p>
    <w:p w14:paraId="5561D18C"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Pacijenti sa oštećenjem funkcije bubrega</w:t>
      </w:r>
    </w:p>
    <w:p w14:paraId="24B0DCAD" w14:textId="179FCE8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Potrebno je prilagođavanje doze kod odraslih i adolescenata kod kojih je klirens kreatinina &lt; 51</w:t>
      </w:r>
      <w:r w:rsidR="00575C5E" w:rsidRPr="00245390">
        <w:rPr>
          <w:rFonts w:eastAsia="TimesNewRoman"/>
          <w:sz w:val="22"/>
          <w:szCs w:val="22"/>
          <w:lang w:val="sr-Latn-ME" w:eastAsia="sr-Latn-RS"/>
        </w:rPr>
        <w:t xml:space="preserve"> </w:t>
      </w:r>
      <w:r w:rsidRPr="00245390">
        <w:rPr>
          <w:rFonts w:eastAsia="TimesNewRoman"/>
          <w:sz w:val="22"/>
          <w:szCs w:val="22"/>
          <w:lang w:val="sr-Latn-ME" w:eastAsia="sr-Latn-RS"/>
        </w:rPr>
        <w:t>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 na način prikazan u tabeli ispod. Podaci o prilagođavanju pojedinačne doze od 2 g na dolje naveden način, su ograničeni</w:t>
      </w:r>
    </w:p>
    <w:p w14:paraId="300E9325" w14:textId="77777777" w:rsidR="007D25C1" w:rsidRPr="00245390" w:rsidRDefault="007D25C1">
      <w:pPr>
        <w:autoSpaceDE w:val="0"/>
        <w:autoSpaceDN w:val="0"/>
        <w:adjustRightInd w:val="0"/>
        <w:jc w:val="both"/>
        <w:rPr>
          <w:rFonts w:eastAsia="TimesNewRoman"/>
          <w:sz w:val="22"/>
          <w:szCs w:val="22"/>
          <w:lang w:val="sr-Latn-ME"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47"/>
        <w:gridCol w:w="3012"/>
      </w:tblGrid>
      <w:tr w:rsidR="007D25C1" w:rsidRPr="00245390" w14:paraId="7AC17A67" w14:textId="77777777" w:rsidTr="00575C5E">
        <w:tc>
          <w:tcPr>
            <w:tcW w:w="3285" w:type="dxa"/>
            <w:shd w:val="clear" w:color="auto" w:fill="auto"/>
            <w:vAlign w:val="center"/>
          </w:tcPr>
          <w:p w14:paraId="3A2FB20E"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Klirens kreatinina</w:t>
            </w:r>
          </w:p>
          <w:p w14:paraId="52CEA517" w14:textId="68C26F8C"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(m</w:t>
            </w:r>
            <w:r w:rsidR="00CF70CE" w:rsidRPr="00245390">
              <w:rPr>
                <w:rFonts w:eastAsia="TimesNewRoman"/>
                <w:b/>
                <w:bCs/>
                <w:sz w:val="22"/>
                <w:szCs w:val="22"/>
                <w:lang w:val="sr-Latn-ME"/>
              </w:rPr>
              <w:t>l</w:t>
            </w:r>
            <w:r w:rsidRPr="00245390">
              <w:rPr>
                <w:rFonts w:eastAsia="TimesNewRoman"/>
                <w:b/>
                <w:bCs/>
                <w:sz w:val="22"/>
                <w:szCs w:val="22"/>
                <w:lang w:val="sr-Latn-ME"/>
              </w:rPr>
              <w:t>/min)</w:t>
            </w:r>
          </w:p>
        </w:tc>
        <w:tc>
          <w:tcPr>
            <w:tcW w:w="3285" w:type="dxa"/>
            <w:shd w:val="clear" w:color="auto" w:fill="auto"/>
            <w:vAlign w:val="center"/>
          </w:tcPr>
          <w:p w14:paraId="5CA053AC"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Doza (na osnovu pojedinačnih doza 500 mg,</w:t>
            </w:r>
          </w:p>
          <w:p w14:paraId="0DB6D20B"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1 g, 2 g, vidjeti tabelu iznad)</w:t>
            </w:r>
          </w:p>
        </w:tc>
        <w:tc>
          <w:tcPr>
            <w:tcW w:w="3285" w:type="dxa"/>
            <w:shd w:val="clear" w:color="auto" w:fill="auto"/>
            <w:vAlign w:val="center"/>
          </w:tcPr>
          <w:p w14:paraId="39A49A55"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Učestalost</w:t>
            </w:r>
          </w:p>
        </w:tc>
      </w:tr>
      <w:tr w:rsidR="007D25C1" w:rsidRPr="00245390" w14:paraId="659F8F46" w14:textId="77777777" w:rsidTr="00575C5E">
        <w:tc>
          <w:tcPr>
            <w:tcW w:w="3285" w:type="dxa"/>
            <w:shd w:val="clear" w:color="auto" w:fill="auto"/>
            <w:vAlign w:val="center"/>
          </w:tcPr>
          <w:p w14:paraId="6B81C537"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26 - 50</w:t>
            </w:r>
          </w:p>
        </w:tc>
        <w:tc>
          <w:tcPr>
            <w:tcW w:w="3285" w:type="dxa"/>
            <w:shd w:val="clear" w:color="auto" w:fill="auto"/>
            <w:vAlign w:val="center"/>
          </w:tcPr>
          <w:p w14:paraId="6C77BC4C"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jedna pojedinačna doza</w:t>
            </w:r>
          </w:p>
        </w:tc>
        <w:tc>
          <w:tcPr>
            <w:tcW w:w="3285" w:type="dxa"/>
            <w:shd w:val="clear" w:color="auto" w:fill="auto"/>
            <w:vAlign w:val="center"/>
          </w:tcPr>
          <w:p w14:paraId="487FB069"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svakih 12 sati</w:t>
            </w:r>
          </w:p>
        </w:tc>
      </w:tr>
      <w:tr w:rsidR="007D25C1" w:rsidRPr="00245390" w14:paraId="59E16730" w14:textId="77777777" w:rsidTr="00575C5E">
        <w:tc>
          <w:tcPr>
            <w:tcW w:w="3285" w:type="dxa"/>
            <w:shd w:val="clear" w:color="auto" w:fill="auto"/>
            <w:vAlign w:val="center"/>
          </w:tcPr>
          <w:p w14:paraId="3548562F"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10 - 25</w:t>
            </w:r>
          </w:p>
        </w:tc>
        <w:tc>
          <w:tcPr>
            <w:tcW w:w="3285" w:type="dxa"/>
            <w:shd w:val="clear" w:color="auto" w:fill="auto"/>
            <w:vAlign w:val="center"/>
          </w:tcPr>
          <w:p w14:paraId="331F162D" w14:textId="28A1B069"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polovina pojedinačne doze</w:t>
            </w:r>
          </w:p>
        </w:tc>
        <w:tc>
          <w:tcPr>
            <w:tcW w:w="3285" w:type="dxa"/>
            <w:shd w:val="clear" w:color="auto" w:fill="auto"/>
            <w:vAlign w:val="center"/>
          </w:tcPr>
          <w:p w14:paraId="4AA292AA"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svakih 12 sati</w:t>
            </w:r>
          </w:p>
        </w:tc>
      </w:tr>
      <w:tr w:rsidR="007D25C1" w:rsidRPr="00245390" w14:paraId="5605F6D7" w14:textId="77777777" w:rsidTr="00575C5E">
        <w:tc>
          <w:tcPr>
            <w:tcW w:w="3285" w:type="dxa"/>
            <w:shd w:val="clear" w:color="auto" w:fill="auto"/>
            <w:vAlign w:val="center"/>
          </w:tcPr>
          <w:p w14:paraId="374077B3"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&lt;10</w:t>
            </w:r>
          </w:p>
        </w:tc>
        <w:tc>
          <w:tcPr>
            <w:tcW w:w="3285" w:type="dxa"/>
            <w:shd w:val="clear" w:color="auto" w:fill="auto"/>
            <w:vAlign w:val="center"/>
          </w:tcPr>
          <w:p w14:paraId="3F3CF102" w14:textId="000616D5"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polovina pojedinačne doze</w:t>
            </w:r>
          </w:p>
        </w:tc>
        <w:tc>
          <w:tcPr>
            <w:tcW w:w="3285" w:type="dxa"/>
            <w:shd w:val="clear" w:color="auto" w:fill="auto"/>
            <w:vAlign w:val="center"/>
          </w:tcPr>
          <w:p w14:paraId="1FF6B18B"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svaka 24 sata</w:t>
            </w:r>
          </w:p>
        </w:tc>
      </w:tr>
    </w:tbl>
    <w:p w14:paraId="3DDB6BAD" w14:textId="77777777" w:rsidR="007D25C1" w:rsidRPr="00245390" w:rsidRDefault="007D25C1">
      <w:pPr>
        <w:tabs>
          <w:tab w:val="left" w:pos="540"/>
          <w:tab w:val="left" w:pos="569"/>
        </w:tabs>
        <w:jc w:val="both"/>
        <w:rPr>
          <w:bCs/>
          <w:sz w:val="22"/>
          <w:szCs w:val="22"/>
          <w:lang w:val="sr-Latn-ME"/>
        </w:rPr>
      </w:pPr>
    </w:p>
    <w:p w14:paraId="25BE8FF6"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Meropenem se može ukloniti hemodijalizom i hemofiltracijom. Odgovarajuću dozu treba primijeniti nakon završetka hemodijalize.</w:t>
      </w:r>
    </w:p>
    <w:p w14:paraId="1AA5881E" w14:textId="77777777" w:rsidR="007D25C1" w:rsidRPr="00245390" w:rsidRDefault="007D25C1">
      <w:pPr>
        <w:autoSpaceDE w:val="0"/>
        <w:autoSpaceDN w:val="0"/>
        <w:adjustRightInd w:val="0"/>
        <w:jc w:val="both"/>
        <w:rPr>
          <w:rFonts w:eastAsia="TimesNewRoman"/>
          <w:sz w:val="22"/>
          <w:szCs w:val="22"/>
          <w:lang w:val="sr-Latn-ME" w:eastAsia="sr-Latn-RS"/>
        </w:rPr>
      </w:pPr>
    </w:p>
    <w:p w14:paraId="5B639FC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Nema utvrđenih preporuka za doziranje kod pacijenata na peritonealnoj dijalizi.</w:t>
      </w:r>
    </w:p>
    <w:p w14:paraId="17F51D3D" w14:textId="77777777" w:rsidR="007D25C1" w:rsidRPr="00245390" w:rsidRDefault="007D25C1">
      <w:pPr>
        <w:autoSpaceDE w:val="0"/>
        <w:autoSpaceDN w:val="0"/>
        <w:adjustRightInd w:val="0"/>
        <w:jc w:val="both"/>
        <w:rPr>
          <w:rFonts w:eastAsia="TimesNewRoman"/>
          <w:sz w:val="22"/>
          <w:szCs w:val="22"/>
          <w:lang w:val="sr-Latn-ME" w:eastAsia="sr-Latn-RS"/>
        </w:rPr>
      </w:pPr>
    </w:p>
    <w:p w14:paraId="316F6A61"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Pacijenti sa oštećenjem funkcije jetre</w:t>
      </w:r>
    </w:p>
    <w:p w14:paraId="1A50CE14" w14:textId="22860B2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Nije potrebno prilagođavanje doze kod pacijenata sa oštećenjem funkcije jetre (vidjeti </w:t>
      </w:r>
      <w:r w:rsidR="00EC6635" w:rsidRPr="00245390">
        <w:rPr>
          <w:rFonts w:eastAsia="TimesNewRoman"/>
          <w:sz w:val="22"/>
          <w:szCs w:val="22"/>
          <w:lang w:val="sr-Latn-ME" w:eastAsia="sr-Latn-RS"/>
        </w:rPr>
        <w:t>dio</w:t>
      </w:r>
      <w:r w:rsidRPr="00245390">
        <w:rPr>
          <w:rFonts w:eastAsia="TimesNewRoman"/>
          <w:sz w:val="22"/>
          <w:szCs w:val="22"/>
          <w:lang w:val="sr-Latn-ME" w:eastAsia="sr-Latn-RS"/>
        </w:rPr>
        <w:t xml:space="preserve"> 4.4).</w:t>
      </w:r>
    </w:p>
    <w:p w14:paraId="28FE89A4" w14:textId="77777777" w:rsidR="007D25C1" w:rsidRPr="00245390" w:rsidRDefault="007D25C1">
      <w:pPr>
        <w:autoSpaceDE w:val="0"/>
        <w:autoSpaceDN w:val="0"/>
        <w:adjustRightInd w:val="0"/>
        <w:jc w:val="both"/>
        <w:rPr>
          <w:rFonts w:eastAsia="TimesNewRoman"/>
          <w:sz w:val="22"/>
          <w:szCs w:val="22"/>
          <w:lang w:val="sr-Latn-ME" w:eastAsia="sr-Latn-RS"/>
        </w:rPr>
      </w:pPr>
    </w:p>
    <w:p w14:paraId="47F33125"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Doziranje kod starijih pacijenata</w:t>
      </w:r>
    </w:p>
    <w:p w14:paraId="57B126BE" w14:textId="1E28FA4A"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Nije potrebno prilagođavanje doze kod starijih pacijenata sa normalnom funkcijom bubrega ili klirensom kreatinina većim od 50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w:t>
      </w:r>
    </w:p>
    <w:p w14:paraId="422819BF" w14:textId="77777777" w:rsidR="007D25C1" w:rsidRPr="00245390" w:rsidRDefault="007D25C1">
      <w:pPr>
        <w:autoSpaceDE w:val="0"/>
        <w:autoSpaceDN w:val="0"/>
        <w:adjustRightInd w:val="0"/>
        <w:jc w:val="both"/>
        <w:rPr>
          <w:rFonts w:eastAsia="TimesNewRoman"/>
          <w:sz w:val="22"/>
          <w:szCs w:val="22"/>
          <w:lang w:val="sr-Latn-ME" w:eastAsia="sr-Latn-RS"/>
        </w:rPr>
      </w:pPr>
    </w:p>
    <w:p w14:paraId="17707C3F"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Pedijatrijska populacija</w:t>
      </w:r>
    </w:p>
    <w:p w14:paraId="515B37C8" w14:textId="77777777" w:rsidR="007D25C1" w:rsidRPr="00245390" w:rsidRDefault="007D25C1">
      <w:pPr>
        <w:autoSpaceDE w:val="0"/>
        <w:autoSpaceDN w:val="0"/>
        <w:adjustRightInd w:val="0"/>
        <w:jc w:val="both"/>
        <w:rPr>
          <w:rFonts w:eastAsia="TimesNewRoman"/>
          <w:i/>
          <w:iCs/>
          <w:sz w:val="22"/>
          <w:szCs w:val="22"/>
          <w:u w:val="single"/>
          <w:lang w:val="sr-Latn-ME" w:eastAsia="sr-Latn-RS"/>
        </w:rPr>
      </w:pPr>
      <w:r w:rsidRPr="00245390">
        <w:rPr>
          <w:rFonts w:eastAsia="TimesNewRoman"/>
          <w:sz w:val="22"/>
          <w:szCs w:val="22"/>
          <w:u w:val="single"/>
          <w:lang w:val="sr-Latn-ME" w:eastAsia="sr-Latn-RS"/>
        </w:rPr>
        <w:t>Djeca uzrasta do 3 mjeseca</w:t>
      </w:r>
      <w:r w:rsidRPr="00245390">
        <w:rPr>
          <w:rFonts w:eastAsia="TimesNewRoman"/>
          <w:i/>
          <w:iCs/>
          <w:sz w:val="22"/>
          <w:szCs w:val="22"/>
          <w:u w:val="single"/>
          <w:lang w:val="sr-Latn-ME" w:eastAsia="sr-Latn-RS"/>
        </w:rPr>
        <w:t>:</w:t>
      </w:r>
    </w:p>
    <w:p w14:paraId="3377C4A8" w14:textId="29F73354"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lastRenderedPageBreak/>
        <w:t xml:space="preserve">Bezbjednost i efikasnost primjene meropenema kao i optimalan režim doziranja kod djece uzrasta do 3 mjeseca nijesu ustanovljeni. Međutim, ograničeni farmakokinetički podaci ukazuju na to da bi adekvatan režim doziranja mogao biti 20 mg/kg svakih 8 sati (vidjeti </w:t>
      </w:r>
      <w:r w:rsidR="00EC6635" w:rsidRPr="00245390">
        <w:rPr>
          <w:rFonts w:eastAsia="TimesNewRoman"/>
          <w:sz w:val="22"/>
          <w:szCs w:val="22"/>
          <w:lang w:val="sr-Latn-ME" w:eastAsia="sr-Latn-RS"/>
        </w:rPr>
        <w:t>dio</w:t>
      </w:r>
      <w:r w:rsidRPr="00245390">
        <w:rPr>
          <w:rFonts w:eastAsia="TimesNewRoman"/>
          <w:sz w:val="22"/>
          <w:szCs w:val="22"/>
          <w:lang w:val="sr-Latn-ME" w:eastAsia="sr-Latn-RS"/>
        </w:rPr>
        <w:t xml:space="preserve"> 5.2).</w:t>
      </w:r>
    </w:p>
    <w:p w14:paraId="14C02212" w14:textId="77777777" w:rsidR="007D25C1" w:rsidRPr="00245390" w:rsidRDefault="007D25C1">
      <w:pPr>
        <w:autoSpaceDE w:val="0"/>
        <w:autoSpaceDN w:val="0"/>
        <w:adjustRightInd w:val="0"/>
        <w:jc w:val="both"/>
        <w:rPr>
          <w:rFonts w:eastAsia="TimesNewRoman"/>
          <w:sz w:val="22"/>
          <w:szCs w:val="22"/>
          <w:lang w:val="sr-Latn-ME" w:eastAsia="sr-Latn-RS"/>
        </w:rPr>
      </w:pPr>
    </w:p>
    <w:p w14:paraId="29E7D97E"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Djeca uzrasta od 3 mjeseca do 11 godina i do 50 kg tjelesne mase:</w:t>
      </w:r>
    </w:p>
    <w:p w14:paraId="3E8F7F28" w14:textId="77777777" w:rsidR="007D25C1" w:rsidRPr="00245390" w:rsidRDefault="007D25C1">
      <w:pPr>
        <w:tabs>
          <w:tab w:val="left" w:pos="540"/>
          <w:tab w:val="left" w:pos="569"/>
        </w:tabs>
        <w:jc w:val="both"/>
        <w:rPr>
          <w:rFonts w:eastAsia="TimesNewRoman"/>
          <w:sz w:val="22"/>
          <w:szCs w:val="22"/>
          <w:lang w:val="sr-Latn-ME" w:eastAsia="sr-Latn-RS"/>
        </w:rPr>
      </w:pPr>
      <w:r w:rsidRPr="00245390">
        <w:rPr>
          <w:rFonts w:eastAsia="TimesNewRoman"/>
          <w:sz w:val="22"/>
          <w:szCs w:val="22"/>
          <w:lang w:val="sr-Latn-ME" w:eastAsia="sr-Latn-RS"/>
        </w:rPr>
        <w:t>Preporučeni režim doziranja je prikazan u sljedećoj tabeli:</w:t>
      </w:r>
    </w:p>
    <w:p w14:paraId="220DE6D8" w14:textId="77777777" w:rsidR="007D25C1" w:rsidRPr="00245390" w:rsidRDefault="007D25C1">
      <w:pPr>
        <w:tabs>
          <w:tab w:val="left" w:pos="540"/>
          <w:tab w:val="left" w:pos="569"/>
        </w:tabs>
        <w:jc w:val="both"/>
        <w:rPr>
          <w:rFonts w:eastAsia="TimesNewRoman"/>
          <w:sz w:val="22"/>
          <w:szCs w:val="22"/>
          <w:lang w:val="sr-Latn-ME"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647"/>
      </w:tblGrid>
      <w:tr w:rsidR="007D25C1" w:rsidRPr="00245390" w14:paraId="6B931A33" w14:textId="77777777" w:rsidTr="006C4234">
        <w:trPr>
          <w:trHeight w:val="507"/>
        </w:trPr>
        <w:tc>
          <w:tcPr>
            <w:tcW w:w="4927" w:type="dxa"/>
            <w:shd w:val="clear" w:color="auto" w:fill="auto"/>
            <w:vAlign w:val="center"/>
          </w:tcPr>
          <w:p w14:paraId="087484E7" w14:textId="3A1404C0"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Infekcija</w:t>
            </w:r>
          </w:p>
        </w:tc>
        <w:tc>
          <w:tcPr>
            <w:tcW w:w="4928" w:type="dxa"/>
            <w:shd w:val="clear" w:color="auto" w:fill="auto"/>
            <w:vAlign w:val="center"/>
          </w:tcPr>
          <w:p w14:paraId="2505D397" w14:textId="77777777" w:rsidR="007D25C1" w:rsidRPr="00245390" w:rsidRDefault="007D25C1">
            <w:pPr>
              <w:autoSpaceDE w:val="0"/>
              <w:autoSpaceDN w:val="0"/>
              <w:adjustRightInd w:val="0"/>
              <w:jc w:val="both"/>
              <w:rPr>
                <w:rFonts w:eastAsia="TimesNewRoman"/>
                <w:b/>
                <w:bCs/>
                <w:sz w:val="22"/>
                <w:szCs w:val="22"/>
                <w:lang w:val="sr-Latn-ME"/>
              </w:rPr>
            </w:pPr>
            <w:r w:rsidRPr="00245390">
              <w:rPr>
                <w:rFonts w:eastAsia="TimesNewRoman"/>
                <w:b/>
                <w:bCs/>
                <w:sz w:val="22"/>
                <w:szCs w:val="22"/>
                <w:lang w:val="sr-Latn-ME"/>
              </w:rPr>
              <w:t>Primijenjena doza na svakih 8 sati</w:t>
            </w:r>
          </w:p>
        </w:tc>
      </w:tr>
      <w:tr w:rsidR="007D25C1" w:rsidRPr="00245390" w14:paraId="364C5F8B" w14:textId="77777777" w:rsidTr="00575C5E">
        <w:tc>
          <w:tcPr>
            <w:tcW w:w="4927" w:type="dxa"/>
            <w:shd w:val="clear" w:color="auto" w:fill="auto"/>
          </w:tcPr>
          <w:p w14:paraId="05610846"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Teška pneumonija, uključujući nozokomijalnu pneumoniju i pneumoniju povezanu sa mehaničkom ventilacijom</w:t>
            </w:r>
          </w:p>
        </w:tc>
        <w:tc>
          <w:tcPr>
            <w:tcW w:w="4928" w:type="dxa"/>
            <w:shd w:val="clear" w:color="auto" w:fill="auto"/>
          </w:tcPr>
          <w:p w14:paraId="76870EB6"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10 ili 20 mg/kg</w:t>
            </w:r>
          </w:p>
        </w:tc>
      </w:tr>
      <w:tr w:rsidR="007D25C1" w:rsidRPr="00245390" w14:paraId="67BF65B3" w14:textId="77777777" w:rsidTr="00575C5E">
        <w:tc>
          <w:tcPr>
            <w:tcW w:w="4927" w:type="dxa"/>
            <w:shd w:val="clear" w:color="auto" w:fill="auto"/>
          </w:tcPr>
          <w:p w14:paraId="2AFA220D"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Bronhopulmonalne infekcije kod cistične fibroze</w:t>
            </w:r>
          </w:p>
        </w:tc>
        <w:tc>
          <w:tcPr>
            <w:tcW w:w="4928" w:type="dxa"/>
            <w:shd w:val="clear" w:color="auto" w:fill="auto"/>
          </w:tcPr>
          <w:p w14:paraId="58F91C4C"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40 mg/kg</w:t>
            </w:r>
          </w:p>
        </w:tc>
      </w:tr>
      <w:tr w:rsidR="007D25C1" w:rsidRPr="00245390" w14:paraId="102D78B6" w14:textId="77777777" w:rsidTr="00575C5E">
        <w:tc>
          <w:tcPr>
            <w:tcW w:w="4927" w:type="dxa"/>
            <w:shd w:val="clear" w:color="auto" w:fill="auto"/>
          </w:tcPr>
          <w:p w14:paraId="34AD78EB"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Komplikovane infekcije urinarnog trakta</w:t>
            </w:r>
          </w:p>
        </w:tc>
        <w:tc>
          <w:tcPr>
            <w:tcW w:w="4928" w:type="dxa"/>
            <w:shd w:val="clear" w:color="auto" w:fill="auto"/>
          </w:tcPr>
          <w:p w14:paraId="7E0490A1"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10 ili 20 mg/kg</w:t>
            </w:r>
          </w:p>
        </w:tc>
      </w:tr>
      <w:tr w:rsidR="007D25C1" w:rsidRPr="00245390" w14:paraId="1270108A" w14:textId="77777777" w:rsidTr="00575C5E">
        <w:tc>
          <w:tcPr>
            <w:tcW w:w="4927" w:type="dxa"/>
            <w:shd w:val="clear" w:color="auto" w:fill="auto"/>
          </w:tcPr>
          <w:p w14:paraId="3B7C9A49"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Komplikovane intra-abdominalne infekcije</w:t>
            </w:r>
          </w:p>
        </w:tc>
        <w:tc>
          <w:tcPr>
            <w:tcW w:w="4928" w:type="dxa"/>
            <w:shd w:val="clear" w:color="auto" w:fill="auto"/>
          </w:tcPr>
          <w:p w14:paraId="3637B6E4"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10 ili 20 mg/kg</w:t>
            </w:r>
          </w:p>
        </w:tc>
      </w:tr>
      <w:tr w:rsidR="007D25C1" w:rsidRPr="00245390" w14:paraId="4640AFF2" w14:textId="77777777" w:rsidTr="00575C5E">
        <w:tc>
          <w:tcPr>
            <w:tcW w:w="4927" w:type="dxa"/>
            <w:shd w:val="clear" w:color="auto" w:fill="auto"/>
          </w:tcPr>
          <w:p w14:paraId="70372B16"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Komplikovane infekcije kože i mekih tkiva </w:t>
            </w:r>
          </w:p>
        </w:tc>
        <w:tc>
          <w:tcPr>
            <w:tcW w:w="4928" w:type="dxa"/>
            <w:shd w:val="clear" w:color="auto" w:fill="auto"/>
          </w:tcPr>
          <w:p w14:paraId="0F7CEA99"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10 ili 20 mg/kg</w:t>
            </w:r>
          </w:p>
        </w:tc>
      </w:tr>
      <w:tr w:rsidR="007D25C1" w:rsidRPr="00245390" w14:paraId="057705C6" w14:textId="77777777" w:rsidTr="00575C5E">
        <w:tc>
          <w:tcPr>
            <w:tcW w:w="4927" w:type="dxa"/>
            <w:shd w:val="clear" w:color="auto" w:fill="auto"/>
          </w:tcPr>
          <w:p w14:paraId="3AAAB1E1"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Akutni bakterijski meningitis </w:t>
            </w:r>
          </w:p>
        </w:tc>
        <w:tc>
          <w:tcPr>
            <w:tcW w:w="4928" w:type="dxa"/>
            <w:shd w:val="clear" w:color="auto" w:fill="auto"/>
          </w:tcPr>
          <w:p w14:paraId="4176CBD8"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40 mg/kg</w:t>
            </w:r>
          </w:p>
        </w:tc>
      </w:tr>
      <w:tr w:rsidR="007D25C1" w:rsidRPr="00245390" w14:paraId="695B3F46" w14:textId="77777777" w:rsidTr="00575C5E">
        <w:tc>
          <w:tcPr>
            <w:tcW w:w="4927" w:type="dxa"/>
            <w:shd w:val="clear" w:color="auto" w:fill="auto"/>
          </w:tcPr>
          <w:p w14:paraId="42252A69" w14:textId="77777777" w:rsidR="007D25C1" w:rsidRPr="00245390" w:rsidRDefault="007D25C1">
            <w:pPr>
              <w:jc w:val="both"/>
              <w:rPr>
                <w:sz w:val="22"/>
                <w:szCs w:val="22"/>
                <w:lang w:val="sr-Latn-ME"/>
              </w:rPr>
            </w:pPr>
            <w:r w:rsidRPr="00245390">
              <w:rPr>
                <w:rFonts w:eastAsia="TimesNewRoman"/>
                <w:sz w:val="22"/>
                <w:szCs w:val="22"/>
                <w:lang w:val="sr-Latn-ME"/>
              </w:rPr>
              <w:t xml:space="preserve">Liječenje pacijenata sa febrilnom neutropenijom </w:t>
            </w:r>
          </w:p>
        </w:tc>
        <w:tc>
          <w:tcPr>
            <w:tcW w:w="4928" w:type="dxa"/>
            <w:shd w:val="clear" w:color="auto" w:fill="auto"/>
          </w:tcPr>
          <w:p w14:paraId="26D8E1CD" w14:textId="77777777" w:rsidR="007D25C1" w:rsidRPr="00245390" w:rsidRDefault="007D25C1">
            <w:pPr>
              <w:tabs>
                <w:tab w:val="left" w:pos="3855"/>
              </w:tabs>
              <w:autoSpaceDE w:val="0"/>
              <w:autoSpaceDN w:val="0"/>
              <w:adjustRightInd w:val="0"/>
              <w:jc w:val="both"/>
              <w:rPr>
                <w:rFonts w:eastAsia="TimesNewRoman"/>
                <w:sz w:val="22"/>
                <w:szCs w:val="22"/>
                <w:lang w:val="sr-Latn-ME"/>
              </w:rPr>
            </w:pPr>
            <w:r w:rsidRPr="00245390">
              <w:rPr>
                <w:rFonts w:eastAsia="TimesNewRoman"/>
                <w:sz w:val="22"/>
                <w:szCs w:val="22"/>
                <w:lang w:val="sr-Latn-ME"/>
              </w:rPr>
              <w:t>20 mg/kg</w:t>
            </w:r>
            <w:r w:rsidRPr="00245390">
              <w:rPr>
                <w:rFonts w:eastAsia="TimesNewRoman"/>
                <w:sz w:val="22"/>
                <w:szCs w:val="22"/>
                <w:lang w:val="sr-Latn-ME"/>
              </w:rPr>
              <w:tab/>
            </w:r>
          </w:p>
        </w:tc>
      </w:tr>
    </w:tbl>
    <w:p w14:paraId="6C975D68" w14:textId="77777777" w:rsidR="007D25C1" w:rsidRPr="00245390" w:rsidRDefault="007D25C1">
      <w:pPr>
        <w:tabs>
          <w:tab w:val="left" w:pos="540"/>
          <w:tab w:val="left" w:pos="569"/>
        </w:tabs>
        <w:jc w:val="both"/>
        <w:rPr>
          <w:bCs/>
          <w:sz w:val="22"/>
          <w:szCs w:val="22"/>
          <w:lang w:val="sr-Latn-ME"/>
        </w:rPr>
      </w:pPr>
    </w:p>
    <w:p w14:paraId="05E75E17" w14:textId="428BD89C"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Djeca sa tjelesnom masom preko 50</w:t>
      </w:r>
      <w:r w:rsidR="00607D96" w:rsidRPr="00245390">
        <w:rPr>
          <w:rFonts w:eastAsia="TimesNewRoman"/>
          <w:sz w:val="22"/>
          <w:szCs w:val="22"/>
          <w:u w:val="single"/>
          <w:lang w:val="sr-Latn-ME" w:eastAsia="sr-Latn-RS"/>
        </w:rPr>
        <w:t xml:space="preserve"> </w:t>
      </w:r>
      <w:r w:rsidRPr="00245390">
        <w:rPr>
          <w:rFonts w:eastAsia="TimesNewRoman"/>
          <w:sz w:val="22"/>
          <w:szCs w:val="22"/>
          <w:u w:val="single"/>
          <w:lang w:val="sr-Latn-ME" w:eastAsia="sr-Latn-RS"/>
        </w:rPr>
        <w:t>kg:</w:t>
      </w:r>
    </w:p>
    <w:p w14:paraId="18113CD9"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Treba primjenjivati dozu za odrasle.</w:t>
      </w:r>
    </w:p>
    <w:p w14:paraId="685815EA" w14:textId="77777777" w:rsidR="007D25C1" w:rsidRPr="00245390" w:rsidRDefault="007D25C1">
      <w:pPr>
        <w:autoSpaceDE w:val="0"/>
        <w:autoSpaceDN w:val="0"/>
        <w:adjustRightInd w:val="0"/>
        <w:jc w:val="both"/>
        <w:rPr>
          <w:rFonts w:eastAsia="TimesNewRoman"/>
          <w:sz w:val="22"/>
          <w:szCs w:val="22"/>
          <w:lang w:val="sr-Latn-ME" w:eastAsia="sr-Latn-RS"/>
        </w:rPr>
      </w:pPr>
    </w:p>
    <w:p w14:paraId="164D9DFB"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Djeca sa oštećenjem funkcije bubrega:</w:t>
      </w:r>
    </w:p>
    <w:p w14:paraId="3AB2763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Ne postoje iskustva o primjeni lijeka kod ovih pacijenata.</w:t>
      </w:r>
    </w:p>
    <w:p w14:paraId="72F571CD" w14:textId="77777777" w:rsidR="007D25C1" w:rsidRPr="00245390" w:rsidRDefault="007D25C1" w:rsidP="00EE5F09">
      <w:pPr>
        <w:tabs>
          <w:tab w:val="left" w:pos="540"/>
          <w:tab w:val="left" w:pos="569"/>
        </w:tabs>
        <w:jc w:val="both"/>
        <w:rPr>
          <w:bCs/>
          <w:sz w:val="22"/>
          <w:szCs w:val="22"/>
          <w:u w:val="single"/>
          <w:lang w:val="sr-Latn-ME"/>
        </w:rPr>
      </w:pPr>
    </w:p>
    <w:p w14:paraId="4989BAEF" w14:textId="7F7377FE" w:rsidR="007D25C1" w:rsidRPr="00245390" w:rsidRDefault="00607D96" w:rsidP="00EE5F09">
      <w:pPr>
        <w:tabs>
          <w:tab w:val="left" w:pos="540"/>
          <w:tab w:val="left" w:pos="569"/>
        </w:tabs>
        <w:jc w:val="both"/>
        <w:rPr>
          <w:rFonts w:eastAsia="TimesNewRoman"/>
          <w:sz w:val="22"/>
          <w:szCs w:val="22"/>
          <w:lang w:val="sr-Latn-ME" w:eastAsia="sr-Latn-RS"/>
        </w:rPr>
      </w:pPr>
      <w:r w:rsidRPr="00245390">
        <w:rPr>
          <w:rFonts w:eastAsia="TimesNewRoman"/>
          <w:b/>
          <w:bCs/>
          <w:sz w:val="22"/>
          <w:szCs w:val="22"/>
          <w:lang w:val="sr-Latn-ME" w:eastAsia="sr-Latn-RS"/>
        </w:rPr>
        <w:t xml:space="preserve">Način primjene: </w:t>
      </w:r>
      <w:r w:rsidR="007D25C1" w:rsidRPr="00245390">
        <w:rPr>
          <w:rFonts w:eastAsia="TimesNewRoman"/>
          <w:sz w:val="22"/>
          <w:szCs w:val="22"/>
          <w:lang w:val="sr-Latn-ME" w:eastAsia="sr-Latn-RS"/>
        </w:rPr>
        <w:t xml:space="preserve">Meropenem se obično primjenjuje putem intravenske infuzije, tokom 15-30 minuta (vidjeti </w:t>
      </w:r>
      <w:r w:rsidR="00EC6635" w:rsidRPr="00245390">
        <w:rPr>
          <w:rFonts w:eastAsia="TimesNewRoman"/>
          <w:sz w:val="22"/>
          <w:szCs w:val="22"/>
          <w:lang w:val="sr-Latn-ME" w:eastAsia="sr-Latn-RS"/>
        </w:rPr>
        <w:t>djelove</w:t>
      </w:r>
      <w:r w:rsidR="007D25C1" w:rsidRPr="00245390">
        <w:rPr>
          <w:rFonts w:eastAsia="TimesNewRoman"/>
          <w:sz w:val="22"/>
          <w:szCs w:val="22"/>
          <w:lang w:val="sr-Latn-ME" w:eastAsia="sr-Latn-RS"/>
        </w:rPr>
        <w:t xml:space="preserve"> 6.2, 6.3 i 6.6). Alternativno, doze meropenema do 20 mg/kg se mogu davati u vidu intravenske bolus injekcije, tokom 5 minuta. </w:t>
      </w:r>
      <w:r w:rsidR="00EC6635" w:rsidRPr="00245390">
        <w:rPr>
          <w:noProof/>
          <w:sz w:val="22"/>
          <w:szCs w:val="22"/>
          <w:lang w:val="sr-Latn-ME"/>
        </w:rPr>
        <w:t xml:space="preserve">Podaci o bezbjednosti primjene 40 mg/kg meropenema kod djece u vidu intravenske bolus injekcije su ograničeni. </w:t>
      </w:r>
    </w:p>
    <w:p w14:paraId="6776221E" w14:textId="7C42E3B4" w:rsidR="00452E9D" w:rsidRPr="00245390" w:rsidRDefault="00452E9D" w:rsidP="00EE5F09">
      <w:pPr>
        <w:tabs>
          <w:tab w:val="left" w:pos="540"/>
          <w:tab w:val="left" w:pos="569"/>
        </w:tabs>
        <w:jc w:val="both"/>
        <w:rPr>
          <w:bCs/>
          <w:sz w:val="22"/>
          <w:szCs w:val="22"/>
          <w:lang w:val="sr-Latn-ME"/>
        </w:rPr>
      </w:pPr>
    </w:p>
    <w:p w14:paraId="37EDE698" w14:textId="7CB1790A" w:rsidR="00607D96" w:rsidRPr="00EE5F09" w:rsidRDefault="00607D96" w:rsidP="00EE5F09">
      <w:pPr>
        <w:autoSpaceDE w:val="0"/>
        <w:autoSpaceDN w:val="0"/>
        <w:adjustRightInd w:val="0"/>
        <w:jc w:val="both"/>
        <w:rPr>
          <w:rFonts w:eastAsia="TimesNewRoman"/>
          <w:sz w:val="22"/>
          <w:szCs w:val="22"/>
          <w:lang w:val="sr-Latn-ME"/>
        </w:rPr>
      </w:pPr>
      <w:r w:rsidRPr="00935A4F">
        <w:rPr>
          <w:rFonts w:eastAsia="TimesNewRoman"/>
          <w:sz w:val="22"/>
          <w:szCs w:val="22"/>
          <w:lang w:val="sr-Latn-ME"/>
        </w:rPr>
        <w:t>Za uputstvo za rekonstituisanje l</w:t>
      </w:r>
      <w:r w:rsidR="005E7218" w:rsidRPr="00935A4F">
        <w:rPr>
          <w:rFonts w:eastAsia="TimesNewRoman"/>
          <w:sz w:val="22"/>
          <w:szCs w:val="22"/>
          <w:lang w:val="sr-Latn-ME"/>
        </w:rPr>
        <w:t>ij</w:t>
      </w:r>
      <w:r w:rsidRPr="00935A4F">
        <w:rPr>
          <w:rFonts w:eastAsia="TimesNewRoman"/>
          <w:sz w:val="22"/>
          <w:szCs w:val="22"/>
          <w:lang w:val="sr-Latn-ME"/>
        </w:rPr>
        <w:t>eka pr</w:t>
      </w:r>
      <w:r w:rsidR="005E7218" w:rsidRPr="00935A4F">
        <w:rPr>
          <w:rFonts w:eastAsia="TimesNewRoman"/>
          <w:sz w:val="22"/>
          <w:szCs w:val="22"/>
          <w:lang w:val="sr-Latn-ME"/>
        </w:rPr>
        <w:t>ij</w:t>
      </w:r>
      <w:r w:rsidRPr="00935A4F">
        <w:rPr>
          <w:rFonts w:eastAsia="TimesNewRoman"/>
          <w:sz w:val="22"/>
          <w:szCs w:val="22"/>
          <w:lang w:val="sr-Latn-ME"/>
        </w:rPr>
        <w:t>e prim</w:t>
      </w:r>
      <w:r w:rsidR="005E7218" w:rsidRPr="00935A4F">
        <w:rPr>
          <w:rFonts w:eastAsia="TimesNewRoman"/>
          <w:sz w:val="22"/>
          <w:szCs w:val="22"/>
          <w:lang w:val="sr-Latn-ME"/>
        </w:rPr>
        <w:t>j</w:t>
      </w:r>
      <w:r w:rsidRPr="00935A4F">
        <w:rPr>
          <w:rFonts w:eastAsia="TimesNewRoman"/>
          <w:sz w:val="22"/>
          <w:szCs w:val="22"/>
          <w:lang w:val="sr-Latn-ME"/>
        </w:rPr>
        <w:t>ene vid</w:t>
      </w:r>
      <w:r w:rsidR="005E7218" w:rsidRPr="00935A4F">
        <w:rPr>
          <w:rFonts w:eastAsia="TimesNewRoman"/>
          <w:sz w:val="22"/>
          <w:szCs w:val="22"/>
          <w:lang w:val="sr-Latn-ME"/>
        </w:rPr>
        <w:t>j</w:t>
      </w:r>
      <w:r w:rsidRPr="00935A4F">
        <w:rPr>
          <w:rFonts w:eastAsia="TimesNewRoman"/>
          <w:sz w:val="22"/>
          <w:szCs w:val="22"/>
          <w:lang w:val="sr-Latn-ME"/>
        </w:rPr>
        <w:t>eti</w:t>
      </w:r>
      <w:r w:rsidR="00EC6635" w:rsidRPr="00245390">
        <w:rPr>
          <w:rFonts w:eastAsia="TimesNewRoman"/>
          <w:sz w:val="22"/>
          <w:szCs w:val="22"/>
          <w:lang w:val="sr-Latn-ME"/>
        </w:rPr>
        <w:t xml:space="preserve"> dio</w:t>
      </w:r>
      <w:r w:rsidRPr="00935A4F">
        <w:rPr>
          <w:rFonts w:eastAsia="TimesNewRoman"/>
          <w:sz w:val="22"/>
          <w:szCs w:val="22"/>
          <w:lang w:val="sr-Latn-ME"/>
        </w:rPr>
        <w:t xml:space="preserve"> 6.6. </w:t>
      </w:r>
    </w:p>
    <w:p w14:paraId="2D26789D" w14:textId="77777777" w:rsidR="00607D96" w:rsidRPr="00245390" w:rsidRDefault="00607D96" w:rsidP="00EE5F09">
      <w:pPr>
        <w:tabs>
          <w:tab w:val="left" w:pos="540"/>
          <w:tab w:val="left" w:pos="569"/>
        </w:tabs>
        <w:jc w:val="both"/>
        <w:rPr>
          <w:bCs/>
          <w:sz w:val="22"/>
          <w:szCs w:val="22"/>
          <w:lang w:val="sr-Latn-ME"/>
        </w:rPr>
      </w:pPr>
    </w:p>
    <w:p w14:paraId="3A07BFB3"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 xml:space="preserve">4.3. </w:t>
      </w:r>
      <w:r w:rsidR="00480FB1" w:rsidRPr="00245390">
        <w:rPr>
          <w:b/>
          <w:bCs/>
          <w:sz w:val="22"/>
          <w:szCs w:val="22"/>
          <w:lang w:val="sr-Latn-ME"/>
        </w:rPr>
        <w:tab/>
      </w:r>
      <w:r w:rsidRPr="00245390">
        <w:rPr>
          <w:b/>
          <w:bCs/>
          <w:sz w:val="22"/>
          <w:szCs w:val="22"/>
          <w:lang w:val="sr-Latn-ME"/>
        </w:rPr>
        <w:t>Kontraindikacije</w:t>
      </w:r>
    </w:p>
    <w:p w14:paraId="565217F5" w14:textId="264BD541" w:rsidR="0072020E" w:rsidRPr="00245390" w:rsidRDefault="0072020E" w:rsidP="00EE5F09">
      <w:pPr>
        <w:tabs>
          <w:tab w:val="left" w:pos="540"/>
          <w:tab w:val="left" w:pos="569"/>
        </w:tabs>
        <w:jc w:val="both"/>
        <w:rPr>
          <w:bCs/>
          <w:sz w:val="22"/>
          <w:szCs w:val="22"/>
          <w:lang w:val="sr-Latn-ME"/>
        </w:rPr>
      </w:pPr>
    </w:p>
    <w:p w14:paraId="41CB16E1" w14:textId="288F303E"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 preosjetljivost na aktivnu supstancu ili na bilo koju od pomoćnih supstanci navedenih u </w:t>
      </w:r>
      <w:r w:rsidR="00EC6635" w:rsidRPr="00245390">
        <w:rPr>
          <w:rFonts w:eastAsia="TimesNewRoman"/>
          <w:sz w:val="22"/>
          <w:szCs w:val="22"/>
          <w:lang w:val="sr-Latn-ME" w:eastAsia="sr-Latn-RS"/>
        </w:rPr>
        <w:t>dijelu</w:t>
      </w:r>
      <w:r w:rsidRPr="00245390">
        <w:rPr>
          <w:rFonts w:eastAsia="TimesNewRoman"/>
          <w:sz w:val="22"/>
          <w:szCs w:val="22"/>
          <w:lang w:val="sr-Latn-ME" w:eastAsia="sr-Latn-RS"/>
        </w:rPr>
        <w:t xml:space="preserve"> 6.1;</w:t>
      </w:r>
    </w:p>
    <w:p w14:paraId="2739865D" w14:textId="05B21A1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 preosjetljivost na </w:t>
      </w:r>
      <w:bookmarkStart w:id="1" w:name="_Hlk69136687"/>
      <w:r w:rsidR="00575C5E" w:rsidRPr="00245390">
        <w:rPr>
          <w:rFonts w:eastAsia="TimesNewRoman"/>
          <w:sz w:val="22"/>
          <w:szCs w:val="22"/>
          <w:lang w:val="sr-Latn-ME" w:eastAsia="sr-Latn-RS"/>
        </w:rPr>
        <w:t xml:space="preserve">bilo koji </w:t>
      </w:r>
      <w:r w:rsidRPr="00245390">
        <w:rPr>
          <w:rFonts w:eastAsia="TimesNewRoman"/>
          <w:sz w:val="22"/>
          <w:szCs w:val="22"/>
          <w:lang w:val="sr-Latn-ME" w:eastAsia="sr-Latn-RS"/>
        </w:rPr>
        <w:t>drug</w:t>
      </w:r>
      <w:r w:rsidR="00575C5E" w:rsidRPr="00245390">
        <w:rPr>
          <w:rFonts w:eastAsia="TimesNewRoman"/>
          <w:sz w:val="22"/>
          <w:szCs w:val="22"/>
          <w:lang w:val="sr-Latn-ME" w:eastAsia="sr-Latn-RS"/>
        </w:rPr>
        <w:t>i</w:t>
      </w:r>
      <w:r w:rsidRPr="00245390">
        <w:rPr>
          <w:rFonts w:eastAsia="TimesNewRoman"/>
          <w:sz w:val="22"/>
          <w:szCs w:val="22"/>
          <w:lang w:val="sr-Latn-ME" w:eastAsia="sr-Latn-RS"/>
        </w:rPr>
        <w:t xml:space="preserve"> karbapanem</w:t>
      </w:r>
      <w:r w:rsidR="00575C5E" w:rsidRPr="00245390">
        <w:rPr>
          <w:rFonts w:eastAsia="TimesNewRoman"/>
          <w:sz w:val="22"/>
          <w:szCs w:val="22"/>
          <w:lang w:val="sr-Latn-ME" w:eastAsia="sr-Latn-RS"/>
        </w:rPr>
        <w:t>ski antibiotik</w:t>
      </w:r>
      <w:bookmarkEnd w:id="1"/>
      <w:r w:rsidRPr="00245390">
        <w:rPr>
          <w:rFonts w:eastAsia="TimesNewRoman"/>
          <w:sz w:val="22"/>
          <w:szCs w:val="22"/>
          <w:lang w:val="sr-Latn-ME" w:eastAsia="sr-Latn-RS"/>
        </w:rPr>
        <w:t>;</w:t>
      </w:r>
    </w:p>
    <w:p w14:paraId="64E46258" w14:textId="707E6BC9" w:rsidR="007D25C1" w:rsidRPr="00245390" w:rsidRDefault="007D25C1">
      <w:pPr>
        <w:autoSpaceDE w:val="0"/>
        <w:autoSpaceDN w:val="0"/>
        <w:adjustRightInd w:val="0"/>
        <w:jc w:val="both"/>
        <w:rPr>
          <w:b/>
          <w:bCs/>
          <w:sz w:val="22"/>
          <w:szCs w:val="22"/>
          <w:lang w:val="sr-Latn-ME"/>
        </w:rPr>
      </w:pPr>
      <w:r w:rsidRPr="00245390">
        <w:rPr>
          <w:rFonts w:eastAsia="TimesNewRoman"/>
          <w:sz w:val="22"/>
          <w:szCs w:val="22"/>
          <w:lang w:val="sr-Latn-ME" w:eastAsia="sr-Latn-RS"/>
        </w:rPr>
        <w:t>-</w:t>
      </w:r>
      <w:r w:rsidR="00EC6635" w:rsidRPr="00245390">
        <w:rPr>
          <w:rFonts w:eastAsia="TimesNewRoman"/>
          <w:sz w:val="22"/>
          <w:szCs w:val="22"/>
          <w:lang w:val="sr-Latn-ME" w:eastAsia="sr-Latn-RS"/>
        </w:rPr>
        <w:t xml:space="preserve"> </w:t>
      </w:r>
      <w:r w:rsidRPr="00245390">
        <w:rPr>
          <w:rFonts w:eastAsia="TimesNewRoman"/>
          <w:sz w:val="22"/>
          <w:szCs w:val="22"/>
          <w:lang w:val="sr-Latn-ME" w:eastAsia="sr-Latn-RS"/>
        </w:rPr>
        <w:t>teške reakcije preosjetljivosti (npr. anafilaktička reakcija, teška kožna reakcija) na druge beta-laktamske antibiotike (npr. peniciline, cefalosporine).</w:t>
      </w:r>
    </w:p>
    <w:p w14:paraId="4640DF80" w14:textId="77777777" w:rsidR="007D25C1" w:rsidRPr="00245390" w:rsidRDefault="007D25C1" w:rsidP="00EE5F09">
      <w:pPr>
        <w:tabs>
          <w:tab w:val="left" w:pos="540"/>
          <w:tab w:val="left" w:pos="569"/>
        </w:tabs>
        <w:jc w:val="both"/>
        <w:rPr>
          <w:bCs/>
          <w:sz w:val="22"/>
          <w:szCs w:val="22"/>
          <w:lang w:val="sr-Latn-ME"/>
        </w:rPr>
      </w:pPr>
    </w:p>
    <w:p w14:paraId="266DFB5B"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 xml:space="preserve">4.4. </w:t>
      </w:r>
      <w:r w:rsidR="00480FB1" w:rsidRPr="00245390">
        <w:rPr>
          <w:b/>
          <w:bCs/>
          <w:sz w:val="22"/>
          <w:szCs w:val="22"/>
          <w:lang w:val="sr-Latn-ME"/>
        </w:rPr>
        <w:tab/>
      </w:r>
      <w:r w:rsidRPr="00245390">
        <w:rPr>
          <w:b/>
          <w:bCs/>
          <w:sz w:val="22"/>
          <w:szCs w:val="22"/>
          <w:lang w:val="sr-Latn-ME"/>
        </w:rPr>
        <w:t>Posebna upozorenja i mjere opreza pri upotrebi lijeka</w:t>
      </w:r>
    </w:p>
    <w:p w14:paraId="6450945E" w14:textId="77777777" w:rsidR="0072020E" w:rsidRPr="00245390" w:rsidRDefault="0072020E" w:rsidP="00EE5F09">
      <w:pPr>
        <w:tabs>
          <w:tab w:val="left" w:pos="540"/>
          <w:tab w:val="left" w:pos="569"/>
        </w:tabs>
        <w:jc w:val="both"/>
        <w:rPr>
          <w:bCs/>
          <w:sz w:val="22"/>
          <w:szCs w:val="22"/>
          <w:lang w:val="sr-Latn-ME"/>
        </w:rPr>
      </w:pPr>
    </w:p>
    <w:p w14:paraId="0FF63604" w14:textId="2E7C564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Prilikom izbora meropenema u terapiji svakog pojedinačnog pacijenta treba uzeti u obzir </w:t>
      </w:r>
      <w:r w:rsidR="00EC6635" w:rsidRPr="00245390">
        <w:rPr>
          <w:rFonts w:eastAsia="TimesNewRoman"/>
          <w:sz w:val="22"/>
          <w:szCs w:val="22"/>
          <w:lang w:val="sr-Latn-ME" w:eastAsia="sr-Latn-RS"/>
        </w:rPr>
        <w:t>adekvatnosti</w:t>
      </w:r>
      <w:r w:rsidRPr="00245390">
        <w:rPr>
          <w:rFonts w:eastAsia="TimesNewRoman"/>
          <w:sz w:val="22"/>
          <w:szCs w:val="22"/>
          <w:lang w:val="sr-Latn-ME" w:eastAsia="sr-Latn-RS"/>
        </w:rPr>
        <w:t xml:space="preserve"> prim</w:t>
      </w:r>
      <w:r w:rsidR="005E7218" w:rsidRPr="00245390">
        <w:rPr>
          <w:rFonts w:eastAsia="TimesNewRoman"/>
          <w:sz w:val="22"/>
          <w:szCs w:val="22"/>
          <w:lang w:val="sr-Latn-ME" w:eastAsia="sr-Latn-RS"/>
        </w:rPr>
        <w:t>j</w:t>
      </w:r>
      <w:r w:rsidRPr="00245390">
        <w:rPr>
          <w:rFonts w:eastAsia="TimesNewRoman"/>
          <w:sz w:val="22"/>
          <w:szCs w:val="22"/>
          <w:lang w:val="sr-Latn-ME" w:eastAsia="sr-Latn-RS"/>
        </w:rPr>
        <w:t>ene karbapenem</w:t>
      </w:r>
      <w:r w:rsidR="00575C5E" w:rsidRPr="00245390">
        <w:rPr>
          <w:rFonts w:eastAsia="TimesNewRoman"/>
          <w:sz w:val="22"/>
          <w:szCs w:val="22"/>
          <w:lang w:val="sr-Latn-ME" w:eastAsia="sr-Latn-RS"/>
        </w:rPr>
        <w:t>skog antibiotika</w:t>
      </w:r>
      <w:r w:rsidRPr="00245390">
        <w:rPr>
          <w:rFonts w:eastAsia="TimesNewRoman"/>
          <w:sz w:val="22"/>
          <w:szCs w:val="22"/>
          <w:lang w:val="sr-Latn-ME" w:eastAsia="sr-Latn-RS"/>
        </w:rPr>
        <w:t xml:space="preserve"> u zavisnosti od težine infekcije, mogućnosti pojave rezistencije na druge odgovarajuće antibiotike i rizika pogrešnog izbora za liječenje infekcije izazvane karbapenem-rezistentnom bakterijom.</w:t>
      </w:r>
    </w:p>
    <w:p w14:paraId="7382F604" w14:textId="77777777" w:rsidR="007D25C1" w:rsidRPr="00245390" w:rsidRDefault="007D25C1">
      <w:pPr>
        <w:autoSpaceDE w:val="0"/>
        <w:autoSpaceDN w:val="0"/>
        <w:adjustRightInd w:val="0"/>
        <w:jc w:val="both"/>
        <w:rPr>
          <w:rFonts w:eastAsia="TimesNewRoman"/>
          <w:i/>
          <w:iCs/>
          <w:sz w:val="22"/>
          <w:szCs w:val="22"/>
          <w:u w:val="single"/>
          <w:lang w:val="sr-Latn-ME"/>
        </w:rPr>
      </w:pPr>
      <w:bookmarkStart w:id="2" w:name="_Hlk11154837"/>
    </w:p>
    <w:p w14:paraId="0224EAFF" w14:textId="77777777" w:rsidR="007D25C1" w:rsidRPr="00245390" w:rsidRDefault="007D25C1">
      <w:pPr>
        <w:autoSpaceDE w:val="0"/>
        <w:autoSpaceDN w:val="0"/>
        <w:adjustRightInd w:val="0"/>
        <w:jc w:val="both"/>
        <w:rPr>
          <w:rFonts w:eastAsia="TimesNewRoman"/>
          <w:sz w:val="22"/>
          <w:szCs w:val="22"/>
          <w:u w:val="single"/>
          <w:lang w:val="sr-Latn-ME"/>
        </w:rPr>
      </w:pPr>
      <w:r w:rsidRPr="00245390">
        <w:rPr>
          <w:rFonts w:eastAsia="TimesNewRoman"/>
          <w:sz w:val="22"/>
          <w:szCs w:val="22"/>
          <w:u w:val="single"/>
          <w:lang w:val="sr-Latn-ME"/>
        </w:rPr>
        <w:t>Rezistencija sojeva</w:t>
      </w:r>
      <w:r w:rsidRPr="00245390">
        <w:rPr>
          <w:rFonts w:eastAsia="TimesNewRoman"/>
          <w:i/>
          <w:iCs/>
          <w:sz w:val="22"/>
          <w:szCs w:val="22"/>
          <w:u w:val="single"/>
          <w:lang w:val="sr-Latn-ME"/>
        </w:rPr>
        <w:t xml:space="preserve"> </w:t>
      </w:r>
      <w:bookmarkEnd w:id="2"/>
      <w:r w:rsidRPr="00245390">
        <w:rPr>
          <w:rFonts w:eastAsia="TimesNewRoman"/>
          <w:i/>
          <w:iCs/>
          <w:sz w:val="22"/>
          <w:szCs w:val="22"/>
          <w:u w:val="single"/>
          <w:lang w:val="sr-Latn-ME"/>
        </w:rPr>
        <w:t xml:space="preserve">Enterobacteriaceae, Pseudomonas aeruginosa, Acinetobacter </w:t>
      </w:r>
      <w:r w:rsidRPr="00245390">
        <w:rPr>
          <w:rFonts w:eastAsia="TimesNewRoman"/>
          <w:sz w:val="22"/>
          <w:szCs w:val="22"/>
          <w:u w:val="single"/>
          <w:lang w:val="sr-Latn-ME"/>
        </w:rPr>
        <w:t>spp.</w:t>
      </w:r>
    </w:p>
    <w:p w14:paraId="5D57EFB5" w14:textId="77777777" w:rsidR="007D25C1" w:rsidRPr="00245390" w:rsidRDefault="007D25C1">
      <w:pPr>
        <w:autoSpaceDE w:val="0"/>
        <w:autoSpaceDN w:val="0"/>
        <w:adjustRightInd w:val="0"/>
        <w:jc w:val="both"/>
        <w:rPr>
          <w:rFonts w:eastAsia="TimesNewRoman"/>
          <w:sz w:val="22"/>
          <w:szCs w:val="22"/>
          <w:lang w:val="sr-Latn-ME" w:eastAsia="sr-Latn-RS"/>
        </w:rPr>
      </w:pPr>
    </w:p>
    <w:p w14:paraId="1193E001"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Rezistencija sojeva </w:t>
      </w:r>
      <w:r w:rsidRPr="00245390">
        <w:rPr>
          <w:rFonts w:eastAsia="TimesNewRoman"/>
          <w:i/>
          <w:iCs/>
          <w:sz w:val="22"/>
          <w:szCs w:val="22"/>
          <w:lang w:val="sr-Latn-ME" w:eastAsia="sr-Latn-RS"/>
        </w:rPr>
        <w:t xml:space="preserve">Enterobacteriaceae, Pseudomonas aeruginosa, Acinetobacter </w:t>
      </w:r>
      <w:r w:rsidRPr="00245390">
        <w:rPr>
          <w:rFonts w:eastAsia="TimesNewRoman"/>
          <w:sz w:val="22"/>
          <w:szCs w:val="22"/>
          <w:lang w:val="sr-Latn-ME" w:eastAsia="sr-Latn-RS"/>
        </w:rPr>
        <w:t>spp. na antibiotike sa penemskom strukturom varira širom Evropske Unije. Ljekarima koji propisuju lijek savjetuje se da uzmu u obzir lokalnu prevalencu rezistencije navedenih bakterija na antibiotike sa penemskom strukturom.</w:t>
      </w:r>
    </w:p>
    <w:p w14:paraId="71054A65" w14:textId="77777777" w:rsidR="007D25C1" w:rsidRPr="00245390" w:rsidRDefault="007D25C1">
      <w:pPr>
        <w:autoSpaceDE w:val="0"/>
        <w:autoSpaceDN w:val="0"/>
        <w:adjustRightInd w:val="0"/>
        <w:jc w:val="both"/>
        <w:rPr>
          <w:rFonts w:eastAsia="TimesNewRoman"/>
          <w:sz w:val="22"/>
          <w:szCs w:val="22"/>
          <w:lang w:val="sr-Latn-ME" w:eastAsia="sr-Latn-RS"/>
        </w:rPr>
      </w:pPr>
    </w:p>
    <w:p w14:paraId="73040232" w14:textId="37D633C7" w:rsidR="007D25C1" w:rsidRPr="00245390" w:rsidRDefault="007D25C1">
      <w:pPr>
        <w:autoSpaceDE w:val="0"/>
        <w:autoSpaceDN w:val="0"/>
        <w:adjustRightInd w:val="0"/>
        <w:jc w:val="both"/>
        <w:rPr>
          <w:rFonts w:eastAsia="TimesNewRoman"/>
          <w:iCs/>
          <w:sz w:val="22"/>
          <w:szCs w:val="22"/>
          <w:u w:val="single"/>
          <w:lang w:val="sr-Latn-ME"/>
        </w:rPr>
      </w:pPr>
      <w:r w:rsidRPr="00245390">
        <w:rPr>
          <w:rFonts w:eastAsia="TimesNewRoman"/>
          <w:iCs/>
          <w:sz w:val="22"/>
          <w:szCs w:val="22"/>
          <w:u w:val="single"/>
          <w:lang w:val="sr-Latn-ME"/>
        </w:rPr>
        <w:t>Reakcije preos</w:t>
      </w:r>
      <w:r w:rsidR="005E7218" w:rsidRPr="00245390">
        <w:rPr>
          <w:rFonts w:eastAsia="TimesNewRoman"/>
          <w:iCs/>
          <w:sz w:val="22"/>
          <w:szCs w:val="22"/>
          <w:u w:val="single"/>
          <w:lang w:val="sr-Latn-ME"/>
        </w:rPr>
        <w:t>j</w:t>
      </w:r>
      <w:r w:rsidRPr="00245390">
        <w:rPr>
          <w:rFonts w:eastAsia="TimesNewRoman"/>
          <w:iCs/>
          <w:sz w:val="22"/>
          <w:szCs w:val="22"/>
          <w:u w:val="single"/>
          <w:lang w:val="sr-Latn-ME"/>
        </w:rPr>
        <w:t>etljivosti</w:t>
      </w:r>
    </w:p>
    <w:p w14:paraId="7BD51B97" w14:textId="77777777" w:rsidR="007D25C1" w:rsidRPr="00245390" w:rsidRDefault="007D25C1">
      <w:pPr>
        <w:autoSpaceDE w:val="0"/>
        <w:autoSpaceDN w:val="0"/>
        <w:adjustRightInd w:val="0"/>
        <w:jc w:val="both"/>
        <w:rPr>
          <w:rFonts w:eastAsia="TimesNewRoman"/>
          <w:sz w:val="22"/>
          <w:szCs w:val="22"/>
          <w:lang w:val="sr-Latn-ME" w:eastAsia="sr-Latn-RS"/>
        </w:rPr>
      </w:pPr>
    </w:p>
    <w:p w14:paraId="3990718F" w14:textId="61E212EA"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Kao i kod primjene drugih beta-laktamskih antibiotika, prijavljena je pojava ozbiljne i ponekad fatalne reakcije preosjetljivosti (vidjeti </w:t>
      </w:r>
      <w:r w:rsidR="00EC6635" w:rsidRPr="00245390">
        <w:rPr>
          <w:rFonts w:eastAsia="TimesNewRoman"/>
          <w:sz w:val="22"/>
          <w:szCs w:val="22"/>
          <w:lang w:val="sr-Latn-ME" w:eastAsia="sr-Latn-RS"/>
        </w:rPr>
        <w:t>djelove</w:t>
      </w:r>
      <w:r w:rsidRPr="00245390">
        <w:rPr>
          <w:rFonts w:eastAsia="TimesNewRoman"/>
          <w:sz w:val="22"/>
          <w:szCs w:val="22"/>
          <w:lang w:val="sr-Latn-ME" w:eastAsia="sr-Latn-RS"/>
        </w:rPr>
        <w:t xml:space="preserve"> 4.3 i 4.8).</w:t>
      </w:r>
    </w:p>
    <w:p w14:paraId="75613E9B" w14:textId="77777777" w:rsidR="007D25C1" w:rsidRPr="00245390" w:rsidRDefault="007D25C1">
      <w:pPr>
        <w:autoSpaceDE w:val="0"/>
        <w:autoSpaceDN w:val="0"/>
        <w:adjustRightInd w:val="0"/>
        <w:jc w:val="both"/>
        <w:rPr>
          <w:rFonts w:eastAsia="TimesNewRoman"/>
          <w:sz w:val="22"/>
          <w:szCs w:val="22"/>
          <w:lang w:val="sr-Latn-ME" w:eastAsia="sr-Latn-RS"/>
        </w:rPr>
      </w:pPr>
    </w:p>
    <w:p w14:paraId="2EABC156" w14:textId="4ADA59FD"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Pacijenti koji su imali reakcije preosjetljivosti na karbapeneme, peniciline ili ostale beta-laktamske antibiotike mogu biti preosjetljivi i na meropenem. Prije započinjanja terapije meropenemom, neophodno je pažljivo ispitati ranije pojave reakcija </w:t>
      </w:r>
      <w:r w:rsidR="005E7218" w:rsidRPr="00245390">
        <w:rPr>
          <w:rFonts w:eastAsia="TimesNewRoman"/>
          <w:sz w:val="22"/>
          <w:szCs w:val="22"/>
          <w:lang w:val="sr-Latn-ME" w:eastAsia="sr-Latn-RS"/>
        </w:rPr>
        <w:t>preosjetljivosti</w:t>
      </w:r>
      <w:r w:rsidRPr="00245390">
        <w:rPr>
          <w:rFonts w:eastAsia="TimesNewRoman"/>
          <w:sz w:val="22"/>
          <w:szCs w:val="22"/>
          <w:lang w:val="sr-Latn-ME" w:eastAsia="sr-Latn-RS"/>
        </w:rPr>
        <w:t xml:space="preserve"> na beta-laktamske antibiotike.</w:t>
      </w:r>
    </w:p>
    <w:p w14:paraId="0E24D1FE" w14:textId="77777777" w:rsidR="007D25C1" w:rsidRPr="00245390" w:rsidRDefault="007D25C1">
      <w:pPr>
        <w:autoSpaceDE w:val="0"/>
        <w:autoSpaceDN w:val="0"/>
        <w:adjustRightInd w:val="0"/>
        <w:jc w:val="both"/>
        <w:rPr>
          <w:rFonts w:eastAsia="TimesNewRoman"/>
          <w:sz w:val="22"/>
          <w:szCs w:val="22"/>
          <w:lang w:val="sr-Latn-ME" w:eastAsia="sr-Latn-RS"/>
        </w:rPr>
      </w:pPr>
    </w:p>
    <w:p w14:paraId="43803FD0" w14:textId="77777777" w:rsidR="00607D96"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Ukoliko dođe do pojave teškog oblika alergijske reakcije, potrebno je prekinuti sa primjenom lijeka i preduzeti odgovarajuće mjere. </w:t>
      </w:r>
    </w:p>
    <w:p w14:paraId="314911E3" w14:textId="77777777" w:rsidR="00607D96" w:rsidRPr="00245390" w:rsidRDefault="00607D96">
      <w:pPr>
        <w:autoSpaceDE w:val="0"/>
        <w:autoSpaceDN w:val="0"/>
        <w:adjustRightInd w:val="0"/>
        <w:jc w:val="both"/>
        <w:rPr>
          <w:rFonts w:eastAsia="TimesNewRoman"/>
          <w:sz w:val="22"/>
          <w:szCs w:val="22"/>
          <w:lang w:val="sr-Latn-ME" w:eastAsia="sr-Latn-RS"/>
        </w:rPr>
      </w:pPr>
    </w:p>
    <w:p w14:paraId="3598B745" w14:textId="46CAE817" w:rsidR="007D25C1"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Teške kožne neželjene reakcije (engl. </w:t>
      </w:r>
      <w:r w:rsidRPr="00245390">
        <w:rPr>
          <w:rFonts w:eastAsia="TimesNewRoman"/>
          <w:i/>
          <w:iCs/>
          <w:sz w:val="22"/>
          <w:szCs w:val="22"/>
          <w:lang w:val="sr-Latn-ME"/>
        </w:rPr>
        <w:t>Severe Cutaneous Adverse Reactions</w:t>
      </w:r>
      <w:r w:rsidRPr="00245390">
        <w:rPr>
          <w:rFonts w:eastAsia="TimesNewRoman"/>
          <w:sz w:val="22"/>
          <w:szCs w:val="22"/>
          <w:lang w:val="sr-Latn-ME"/>
        </w:rPr>
        <w:t xml:space="preserve">, SCAR), kao što su </w:t>
      </w:r>
      <w:r w:rsidRPr="00245390">
        <w:rPr>
          <w:rFonts w:eastAsia="TimesNewRoman"/>
          <w:i/>
          <w:iCs/>
          <w:sz w:val="22"/>
          <w:szCs w:val="22"/>
          <w:lang w:val="sr-Latn-ME"/>
        </w:rPr>
        <w:t>Stevens-Johnson</w:t>
      </w:r>
      <w:r w:rsidRPr="00245390">
        <w:rPr>
          <w:rFonts w:eastAsia="TimesNewRoman"/>
          <w:sz w:val="22"/>
          <w:szCs w:val="22"/>
          <w:lang w:val="sr-Latn-ME"/>
        </w:rPr>
        <w:t>-ov sindrom (SJS), toksična epidermalna nekroliza (TEN), reakcija na l</w:t>
      </w:r>
      <w:r w:rsidR="005E7218" w:rsidRPr="00245390">
        <w:rPr>
          <w:rFonts w:eastAsia="TimesNewRoman"/>
          <w:sz w:val="22"/>
          <w:szCs w:val="22"/>
          <w:lang w:val="sr-Latn-ME"/>
        </w:rPr>
        <w:t>ij</w:t>
      </w:r>
      <w:r w:rsidRPr="00245390">
        <w:rPr>
          <w:rFonts w:eastAsia="TimesNewRoman"/>
          <w:sz w:val="22"/>
          <w:szCs w:val="22"/>
          <w:lang w:val="sr-Latn-ME"/>
        </w:rPr>
        <w:t>ek sa eozinofilijom i sistem</w:t>
      </w:r>
      <w:r w:rsidR="00575C5E" w:rsidRPr="00245390">
        <w:rPr>
          <w:rFonts w:eastAsia="TimesNewRoman"/>
          <w:sz w:val="22"/>
          <w:szCs w:val="22"/>
          <w:lang w:val="sr-Latn-ME"/>
        </w:rPr>
        <w:t>s</w:t>
      </w:r>
      <w:r w:rsidRPr="00245390">
        <w:rPr>
          <w:rFonts w:eastAsia="TimesNewRoman"/>
          <w:sz w:val="22"/>
          <w:szCs w:val="22"/>
          <w:lang w:val="sr-Latn-ME"/>
        </w:rPr>
        <w:t xml:space="preserve">kim simptomima (engl. </w:t>
      </w:r>
      <w:r w:rsidRPr="00245390">
        <w:rPr>
          <w:rFonts w:eastAsia="TimesNewRoman"/>
          <w:i/>
          <w:iCs/>
          <w:sz w:val="22"/>
          <w:szCs w:val="22"/>
          <w:lang w:val="sr-Latn-ME"/>
        </w:rPr>
        <w:t>Drug Reaction with Eosinophilia and Systemic Symptoms</w:t>
      </w:r>
      <w:r w:rsidRPr="00245390">
        <w:rPr>
          <w:rFonts w:eastAsia="TimesNewRoman"/>
          <w:sz w:val="22"/>
          <w:szCs w:val="22"/>
          <w:lang w:val="sr-Latn-ME"/>
        </w:rPr>
        <w:t xml:space="preserve">, DRESS), </w:t>
      </w:r>
      <w:r w:rsidRPr="00245390">
        <w:rPr>
          <w:rFonts w:eastAsia="TimesNewRoman"/>
          <w:i/>
          <w:iCs/>
          <w:sz w:val="22"/>
          <w:szCs w:val="22"/>
          <w:lang w:val="sr-Latn-ME"/>
        </w:rPr>
        <w:t>erythema multiforme</w:t>
      </w:r>
      <w:r w:rsidRPr="00245390">
        <w:rPr>
          <w:rFonts w:eastAsia="TimesNewRoman"/>
          <w:sz w:val="22"/>
          <w:szCs w:val="22"/>
          <w:lang w:val="sr-Latn-ME"/>
        </w:rPr>
        <w:t xml:space="preserve"> (EM) i akutna generalizovana egzantematozna pustuloza (AGEP) prijavljene su kod pacijenata koji su primali meropenem (vid</w:t>
      </w:r>
      <w:r w:rsidR="00607D96" w:rsidRPr="00245390">
        <w:rPr>
          <w:rFonts w:eastAsia="TimesNewRoman"/>
          <w:sz w:val="22"/>
          <w:szCs w:val="22"/>
          <w:lang w:val="sr-Latn-ME"/>
        </w:rPr>
        <w:t>j</w:t>
      </w:r>
      <w:r w:rsidRPr="00245390">
        <w:rPr>
          <w:rFonts w:eastAsia="TimesNewRoman"/>
          <w:sz w:val="22"/>
          <w:szCs w:val="22"/>
          <w:lang w:val="sr-Latn-ME"/>
        </w:rPr>
        <w:t xml:space="preserve">eti </w:t>
      </w:r>
      <w:r w:rsidR="00513009" w:rsidRPr="00245390">
        <w:rPr>
          <w:rFonts w:eastAsia="TimesNewRoman"/>
          <w:sz w:val="22"/>
          <w:szCs w:val="22"/>
          <w:lang w:val="sr-Latn-ME"/>
        </w:rPr>
        <w:t>dio</w:t>
      </w:r>
      <w:r w:rsidRPr="00245390">
        <w:rPr>
          <w:rFonts w:eastAsia="TimesNewRoman"/>
          <w:sz w:val="22"/>
          <w:szCs w:val="22"/>
          <w:lang w:val="sr-Latn-ME"/>
        </w:rPr>
        <w:t xml:space="preserve"> 4.8). Ukoliko se pojave znaci i simptomi koji ukazuju na te reakcije, prim</w:t>
      </w:r>
      <w:r w:rsidR="00607D96" w:rsidRPr="00245390">
        <w:rPr>
          <w:rFonts w:eastAsia="TimesNewRoman"/>
          <w:sz w:val="22"/>
          <w:szCs w:val="22"/>
          <w:lang w:val="sr-Latn-ME"/>
        </w:rPr>
        <w:t>j</w:t>
      </w:r>
      <w:r w:rsidRPr="00245390">
        <w:rPr>
          <w:rFonts w:eastAsia="TimesNewRoman"/>
          <w:sz w:val="22"/>
          <w:szCs w:val="22"/>
          <w:lang w:val="sr-Latn-ME"/>
        </w:rPr>
        <w:t xml:space="preserve">ena meropenema se mora odmah obustaviti i treba razmotriti </w:t>
      </w:r>
      <w:r w:rsidR="00607D96" w:rsidRPr="00245390">
        <w:rPr>
          <w:rFonts w:eastAsia="TimesNewRoman"/>
          <w:sz w:val="22"/>
          <w:szCs w:val="22"/>
          <w:lang w:val="sr-Latn-ME"/>
        </w:rPr>
        <w:t>primjenu druge terapijske opcije</w:t>
      </w:r>
      <w:r w:rsidRPr="00245390">
        <w:rPr>
          <w:rFonts w:eastAsia="TimesNewRoman"/>
          <w:sz w:val="22"/>
          <w:szCs w:val="22"/>
          <w:lang w:val="sr-Latn-ME"/>
        </w:rPr>
        <w:t>.</w:t>
      </w:r>
    </w:p>
    <w:p w14:paraId="1F235276" w14:textId="77777777" w:rsidR="00086E08" w:rsidRDefault="00086E08">
      <w:pPr>
        <w:autoSpaceDE w:val="0"/>
        <w:autoSpaceDN w:val="0"/>
        <w:adjustRightInd w:val="0"/>
        <w:jc w:val="both"/>
        <w:rPr>
          <w:rFonts w:eastAsia="TimesNewRoman"/>
          <w:sz w:val="22"/>
          <w:szCs w:val="22"/>
          <w:lang w:val="sr-Latn-ME"/>
        </w:rPr>
      </w:pPr>
    </w:p>
    <w:p w14:paraId="232C89F3" w14:textId="192E3ABC" w:rsidR="00086E08" w:rsidRPr="00E23206" w:rsidRDefault="00084D58">
      <w:pPr>
        <w:autoSpaceDE w:val="0"/>
        <w:autoSpaceDN w:val="0"/>
        <w:adjustRightInd w:val="0"/>
        <w:jc w:val="both"/>
        <w:rPr>
          <w:rFonts w:eastAsia="TimesNewRoman"/>
          <w:sz w:val="22"/>
          <w:szCs w:val="22"/>
          <w:lang w:val="sr-Latn-RS"/>
        </w:rPr>
      </w:pPr>
      <w:r>
        <w:rPr>
          <w:rFonts w:eastAsia="TimesNewRoman"/>
          <w:sz w:val="22"/>
          <w:szCs w:val="22"/>
          <w:lang w:val="sr-Latn-ME"/>
        </w:rPr>
        <w:t>Kod prim</w:t>
      </w:r>
      <w:r w:rsidR="00244F30">
        <w:rPr>
          <w:rFonts w:eastAsia="TimesNewRoman"/>
          <w:sz w:val="22"/>
          <w:szCs w:val="22"/>
          <w:lang w:val="sr-Latn-ME"/>
        </w:rPr>
        <w:t>j</w:t>
      </w:r>
      <w:r>
        <w:rPr>
          <w:rFonts w:eastAsia="TimesNewRoman"/>
          <w:sz w:val="22"/>
          <w:szCs w:val="22"/>
          <w:lang w:val="sr-Latn-ME"/>
        </w:rPr>
        <w:t xml:space="preserve">ene </w:t>
      </w:r>
      <w:r w:rsidR="001503D4">
        <w:rPr>
          <w:rFonts w:eastAsia="TimesNewRoman"/>
          <w:sz w:val="22"/>
          <w:szCs w:val="22"/>
          <w:lang w:val="sr-Latn-ME"/>
        </w:rPr>
        <w:t>drugih beta-laktamskih antibiotika prijavljen</w:t>
      </w:r>
      <w:r w:rsidR="008D4723">
        <w:rPr>
          <w:rFonts w:eastAsia="TimesNewRoman"/>
          <w:sz w:val="22"/>
          <w:szCs w:val="22"/>
          <w:lang w:val="sr-Latn-ME"/>
        </w:rPr>
        <w:t xml:space="preserve">a je pojava </w:t>
      </w:r>
      <w:r w:rsidR="00644A82">
        <w:rPr>
          <w:rFonts w:eastAsia="TimesNewRoman"/>
          <w:sz w:val="22"/>
          <w:szCs w:val="22"/>
          <w:lang w:val="sr-Latn-ME"/>
        </w:rPr>
        <w:t>reakcij</w:t>
      </w:r>
      <w:r w:rsidR="003C61A4">
        <w:rPr>
          <w:rFonts w:eastAsia="TimesNewRoman"/>
          <w:sz w:val="22"/>
          <w:szCs w:val="22"/>
          <w:lang w:val="sr-Latn-ME"/>
        </w:rPr>
        <w:t xml:space="preserve">a </w:t>
      </w:r>
      <w:r w:rsidR="00644A82">
        <w:rPr>
          <w:rFonts w:eastAsia="TimesNewRoman"/>
          <w:sz w:val="22"/>
          <w:szCs w:val="22"/>
          <w:lang w:val="sr-Latn-ME"/>
        </w:rPr>
        <w:t>preos</w:t>
      </w:r>
      <w:r w:rsidR="00244F30">
        <w:rPr>
          <w:rFonts w:eastAsia="TimesNewRoman"/>
          <w:sz w:val="22"/>
          <w:szCs w:val="22"/>
          <w:lang w:val="sr-Latn-ME"/>
        </w:rPr>
        <w:t>j</w:t>
      </w:r>
      <w:r w:rsidR="00644A82">
        <w:rPr>
          <w:rFonts w:eastAsia="TimesNewRoman"/>
          <w:sz w:val="22"/>
          <w:szCs w:val="22"/>
          <w:lang w:val="sr-Latn-ME"/>
        </w:rPr>
        <w:t xml:space="preserve">etljivosti koja </w:t>
      </w:r>
      <w:r w:rsidR="0078266D">
        <w:rPr>
          <w:rFonts w:eastAsia="TimesNewRoman"/>
          <w:sz w:val="22"/>
          <w:szCs w:val="22"/>
          <w:lang w:val="sr-Latn-ME"/>
        </w:rPr>
        <w:t>mo</w:t>
      </w:r>
      <w:r w:rsidR="0078266D">
        <w:rPr>
          <w:rFonts w:eastAsia="TimesNewRoman"/>
          <w:sz w:val="22"/>
          <w:szCs w:val="22"/>
          <w:lang w:val="sr-Latn-RS"/>
        </w:rPr>
        <w:t>že dovesti do Kunisovog sindroma</w:t>
      </w:r>
      <w:r w:rsidR="00A60E15">
        <w:rPr>
          <w:rFonts w:eastAsia="TimesNewRoman"/>
          <w:sz w:val="22"/>
          <w:szCs w:val="22"/>
          <w:lang w:val="sr-Latn-ME"/>
        </w:rPr>
        <w:t xml:space="preserve"> (akutni alergijski koronarni arteriospazam </w:t>
      </w:r>
      <w:r w:rsidR="009F0F24">
        <w:rPr>
          <w:rFonts w:eastAsia="TimesNewRoman"/>
          <w:sz w:val="22"/>
          <w:szCs w:val="22"/>
          <w:lang w:val="sr-Latn-ME"/>
        </w:rPr>
        <w:t>koji mo</w:t>
      </w:r>
      <w:r w:rsidR="009F0F24">
        <w:rPr>
          <w:rFonts w:eastAsia="TimesNewRoman"/>
          <w:sz w:val="22"/>
          <w:szCs w:val="22"/>
          <w:lang w:val="sr-Latn-RS"/>
        </w:rPr>
        <w:t>že rezultirati infarktom miokarda, vidjeti dio 4.8)</w:t>
      </w:r>
      <w:r w:rsidR="00086E08">
        <w:rPr>
          <w:rFonts w:eastAsia="TimesNewRoman"/>
          <w:sz w:val="22"/>
          <w:szCs w:val="22"/>
          <w:lang w:val="sr-Latn-RS"/>
        </w:rPr>
        <w:t>.</w:t>
      </w:r>
    </w:p>
    <w:p w14:paraId="3EBB9C2C" w14:textId="77777777" w:rsidR="007D25C1" w:rsidRPr="00245390" w:rsidRDefault="007D25C1">
      <w:pPr>
        <w:autoSpaceDE w:val="0"/>
        <w:autoSpaceDN w:val="0"/>
        <w:adjustRightInd w:val="0"/>
        <w:jc w:val="both"/>
        <w:rPr>
          <w:rFonts w:eastAsia="TimesNewRoman"/>
          <w:sz w:val="22"/>
          <w:szCs w:val="22"/>
          <w:lang w:val="sr-Latn-ME" w:eastAsia="sr-Latn-RS"/>
        </w:rPr>
      </w:pPr>
    </w:p>
    <w:p w14:paraId="3E63101D" w14:textId="05E909E8" w:rsidR="007D25C1" w:rsidRPr="00245390" w:rsidRDefault="007D25C1">
      <w:pPr>
        <w:autoSpaceDE w:val="0"/>
        <w:autoSpaceDN w:val="0"/>
        <w:adjustRightInd w:val="0"/>
        <w:jc w:val="both"/>
        <w:rPr>
          <w:rFonts w:eastAsia="TimesNewRoman"/>
          <w:iCs/>
          <w:sz w:val="22"/>
          <w:szCs w:val="22"/>
          <w:u w:val="single"/>
          <w:lang w:val="sr-Latn-ME"/>
        </w:rPr>
      </w:pPr>
      <w:r w:rsidRPr="00245390">
        <w:rPr>
          <w:rFonts w:eastAsia="TimesNewRoman"/>
          <w:iCs/>
          <w:sz w:val="22"/>
          <w:szCs w:val="22"/>
          <w:u w:val="single"/>
          <w:lang w:val="sr-Latn-ME"/>
        </w:rPr>
        <w:t xml:space="preserve">Kolitis </w:t>
      </w:r>
      <w:r w:rsidR="00607D96" w:rsidRPr="00245390">
        <w:rPr>
          <w:rFonts w:eastAsia="TimesNewRoman"/>
          <w:iCs/>
          <w:sz w:val="22"/>
          <w:szCs w:val="22"/>
          <w:u w:val="single"/>
          <w:lang w:val="sr-Latn-ME"/>
        </w:rPr>
        <w:t>povezan sa upotrebom</w:t>
      </w:r>
      <w:r w:rsidRPr="00245390">
        <w:rPr>
          <w:rFonts w:eastAsia="TimesNewRoman"/>
          <w:iCs/>
          <w:sz w:val="22"/>
          <w:szCs w:val="22"/>
          <w:u w:val="single"/>
          <w:lang w:val="sr-Latn-ME"/>
        </w:rPr>
        <w:t xml:space="preserve"> antibioti</w:t>
      </w:r>
      <w:r w:rsidR="00607D96" w:rsidRPr="00245390">
        <w:rPr>
          <w:rFonts w:eastAsia="TimesNewRoman"/>
          <w:iCs/>
          <w:sz w:val="22"/>
          <w:szCs w:val="22"/>
          <w:u w:val="single"/>
          <w:lang w:val="sr-Latn-ME"/>
        </w:rPr>
        <w:t>ka</w:t>
      </w:r>
    </w:p>
    <w:p w14:paraId="796DF0FD" w14:textId="77777777" w:rsidR="007D25C1" w:rsidRPr="00245390" w:rsidRDefault="007D25C1">
      <w:pPr>
        <w:autoSpaceDE w:val="0"/>
        <w:autoSpaceDN w:val="0"/>
        <w:adjustRightInd w:val="0"/>
        <w:jc w:val="both"/>
        <w:rPr>
          <w:rFonts w:eastAsia="TimesNewRoman"/>
          <w:sz w:val="22"/>
          <w:szCs w:val="22"/>
          <w:lang w:val="sr-Latn-ME" w:eastAsia="sr-Latn-RS"/>
        </w:rPr>
      </w:pPr>
    </w:p>
    <w:p w14:paraId="09C30C8E" w14:textId="645C532D"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Prijavljeni su kolitis povezan sa upotrebom antibiotika i pseudomembranozni kolitis prilikom upotrebe skoro svakog antibiotika, uključujući i meropenem, a mogu se rangirati po ozbiljnosti od blage forme do životnougrožavajuće. Stoga je važno uzeti u obzir</w:t>
      </w:r>
      <w:r w:rsidR="00932427" w:rsidRPr="00245390">
        <w:rPr>
          <w:rFonts w:eastAsia="TimesNewRoman"/>
          <w:sz w:val="22"/>
          <w:szCs w:val="22"/>
          <w:lang w:val="sr-Latn-ME" w:eastAsia="sr-Latn-RS"/>
        </w:rPr>
        <w:t xml:space="preserve"> ovu</w:t>
      </w:r>
      <w:r w:rsidRPr="00245390">
        <w:rPr>
          <w:rFonts w:eastAsia="TimesNewRoman"/>
          <w:sz w:val="22"/>
          <w:szCs w:val="22"/>
          <w:lang w:val="sr-Latn-ME" w:eastAsia="sr-Latn-RS"/>
        </w:rPr>
        <w:t xml:space="preserve"> dijagnozu u slučaju pojave dijareje tokom ili nakon primjene meropenema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4.8). Treba razmotriti prekid terapije meropenemom i primjenu specifične terapije za </w:t>
      </w:r>
      <w:r w:rsidRPr="00245390">
        <w:rPr>
          <w:rFonts w:eastAsia="TimesNewRoman"/>
          <w:i/>
          <w:iCs/>
          <w:sz w:val="22"/>
          <w:szCs w:val="22"/>
          <w:lang w:val="sr-Latn-ME" w:eastAsia="sr-Latn-RS"/>
        </w:rPr>
        <w:t>Clostridium difficile</w:t>
      </w:r>
      <w:r w:rsidRPr="00245390">
        <w:rPr>
          <w:rFonts w:eastAsia="TimesNewRoman"/>
          <w:sz w:val="22"/>
          <w:szCs w:val="22"/>
          <w:lang w:val="sr-Latn-ME" w:eastAsia="sr-Latn-RS"/>
        </w:rPr>
        <w:t>. Ne treba davati ljekove koji usporavaju peristaltiku crijeva.</w:t>
      </w:r>
    </w:p>
    <w:p w14:paraId="1AC553C4" w14:textId="77777777" w:rsidR="007D25C1" w:rsidRPr="00245390" w:rsidRDefault="007D25C1">
      <w:pPr>
        <w:autoSpaceDE w:val="0"/>
        <w:autoSpaceDN w:val="0"/>
        <w:adjustRightInd w:val="0"/>
        <w:jc w:val="both"/>
        <w:rPr>
          <w:rFonts w:eastAsia="TimesNewRoman"/>
          <w:sz w:val="22"/>
          <w:szCs w:val="22"/>
          <w:lang w:val="sr-Latn-ME" w:eastAsia="sr-Latn-RS"/>
        </w:rPr>
      </w:pPr>
    </w:p>
    <w:p w14:paraId="1F2B582D" w14:textId="77777777" w:rsidR="007D25C1" w:rsidRPr="00245390" w:rsidRDefault="007D25C1">
      <w:pPr>
        <w:autoSpaceDE w:val="0"/>
        <w:autoSpaceDN w:val="0"/>
        <w:adjustRightInd w:val="0"/>
        <w:jc w:val="both"/>
        <w:rPr>
          <w:rFonts w:eastAsia="TimesNewRoman"/>
          <w:iCs/>
          <w:sz w:val="22"/>
          <w:szCs w:val="22"/>
          <w:u w:val="single"/>
          <w:lang w:val="sr-Latn-ME"/>
        </w:rPr>
      </w:pPr>
      <w:r w:rsidRPr="00245390">
        <w:rPr>
          <w:rFonts w:eastAsia="TimesNewRoman"/>
          <w:iCs/>
          <w:sz w:val="22"/>
          <w:szCs w:val="22"/>
          <w:u w:val="single"/>
          <w:lang w:val="sr-Latn-ME"/>
        </w:rPr>
        <w:t>Konvulzije</w:t>
      </w:r>
    </w:p>
    <w:p w14:paraId="5CE2853F" w14:textId="77777777" w:rsidR="007D25C1" w:rsidRPr="00245390" w:rsidRDefault="007D25C1">
      <w:pPr>
        <w:autoSpaceDE w:val="0"/>
        <w:autoSpaceDN w:val="0"/>
        <w:adjustRightInd w:val="0"/>
        <w:jc w:val="both"/>
        <w:rPr>
          <w:rFonts w:eastAsia="TimesNewRoman"/>
          <w:i/>
          <w:sz w:val="22"/>
          <w:szCs w:val="22"/>
          <w:u w:val="single"/>
          <w:lang w:val="sr-Latn-ME"/>
        </w:rPr>
      </w:pPr>
    </w:p>
    <w:p w14:paraId="791EA5FD" w14:textId="6A4E71C9" w:rsidR="007D25C1" w:rsidRPr="00245390" w:rsidRDefault="00932427">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Konvulzije su r</w:t>
      </w:r>
      <w:r w:rsidR="005E7218" w:rsidRPr="00245390">
        <w:rPr>
          <w:rFonts w:eastAsia="TimesNewRoman"/>
          <w:sz w:val="22"/>
          <w:szCs w:val="22"/>
          <w:lang w:val="sr-Latn-ME" w:eastAsia="sr-Latn-RS"/>
        </w:rPr>
        <w:t>ij</w:t>
      </w:r>
      <w:r w:rsidRPr="00245390">
        <w:rPr>
          <w:rFonts w:eastAsia="TimesNewRoman"/>
          <w:sz w:val="22"/>
          <w:szCs w:val="22"/>
          <w:lang w:val="sr-Latn-ME" w:eastAsia="sr-Latn-RS"/>
        </w:rPr>
        <w:t xml:space="preserve">etko prijavljivane tokom terapije karbapenemima, </w:t>
      </w:r>
      <w:r w:rsidR="00513009" w:rsidRPr="00245390">
        <w:rPr>
          <w:rFonts w:eastAsia="TimesNewRoman"/>
          <w:sz w:val="22"/>
          <w:szCs w:val="22"/>
          <w:lang w:val="sr-Latn-ME" w:eastAsia="sr-Latn-RS"/>
        </w:rPr>
        <w:t>uključujući</w:t>
      </w:r>
      <w:r w:rsidRPr="00245390">
        <w:rPr>
          <w:rFonts w:eastAsia="TimesNewRoman"/>
          <w:sz w:val="22"/>
          <w:szCs w:val="22"/>
          <w:lang w:val="sr-Latn-ME" w:eastAsia="sr-Latn-RS"/>
        </w:rPr>
        <w:t xml:space="preserve"> meropenem</w:t>
      </w:r>
      <w:r w:rsidR="007D25C1" w:rsidRPr="00245390">
        <w:rPr>
          <w:rFonts w:eastAsia="TimesNewRoman"/>
          <w:sz w:val="22"/>
          <w:szCs w:val="22"/>
          <w:lang w:val="sr-Latn-ME" w:eastAsia="sr-Latn-RS"/>
        </w:rPr>
        <w:t xml:space="preserve"> (vidjeti </w:t>
      </w:r>
      <w:r w:rsidR="00513009" w:rsidRPr="00245390">
        <w:rPr>
          <w:rFonts w:eastAsia="TimesNewRoman"/>
          <w:sz w:val="22"/>
          <w:szCs w:val="22"/>
          <w:lang w:val="sr-Latn-ME" w:eastAsia="sr-Latn-RS"/>
        </w:rPr>
        <w:t>dio</w:t>
      </w:r>
      <w:r w:rsidR="007D25C1" w:rsidRPr="00245390">
        <w:rPr>
          <w:rFonts w:eastAsia="TimesNewRoman"/>
          <w:sz w:val="22"/>
          <w:szCs w:val="22"/>
          <w:lang w:val="sr-Latn-ME" w:eastAsia="sr-Latn-RS"/>
        </w:rPr>
        <w:t xml:space="preserve"> 4.8).</w:t>
      </w:r>
    </w:p>
    <w:p w14:paraId="27D2CE87" w14:textId="77777777" w:rsidR="007D25C1" w:rsidRPr="00245390" w:rsidRDefault="007D25C1">
      <w:pPr>
        <w:autoSpaceDE w:val="0"/>
        <w:autoSpaceDN w:val="0"/>
        <w:adjustRightInd w:val="0"/>
        <w:jc w:val="both"/>
        <w:rPr>
          <w:rFonts w:eastAsia="TimesNewRoman"/>
          <w:sz w:val="22"/>
          <w:szCs w:val="22"/>
          <w:lang w:val="sr-Latn-ME" w:eastAsia="sr-Latn-RS"/>
        </w:rPr>
      </w:pPr>
    </w:p>
    <w:p w14:paraId="5D49CF02" w14:textId="77777777" w:rsidR="007D25C1" w:rsidRPr="00245390" w:rsidRDefault="007D25C1">
      <w:pPr>
        <w:autoSpaceDE w:val="0"/>
        <w:autoSpaceDN w:val="0"/>
        <w:adjustRightInd w:val="0"/>
        <w:jc w:val="both"/>
        <w:rPr>
          <w:rFonts w:eastAsia="TimesNewRoman"/>
          <w:iCs/>
          <w:sz w:val="22"/>
          <w:szCs w:val="22"/>
          <w:u w:val="single"/>
          <w:lang w:val="sr-Latn-ME"/>
        </w:rPr>
      </w:pPr>
      <w:r w:rsidRPr="00245390">
        <w:rPr>
          <w:rFonts w:eastAsia="TimesNewRoman"/>
          <w:iCs/>
          <w:sz w:val="22"/>
          <w:szCs w:val="22"/>
          <w:u w:val="single"/>
          <w:lang w:val="sr-Latn-ME"/>
        </w:rPr>
        <w:t>Praćenje funkcije jetre</w:t>
      </w:r>
    </w:p>
    <w:p w14:paraId="739761E1" w14:textId="77777777" w:rsidR="007D25C1" w:rsidRPr="00245390" w:rsidRDefault="007D25C1">
      <w:pPr>
        <w:autoSpaceDE w:val="0"/>
        <w:autoSpaceDN w:val="0"/>
        <w:adjustRightInd w:val="0"/>
        <w:jc w:val="both"/>
        <w:rPr>
          <w:rFonts w:eastAsia="TimesNewRoman"/>
          <w:sz w:val="22"/>
          <w:szCs w:val="22"/>
          <w:lang w:val="sr-Latn-ME" w:eastAsia="sr-Latn-RS"/>
        </w:rPr>
      </w:pPr>
    </w:p>
    <w:p w14:paraId="1192F2FF" w14:textId="663662DD" w:rsidR="007D25C1" w:rsidRPr="00245390" w:rsidRDefault="007D25C1">
      <w:pPr>
        <w:autoSpaceDE w:val="0"/>
        <w:autoSpaceDN w:val="0"/>
        <w:adjustRightInd w:val="0"/>
        <w:jc w:val="both"/>
        <w:rPr>
          <w:b/>
          <w:bCs/>
          <w:sz w:val="22"/>
          <w:szCs w:val="22"/>
          <w:lang w:val="sr-Latn-ME"/>
        </w:rPr>
      </w:pPr>
      <w:r w:rsidRPr="00245390">
        <w:rPr>
          <w:rFonts w:eastAsia="TimesNewRoman"/>
          <w:sz w:val="22"/>
          <w:szCs w:val="22"/>
          <w:lang w:val="sr-Latn-ME" w:eastAsia="sr-Latn-RS"/>
        </w:rPr>
        <w:t xml:space="preserve">Tokom primjene meropenema treba pažljivo kontrolisati funkciju jetre zbog rizika od hepatotoksičnosti (disfunkcija jetre sa holestazom i citolizom)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4.8).</w:t>
      </w:r>
    </w:p>
    <w:p w14:paraId="4D80D6A9" w14:textId="77777777" w:rsidR="007D25C1" w:rsidRPr="00245390" w:rsidRDefault="007D25C1">
      <w:pPr>
        <w:tabs>
          <w:tab w:val="left" w:pos="540"/>
          <w:tab w:val="left" w:pos="569"/>
        </w:tabs>
        <w:jc w:val="both"/>
        <w:rPr>
          <w:bCs/>
          <w:sz w:val="22"/>
          <w:szCs w:val="22"/>
          <w:lang w:val="sr-Latn-ME"/>
        </w:rPr>
      </w:pPr>
    </w:p>
    <w:p w14:paraId="62B7E9CF" w14:textId="09D6A3CB"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Primjena kod pacijenata sa oboljenjem jetre: kod pacijenata sa ranije postojećim poremećajem funkcije jetre potrebno je pratiti funkciju jetre tokom terapije meropenemom. Nije neophodno prilagođavanje doze (vidjeti </w:t>
      </w:r>
      <w:r w:rsidR="00513009" w:rsidRPr="00245390">
        <w:rPr>
          <w:rFonts w:eastAsia="TimesNewRoman"/>
          <w:sz w:val="22"/>
          <w:szCs w:val="22"/>
          <w:lang w:val="sr-Latn-ME" w:eastAsia="sr-Latn-RS"/>
        </w:rPr>
        <w:t>dio</w:t>
      </w:r>
      <w:r w:rsidR="00575C5E" w:rsidRPr="00245390">
        <w:rPr>
          <w:rFonts w:eastAsia="TimesNewRoman"/>
          <w:sz w:val="22"/>
          <w:szCs w:val="22"/>
          <w:lang w:val="sr-Latn-ME" w:eastAsia="sr-Latn-RS"/>
        </w:rPr>
        <w:t xml:space="preserve"> </w:t>
      </w:r>
      <w:r w:rsidRPr="00245390">
        <w:rPr>
          <w:rFonts w:eastAsia="TimesNewRoman"/>
          <w:sz w:val="22"/>
          <w:szCs w:val="22"/>
          <w:lang w:val="sr-Latn-ME" w:eastAsia="sr-Latn-RS"/>
        </w:rPr>
        <w:t>4.2).</w:t>
      </w:r>
    </w:p>
    <w:p w14:paraId="449190ED" w14:textId="77777777" w:rsidR="007D25C1" w:rsidRPr="00245390" w:rsidRDefault="007D25C1">
      <w:pPr>
        <w:autoSpaceDE w:val="0"/>
        <w:autoSpaceDN w:val="0"/>
        <w:adjustRightInd w:val="0"/>
        <w:jc w:val="both"/>
        <w:rPr>
          <w:rFonts w:eastAsia="TimesNewRoman"/>
          <w:sz w:val="22"/>
          <w:szCs w:val="22"/>
          <w:lang w:val="sr-Latn-ME" w:eastAsia="sr-Latn-RS"/>
        </w:rPr>
      </w:pPr>
    </w:p>
    <w:p w14:paraId="1F71AF10" w14:textId="77777777" w:rsidR="007D25C1" w:rsidRPr="00245390" w:rsidRDefault="007D25C1">
      <w:pPr>
        <w:autoSpaceDE w:val="0"/>
        <w:autoSpaceDN w:val="0"/>
        <w:adjustRightInd w:val="0"/>
        <w:jc w:val="both"/>
        <w:rPr>
          <w:rFonts w:eastAsia="TimesNewRoman"/>
          <w:sz w:val="22"/>
          <w:szCs w:val="22"/>
          <w:u w:val="single"/>
          <w:lang w:val="sr-Latn-ME"/>
        </w:rPr>
      </w:pPr>
      <w:bookmarkStart w:id="3" w:name="_Hlk11155018"/>
      <w:r w:rsidRPr="00245390">
        <w:rPr>
          <w:rFonts w:eastAsia="TimesNewRoman"/>
          <w:sz w:val="22"/>
          <w:szCs w:val="22"/>
          <w:u w:val="single"/>
          <w:lang w:val="sr-Latn-ME"/>
        </w:rPr>
        <w:t>Direktni antiglobulinski test (</w:t>
      </w:r>
      <w:r w:rsidRPr="00245390">
        <w:rPr>
          <w:rFonts w:eastAsia="TimesNewRoman"/>
          <w:i/>
          <w:iCs/>
          <w:sz w:val="22"/>
          <w:szCs w:val="22"/>
          <w:u w:val="single"/>
          <w:lang w:val="sr-Latn-ME"/>
        </w:rPr>
        <w:t>Coombs</w:t>
      </w:r>
      <w:r w:rsidRPr="00245390">
        <w:rPr>
          <w:rFonts w:eastAsia="TimesNewRoman"/>
          <w:sz w:val="22"/>
          <w:szCs w:val="22"/>
          <w:u w:val="single"/>
          <w:lang w:val="sr-Latn-ME"/>
        </w:rPr>
        <w:t>-ov test) serokonverzije</w:t>
      </w:r>
    </w:p>
    <w:bookmarkEnd w:id="3"/>
    <w:p w14:paraId="6755BFEB" w14:textId="77777777" w:rsidR="007D25C1" w:rsidRPr="00245390" w:rsidRDefault="007D25C1">
      <w:pPr>
        <w:autoSpaceDE w:val="0"/>
        <w:autoSpaceDN w:val="0"/>
        <w:adjustRightInd w:val="0"/>
        <w:jc w:val="both"/>
        <w:rPr>
          <w:rFonts w:eastAsia="TimesNewRoman"/>
          <w:sz w:val="22"/>
          <w:szCs w:val="22"/>
          <w:lang w:val="sr-Latn-ME" w:eastAsia="sr-Latn-RS"/>
        </w:rPr>
      </w:pPr>
    </w:p>
    <w:p w14:paraId="5FB082AB"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Tokom liječenja meropenemom može doći do pojave pozitivnog direktnog ili indirektnog </w:t>
      </w:r>
      <w:r w:rsidRPr="00245390">
        <w:rPr>
          <w:rFonts w:eastAsia="TimesNewRoman"/>
          <w:i/>
          <w:iCs/>
          <w:sz w:val="22"/>
          <w:szCs w:val="22"/>
          <w:lang w:val="sr-Latn-ME" w:eastAsia="sr-Latn-RS"/>
        </w:rPr>
        <w:t>Coombs</w:t>
      </w:r>
      <w:r w:rsidRPr="00245390">
        <w:rPr>
          <w:rFonts w:eastAsia="TimesNewRoman"/>
          <w:sz w:val="22"/>
          <w:szCs w:val="22"/>
          <w:lang w:val="sr-Latn-ME" w:eastAsia="sr-Latn-RS"/>
        </w:rPr>
        <w:t>-ovog testa.</w:t>
      </w:r>
    </w:p>
    <w:p w14:paraId="1191D455" w14:textId="77777777" w:rsidR="007D25C1" w:rsidRPr="00245390" w:rsidRDefault="007D25C1">
      <w:pPr>
        <w:autoSpaceDE w:val="0"/>
        <w:autoSpaceDN w:val="0"/>
        <w:adjustRightInd w:val="0"/>
        <w:jc w:val="both"/>
        <w:rPr>
          <w:rFonts w:eastAsia="TimesNewRoman"/>
          <w:sz w:val="22"/>
          <w:szCs w:val="22"/>
          <w:lang w:val="sr-Latn-ME" w:eastAsia="sr-Latn-RS"/>
        </w:rPr>
      </w:pPr>
    </w:p>
    <w:p w14:paraId="228B7E2C" w14:textId="016BE62A" w:rsidR="007D25C1" w:rsidRPr="00245390" w:rsidRDefault="007D25C1">
      <w:pPr>
        <w:autoSpaceDE w:val="0"/>
        <w:autoSpaceDN w:val="0"/>
        <w:adjustRightInd w:val="0"/>
        <w:jc w:val="both"/>
        <w:rPr>
          <w:rFonts w:eastAsia="TimesNewRoman"/>
          <w:iCs/>
          <w:sz w:val="22"/>
          <w:szCs w:val="22"/>
          <w:u w:val="single"/>
          <w:lang w:val="sr-Latn-ME"/>
        </w:rPr>
      </w:pPr>
      <w:r w:rsidRPr="00245390">
        <w:rPr>
          <w:rFonts w:eastAsia="TimesNewRoman"/>
          <w:iCs/>
          <w:sz w:val="22"/>
          <w:szCs w:val="22"/>
          <w:u w:val="single"/>
          <w:lang w:val="sr-Latn-ME"/>
        </w:rPr>
        <w:t>Istovremena prim</w:t>
      </w:r>
      <w:r w:rsidR="00575C5E" w:rsidRPr="00245390">
        <w:rPr>
          <w:rFonts w:eastAsia="TimesNewRoman"/>
          <w:iCs/>
          <w:sz w:val="22"/>
          <w:szCs w:val="22"/>
          <w:u w:val="single"/>
          <w:lang w:val="sr-Latn-ME"/>
        </w:rPr>
        <w:t>j</w:t>
      </w:r>
      <w:r w:rsidRPr="00245390">
        <w:rPr>
          <w:rFonts w:eastAsia="TimesNewRoman"/>
          <w:iCs/>
          <w:sz w:val="22"/>
          <w:szCs w:val="22"/>
          <w:u w:val="single"/>
          <w:lang w:val="sr-Latn-ME"/>
        </w:rPr>
        <w:t xml:space="preserve">ena sa </w:t>
      </w:r>
      <w:bookmarkStart w:id="4" w:name="_Hlk11155029"/>
      <w:r w:rsidRPr="00245390">
        <w:rPr>
          <w:rFonts w:eastAsia="TimesNewRoman"/>
          <w:iCs/>
          <w:sz w:val="22"/>
          <w:szCs w:val="22"/>
          <w:u w:val="single"/>
          <w:lang w:val="sr-Latn-ME"/>
        </w:rPr>
        <w:t>valproinskom kiselinom/natrijum-valproatom/valpromidom</w:t>
      </w:r>
      <w:bookmarkEnd w:id="4"/>
    </w:p>
    <w:p w14:paraId="5C7427CA" w14:textId="77777777" w:rsidR="007D25C1" w:rsidRPr="00245390" w:rsidRDefault="007D25C1">
      <w:pPr>
        <w:autoSpaceDE w:val="0"/>
        <w:autoSpaceDN w:val="0"/>
        <w:adjustRightInd w:val="0"/>
        <w:jc w:val="both"/>
        <w:rPr>
          <w:rFonts w:eastAsia="TimesNewRoman"/>
          <w:sz w:val="22"/>
          <w:szCs w:val="22"/>
          <w:lang w:val="sr-Latn-ME" w:eastAsia="sr-Latn-RS"/>
        </w:rPr>
      </w:pPr>
    </w:p>
    <w:p w14:paraId="6F2746FF" w14:textId="0626944C"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Ne preporučuje se istovremena primjena meropenema i valproinske kiseline/natrijum-valproata/valpromida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4.5).</w:t>
      </w:r>
    </w:p>
    <w:p w14:paraId="50DBA3F0" w14:textId="77777777" w:rsidR="007D25C1" w:rsidRPr="00245390" w:rsidRDefault="007D25C1">
      <w:pPr>
        <w:autoSpaceDE w:val="0"/>
        <w:autoSpaceDN w:val="0"/>
        <w:adjustRightInd w:val="0"/>
        <w:jc w:val="both"/>
        <w:rPr>
          <w:rFonts w:eastAsia="TimesNewRoman"/>
          <w:sz w:val="22"/>
          <w:szCs w:val="22"/>
          <w:lang w:val="sr-Latn-ME" w:eastAsia="sr-Latn-RS"/>
        </w:rPr>
      </w:pPr>
    </w:p>
    <w:p w14:paraId="314E1CD3" w14:textId="77777777" w:rsidR="00932427" w:rsidRPr="00935A4F" w:rsidRDefault="00932427" w:rsidP="00EE5F09">
      <w:pPr>
        <w:autoSpaceDE w:val="0"/>
        <w:autoSpaceDN w:val="0"/>
        <w:adjustRightInd w:val="0"/>
        <w:jc w:val="both"/>
        <w:rPr>
          <w:rFonts w:eastAsia="TimesNewRoman"/>
          <w:sz w:val="22"/>
          <w:szCs w:val="22"/>
          <w:u w:val="single"/>
          <w:lang w:val="sr-Latn-ME"/>
        </w:rPr>
      </w:pPr>
      <w:r w:rsidRPr="00935A4F">
        <w:rPr>
          <w:rFonts w:eastAsia="TimesNewRoman"/>
          <w:sz w:val="22"/>
          <w:szCs w:val="22"/>
          <w:u w:val="single"/>
          <w:lang w:val="sr-Latn-ME"/>
        </w:rPr>
        <w:t>Posebna upozorenja o pomoćnim supstancama</w:t>
      </w:r>
    </w:p>
    <w:p w14:paraId="152D1F68"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Lijek Merocid sadrži natrijum, što treba uzeti u obzir prilikom primjene kod pacijenata koji su na dijeti sa kontrolisanim unosom natrijuma.</w:t>
      </w:r>
    </w:p>
    <w:p w14:paraId="7F1A9DDD" w14:textId="0A08E07B"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lastRenderedPageBreak/>
        <w:t xml:space="preserve">Jedna bočica </w:t>
      </w:r>
      <w:r w:rsidR="00575C5E" w:rsidRPr="00245390">
        <w:rPr>
          <w:rFonts w:eastAsia="TimesNewRoman"/>
          <w:sz w:val="22"/>
          <w:szCs w:val="22"/>
          <w:lang w:val="sr-Latn-ME" w:eastAsia="sr-Latn-RS"/>
        </w:rPr>
        <w:t>sa</w:t>
      </w:r>
      <w:r w:rsidRPr="00245390">
        <w:rPr>
          <w:rFonts w:eastAsia="TimesNewRoman"/>
          <w:sz w:val="22"/>
          <w:szCs w:val="22"/>
          <w:lang w:val="sr-Latn-ME" w:eastAsia="sr-Latn-RS"/>
        </w:rPr>
        <w:t xml:space="preserve"> 1000 mg meropenema sadrži 208 mg natrijum</w:t>
      </w:r>
      <w:r w:rsidR="00C314A1" w:rsidRPr="00245390">
        <w:rPr>
          <w:rFonts w:eastAsia="TimesNewRoman"/>
          <w:sz w:val="22"/>
          <w:szCs w:val="22"/>
          <w:lang w:val="sr-Latn-ME" w:eastAsia="sr-Latn-RS"/>
        </w:rPr>
        <w:t xml:space="preserve"> </w:t>
      </w:r>
      <w:r w:rsidRPr="00245390">
        <w:rPr>
          <w:rFonts w:eastAsia="TimesNewRoman"/>
          <w:sz w:val="22"/>
          <w:szCs w:val="22"/>
          <w:lang w:val="sr-Latn-ME" w:eastAsia="sr-Latn-RS"/>
        </w:rPr>
        <w:t>karbonata što odgovara približno 90 mg natrijuma</w:t>
      </w:r>
      <w:r w:rsidR="00513009" w:rsidRPr="00245390">
        <w:rPr>
          <w:rFonts w:eastAsia="TimesNewRoman"/>
          <w:sz w:val="22"/>
          <w:szCs w:val="22"/>
          <w:lang w:val="sr-Latn-ME" w:eastAsia="sr-Latn-RS"/>
        </w:rPr>
        <w:t>, a to odgovara 4,5 % maksimalnog dnevnog unosa od 2 g natrijuma prema preporukama SZO za odraslu osobu</w:t>
      </w:r>
      <w:r w:rsidRPr="00245390">
        <w:rPr>
          <w:rFonts w:eastAsia="TimesNewRoman"/>
          <w:sz w:val="22"/>
          <w:szCs w:val="22"/>
          <w:lang w:val="sr-Latn-ME" w:eastAsia="sr-Latn-RS"/>
        </w:rPr>
        <w:t>.</w:t>
      </w:r>
    </w:p>
    <w:p w14:paraId="245070CB" w14:textId="77777777" w:rsidR="00057E35" w:rsidRPr="00245390" w:rsidRDefault="00057E35" w:rsidP="00EE5F09">
      <w:pPr>
        <w:tabs>
          <w:tab w:val="left" w:pos="540"/>
          <w:tab w:val="left" w:pos="569"/>
        </w:tabs>
        <w:jc w:val="both"/>
        <w:rPr>
          <w:bCs/>
          <w:sz w:val="22"/>
          <w:szCs w:val="22"/>
          <w:lang w:val="sr-Latn-ME"/>
        </w:rPr>
      </w:pPr>
    </w:p>
    <w:p w14:paraId="3D03E76D" w14:textId="77777777" w:rsidR="00411B4B" w:rsidRPr="00245390" w:rsidRDefault="00411B4B" w:rsidP="00EE5F09">
      <w:pPr>
        <w:tabs>
          <w:tab w:val="left" w:pos="540"/>
          <w:tab w:val="left" w:pos="569"/>
        </w:tabs>
        <w:jc w:val="both"/>
        <w:rPr>
          <w:b/>
          <w:bCs/>
          <w:sz w:val="22"/>
          <w:szCs w:val="22"/>
          <w:lang w:val="sr-Latn-ME"/>
        </w:rPr>
      </w:pPr>
      <w:r w:rsidRPr="00245390">
        <w:rPr>
          <w:b/>
          <w:bCs/>
          <w:sz w:val="22"/>
          <w:szCs w:val="22"/>
          <w:lang w:val="sr-Latn-ME"/>
        </w:rPr>
        <w:t>4.5.</w:t>
      </w:r>
      <w:r w:rsidR="000D60CC" w:rsidRPr="00245390">
        <w:rPr>
          <w:b/>
          <w:bCs/>
          <w:sz w:val="22"/>
          <w:szCs w:val="22"/>
          <w:lang w:val="sr-Latn-ME"/>
        </w:rPr>
        <w:tab/>
      </w:r>
      <w:r w:rsidRPr="00245390">
        <w:rPr>
          <w:b/>
          <w:bCs/>
          <w:sz w:val="22"/>
          <w:szCs w:val="22"/>
          <w:lang w:val="sr-Latn-ME"/>
        </w:rPr>
        <w:t>Interakcije sa drugim ljekovima i druge vrste interakcija</w:t>
      </w:r>
    </w:p>
    <w:p w14:paraId="59D21C9C" w14:textId="7AF8B7ED" w:rsidR="0072020E" w:rsidRPr="00245390" w:rsidRDefault="0072020E" w:rsidP="00EE5F09">
      <w:pPr>
        <w:tabs>
          <w:tab w:val="left" w:pos="540"/>
          <w:tab w:val="left" w:pos="569"/>
        </w:tabs>
        <w:jc w:val="both"/>
        <w:rPr>
          <w:bCs/>
          <w:sz w:val="22"/>
          <w:szCs w:val="22"/>
          <w:lang w:val="sr-Latn-ME"/>
        </w:rPr>
      </w:pPr>
    </w:p>
    <w:p w14:paraId="642EC4AB"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Nijesu sprovedene specifične studije interakcija, osim sa probenicidom.</w:t>
      </w:r>
    </w:p>
    <w:p w14:paraId="713BB23A" w14:textId="77777777" w:rsidR="007D25C1" w:rsidRPr="00245390" w:rsidRDefault="007D25C1">
      <w:pPr>
        <w:autoSpaceDE w:val="0"/>
        <w:autoSpaceDN w:val="0"/>
        <w:adjustRightInd w:val="0"/>
        <w:jc w:val="both"/>
        <w:rPr>
          <w:rFonts w:eastAsia="TimesNewRoman"/>
          <w:sz w:val="22"/>
          <w:szCs w:val="22"/>
          <w:lang w:val="sr-Latn-ME" w:eastAsia="sr-Latn-RS"/>
        </w:rPr>
      </w:pPr>
    </w:p>
    <w:p w14:paraId="1A3160AC" w14:textId="6A823C30"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Probenecid stupa u kompeticiju sa meropenemom na nivou aktivne tubularne sekrecije i na taj način inhibira izlučivanje meropenema putem bubrega. To </w:t>
      </w:r>
      <w:r w:rsidR="00575C5E" w:rsidRPr="00245390">
        <w:rPr>
          <w:rFonts w:eastAsia="TimesNewRoman"/>
          <w:sz w:val="22"/>
          <w:szCs w:val="22"/>
          <w:lang w:val="sr-Latn-ME" w:eastAsia="sr-Latn-RS"/>
        </w:rPr>
        <w:t>utiče na produžavanje poluvremena eliminacije i povećanje koncentracije meropenema u plazmi</w:t>
      </w:r>
      <w:r w:rsidRPr="00245390">
        <w:rPr>
          <w:rFonts w:eastAsia="TimesNewRoman"/>
          <w:sz w:val="22"/>
          <w:szCs w:val="22"/>
          <w:lang w:val="sr-Latn-ME" w:eastAsia="sr-Latn-RS"/>
        </w:rPr>
        <w:t>. Potreban je oprez ukoliko se proben</w:t>
      </w:r>
      <w:r w:rsidR="00575C5E" w:rsidRPr="00245390">
        <w:rPr>
          <w:rFonts w:eastAsia="TimesNewRoman"/>
          <w:sz w:val="22"/>
          <w:szCs w:val="22"/>
          <w:lang w:val="sr-Latn-ME" w:eastAsia="sr-Latn-RS"/>
        </w:rPr>
        <w:t>e</w:t>
      </w:r>
      <w:r w:rsidRPr="00245390">
        <w:rPr>
          <w:rFonts w:eastAsia="TimesNewRoman"/>
          <w:sz w:val="22"/>
          <w:szCs w:val="22"/>
          <w:lang w:val="sr-Latn-ME" w:eastAsia="sr-Latn-RS"/>
        </w:rPr>
        <w:t>cid daje u isto vrijeme sa meropenemom.</w:t>
      </w:r>
    </w:p>
    <w:p w14:paraId="735654DD" w14:textId="77777777" w:rsidR="007D25C1" w:rsidRPr="00245390" w:rsidRDefault="007D25C1">
      <w:pPr>
        <w:autoSpaceDE w:val="0"/>
        <w:autoSpaceDN w:val="0"/>
        <w:adjustRightInd w:val="0"/>
        <w:jc w:val="both"/>
        <w:rPr>
          <w:rFonts w:eastAsia="TimesNewRoman"/>
          <w:sz w:val="22"/>
          <w:szCs w:val="22"/>
          <w:lang w:val="sr-Latn-ME" w:eastAsia="sr-Latn-RS"/>
        </w:rPr>
      </w:pPr>
    </w:p>
    <w:p w14:paraId="52028CD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Potencijalno dejstvo meropenema na vezivanje drugih ljekova za proteine plazme i njihov metabolizam nije ispitivano. Međutim, vezivanje za meropenema za proteine plazme je toliko malo da se ne očekuje bilo koja interakcija koja bi se objasnila ovim mehanizmom.</w:t>
      </w:r>
    </w:p>
    <w:p w14:paraId="46E1AC9B" w14:textId="77777777" w:rsidR="007D25C1" w:rsidRPr="00245390" w:rsidRDefault="007D25C1">
      <w:pPr>
        <w:autoSpaceDE w:val="0"/>
        <w:autoSpaceDN w:val="0"/>
        <w:adjustRightInd w:val="0"/>
        <w:jc w:val="both"/>
        <w:rPr>
          <w:rFonts w:eastAsia="TimesNewRoman"/>
          <w:sz w:val="22"/>
          <w:szCs w:val="22"/>
          <w:lang w:val="sr-Latn-ME" w:eastAsia="sr-Latn-RS"/>
        </w:rPr>
      </w:pPr>
    </w:p>
    <w:p w14:paraId="5AA79F5B" w14:textId="61A64266"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Smanjenje koncentracije valproinske kiseline u krvi je zabilježeno pri istovremenoj primjeni sa karbapenemima što dovodi do 60-100 % smanjenja koncentracije valproinske kiseline za oko dva dana. Usljed brzog efekta i visokog stepena smanjenja koncentracije, istovremena primjena valproinske kiseline i karbapenema nije pogodna i ne preporučuje se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4.4).</w:t>
      </w:r>
    </w:p>
    <w:p w14:paraId="6B995939" w14:textId="77777777" w:rsidR="007D25C1" w:rsidRPr="00245390" w:rsidRDefault="007D25C1">
      <w:pPr>
        <w:autoSpaceDE w:val="0"/>
        <w:autoSpaceDN w:val="0"/>
        <w:adjustRightInd w:val="0"/>
        <w:jc w:val="both"/>
        <w:rPr>
          <w:rFonts w:eastAsia="TimesNewRoman"/>
          <w:sz w:val="22"/>
          <w:szCs w:val="22"/>
          <w:lang w:val="sr-Latn-ME" w:eastAsia="sr-Latn-RS"/>
        </w:rPr>
      </w:pPr>
    </w:p>
    <w:p w14:paraId="7500C083"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Oralni antikoagulansi</w:t>
      </w:r>
    </w:p>
    <w:p w14:paraId="38E65581" w14:textId="6AED587D" w:rsidR="007D25C1" w:rsidRPr="00245390" w:rsidRDefault="007D25C1">
      <w:pPr>
        <w:autoSpaceDE w:val="0"/>
        <w:autoSpaceDN w:val="0"/>
        <w:adjustRightInd w:val="0"/>
        <w:jc w:val="both"/>
        <w:rPr>
          <w:b/>
          <w:bCs/>
          <w:sz w:val="22"/>
          <w:szCs w:val="22"/>
          <w:lang w:val="sr-Latn-ME"/>
        </w:rPr>
      </w:pPr>
      <w:r w:rsidRPr="00245390">
        <w:rPr>
          <w:rFonts w:eastAsia="TimesNewRoman"/>
          <w:sz w:val="22"/>
          <w:szCs w:val="22"/>
          <w:lang w:val="sr-Latn-ME" w:eastAsia="sr-Latn-RS"/>
        </w:rPr>
        <w:t>Istovremena primjena antibiotika sa varfarinom može pojačati njegov antikoagulantni efekat. Postoji veliki broj prijava o povećanju antikoagulantnog efekta oralno primijenjenih antikoagulanasa, uključujući varfarin, kod pacijenata koji istovremeno uzimaju antibiotike. Rizik može varirati u zavisnosti od infekcije, starosti i opšteg stanja pacijenta, pa je teško zaista procijeniti uticaj antibiotika na povećanje INR vrijednosti (</w:t>
      </w:r>
      <w:r w:rsidR="00932427" w:rsidRPr="00245390">
        <w:rPr>
          <w:rFonts w:eastAsia="TimesNewRoman"/>
          <w:sz w:val="22"/>
          <w:szCs w:val="22"/>
          <w:lang w:val="sr-Latn-ME" w:eastAsia="sr-Latn-RS"/>
        </w:rPr>
        <w:t xml:space="preserve">engl. </w:t>
      </w:r>
      <w:r w:rsidRPr="00245390">
        <w:rPr>
          <w:rFonts w:eastAsia="TimesNewRoman"/>
          <w:i/>
          <w:iCs/>
          <w:sz w:val="22"/>
          <w:szCs w:val="22"/>
          <w:lang w:val="sr-Latn-ME" w:eastAsia="sr-Latn-RS"/>
        </w:rPr>
        <w:t>international normalised ratio</w:t>
      </w:r>
      <w:r w:rsidRPr="00245390">
        <w:rPr>
          <w:rFonts w:eastAsia="TimesNewRoman"/>
          <w:sz w:val="22"/>
          <w:szCs w:val="22"/>
          <w:lang w:val="sr-Latn-ME" w:eastAsia="sr-Latn-RS"/>
        </w:rPr>
        <w:t>). Preporučuje se često praćenje vrijednosti INR tokom i odmah pri započinjanju istovremene terapije antibioticima i oralnim antikoagulansima.</w:t>
      </w:r>
    </w:p>
    <w:p w14:paraId="776B0FB3" w14:textId="77777777" w:rsidR="007D25C1" w:rsidRPr="00245390" w:rsidRDefault="007D25C1">
      <w:pPr>
        <w:autoSpaceDE w:val="0"/>
        <w:autoSpaceDN w:val="0"/>
        <w:adjustRightInd w:val="0"/>
        <w:jc w:val="both"/>
        <w:rPr>
          <w:rFonts w:eastAsia="TimesNewRoman"/>
          <w:i/>
          <w:sz w:val="22"/>
          <w:szCs w:val="22"/>
          <w:lang w:val="sr-Latn-ME"/>
        </w:rPr>
      </w:pPr>
    </w:p>
    <w:p w14:paraId="61463E10" w14:textId="77777777" w:rsidR="007D25C1" w:rsidRPr="00245390" w:rsidRDefault="007D25C1">
      <w:pPr>
        <w:autoSpaceDE w:val="0"/>
        <w:autoSpaceDN w:val="0"/>
        <w:adjustRightInd w:val="0"/>
        <w:jc w:val="both"/>
        <w:rPr>
          <w:rFonts w:eastAsia="TimesNewRoman"/>
          <w:i/>
          <w:sz w:val="22"/>
          <w:szCs w:val="22"/>
          <w:lang w:val="sr-Latn-ME"/>
        </w:rPr>
      </w:pPr>
      <w:r w:rsidRPr="00245390">
        <w:rPr>
          <w:rFonts w:eastAsia="TimesNewRoman"/>
          <w:i/>
          <w:sz w:val="22"/>
          <w:szCs w:val="22"/>
          <w:lang w:val="sr-Latn-ME"/>
        </w:rPr>
        <w:t>Pedijatrijska populacija</w:t>
      </w:r>
    </w:p>
    <w:p w14:paraId="5EC7C55A" w14:textId="7AC45474" w:rsidR="007D25C1" w:rsidRPr="00245390" w:rsidRDefault="00932427">
      <w:pPr>
        <w:tabs>
          <w:tab w:val="left" w:pos="284"/>
        </w:tabs>
        <w:jc w:val="both"/>
        <w:rPr>
          <w:sz w:val="22"/>
          <w:szCs w:val="22"/>
          <w:lang w:val="sr-Latn-ME"/>
        </w:rPr>
      </w:pPr>
      <w:r w:rsidRPr="00245390">
        <w:rPr>
          <w:sz w:val="22"/>
          <w:szCs w:val="22"/>
          <w:lang w:val="sr-Latn-ME"/>
        </w:rPr>
        <w:t>Ispitivanja</w:t>
      </w:r>
      <w:r w:rsidR="007D25C1" w:rsidRPr="00245390">
        <w:rPr>
          <w:sz w:val="22"/>
          <w:szCs w:val="22"/>
          <w:lang w:val="sr-Latn-ME"/>
        </w:rPr>
        <w:t xml:space="preserve"> interakcija su sprovedene samo na odraslima.</w:t>
      </w:r>
    </w:p>
    <w:p w14:paraId="32B4FBDB" w14:textId="77777777" w:rsidR="007D25C1" w:rsidRPr="00245390" w:rsidRDefault="007D25C1" w:rsidP="00EE5F09">
      <w:pPr>
        <w:tabs>
          <w:tab w:val="left" w:pos="540"/>
          <w:tab w:val="left" w:pos="569"/>
        </w:tabs>
        <w:jc w:val="both"/>
        <w:rPr>
          <w:bCs/>
          <w:sz w:val="22"/>
          <w:szCs w:val="22"/>
          <w:lang w:val="sr-Latn-ME"/>
        </w:rPr>
      </w:pPr>
    </w:p>
    <w:p w14:paraId="6CA0689B" w14:textId="58E8EBE3" w:rsidR="0072020E" w:rsidRPr="00245390" w:rsidRDefault="0072020E" w:rsidP="00EE5F09">
      <w:pPr>
        <w:tabs>
          <w:tab w:val="left" w:pos="540"/>
          <w:tab w:val="left" w:pos="569"/>
        </w:tabs>
        <w:jc w:val="both"/>
        <w:rPr>
          <w:b/>
          <w:sz w:val="22"/>
          <w:szCs w:val="22"/>
          <w:lang w:val="sr-Latn-ME"/>
        </w:rPr>
      </w:pPr>
      <w:r w:rsidRPr="00245390">
        <w:rPr>
          <w:b/>
          <w:bCs/>
          <w:sz w:val="22"/>
          <w:szCs w:val="22"/>
          <w:lang w:val="sr-Latn-ME"/>
        </w:rPr>
        <w:t xml:space="preserve">4.6. </w:t>
      </w:r>
      <w:r w:rsidR="00480FB1" w:rsidRPr="00245390">
        <w:rPr>
          <w:b/>
          <w:bCs/>
          <w:sz w:val="22"/>
          <w:szCs w:val="22"/>
          <w:lang w:val="sr-Latn-ME"/>
        </w:rPr>
        <w:tab/>
      </w:r>
      <w:r w:rsidR="00575C5E" w:rsidRPr="00245390">
        <w:rPr>
          <w:b/>
          <w:sz w:val="22"/>
          <w:szCs w:val="22"/>
          <w:lang w:val="sr-Latn-ME"/>
        </w:rPr>
        <w:t>T</w:t>
      </w:r>
      <w:r w:rsidR="006D20A5" w:rsidRPr="00245390">
        <w:rPr>
          <w:b/>
          <w:sz w:val="22"/>
          <w:szCs w:val="22"/>
          <w:lang w:val="sr-Latn-ME"/>
        </w:rPr>
        <w:t>rudnoća i dojenje</w:t>
      </w:r>
    </w:p>
    <w:p w14:paraId="60D9FDA4" w14:textId="77777777" w:rsidR="002031B3" w:rsidRPr="00245390" w:rsidRDefault="002031B3" w:rsidP="00EE5F09">
      <w:pPr>
        <w:tabs>
          <w:tab w:val="left" w:pos="540"/>
          <w:tab w:val="left" w:pos="569"/>
        </w:tabs>
        <w:jc w:val="both"/>
        <w:rPr>
          <w:sz w:val="22"/>
          <w:szCs w:val="22"/>
          <w:u w:val="single"/>
          <w:lang w:val="sr-Latn-ME"/>
        </w:rPr>
      </w:pPr>
    </w:p>
    <w:p w14:paraId="488B16C3" w14:textId="77777777" w:rsidR="007A3ECB" w:rsidRPr="00245390" w:rsidRDefault="007A3ECB" w:rsidP="00EE5F09">
      <w:pPr>
        <w:tabs>
          <w:tab w:val="left" w:pos="540"/>
          <w:tab w:val="left" w:pos="569"/>
        </w:tabs>
        <w:jc w:val="both"/>
        <w:rPr>
          <w:sz w:val="22"/>
          <w:szCs w:val="22"/>
          <w:u w:val="single"/>
          <w:lang w:val="sr-Latn-ME"/>
        </w:rPr>
      </w:pPr>
      <w:r w:rsidRPr="00245390">
        <w:rPr>
          <w:sz w:val="22"/>
          <w:szCs w:val="22"/>
          <w:u w:val="single"/>
          <w:lang w:val="sr-Latn-ME"/>
        </w:rPr>
        <w:t>Trudnoća</w:t>
      </w:r>
    </w:p>
    <w:p w14:paraId="34835A42" w14:textId="77777777" w:rsidR="00347043" w:rsidRPr="00245390" w:rsidRDefault="00347043">
      <w:pPr>
        <w:autoSpaceDE w:val="0"/>
        <w:autoSpaceDN w:val="0"/>
        <w:adjustRightInd w:val="0"/>
        <w:jc w:val="both"/>
        <w:rPr>
          <w:noProof/>
          <w:sz w:val="22"/>
          <w:szCs w:val="22"/>
          <w:lang w:val="sr-Latn-ME"/>
        </w:rPr>
      </w:pPr>
      <w:r w:rsidRPr="00245390">
        <w:rPr>
          <w:noProof/>
          <w:sz w:val="22"/>
          <w:szCs w:val="22"/>
          <w:lang w:val="sr-Latn-ME"/>
        </w:rPr>
        <w:t>Podaci o primjeni meropenema kod trudnica ne postoje ili su ograničeni</w:t>
      </w:r>
    </w:p>
    <w:p w14:paraId="32C62DF9" w14:textId="56F6D6DD"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Studije na životinjama nijesu pokazale direktno ili indirektno štetno dejstvo ovog lijeka u smislu reproduktivne toksičnosti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5.3).</w:t>
      </w:r>
    </w:p>
    <w:p w14:paraId="77DE70DC" w14:textId="3D1AD021"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Kao mjera predostrožnosti, preporučuje se da se primjena meropenema izb</w:t>
      </w:r>
      <w:r w:rsidR="00932427" w:rsidRPr="00245390">
        <w:rPr>
          <w:rFonts w:eastAsia="TimesNewRoman"/>
          <w:sz w:val="22"/>
          <w:szCs w:val="22"/>
          <w:lang w:val="sr-Latn-ME" w:eastAsia="sr-Latn-RS"/>
        </w:rPr>
        <w:t>j</w:t>
      </w:r>
      <w:r w:rsidRPr="00245390">
        <w:rPr>
          <w:rFonts w:eastAsia="TimesNewRoman"/>
          <w:sz w:val="22"/>
          <w:szCs w:val="22"/>
          <w:lang w:val="sr-Latn-ME" w:eastAsia="sr-Latn-RS"/>
        </w:rPr>
        <w:t>egava za vrijeme trudnoće.</w:t>
      </w:r>
    </w:p>
    <w:p w14:paraId="1AF50212" w14:textId="77777777" w:rsidR="002031B3" w:rsidRPr="00245390" w:rsidRDefault="002031B3" w:rsidP="00EE5F09">
      <w:pPr>
        <w:tabs>
          <w:tab w:val="left" w:pos="540"/>
          <w:tab w:val="left" w:pos="569"/>
        </w:tabs>
        <w:jc w:val="both"/>
        <w:rPr>
          <w:sz w:val="22"/>
          <w:szCs w:val="22"/>
          <w:u w:val="single"/>
          <w:lang w:val="sr-Latn-ME"/>
        </w:rPr>
      </w:pPr>
    </w:p>
    <w:p w14:paraId="445D2E1A" w14:textId="77777777" w:rsidR="0072020E" w:rsidRPr="00245390" w:rsidRDefault="007A3ECB" w:rsidP="00EE5F09">
      <w:pPr>
        <w:tabs>
          <w:tab w:val="left" w:pos="540"/>
          <w:tab w:val="left" w:pos="569"/>
        </w:tabs>
        <w:jc w:val="both"/>
        <w:rPr>
          <w:b/>
          <w:bCs/>
          <w:sz w:val="22"/>
          <w:szCs w:val="22"/>
          <w:lang w:val="sr-Latn-ME"/>
        </w:rPr>
      </w:pPr>
      <w:r w:rsidRPr="00245390">
        <w:rPr>
          <w:sz w:val="22"/>
          <w:szCs w:val="22"/>
          <w:u w:val="single"/>
          <w:lang w:val="sr-Latn-ME"/>
        </w:rPr>
        <w:t xml:space="preserve">Dojenje </w:t>
      </w:r>
    </w:p>
    <w:p w14:paraId="67C713D5" w14:textId="22AC88BA" w:rsidR="007D25C1" w:rsidRPr="00245390" w:rsidRDefault="00932427" w:rsidP="00EE5F09">
      <w:pPr>
        <w:tabs>
          <w:tab w:val="left" w:pos="0"/>
        </w:tabs>
        <w:jc w:val="both"/>
        <w:rPr>
          <w:rFonts w:eastAsia="TimesNewRoman"/>
          <w:sz w:val="22"/>
          <w:szCs w:val="22"/>
          <w:lang w:val="sr-Latn-ME"/>
        </w:rPr>
      </w:pPr>
      <w:bookmarkStart w:id="5" w:name="_Hlk11155060"/>
      <w:r w:rsidRPr="00245390">
        <w:rPr>
          <w:rFonts w:eastAsia="TimesNewRoman"/>
          <w:sz w:val="22"/>
          <w:szCs w:val="22"/>
          <w:lang w:val="sr-Latn-ME"/>
        </w:rPr>
        <w:t>Zabilježeno</w:t>
      </w:r>
      <w:r w:rsidR="007D25C1" w:rsidRPr="00245390">
        <w:rPr>
          <w:rFonts w:eastAsia="TimesNewRoman"/>
          <w:sz w:val="22"/>
          <w:szCs w:val="22"/>
          <w:lang w:val="sr-Latn-ME"/>
        </w:rPr>
        <w:t xml:space="preserve"> je da se male količine meropenema izlučuju u majčino ml</w:t>
      </w:r>
      <w:r w:rsidR="005E7218" w:rsidRPr="00245390">
        <w:rPr>
          <w:rFonts w:eastAsia="TimesNewRoman"/>
          <w:sz w:val="22"/>
          <w:szCs w:val="22"/>
          <w:lang w:val="sr-Latn-ME"/>
        </w:rPr>
        <w:t>ij</w:t>
      </w:r>
      <w:r w:rsidR="007D25C1" w:rsidRPr="00245390">
        <w:rPr>
          <w:rFonts w:eastAsia="TimesNewRoman"/>
          <w:sz w:val="22"/>
          <w:szCs w:val="22"/>
          <w:lang w:val="sr-Latn-ME"/>
        </w:rPr>
        <w:t>eko. Meropenem ne treba</w:t>
      </w:r>
      <w:r w:rsidRPr="00245390">
        <w:rPr>
          <w:rFonts w:eastAsia="TimesNewRoman"/>
          <w:sz w:val="22"/>
          <w:szCs w:val="22"/>
          <w:lang w:val="sr-Latn-ME"/>
        </w:rPr>
        <w:t xml:space="preserve"> </w:t>
      </w:r>
      <w:r w:rsidR="007D25C1" w:rsidRPr="00245390">
        <w:rPr>
          <w:rFonts w:eastAsia="TimesNewRoman"/>
          <w:sz w:val="22"/>
          <w:szCs w:val="22"/>
          <w:lang w:val="sr-Latn-ME"/>
        </w:rPr>
        <w:t>koristiti kod žena koje doje, osim ako potencijalna korist za majku ne opravdava potencijalni rizik za</w:t>
      </w:r>
      <w:r w:rsidRPr="00245390">
        <w:rPr>
          <w:rFonts w:eastAsia="TimesNewRoman"/>
          <w:sz w:val="22"/>
          <w:szCs w:val="22"/>
          <w:lang w:val="sr-Latn-ME"/>
        </w:rPr>
        <w:t xml:space="preserve"> </w:t>
      </w:r>
      <w:r w:rsidR="00575C5E" w:rsidRPr="00245390">
        <w:rPr>
          <w:rFonts w:eastAsia="TimesNewRoman"/>
          <w:sz w:val="22"/>
          <w:szCs w:val="22"/>
          <w:lang w:val="sr-Latn-ME"/>
        </w:rPr>
        <w:t>bebu</w:t>
      </w:r>
      <w:r w:rsidR="007D25C1" w:rsidRPr="00245390">
        <w:rPr>
          <w:rFonts w:eastAsia="TimesNewRoman"/>
          <w:sz w:val="22"/>
          <w:szCs w:val="22"/>
          <w:lang w:val="sr-Latn-ME"/>
        </w:rPr>
        <w:t>.</w:t>
      </w:r>
      <w:bookmarkEnd w:id="5"/>
    </w:p>
    <w:p w14:paraId="45BE72D0" w14:textId="77777777" w:rsidR="00227BDB" w:rsidRPr="00245390" w:rsidRDefault="00227BDB" w:rsidP="00EE5F09">
      <w:pPr>
        <w:tabs>
          <w:tab w:val="left" w:pos="0"/>
        </w:tabs>
        <w:ind w:left="426" w:hanging="540"/>
        <w:jc w:val="both"/>
        <w:rPr>
          <w:b/>
          <w:bCs/>
          <w:sz w:val="22"/>
          <w:szCs w:val="22"/>
          <w:lang w:val="sr-Latn-ME"/>
        </w:rPr>
      </w:pPr>
    </w:p>
    <w:p w14:paraId="36476776" w14:textId="77777777" w:rsidR="0072020E" w:rsidRPr="00245390" w:rsidRDefault="0072020E" w:rsidP="00EE5F09">
      <w:pPr>
        <w:tabs>
          <w:tab w:val="left" w:pos="540"/>
          <w:tab w:val="left" w:pos="569"/>
        </w:tabs>
        <w:ind w:left="540" w:hanging="540"/>
        <w:jc w:val="both"/>
        <w:rPr>
          <w:b/>
          <w:bCs/>
          <w:sz w:val="22"/>
          <w:szCs w:val="22"/>
          <w:lang w:val="sr-Latn-ME"/>
        </w:rPr>
      </w:pPr>
      <w:r w:rsidRPr="00245390">
        <w:rPr>
          <w:b/>
          <w:bCs/>
          <w:sz w:val="22"/>
          <w:szCs w:val="22"/>
          <w:lang w:val="sr-Latn-ME"/>
        </w:rPr>
        <w:t xml:space="preserve">4.7. </w:t>
      </w:r>
      <w:r w:rsidR="00480FB1" w:rsidRPr="00245390">
        <w:rPr>
          <w:b/>
          <w:bCs/>
          <w:sz w:val="22"/>
          <w:szCs w:val="22"/>
          <w:lang w:val="sr-Latn-ME"/>
        </w:rPr>
        <w:tab/>
      </w:r>
      <w:r w:rsidRPr="00245390">
        <w:rPr>
          <w:b/>
          <w:bCs/>
          <w:sz w:val="22"/>
          <w:szCs w:val="22"/>
          <w:lang w:val="sr-Latn-ME"/>
        </w:rPr>
        <w:t xml:space="preserve">Uticaj na </w:t>
      </w:r>
      <w:r w:rsidR="002031B3" w:rsidRPr="00245390">
        <w:rPr>
          <w:b/>
          <w:bCs/>
          <w:sz w:val="22"/>
          <w:szCs w:val="22"/>
          <w:lang w:val="sr-Latn-ME"/>
        </w:rPr>
        <w:t xml:space="preserve">sposobnost </w:t>
      </w:r>
      <w:r w:rsidR="00F34554" w:rsidRPr="00245390">
        <w:rPr>
          <w:b/>
          <w:bCs/>
          <w:sz w:val="22"/>
          <w:szCs w:val="22"/>
          <w:lang w:val="sr-Latn-ME"/>
        </w:rPr>
        <w:t>upravljanja vozili</w:t>
      </w:r>
      <w:r w:rsidRPr="00245390">
        <w:rPr>
          <w:b/>
          <w:bCs/>
          <w:sz w:val="22"/>
          <w:szCs w:val="22"/>
          <w:lang w:val="sr-Latn-ME"/>
        </w:rPr>
        <w:t>m</w:t>
      </w:r>
      <w:r w:rsidR="00F34554" w:rsidRPr="00245390">
        <w:rPr>
          <w:b/>
          <w:bCs/>
          <w:sz w:val="22"/>
          <w:szCs w:val="22"/>
          <w:lang w:val="sr-Latn-ME"/>
        </w:rPr>
        <w:t>a</w:t>
      </w:r>
      <w:r w:rsidRPr="00245390">
        <w:rPr>
          <w:b/>
          <w:bCs/>
          <w:sz w:val="22"/>
          <w:szCs w:val="22"/>
          <w:lang w:val="sr-Latn-ME"/>
        </w:rPr>
        <w:t xml:space="preserve"> i </w:t>
      </w:r>
      <w:r w:rsidR="000D3449" w:rsidRPr="00245390">
        <w:rPr>
          <w:b/>
          <w:bCs/>
          <w:sz w:val="22"/>
          <w:szCs w:val="22"/>
          <w:lang w:val="sr-Latn-ME"/>
        </w:rPr>
        <w:t xml:space="preserve">rukovanje </w:t>
      </w:r>
      <w:r w:rsidRPr="00245390">
        <w:rPr>
          <w:b/>
          <w:bCs/>
          <w:sz w:val="22"/>
          <w:szCs w:val="22"/>
          <w:lang w:val="sr-Latn-ME"/>
        </w:rPr>
        <w:t>mašinama</w:t>
      </w:r>
    </w:p>
    <w:p w14:paraId="6C58E1CC" w14:textId="1021707B" w:rsidR="0072020E" w:rsidRPr="00245390" w:rsidRDefault="0072020E" w:rsidP="00EE5F09">
      <w:pPr>
        <w:tabs>
          <w:tab w:val="left" w:pos="540"/>
          <w:tab w:val="left" w:pos="569"/>
        </w:tabs>
        <w:jc w:val="both"/>
        <w:rPr>
          <w:b/>
          <w:bCs/>
          <w:sz w:val="22"/>
          <w:szCs w:val="22"/>
          <w:lang w:val="sr-Latn-ME"/>
        </w:rPr>
      </w:pPr>
    </w:p>
    <w:p w14:paraId="7D0C0FD3" w14:textId="70EC3D34" w:rsidR="007D25C1" w:rsidRPr="00245390" w:rsidRDefault="007D25C1">
      <w:pPr>
        <w:jc w:val="both"/>
        <w:rPr>
          <w:rFonts w:eastAsia="TimesNewRoman"/>
          <w:sz w:val="22"/>
          <w:szCs w:val="22"/>
          <w:lang w:val="sr-Latn-ME" w:eastAsia="sr-Latn-RS"/>
        </w:rPr>
      </w:pPr>
      <w:r w:rsidRPr="00245390">
        <w:rPr>
          <w:rFonts w:eastAsia="TimesNewRoman"/>
          <w:sz w:val="22"/>
          <w:szCs w:val="22"/>
          <w:lang w:val="sr-Latn-ME" w:eastAsia="sr-Latn-RS"/>
        </w:rPr>
        <w:t xml:space="preserve">Nijesu sprovedene studije uticaja na sposobnosti upravljanja motornim vozilima i rukovanja mašinama. </w:t>
      </w:r>
      <w:bookmarkStart w:id="6" w:name="_Hlk11155084"/>
      <w:r w:rsidRPr="00245390">
        <w:rPr>
          <w:rFonts w:eastAsia="TimesNewRoman"/>
          <w:sz w:val="22"/>
          <w:szCs w:val="22"/>
          <w:lang w:val="sr-Latn-ME"/>
        </w:rPr>
        <w:t>Međutim, ako se upravlja vozilima ili rukuje mašinama, treba uzeti u obzir da su prilikom prim</w:t>
      </w:r>
      <w:r w:rsidR="00347043" w:rsidRPr="00245390">
        <w:rPr>
          <w:rFonts w:eastAsia="TimesNewRoman"/>
          <w:sz w:val="22"/>
          <w:szCs w:val="22"/>
          <w:lang w:val="sr-Latn-ME"/>
        </w:rPr>
        <w:t>j</w:t>
      </w:r>
      <w:r w:rsidRPr="00245390">
        <w:rPr>
          <w:rFonts w:eastAsia="TimesNewRoman"/>
          <w:sz w:val="22"/>
          <w:szCs w:val="22"/>
          <w:lang w:val="sr-Latn-ME"/>
        </w:rPr>
        <w:t>ene meropenema prijavljeni glavobolja, parestezija i konvulzije.</w:t>
      </w:r>
      <w:bookmarkEnd w:id="6"/>
    </w:p>
    <w:p w14:paraId="6DE4C951" w14:textId="77777777" w:rsidR="007D25C1" w:rsidRPr="00245390" w:rsidRDefault="007D25C1" w:rsidP="00EE5F09">
      <w:pPr>
        <w:tabs>
          <w:tab w:val="left" w:pos="540"/>
          <w:tab w:val="left" w:pos="569"/>
        </w:tabs>
        <w:jc w:val="both"/>
        <w:rPr>
          <w:b/>
          <w:bCs/>
          <w:sz w:val="22"/>
          <w:szCs w:val="22"/>
          <w:lang w:val="sr-Latn-ME"/>
        </w:rPr>
      </w:pPr>
    </w:p>
    <w:p w14:paraId="61FD78BE" w14:textId="0B33D96B" w:rsidR="007D25C1"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4.8. </w:t>
      </w:r>
      <w:r w:rsidR="00480FB1" w:rsidRPr="00245390">
        <w:rPr>
          <w:b/>
          <w:bCs/>
          <w:sz w:val="22"/>
          <w:szCs w:val="22"/>
          <w:lang w:val="sr-Latn-ME"/>
        </w:rPr>
        <w:tab/>
      </w:r>
      <w:r w:rsidRPr="00245390">
        <w:rPr>
          <w:b/>
          <w:bCs/>
          <w:sz w:val="22"/>
          <w:szCs w:val="22"/>
          <w:lang w:val="sr-Latn-ME"/>
        </w:rPr>
        <w:t>Neželjena dejstva</w:t>
      </w:r>
    </w:p>
    <w:p w14:paraId="38250F49" w14:textId="2BF319D2" w:rsidR="007D25C1" w:rsidRPr="00245390" w:rsidRDefault="007D25C1" w:rsidP="00EE5F09">
      <w:pPr>
        <w:jc w:val="both"/>
        <w:rPr>
          <w:rFonts w:eastAsia="Calibri"/>
          <w:sz w:val="22"/>
          <w:szCs w:val="22"/>
          <w:u w:val="single"/>
          <w:lang w:val="sr-Latn-ME"/>
        </w:rPr>
      </w:pPr>
    </w:p>
    <w:p w14:paraId="2E7D87C0" w14:textId="28DB7BFB" w:rsidR="007D25C1" w:rsidRPr="00245390" w:rsidRDefault="007D25C1">
      <w:pPr>
        <w:autoSpaceDE w:val="0"/>
        <w:autoSpaceDN w:val="0"/>
        <w:adjustRightInd w:val="0"/>
        <w:jc w:val="both"/>
        <w:rPr>
          <w:rFonts w:eastAsia="TimesNewRoman"/>
          <w:sz w:val="22"/>
          <w:szCs w:val="22"/>
          <w:lang w:val="sr-Latn-ME" w:eastAsia="sr-Latn-RS"/>
        </w:rPr>
      </w:pPr>
      <w:bookmarkStart w:id="7" w:name="_Hlk11155101"/>
      <w:r w:rsidRPr="00245390">
        <w:rPr>
          <w:rFonts w:eastAsia="TimesNewRoman"/>
          <w:sz w:val="22"/>
          <w:szCs w:val="22"/>
          <w:u w:val="single"/>
          <w:lang w:val="sr-Latn-ME"/>
        </w:rPr>
        <w:t>Sažetak bezb</w:t>
      </w:r>
      <w:r w:rsidR="00392BF9" w:rsidRPr="00245390">
        <w:rPr>
          <w:rFonts w:eastAsia="TimesNewRoman"/>
          <w:sz w:val="22"/>
          <w:szCs w:val="22"/>
          <w:u w:val="single"/>
          <w:lang w:val="sr-Latn-ME"/>
        </w:rPr>
        <w:t>j</w:t>
      </w:r>
      <w:r w:rsidRPr="00245390">
        <w:rPr>
          <w:rFonts w:eastAsia="TimesNewRoman"/>
          <w:sz w:val="22"/>
          <w:szCs w:val="22"/>
          <w:u w:val="single"/>
          <w:lang w:val="sr-Latn-ME"/>
        </w:rPr>
        <w:t>ednosnog profila</w:t>
      </w:r>
      <w:bookmarkEnd w:id="7"/>
    </w:p>
    <w:p w14:paraId="20CDA3FF" w14:textId="2B083CC8"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lastRenderedPageBreak/>
        <w:t>Pregledom podataka 4872 pacijenta kod kojih je primijenjeno 5026 terapijskih ciklusa meropenemom, izdvojena su najčešća neželjena dejstva: dijareja (2,3%), osip (1,4%), mučnina/povraćanje (1,4%) i zapaljenje na mjestu primjene injekcije (1,1%). Najčešća neželjena dejstva meropenema vezano za laboratorijske analize su bila trombocitoza (1,6%) i povećanje nivoa enzima jetre (1,5 - 4,3%).</w:t>
      </w:r>
    </w:p>
    <w:p w14:paraId="33B0F6B5" w14:textId="77777777" w:rsidR="007D25C1" w:rsidRPr="00245390" w:rsidRDefault="007D25C1">
      <w:pPr>
        <w:autoSpaceDE w:val="0"/>
        <w:autoSpaceDN w:val="0"/>
        <w:adjustRightInd w:val="0"/>
        <w:jc w:val="both"/>
        <w:rPr>
          <w:rFonts w:eastAsia="TimesNewRoman"/>
          <w:sz w:val="22"/>
          <w:szCs w:val="22"/>
          <w:lang w:val="sr-Latn-ME" w:eastAsia="sr-Latn-RS"/>
        </w:rPr>
      </w:pPr>
    </w:p>
    <w:p w14:paraId="23EB455C" w14:textId="77777777" w:rsidR="00392BF9" w:rsidRPr="00935A4F" w:rsidRDefault="00392BF9" w:rsidP="00EE5F09">
      <w:pPr>
        <w:autoSpaceDE w:val="0"/>
        <w:autoSpaceDN w:val="0"/>
        <w:adjustRightInd w:val="0"/>
        <w:jc w:val="both"/>
        <w:rPr>
          <w:rFonts w:eastAsia="TimesNewRoman"/>
          <w:sz w:val="22"/>
          <w:szCs w:val="22"/>
          <w:u w:val="single"/>
          <w:lang w:val="sr-Latn-ME"/>
        </w:rPr>
      </w:pPr>
      <w:r w:rsidRPr="00935A4F">
        <w:rPr>
          <w:rFonts w:eastAsia="TimesNewRoman"/>
          <w:sz w:val="22"/>
          <w:szCs w:val="22"/>
          <w:u w:val="single"/>
          <w:lang w:val="sr-Latn-ME"/>
        </w:rPr>
        <w:t>Tabelarni prikaz neželjenih dejstava</w:t>
      </w:r>
    </w:p>
    <w:p w14:paraId="26F54C81"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Sva neželjena dejstva su prikazana u tabeli i klasifikovana su po sistemu organa i učestalosti:</w:t>
      </w:r>
    </w:p>
    <w:p w14:paraId="2B84C708" w14:textId="4FA79FF4"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veoma često (≥ 1/10), često (≥ 1/100 do &lt;1/10), povremeno (≥ 1/1 000 do &lt;1/100), rijetko (≥ 1/10 000 do &lt; 1/1000), veoma rijetko (&lt; 1/10 000) i nije poznato (ne može se procijeniti </w:t>
      </w:r>
      <w:r w:rsidR="00177D45" w:rsidRPr="00245390">
        <w:rPr>
          <w:rFonts w:eastAsia="TimesNewRoman"/>
          <w:sz w:val="22"/>
          <w:szCs w:val="22"/>
          <w:lang w:val="sr-Latn-ME" w:eastAsia="sr-Latn-RS"/>
        </w:rPr>
        <w:t>na osnovu dostupnih</w:t>
      </w:r>
      <w:r w:rsidRPr="00245390">
        <w:rPr>
          <w:rFonts w:eastAsia="TimesNewRoman"/>
          <w:sz w:val="22"/>
          <w:szCs w:val="22"/>
          <w:lang w:val="sr-Latn-ME" w:eastAsia="sr-Latn-RS"/>
        </w:rPr>
        <w:t xml:space="preserve"> podataka). U okviru svake podjele po učestalosti, neželjena dejstva su prikazana po opadajućoj ozbiljnosti.</w:t>
      </w:r>
    </w:p>
    <w:p w14:paraId="2F905390" w14:textId="6CB0333F" w:rsidR="007D25C1" w:rsidRPr="00245390" w:rsidRDefault="007D25C1">
      <w:pPr>
        <w:tabs>
          <w:tab w:val="left" w:pos="540"/>
          <w:tab w:val="left" w:pos="569"/>
        </w:tabs>
        <w:jc w:val="both"/>
        <w:rPr>
          <w:rFonts w:eastAsia="TimesNewRoman"/>
          <w:b/>
          <w:bCs/>
          <w:sz w:val="22"/>
          <w:szCs w:val="22"/>
          <w:lang w:val="sr-Latn-ME" w:eastAsia="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960"/>
        <w:gridCol w:w="3057"/>
      </w:tblGrid>
      <w:tr w:rsidR="007D25C1" w:rsidRPr="00245390" w14:paraId="01084C42" w14:textId="77777777" w:rsidTr="00347043">
        <w:trPr>
          <w:jc w:val="center"/>
        </w:trPr>
        <w:tc>
          <w:tcPr>
            <w:tcW w:w="3058" w:type="dxa"/>
            <w:shd w:val="clear" w:color="auto" w:fill="auto"/>
          </w:tcPr>
          <w:p w14:paraId="4EE2772E" w14:textId="3EAAEF66" w:rsidR="007D25C1" w:rsidRPr="00245390" w:rsidRDefault="000640A4">
            <w:pPr>
              <w:jc w:val="both"/>
              <w:rPr>
                <w:b/>
                <w:bCs/>
                <w:sz w:val="22"/>
                <w:szCs w:val="22"/>
                <w:lang w:val="sr-Latn-ME"/>
              </w:rPr>
            </w:pPr>
            <w:r w:rsidRPr="00245390">
              <w:rPr>
                <w:b/>
                <w:bCs/>
                <w:iCs/>
                <w:sz w:val="22"/>
                <w:szCs w:val="22"/>
                <w:lang w:val="sr-Latn-ME"/>
              </w:rPr>
              <w:t>Klasa s</w:t>
            </w:r>
            <w:r w:rsidR="007D25C1" w:rsidRPr="00245390">
              <w:rPr>
                <w:b/>
                <w:bCs/>
                <w:iCs/>
                <w:sz w:val="22"/>
                <w:szCs w:val="22"/>
                <w:lang w:val="sr-Latn-ME"/>
              </w:rPr>
              <w:t>istem</w:t>
            </w:r>
            <w:r w:rsidRPr="00245390">
              <w:rPr>
                <w:b/>
                <w:bCs/>
                <w:iCs/>
                <w:sz w:val="22"/>
                <w:szCs w:val="22"/>
                <w:lang w:val="sr-Latn-ME"/>
              </w:rPr>
              <w:t>a</w:t>
            </w:r>
            <w:r w:rsidR="007D25C1" w:rsidRPr="00245390">
              <w:rPr>
                <w:b/>
                <w:bCs/>
                <w:iCs/>
                <w:sz w:val="22"/>
                <w:szCs w:val="22"/>
                <w:lang w:val="sr-Latn-ME"/>
              </w:rPr>
              <w:t xml:space="preserve"> organa </w:t>
            </w:r>
          </w:p>
        </w:tc>
        <w:tc>
          <w:tcPr>
            <w:tcW w:w="2960" w:type="dxa"/>
            <w:shd w:val="clear" w:color="auto" w:fill="auto"/>
          </w:tcPr>
          <w:p w14:paraId="6102FE92" w14:textId="77777777" w:rsidR="007D25C1" w:rsidRPr="00245390" w:rsidRDefault="007D25C1">
            <w:pPr>
              <w:jc w:val="both"/>
              <w:rPr>
                <w:b/>
                <w:bCs/>
                <w:sz w:val="22"/>
                <w:szCs w:val="22"/>
                <w:lang w:val="sr-Latn-ME"/>
              </w:rPr>
            </w:pPr>
            <w:r w:rsidRPr="00245390">
              <w:rPr>
                <w:b/>
                <w:bCs/>
                <w:iCs/>
                <w:sz w:val="22"/>
                <w:szCs w:val="22"/>
                <w:lang w:val="sr-Latn-ME"/>
              </w:rPr>
              <w:t xml:space="preserve">Učestalost </w:t>
            </w:r>
          </w:p>
        </w:tc>
        <w:tc>
          <w:tcPr>
            <w:tcW w:w="3057" w:type="dxa"/>
            <w:shd w:val="clear" w:color="auto" w:fill="auto"/>
          </w:tcPr>
          <w:p w14:paraId="4AECFF3B" w14:textId="77777777" w:rsidR="007D25C1" w:rsidRPr="00245390" w:rsidRDefault="007D25C1">
            <w:pPr>
              <w:jc w:val="both"/>
              <w:rPr>
                <w:b/>
                <w:bCs/>
                <w:sz w:val="22"/>
                <w:szCs w:val="22"/>
                <w:lang w:val="sr-Latn-ME"/>
              </w:rPr>
            </w:pPr>
            <w:r w:rsidRPr="00245390">
              <w:rPr>
                <w:b/>
                <w:bCs/>
                <w:iCs/>
                <w:sz w:val="22"/>
                <w:szCs w:val="22"/>
                <w:lang w:val="sr-Latn-ME"/>
              </w:rPr>
              <w:t>Neželjeno dejstvo</w:t>
            </w:r>
          </w:p>
        </w:tc>
      </w:tr>
      <w:tr w:rsidR="007D25C1" w:rsidRPr="00245390" w14:paraId="4A470DBA" w14:textId="77777777" w:rsidTr="00347043">
        <w:trPr>
          <w:jc w:val="center"/>
        </w:trPr>
        <w:tc>
          <w:tcPr>
            <w:tcW w:w="3058" w:type="dxa"/>
            <w:shd w:val="clear" w:color="auto" w:fill="auto"/>
            <w:vAlign w:val="center"/>
          </w:tcPr>
          <w:p w14:paraId="366240F1" w14:textId="77777777"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Infekcije i infestacije </w:t>
            </w:r>
          </w:p>
        </w:tc>
        <w:tc>
          <w:tcPr>
            <w:tcW w:w="2960" w:type="dxa"/>
            <w:shd w:val="clear" w:color="auto" w:fill="auto"/>
          </w:tcPr>
          <w:p w14:paraId="72622388" w14:textId="3EAEEB1B" w:rsidR="007D25C1" w:rsidRPr="00245390" w:rsidRDefault="000640A4">
            <w:pPr>
              <w:autoSpaceDE w:val="0"/>
              <w:autoSpaceDN w:val="0"/>
              <w:adjustRightInd w:val="0"/>
              <w:jc w:val="both"/>
              <w:rPr>
                <w:rFonts w:eastAsia="TimesNewRoman"/>
                <w:sz w:val="22"/>
                <w:szCs w:val="22"/>
                <w:lang w:val="sr-Latn-ME"/>
              </w:rPr>
            </w:pPr>
            <w:r w:rsidRPr="00245390">
              <w:rPr>
                <w:rFonts w:eastAsia="TimesNewRoman"/>
                <w:sz w:val="22"/>
                <w:szCs w:val="22"/>
                <w:lang w:val="sr-Latn-ME"/>
              </w:rPr>
              <w:t>P</w:t>
            </w:r>
            <w:r w:rsidR="007D25C1" w:rsidRPr="00245390">
              <w:rPr>
                <w:rFonts w:eastAsia="TimesNewRoman"/>
                <w:sz w:val="22"/>
                <w:szCs w:val="22"/>
                <w:lang w:val="sr-Latn-ME"/>
              </w:rPr>
              <w:t>ovremeno</w:t>
            </w:r>
          </w:p>
        </w:tc>
        <w:tc>
          <w:tcPr>
            <w:tcW w:w="3057" w:type="dxa"/>
            <w:shd w:val="clear" w:color="auto" w:fill="auto"/>
          </w:tcPr>
          <w:p w14:paraId="39FA16BC" w14:textId="577E367C" w:rsidR="007D25C1" w:rsidRPr="00245390" w:rsidRDefault="000640A4">
            <w:pPr>
              <w:autoSpaceDE w:val="0"/>
              <w:autoSpaceDN w:val="0"/>
              <w:adjustRightInd w:val="0"/>
              <w:jc w:val="both"/>
              <w:rPr>
                <w:rFonts w:eastAsia="TimesNewRoman"/>
                <w:sz w:val="22"/>
                <w:szCs w:val="22"/>
                <w:lang w:val="sr-Latn-ME"/>
              </w:rPr>
            </w:pPr>
            <w:r w:rsidRPr="00245390">
              <w:rPr>
                <w:rFonts w:eastAsia="TimesNewRoman"/>
                <w:sz w:val="22"/>
                <w:szCs w:val="22"/>
                <w:lang w:val="sr-Latn-ME"/>
              </w:rPr>
              <w:t>O</w:t>
            </w:r>
            <w:r w:rsidR="007D25C1" w:rsidRPr="00245390">
              <w:rPr>
                <w:rFonts w:eastAsia="TimesNewRoman"/>
                <w:sz w:val="22"/>
                <w:szCs w:val="22"/>
                <w:lang w:val="sr-Latn-ME"/>
              </w:rPr>
              <w:t>ralna i vaginalna kandidijaza</w:t>
            </w:r>
          </w:p>
        </w:tc>
      </w:tr>
      <w:tr w:rsidR="007D25C1" w:rsidRPr="00245390" w14:paraId="05447382" w14:textId="77777777" w:rsidTr="00347043">
        <w:trPr>
          <w:jc w:val="center"/>
        </w:trPr>
        <w:tc>
          <w:tcPr>
            <w:tcW w:w="3058" w:type="dxa"/>
            <w:vMerge w:val="restart"/>
            <w:shd w:val="clear" w:color="auto" w:fill="auto"/>
            <w:vAlign w:val="center"/>
          </w:tcPr>
          <w:p w14:paraId="22E673D6" w14:textId="1FFD1E6C"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Poremećaji krvi i limfnog sistema</w:t>
            </w:r>
          </w:p>
        </w:tc>
        <w:tc>
          <w:tcPr>
            <w:tcW w:w="2960" w:type="dxa"/>
            <w:shd w:val="clear" w:color="auto" w:fill="auto"/>
          </w:tcPr>
          <w:p w14:paraId="7DF6955B" w14:textId="4C84D3E0" w:rsidR="007D25C1" w:rsidRPr="00245390" w:rsidRDefault="000640A4">
            <w:pPr>
              <w:autoSpaceDE w:val="0"/>
              <w:autoSpaceDN w:val="0"/>
              <w:adjustRightInd w:val="0"/>
              <w:jc w:val="both"/>
              <w:rPr>
                <w:rFonts w:eastAsia="TimesNewRoman"/>
                <w:sz w:val="22"/>
                <w:szCs w:val="22"/>
                <w:lang w:val="sr-Latn-ME"/>
              </w:rPr>
            </w:pPr>
            <w:r w:rsidRPr="00245390">
              <w:rPr>
                <w:rFonts w:eastAsia="TimesNewRoman"/>
                <w:sz w:val="22"/>
                <w:szCs w:val="22"/>
                <w:lang w:val="sr-Latn-ME"/>
              </w:rPr>
              <w:t>Č</w:t>
            </w:r>
            <w:r w:rsidR="007D25C1" w:rsidRPr="00245390">
              <w:rPr>
                <w:rFonts w:eastAsia="TimesNewRoman"/>
                <w:sz w:val="22"/>
                <w:szCs w:val="22"/>
                <w:lang w:val="sr-Latn-ME"/>
              </w:rPr>
              <w:t>esto</w:t>
            </w:r>
          </w:p>
        </w:tc>
        <w:tc>
          <w:tcPr>
            <w:tcW w:w="3057" w:type="dxa"/>
            <w:shd w:val="clear" w:color="auto" w:fill="auto"/>
          </w:tcPr>
          <w:p w14:paraId="77CCC23C" w14:textId="1EC10C86" w:rsidR="007D25C1" w:rsidRPr="00245390" w:rsidRDefault="000640A4">
            <w:pPr>
              <w:autoSpaceDE w:val="0"/>
              <w:autoSpaceDN w:val="0"/>
              <w:adjustRightInd w:val="0"/>
              <w:jc w:val="both"/>
              <w:rPr>
                <w:rFonts w:eastAsia="TimesNewRoman"/>
                <w:sz w:val="22"/>
                <w:szCs w:val="22"/>
                <w:lang w:val="sr-Latn-ME"/>
              </w:rPr>
            </w:pPr>
            <w:r w:rsidRPr="00245390">
              <w:rPr>
                <w:rFonts w:eastAsia="TimesNewRoman"/>
                <w:sz w:val="22"/>
                <w:szCs w:val="22"/>
                <w:lang w:val="sr-Latn-ME"/>
              </w:rPr>
              <w:t>T</w:t>
            </w:r>
            <w:r w:rsidR="007D25C1" w:rsidRPr="00245390">
              <w:rPr>
                <w:rFonts w:eastAsia="TimesNewRoman"/>
                <w:sz w:val="22"/>
                <w:szCs w:val="22"/>
                <w:lang w:val="sr-Latn-ME"/>
              </w:rPr>
              <w:t>rombocitemija</w:t>
            </w:r>
          </w:p>
        </w:tc>
      </w:tr>
      <w:tr w:rsidR="00347043" w:rsidRPr="00245390" w14:paraId="188BF9F6" w14:textId="77777777" w:rsidTr="00EE5F09">
        <w:trPr>
          <w:trHeight w:val="1060"/>
          <w:jc w:val="center"/>
        </w:trPr>
        <w:tc>
          <w:tcPr>
            <w:tcW w:w="3058" w:type="dxa"/>
            <w:vMerge/>
            <w:shd w:val="clear" w:color="auto" w:fill="auto"/>
            <w:vAlign w:val="center"/>
          </w:tcPr>
          <w:p w14:paraId="2E0FF182" w14:textId="77777777" w:rsidR="00347043" w:rsidRPr="00245390" w:rsidRDefault="00347043">
            <w:pPr>
              <w:autoSpaceDE w:val="0"/>
              <w:autoSpaceDN w:val="0"/>
              <w:adjustRightInd w:val="0"/>
              <w:jc w:val="both"/>
              <w:rPr>
                <w:rFonts w:eastAsia="TimesNewRoman"/>
                <w:sz w:val="22"/>
                <w:szCs w:val="22"/>
                <w:lang w:val="sr-Latn-ME"/>
              </w:rPr>
            </w:pPr>
          </w:p>
        </w:tc>
        <w:tc>
          <w:tcPr>
            <w:tcW w:w="2960" w:type="dxa"/>
            <w:shd w:val="clear" w:color="auto" w:fill="auto"/>
          </w:tcPr>
          <w:p w14:paraId="34B0D34E" w14:textId="6F0A237B" w:rsidR="00347043" w:rsidRPr="00245390" w:rsidRDefault="00347043">
            <w:pPr>
              <w:autoSpaceDE w:val="0"/>
              <w:autoSpaceDN w:val="0"/>
              <w:adjustRightInd w:val="0"/>
              <w:jc w:val="both"/>
              <w:rPr>
                <w:rFonts w:eastAsia="TimesNewRoman"/>
                <w:sz w:val="22"/>
                <w:szCs w:val="22"/>
                <w:lang w:val="sr-Latn-ME"/>
              </w:rPr>
            </w:pPr>
            <w:r w:rsidRPr="00245390">
              <w:rPr>
                <w:rFonts w:eastAsia="TimesNewRoman"/>
                <w:sz w:val="22"/>
                <w:szCs w:val="22"/>
                <w:lang w:val="sr-Latn-ME"/>
              </w:rPr>
              <w:t>Povremeno</w:t>
            </w:r>
          </w:p>
        </w:tc>
        <w:tc>
          <w:tcPr>
            <w:tcW w:w="3057" w:type="dxa"/>
            <w:shd w:val="clear" w:color="auto" w:fill="auto"/>
          </w:tcPr>
          <w:p w14:paraId="62F82F7E" w14:textId="6533F60A" w:rsidR="00347043" w:rsidRPr="00245390" w:rsidRDefault="00347043" w:rsidP="00347043">
            <w:pPr>
              <w:autoSpaceDE w:val="0"/>
              <w:autoSpaceDN w:val="0"/>
              <w:adjustRightInd w:val="0"/>
              <w:jc w:val="both"/>
              <w:rPr>
                <w:rFonts w:eastAsia="TimesNewRoman"/>
                <w:sz w:val="22"/>
                <w:szCs w:val="22"/>
                <w:lang w:val="sr-Latn-ME"/>
              </w:rPr>
            </w:pPr>
            <w:r w:rsidRPr="00245390">
              <w:rPr>
                <w:rFonts w:eastAsia="TimesNewRoman"/>
                <w:sz w:val="22"/>
                <w:szCs w:val="22"/>
                <w:lang w:val="sr-Latn-ME"/>
              </w:rPr>
              <w:t>Agranulocitoza, hemolitička</w:t>
            </w:r>
          </w:p>
          <w:p w14:paraId="7EA73152" w14:textId="3697F0AF" w:rsidR="00347043" w:rsidRPr="00245390" w:rsidRDefault="00347043">
            <w:pPr>
              <w:autoSpaceDE w:val="0"/>
              <w:autoSpaceDN w:val="0"/>
              <w:adjustRightInd w:val="0"/>
              <w:jc w:val="both"/>
              <w:rPr>
                <w:rFonts w:eastAsia="TimesNewRoman"/>
                <w:sz w:val="22"/>
                <w:szCs w:val="22"/>
                <w:lang w:val="sr-Latn-ME"/>
              </w:rPr>
            </w:pPr>
            <w:r w:rsidRPr="00245390">
              <w:rPr>
                <w:rFonts w:eastAsia="TimesNewRoman"/>
                <w:sz w:val="22"/>
                <w:szCs w:val="22"/>
                <w:lang w:val="sr-Latn-ME"/>
              </w:rPr>
              <w:t>anemija, trombocitopenija, neutropenija, leukopenija, eozinofilija,</w:t>
            </w:r>
          </w:p>
          <w:p w14:paraId="248835FD" w14:textId="5B1EF190" w:rsidR="00347043" w:rsidRPr="00245390" w:rsidRDefault="00347043">
            <w:pPr>
              <w:autoSpaceDE w:val="0"/>
              <w:autoSpaceDN w:val="0"/>
              <w:adjustRightInd w:val="0"/>
              <w:jc w:val="both"/>
              <w:rPr>
                <w:rFonts w:eastAsia="TimesNewRoman"/>
                <w:sz w:val="22"/>
                <w:szCs w:val="22"/>
                <w:lang w:val="sr-Latn-ME"/>
              </w:rPr>
            </w:pPr>
          </w:p>
        </w:tc>
      </w:tr>
      <w:tr w:rsidR="007D25C1" w:rsidRPr="00245390" w14:paraId="25EBA20B" w14:textId="77777777" w:rsidTr="00347043">
        <w:trPr>
          <w:jc w:val="center"/>
        </w:trPr>
        <w:tc>
          <w:tcPr>
            <w:tcW w:w="3058" w:type="dxa"/>
            <w:shd w:val="clear" w:color="auto" w:fill="auto"/>
            <w:vAlign w:val="center"/>
          </w:tcPr>
          <w:p w14:paraId="116F68C2" w14:textId="4EF762B6" w:rsidR="007D25C1" w:rsidRPr="00245390" w:rsidRDefault="007D25C1">
            <w:pPr>
              <w:autoSpaceDE w:val="0"/>
              <w:autoSpaceDN w:val="0"/>
              <w:adjustRightInd w:val="0"/>
              <w:jc w:val="both"/>
              <w:rPr>
                <w:rFonts w:eastAsia="TimesNewRoman"/>
                <w:sz w:val="22"/>
                <w:szCs w:val="22"/>
                <w:lang w:val="sr-Latn-ME"/>
              </w:rPr>
            </w:pPr>
            <w:r w:rsidRPr="00245390">
              <w:rPr>
                <w:rFonts w:eastAsia="TimesNewRoman"/>
                <w:sz w:val="22"/>
                <w:szCs w:val="22"/>
                <w:lang w:val="sr-Latn-ME"/>
              </w:rPr>
              <w:t>Poremećaji imunog sistema</w:t>
            </w:r>
          </w:p>
        </w:tc>
        <w:tc>
          <w:tcPr>
            <w:tcW w:w="2960" w:type="dxa"/>
            <w:shd w:val="clear" w:color="auto" w:fill="auto"/>
          </w:tcPr>
          <w:p w14:paraId="7A128C3A" w14:textId="3E6782A8" w:rsidR="007D25C1" w:rsidRPr="00245390" w:rsidRDefault="000640A4">
            <w:pPr>
              <w:autoSpaceDE w:val="0"/>
              <w:autoSpaceDN w:val="0"/>
              <w:adjustRightInd w:val="0"/>
              <w:jc w:val="both"/>
              <w:rPr>
                <w:rFonts w:eastAsia="TimesNewRoman"/>
                <w:sz w:val="22"/>
                <w:szCs w:val="22"/>
                <w:lang w:val="sr-Latn-ME"/>
              </w:rPr>
            </w:pPr>
            <w:r w:rsidRPr="00245390">
              <w:rPr>
                <w:rFonts w:eastAsia="TimesNewRoman"/>
                <w:sz w:val="22"/>
                <w:szCs w:val="22"/>
                <w:lang w:val="sr-Latn-ME"/>
              </w:rPr>
              <w:t>P</w:t>
            </w:r>
            <w:r w:rsidR="007D25C1" w:rsidRPr="00245390">
              <w:rPr>
                <w:rFonts w:eastAsia="TimesNewRoman"/>
                <w:sz w:val="22"/>
                <w:szCs w:val="22"/>
                <w:lang w:val="sr-Latn-ME"/>
              </w:rPr>
              <w:t>ovremeno</w:t>
            </w:r>
          </w:p>
        </w:tc>
        <w:tc>
          <w:tcPr>
            <w:tcW w:w="3057" w:type="dxa"/>
            <w:shd w:val="clear" w:color="auto" w:fill="auto"/>
          </w:tcPr>
          <w:p w14:paraId="349A7E4A" w14:textId="3C20F225" w:rsidR="007D25C1" w:rsidRPr="00245390" w:rsidRDefault="00347043">
            <w:pPr>
              <w:autoSpaceDE w:val="0"/>
              <w:autoSpaceDN w:val="0"/>
              <w:adjustRightInd w:val="0"/>
              <w:jc w:val="both"/>
              <w:rPr>
                <w:rFonts w:eastAsia="TimesNewRoman"/>
                <w:sz w:val="22"/>
                <w:szCs w:val="22"/>
                <w:lang w:val="sr-Latn-ME"/>
              </w:rPr>
            </w:pPr>
            <w:r w:rsidRPr="00245390">
              <w:rPr>
                <w:rFonts w:eastAsia="TimesNewRoman"/>
                <w:sz w:val="22"/>
                <w:szCs w:val="22"/>
                <w:lang w:val="sr-Latn-ME"/>
              </w:rPr>
              <w:t>Anafilaksa, a</w:t>
            </w:r>
            <w:r w:rsidR="007D25C1" w:rsidRPr="00245390">
              <w:rPr>
                <w:rFonts w:eastAsia="TimesNewRoman"/>
                <w:sz w:val="22"/>
                <w:szCs w:val="22"/>
                <w:lang w:val="sr-Latn-ME"/>
              </w:rPr>
              <w:t xml:space="preserve">ngioedem, (vidjeti </w:t>
            </w:r>
            <w:r w:rsidRPr="00245390">
              <w:rPr>
                <w:rFonts w:eastAsia="TimesNewRoman"/>
                <w:sz w:val="22"/>
                <w:szCs w:val="22"/>
                <w:lang w:val="sr-Latn-ME"/>
              </w:rPr>
              <w:t>djelove</w:t>
            </w:r>
            <w:r w:rsidR="007D25C1" w:rsidRPr="00245390">
              <w:rPr>
                <w:rFonts w:eastAsia="TimesNewRoman"/>
                <w:sz w:val="22"/>
                <w:szCs w:val="22"/>
                <w:lang w:val="sr-Latn-ME"/>
              </w:rPr>
              <w:t xml:space="preserve"> 4.3 i 4.4)</w:t>
            </w:r>
          </w:p>
        </w:tc>
      </w:tr>
      <w:tr w:rsidR="0042416A" w:rsidRPr="00245390" w14:paraId="0B1A089B" w14:textId="77777777" w:rsidTr="00347043">
        <w:trPr>
          <w:jc w:val="center"/>
        </w:trPr>
        <w:tc>
          <w:tcPr>
            <w:tcW w:w="3058" w:type="dxa"/>
            <w:shd w:val="clear" w:color="auto" w:fill="auto"/>
            <w:vAlign w:val="center"/>
          </w:tcPr>
          <w:p w14:paraId="75FC218A" w14:textId="7C7637B5" w:rsidR="0042416A" w:rsidRPr="00245390" w:rsidRDefault="0042416A" w:rsidP="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Psihijatrijski poremećaji</w:t>
            </w:r>
          </w:p>
        </w:tc>
        <w:tc>
          <w:tcPr>
            <w:tcW w:w="2960" w:type="dxa"/>
            <w:shd w:val="clear" w:color="auto" w:fill="auto"/>
          </w:tcPr>
          <w:p w14:paraId="649F989A" w14:textId="7A9DFC42" w:rsidR="0042416A" w:rsidRPr="00245390" w:rsidRDefault="0042416A" w:rsidP="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Rijetko</w:t>
            </w:r>
          </w:p>
        </w:tc>
        <w:tc>
          <w:tcPr>
            <w:tcW w:w="3057" w:type="dxa"/>
            <w:shd w:val="clear" w:color="auto" w:fill="auto"/>
          </w:tcPr>
          <w:p w14:paraId="59AE3452" w14:textId="641BB16B" w:rsidR="0042416A" w:rsidRPr="00245390" w:rsidRDefault="0042416A" w:rsidP="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Delirijum</w:t>
            </w:r>
          </w:p>
        </w:tc>
      </w:tr>
      <w:tr w:rsidR="0042416A" w:rsidRPr="00245390" w14:paraId="5280B8E4" w14:textId="77777777" w:rsidTr="00347043">
        <w:trPr>
          <w:jc w:val="center"/>
        </w:trPr>
        <w:tc>
          <w:tcPr>
            <w:tcW w:w="3058" w:type="dxa"/>
            <w:vMerge w:val="restart"/>
            <w:shd w:val="clear" w:color="auto" w:fill="auto"/>
            <w:vAlign w:val="center"/>
          </w:tcPr>
          <w:p w14:paraId="5BB44C92"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Poremećaji nervnog sistema</w:t>
            </w:r>
          </w:p>
        </w:tc>
        <w:tc>
          <w:tcPr>
            <w:tcW w:w="2960" w:type="dxa"/>
            <w:shd w:val="clear" w:color="auto" w:fill="auto"/>
          </w:tcPr>
          <w:p w14:paraId="2EEA6F4E" w14:textId="1A7C88E9"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Često </w:t>
            </w:r>
          </w:p>
        </w:tc>
        <w:tc>
          <w:tcPr>
            <w:tcW w:w="3057" w:type="dxa"/>
            <w:shd w:val="clear" w:color="auto" w:fill="auto"/>
          </w:tcPr>
          <w:p w14:paraId="72BCDD3F" w14:textId="369D1B8E"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Glavobolja</w:t>
            </w:r>
          </w:p>
        </w:tc>
      </w:tr>
      <w:tr w:rsidR="0042416A" w:rsidRPr="00245390" w14:paraId="55EA56C6" w14:textId="77777777" w:rsidTr="00092681">
        <w:trPr>
          <w:trHeight w:val="424"/>
          <w:jc w:val="center"/>
        </w:trPr>
        <w:tc>
          <w:tcPr>
            <w:tcW w:w="3058" w:type="dxa"/>
            <w:vMerge/>
            <w:shd w:val="clear" w:color="auto" w:fill="auto"/>
            <w:vAlign w:val="center"/>
          </w:tcPr>
          <w:p w14:paraId="2F41D82C"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0C0EE58E" w14:textId="60A7D94B"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Povremeno </w:t>
            </w:r>
          </w:p>
        </w:tc>
        <w:tc>
          <w:tcPr>
            <w:tcW w:w="3057" w:type="dxa"/>
            <w:shd w:val="clear" w:color="auto" w:fill="auto"/>
          </w:tcPr>
          <w:p w14:paraId="32893CB2" w14:textId="294F91D0"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Parastezije</w:t>
            </w:r>
          </w:p>
        </w:tc>
      </w:tr>
      <w:tr w:rsidR="0042416A" w:rsidRPr="00245390" w14:paraId="26D67F71" w14:textId="77777777" w:rsidTr="0042416A">
        <w:trPr>
          <w:trHeight w:val="424"/>
          <w:jc w:val="center"/>
        </w:trPr>
        <w:tc>
          <w:tcPr>
            <w:tcW w:w="3058" w:type="dxa"/>
            <w:vMerge/>
            <w:shd w:val="clear" w:color="auto" w:fill="auto"/>
            <w:vAlign w:val="center"/>
          </w:tcPr>
          <w:p w14:paraId="7A0217A5" w14:textId="77777777" w:rsidR="0042416A" w:rsidRPr="00245390" w:rsidRDefault="0042416A" w:rsidP="0042416A">
            <w:pPr>
              <w:autoSpaceDE w:val="0"/>
              <w:autoSpaceDN w:val="0"/>
              <w:adjustRightInd w:val="0"/>
              <w:jc w:val="both"/>
              <w:rPr>
                <w:rFonts w:eastAsia="TimesNewRoman"/>
                <w:sz w:val="22"/>
                <w:szCs w:val="22"/>
                <w:lang w:val="sr-Latn-ME"/>
              </w:rPr>
            </w:pPr>
          </w:p>
        </w:tc>
        <w:tc>
          <w:tcPr>
            <w:tcW w:w="2960" w:type="dxa"/>
            <w:shd w:val="clear" w:color="auto" w:fill="auto"/>
          </w:tcPr>
          <w:p w14:paraId="3D51FCB8" w14:textId="224804AA" w:rsidR="0042416A" w:rsidRPr="00245390" w:rsidRDefault="0042416A" w:rsidP="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Rijetko</w:t>
            </w:r>
          </w:p>
        </w:tc>
        <w:tc>
          <w:tcPr>
            <w:tcW w:w="3057" w:type="dxa"/>
            <w:shd w:val="clear" w:color="auto" w:fill="auto"/>
          </w:tcPr>
          <w:p w14:paraId="0D58E85A" w14:textId="21FA5941" w:rsidR="0042416A" w:rsidRPr="00245390" w:rsidRDefault="0042416A" w:rsidP="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Konvulzije (vidjeti dio 4.4)</w:t>
            </w:r>
          </w:p>
        </w:tc>
      </w:tr>
      <w:tr w:rsidR="0042416A" w:rsidRPr="00245390" w14:paraId="669369C5" w14:textId="77777777" w:rsidTr="00347043">
        <w:trPr>
          <w:jc w:val="center"/>
        </w:trPr>
        <w:tc>
          <w:tcPr>
            <w:tcW w:w="3058" w:type="dxa"/>
            <w:vMerge w:val="restart"/>
            <w:shd w:val="clear" w:color="auto" w:fill="auto"/>
            <w:vAlign w:val="center"/>
          </w:tcPr>
          <w:p w14:paraId="6F53F818"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Gastrointestinalni poremećaji </w:t>
            </w:r>
          </w:p>
        </w:tc>
        <w:tc>
          <w:tcPr>
            <w:tcW w:w="2960" w:type="dxa"/>
            <w:shd w:val="clear" w:color="auto" w:fill="auto"/>
          </w:tcPr>
          <w:p w14:paraId="0361AFA7" w14:textId="1A6C693B"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Često</w:t>
            </w:r>
          </w:p>
        </w:tc>
        <w:tc>
          <w:tcPr>
            <w:tcW w:w="3057" w:type="dxa"/>
            <w:shd w:val="clear" w:color="auto" w:fill="auto"/>
          </w:tcPr>
          <w:p w14:paraId="559C41C1" w14:textId="67C694F9"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Dijareja, </w:t>
            </w:r>
            <w:r w:rsidR="001A1D51" w:rsidRPr="00245390">
              <w:rPr>
                <w:rFonts w:eastAsia="TimesNewRoman"/>
                <w:sz w:val="22"/>
                <w:szCs w:val="22"/>
                <w:lang w:val="sr-Latn-ME"/>
              </w:rPr>
              <w:t xml:space="preserve">bol u abdomenu, </w:t>
            </w:r>
            <w:r w:rsidRPr="00245390">
              <w:rPr>
                <w:rFonts w:eastAsia="TimesNewRoman"/>
                <w:sz w:val="22"/>
                <w:szCs w:val="22"/>
                <w:lang w:val="sr-Latn-ME"/>
              </w:rPr>
              <w:t>povraćanje, mučnina</w:t>
            </w:r>
          </w:p>
        </w:tc>
      </w:tr>
      <w:tr w:rsidR="0042416A" w:rsidRPr="00245390" w14:paraId="3F24D28E" w14:textId="77777777" w:rsidTr="00347043">
        <w:trPr>
          <w:jc w:val="center"/>
        </w:trPr>
        <w:tc>
          <w:tcPr>
            <w:tcW w:w="3058" w:type="dxa"/>
            <w:vMerge/>
            <w:shd w:val="clear" w:color="auto" w:fill="auto"/>
          </w:tcPr>
          <w:p w14:paraId="404D908B"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7AAF0680" w14:textId="25F3FC8C"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Povremeno </w:t>
            </w:r>
          </w:p>
        </w:tc>
        <w:tc>
          <w:tcPr>
            <w:tcW w:w="3057" w:type="dxa"/>
            <w:shd w:val="clear" w:color="auto" w:fill="auto"/>
          </w:tcPr>
          <w:p w14:paraId="27994CD2" w14:textId="22DA993B"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Kolitis povezan sa upotrebom  antibiotika (vidjeti dio 4.4)</w:t>
            </w:r>
          </w:p>
        </w:tc>
      </w:tr>
      <w:tr w:rsidR="0042416A" w:rsidRPr="00245390" w14:paraId="6EB47DED" w14:textId="77777777" w:rsidTr="00347043">
        <w:trPr>
          <w:jc w:val="center"/>
        </w:trPr>
        <w:tc>
          <w:tcPr>
            <w:tcW w:w="3058" w:type="dxa"/>
            <w:vMerge w:val="restart"/>
            <w:shd w:val="clear" w:color="auto" w:fill="auto"/>
          </w:tcPr>
          <w:p w14:paraId="02AE6942"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Hepatobilijarni poremećaji </w:t>
            </w:r>
          </w:p>
        </w:tc>
        <w:tc>
          <w:tcPr>
            <w:tcW w:w="2960" w:type="dxa"/>
            <w:shd w:val="clear" w:color="auto" w:fill="auto"/>
          </w:tcPr>
          <w:p w14:paraId="7808AA04" w14:textId="4952322D"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Često</w:t>
            </w:r>
          </w:p>
        </w:tc>
        <w:tc>
          <w:tcPr>
            <w:tcW w:w="3057" w:type="dxa"/>
            <w:shd w:val="clear" w:color="auto" w:fill="auto"/>
          </w:tcPr>
          <w:p w14:paraId="7F6F5FA0" w14:textId="715BB299"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Porast nivoa transaminaza, alkalne fosfataze i laktat dehidrogenaze u krvi</w:t>
            </w:r>
          </w:p>
        </w:tc>
      </w:tr>
      <w:tr w:rsidR="0042416A" w:rsidRPr="00245390" w14:paraId="7B34E151" w14:textId="77777777" w:rsidTr="00347043">
        <w:trPr>
          <w:jc w:val="center"/>
        </w:trPr>
        <w:tc>
          <w:tcPr>
            <w:tcW w:w="3058" w:type="dxa"/>
            <w:vMerge/>
            <w:shd w:val="clear" w:color="auto" w:fill="auto"/>
          </w:tcPr>
          <w:p w14:paraId="1D4FD03B"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19F426E7" w14:textId="65DF9802"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Povremeno</w:t>
            </w:r>
          </w:p>
        </w:tc>
        <w:tc>
          <w:tcPr>
            <w:tcW w:w="3057" w:type="dxa"/>
            <w:shd w:val="clear" w:color="auto" w:fill="auto"/>
          </w:tcPr>
          <w:p w14:paraId="468519A0" w14:textId="4DD76B74"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Porast nivoa bilirubina u krvi</w:t>
            </w:r>
          </w:p>
        </w:tc>
      </w:tr>
      <w:tr w:rsidR="0042416A" w:rsidRPr="00245390" w14:paraId="1E8C11B7" w14:textId="77777777" w:rsidTr="00347043">
        <w:trPr>
          <w:jc w:val="center"/>
        </w:trPr>
        <w:tc>
          <w:tcPr>
            <w:tcW w:w="3058" w:type="dxa"/>
            <w:vMerge w:val="restart"/>
            <w:shd w:val="clear" w:color="auto" w:fill="auto"/>
          </w:tcPr>
          <w:p w14:paraId="36B4EA98" w14:textId="5C421C1A"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Poremećaji kože i potkožnog tkiva </w:t>
            </w:r>
          </w:p>
        </w:tc>
        <w:tc>
          <w:tcPr>
            <w:tcW w:w="2960" w:type="dxa"/>
            <w:shd w:val="clear" w:color="auto" w:fill="auto"/>
          </w:tcPr>
          <w:p w14:paraId="5598A0F5" w14:textId="6F3CFEEA"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Često</w:t>
            </w:r>
          </w:p>
        </w:tc>
        <w:tc>
          <w:tcPr>
            <w:tcW w:w="3057" w:type="dxa"/>
            <w:shd w:val="clear" w:color="auto" w:fill="auto"/>
          </w:tcPr>
          <w:p w14:paraId="5B63CBBE" w14:textId="120C3F50"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Osip, pruritus </w:t>
            </w:r>
          </w:p>
        </w:tc>
      </w:tr>
      <w:tr w:rsidR="0042416A" w:rsidRPr="00245390" w14:paraId="40C00042" w14:textId="77777777" w:rsidTr="00347043">
        <w:trPr>
          <w:jc w:val="center"/>
        </w:trPr>
        <w:tc>
          <w:tcPr>
            <w:tcW w:w="3058" w:type="dxa"/>
            <w:vMerge/>
            <w:shd w:val="clear" w:color="auto" w:fill="auto"/>
          </w:tcPr>
          <w:p w14:paraId="7E905D36"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0354E89E" w14:textId="7AE58D8A"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 xml:space="preserve">Povremeno </w:t>
            </w:r>
          </w:p>
        </w:tc>
        <w:tc>
          <w:tcPr>
            <w:tcW w:w="3057" w:type="dxa"/>
            <w:shd w:val="clear" w:color="auto" w:fill="auto"/>
          </w:tcPr>
          <w:p w14:paraId="6B6C9C95" w14:textId="4746416B" w:rsidR="0042416A" w:rsidRPr="00245390" w:rsidRDefault="006200FC">
            <w:pPr>
              <w:autoSpaceDE w:val="0"/>
              <w:autoSpaceDN w:val="0"/>
              <w:adjustRightInd w:val="0"/>
              <w:jc w:val="both"/>
              <w:rPr>
                <w:rFonts w:eastAsia="TimesNewRoman"/>
                <w:sz w:val="22"/>
                <w:szCs w:val="22"/>
                <w:lang w:val="sr-Latn-ME"/>
              </w:rPr>
            </w:pPr>
            <w:r w:rsidRPr="00245390">
              <w:rPr>
                <w:rFonts w:eastAsia="TimesNewRoman"/>
                <w:sz w:val="22"/>
                <w:szCs w:val="22"/>
                <w:lang w:val="sr-Latn-ME"/>
              </w:rPr>
              <w:t>T</w:t>
            </w:r>
            <w:r w:rsidR="0042416A" w:rsidRPr="00245390">
              <w:rPr>
                <w:rFonts w:eastAsia="TimesNewRoman"/>
                <w:sz w:val="22"/>
                <w:szCs w:val="22"/>
                <w:lang w:val="sr-Latn-ME"/>
              </w:rPr>
              <w:t xml:space="preserve">oksična epidermalna nekroliza, </w:t>
            </w:r>
            <w:r w:rsidR="0042416A" w:rsidRPr="00245390">
              <w:rPr>
                <w:i/>
                <w:iCs/>
                <w:sz w:val="22"/>
                <w:szCs w:val="22"/>
                <w:lang w:val="sr-Latn-ME"/>
              </w:rPr>
              <w:t>Stevens-Johnson</w:t>
            </w:r>
            <w:r w:rsidR="0042416A" w:rsidRPr="00245390">
              <w:rPr>
                <w:rFonts w:eastAsia="TimesNewRoman"/>
                <w:sz w:val="22"/>
                <w:szCs w:val="22"/>
                <w:lang w:val="sr-Latn-ME"/>
              </w:rPr>
              <w:t xml:space="preserve">-ov sindrom, </w:t>
            </w:r>
            <w:r w:rsidR="0042416A" w:rsidRPr="00245390">
              <w:rPr>
                <w:i/>
                <w:iCs/>
                <w:sz w:val="22"/>
                <w:szCs w:val="22"/>
                <w:lang w:val="sr-Latn-ME"/>
              </w:rPr>
              <w:t xml:space="preserve">erythema multiforme </w:t>
            </w:r>
            <w:r w:rsidR="0042416A" w:rsidRPr="00245390">
              <w:rPr>
                <w:rFonts w:eastAsia="TimesNewRoman"/>
                <w:sz w:val="22"/>
                <w:szCs w:val="22"/>
                <w:lang w:val="sr-Latn-ME"/>
              </w:rPr>
              <w:t>(vidjeti dio 4.4)</w:t>
            </w:r>
            <w:r w:rsidRPr="00245390">
              <w:rPr>
                <w:rFonts w:eastAsia="TimesNewRoman"/>
                <w:sz w:val="22"/>
                <w:szCs w:val="22"/>
                <w:lang w:val="sr-Latn-ME"/>
              </w:rPr>
              <w:t>, urtikarija</w:t>
            </w:r>
          </w:p>
        </w:tc>
      </w:tr>
      <w:tr w:rsidR="0042416A" w:rsidRPr="00245390" w14:paraId="5B866E2D" w14:textId="77777777" w:rsidTr="00347043">
        <w:trPr>
          <w:jc w:val="center"/>
        </w:trPr>
        <w:tc>
          <w:tcPr>
            <w:tcW w:w="3058" w:type="dxa"/>
            <w:vMerge/>
            <w:shd w:val="clear" w:color="auto" w:fill="auto"/>
          </w:tcPr>
          <w:p w14:paraId="20D6C5C3"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6A6D7EE3" w14:textId="22D79CD1"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Nije poznato</w:t>
            </w:r>
          </w:p>
        </w:tc>
        <w:tc>
          <w:tcPr>
            <w:tcW w:w="3057" w:type="dxa"/>
            <w:shd w:val="clear" w:color="auto" w:fill="auto"/>
          </w:tcPr>
          <w:p w14:paraId="05A9BB63" w14:textId="79A0067E"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Reakcija na lijek sa eozinofilijom i sistemskim simptomima (DRESS sindrom)</w:t>
            </w:r>
            <w:r w:rsidRPr="00245390">
              <w:rPr>
                <w:sz w:val="22"/>
                <w:szCs w:val="22"/>
                <w:lang w:val="sr-Latn-ME"/>
              </w:rPr>
              <w:t xml:space="preserve">, </w:t>
            </w:r>
            <w:r w:rsidRPr="00245390">
              <w:rPr>
                <w:rFonts w:eastAsia="TimesNewRoman"/>
                <w:sz w:val="22"/>
                <w:szCs w:val="22"/>
                <w:lang w:val="sr-Latn-ME"/>
              </w:rPr>
              <w:t>akutna generalizovana egzantematozna pustuloza (AGEP) (vidjeti dio 4.4)</w:t>
            </w:r>
          </w:p>
        </w:tc>
      </w:tr>
      <w:tr w:rsidR="0042416A" w:rsidRPr="00245390" w14:paraId="2860A396" w14:textId="77777777" w:rsidTr="00347043">
        <w:trPr>
          <w:jc w:val="center"/>
        </w:trPr>
        <w:tc>
          <w:tcPr>
            <w:tcW w:w="3058" w:type="dxa"/>
            <w:shd w:val="clear" w:color="auto" w:fill="auto"/>
          </w:tcPr>
          <w:p w14:paraId="4F3D8A71" w14:textId="63C317BE"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Poremećaji bubrega i</w:t>
            </w:r>
          </w:p>
          <w:p w14:paraId="06F4DF94"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urinarnog sistema</w:t>
            </w:r>
          </w:p>
        </w:tc>
        <w:tc>
          <w:tcPr>
            <w:tcW w:w="2960" w:type="dxa"/>
            <w:shd w:val="clear" w:color="auto" w:fill="auto"/>
          </w:tcPr>
          <w:p w14:paraId="7B31F206" w14:textId="4E72CB3C"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Povremeno</w:t>
            </w:r>
          </w:p>
        </w:tc>
        <w:tc>
          <w:tcPr>
            <w:tcW w:w="3057" w:type="dxa"/>
            <w:shd w:val="clear" w:color="auto" w:fill="auto"/>
          </w:tcPr>
          <w:p w14:paraId="461ED866" w14:textId="24EB9643"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Porast nivoa kreatinina i uree u krvi</w:t>
            </w:r>
          </w:p>
        </w:tc>
      </w:tr>
      <w:tr w:rsidR="0042416A" w:rsidRPr="00245390" w14:paraId="6B87D83A" w14:textId="77777777" w:rsidTr="00EE5F09">
        <w:trPr>
          <w:trHeight w:val="473"/>
          <w:jc w:val="center"/>
        </w:trPr>
        <w:tc>
          <w:tcPr>
            <w:tcW w:w="3058" w:type="dxa"/>
            <w:vMerge w:val="restart"/>
            <w:shd w:val="clear" w:color="auto" w:fill="auto"/>
          </w:tcPr>
          <w:p w14:paraId="1E7085DD"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Opšti poremećaji i reakcije na</w:t>
            </w:r>
          </w:p>
          <w:p w14:paraId="5DCC36FD"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mjestu primjene</w:t>
            </w:r>
          </w:p>
        </w:tc>
        <w:tc>
          <w:tcPr>
            <w:tcW w:w="2960" w:type="dxa"/>
            <w:shd w:val="clear" w:color="auto" w:fill="auto"/>
          </w:tcPr>
          <w:p w14:paraId="7E668197" w14:textId="7CF05D88"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Često</w:t>
            </w:r>
          </w:p>
        </w:tc>
        <w:tc>
          <w:tcPr>
            <w:tcW w:w="3057" w:type="dxa"/>
            <w:shd w:val="clear" w:color="auto" w:fill="auto"/>
          </w:tcPr>
          <w:p w14:paraId="3D867D75" w14:textId="2C41186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Zapaljenje, bol</w:t>
            </w:r>
          </w:p>
        </w:tc>
      </w:tr>
      <w:tr w:rsidR="0042416A" w:rsidRPr="00245390" w14:paraId="349F40CB" w14:textId="77777777" w:rsidTr="00EE5F09">
        <w:trPr>
          <w:trHeight w:val="491"/>
          <w:jc w:val="center"/>
        </w:trPr>
        <w:tc>
          <w:tcPr>
            <w:tcW w:w="3058" w:type="dxa"/>
            <w:vMerge/>
            <w:shd w:val="clear" w:color="auto" w:fill="auto"/>
          </w:tcPr>
          <w:p w14:paraId="557F2A65" w14:textId="77777777" w:rsidR="0042416A" w:rsidRPr="00245390" w:rsidRDefault="0042416A">
            <w:pPr>
              <w:autoSpaceDE w:val="0"/>
              <w:autoSpaceDN w:val="0"/>
              <w:adjustRightInd w:val="0"/>
              <w:jc w:val="both"/>
              <w:rPr>
                <w:rFonts w:eastAsia="TimesNewRoman"/>
                <w:sz w:val="22"/>
                <w:szCs w:val="22"/>
                <w:lang w:val="sr-Latn-ME"/>
              </w:rPr>
            </w:pPr>
          </w:p>
        </w:tc>
        <w:tc>
          <w:tcPr>
            <w:tcW w:w="2960" w:type="dxa"/>
            <w:shd w:val="clear" w:color="auto" w:fill="auto"/>
          </w:tcPr>
          <w:p w14:paraId="0A8A5251" w14:textId="5851F3C5"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Povremeno</w:t>
            </w:r>
          </w:p>
        </w:tc>
        <w:tc>
          <w:tcPr>
            <w:tcW w:w="3057" w:type="dxa"/>
            <w:shd w:val="clear" w:color="auto" w:fill="auto"/>
          </w:tcPr>
          <w:p w14:paraId="778496EF" w14:textId="77777777" w:rsidR="0042416A" w:rsidRPr="00245390" w:rsidRDefault="0042416A">
            <w:pPr>
              <w:autoSpaceDE w:val="0"/>
              <w:autoSpaceDN w:val="0"/>
              <w:adjustRightInd w:val="0"/>
              <w:jc w:val="both"/>
              <w:rPr>
                <w:rFonts w:eastAsia="TimesNewRoman"/>
                <w:sz w:val="22"/>
                <w:szCs w:val="22"/>
                <w:lang w:val="sr-Latn-ME"/>
              </w:rPr>
            </w:pPr>
            <w:r w:rsidRPr="00245390">
              <w:rPr>
                <w:rFonts w:eastAsia="TimesNewRoman"/>
                <w:sz w:val="22"/>
                <w:szCs w:val="22"/>
                <w:lang w:val="sr-Latn-ME"/>
              </w:rPr>
              <w:t>Tromboflebitis, bol na mjestu primjene injekcije</w:t>
            </w:r>
          </w:p>
        </w:tc>
      </w:tr>
    </w:tbl>
    <w:p w14:paraId="532B1166" w14:textId="62104D9D" w:rsidR="00AD4721" w:rsidRDefault="00AD4721">
      <w:pPr>
        <w:tabs>
          <w:tab w:val="left" w:pos="540"/>
          <w:tab w:val="left" w:pos="569"/>
        </w:tabs>
        <w:jc w:val="both"/>
        <w:rPr>
          <w:b/>
          <w:bCs/>
          <w:sz w:val="22"/>
          <w:szCs w:val="22"/>
          <w:lang w:val="sr-Latn-ME"/>
        </w:rPr>
      </w:pPr>
    </w:p>
    <w:p w14:paraId="0A6E6A04" w14:textId="50B1137D" w:rsidR="00AD4721" w:rsidRPr="000037F1" w:rsidRDefault="00AD4721">
      <w:pPr>
        <w:tabs>
          <w:tab w:val="left" w:pos="540"/>
          <w:tab w:val="left" w:pos="569"/>
        </w:tabs>
        <w:jc w:val="both"/>
        <w:rPr>
          <w:i/>
          <w:sz w:val="22"/>
          <w:szCs w:val="22"/>
          <w:lang w:val="sr-Latn-ME"/>
        </w:rPr>
      </w:pPr>
      <w:r w:rsidRPr="000037F1">
        <w:rPr>
          <w:i/>
          <w:sz w:val="22"/>
          <w:szCs w:val="22"/>
          <w:lang w:val="sr-Latn-ME"/>
        </w:rPr>
        <w:t xml:space="preserve">Kunisov sindrom </w:t>
      </w:r>
    </w:p>
    <w:p w14:paraId="4A787C02" w14:textId="77777777" w:rsidR="00AD4721" w:rsidRDefault="00AD4721">
      <w:pPr>
        <w:tabs>
          <w:tab w:val="left" w:pos="540"/>
          <w:tab w:val="left" w:pos="569"/>
        </w:tabs>
        <w:jc w:val="both"/>
        <w:rPr>
          <w:b/>
          <w:bCs/>
          <w:sz w:val="22"/>
          <w:szCs w:val="22"/>
          <w:lang w:val="sr-Latn-ME"/>
        </w:rPr>
      </w:pPr>
    </w:p>
    <w:p w14:paraId="28FEAB17" w14:textId="06A845D9" w:rsidR="00AD4721" w:rsidRPr="000037F1" w:rsidRDefault="004B60A1">
      <w:pPr>
        <w:tabs>
          <w:tab w:val="left" w:pos="540"/>
          <w:tab w:val="left" w:pos="569"/>
        </w:tabs>
        <w:jc w:val="both"/>
        <w:rPr>
          <w:sz w:val="22"/>
          <w:szCs w:val="22"/>
          <w:lang w:val="sr-Latn-ME"/>
        </w:rPr>
      </w:pPr>
      <w:r w:rsidRPr="000037F1">
        <w:rPr>
          <w:sz w:val="22"/>
          <w:szCs w:val="22"/>
          <w:lang w:val="sr-Latn-ME"/>
        </w:rPr>
        <w:lastRenderedPageBreak/>
        <w:t xml:space="preserve">Akutni koronarni sindrom povezan sa alergijskom reakcijom (Kunisov sindrom) </w:t>
      </w:r>
      <w:r w:rsidR="000A5452" w:rsidRPr="000037F1">
        <w:rPr>
          <w:sz w:val="22"/>
          <w:szCs w:val="22"/>
          <w:lang w:val="sr-Latn-ME"/>
        </w:rPr>
        <w:t xml:space="preserve">prijavljen je </w:t>
      </w:r>
      <w:r w:rsidR="004A0CA5" w:rsidRPr="000037F1">
        <w:rPr>
          <w:sz w:val="22"/>
          <w:szCs w:val="22"/>
          <w:lang w:val="sr-Latn-ME"/>
        </w:rPr>
        <w:t>kod primjene drugih beta-laktamskih antibiotika</w:t>
      </w:r>
      <w:r w:rsidR="007F4977" w:rsidRPr="000037F1">
        <w:rPr>
          <w:sz w:val="22"/>
          <w:szCs w:val="22"/>
          <w:lang w:val="sr-Latn-ME"/>
        </w:rPr>
        <w:t xml:space="preserve"> (vidjeti dio 4.4). </w:t>
      </w:r>
    </w:p>
    <w:p w14:paraId="5E77E71D" w14:textId="77777777" w:rsidR="00AD4721" w:rsidRPr="00245390" w:rsidRDefault="00AD4721">
      <w:pPr>
        <w:tabs>
          <w:tab w:val="left" w:pos="540"/>
          <w:tab w:val="left" w:pos="569"/>
        </w:tabs>
        <w:jc w:val="both"/>
        <w:rPr>
          <w:b/>
          <w:bCs/>
          <w:sz w:val="22"/>
          <w:szCs w:val="22"/>
          <w:lang w:val="sr-Latn-ME"/>
        </w:rPr>
      </w:pPr>
    </w:p>
    <w:p w14:paraId="513A157D" w14:textId="77777777" w:rsidR="007D25C1" w:rsidRPr="00245390" w:rsidRDefault="007D25C1">
      <w:pPr>
        <w:tabs>
          <w:tab w:val="left" w:pos="284"/>
        </w:tabs>
        <w:jc w:val="both"/>
        <w:rPr>
          <w:i/>
          <w:noProof/>
          <w:sz w:val="22"/>
          <w:szCs w:val="22"/>
          <w:u w:val="single"/>
          <w:lang w:val="sr-Latn-ME"/>
        </w:rPr>
      </w:pPr>
      <w:r w:rsidRPr="00245390">
        <w:rPr>
          <w:i/>
          <w:noProof/>
          <w:sz w:val="22"/>
          <w:szCs w:val="22"/>
          <w:u w:val="single"/>
          <w:lang w:val="sr-Latn-ME"/>
        </w:rPr>
        <w:t>Pedijatrijska populacija</w:t>
      </w:r>
    </w:p>
    <w:p w14:paraId="79757F29" w14:textId="21908BC3" w:rsidR="007D25C1" w:rsidRPr="00245390" w:rsidRDefault="007D25C1">
      <w:pPr>
        <w:tabs>
          <w:tab w:val="left" w:pos="284"/>
        </w:tabs>
        <w:jc w:val="both"/>
        <w:rPr>
          <w:noProof/>
          <w:sz w:val="22"/>
          <w:szCs w:val="22"/>
          <w:lang w:val="sr-Latn-ME"/>
        </w:rPr>
      </w:pPr>
      <w:bookmarkStart w:id="8" w:name="_Hlk11155275"/>
      <w:r w:rsidRPr="00245390">
        <w:rPr>
          <w:noProof/>
          <w:sz w:val="22"/>
          <w:szCs w:val="22"/>
          <w:lang w:val="sr-Latn-ME"/>
        </w:rPr>
        <w:t>L</w:t>
      </w:r>
      <w:r w:rsidR="00867E43" w:rsidRPr="00245390">
        <w:rPr>
          <w:noProof/>
          <w:sz w:val="22"/>
          <w:szCs w:val="22"/>
          <w:lang w:val="sr-Latn-ME"/>
        </w:rPr>
        <w:t>ij</w:t>
      </w:r>
      <w:r w:rsidRPr="00245390">
        <w:rPr>
          <w:noProof/>
          <w:sz w:val="22"/>
          <w:szCs w:val="22"/>
          <w:lang w:val="sr-Latn-ME"/>
        </w:rPr>
        <w:t xml:space="preserve">ek Merocid je </w:t>
      </w:r>
      <w:r w:rsidR="00867E43" w:rsidRPr="00245390">
        <w:rPr>
          <w:noProof/>
          <w:sz w:val="22"/>
          <w:szCs w:val="22"/>
          <w:lang w:val="sr-Latn-ME"/>
        </w:rPr>
        <w:t>odobren za upotrebu kod</w:t>
      </w:r>
      <w:r w:rsidRPr="00245390">
        <w:rPr>
          <w:noProof/>
          <w:sz w:val="22"/>
          <w:szCs w:val="22"/>
          <w:lang w:val="sr-Latn-ME"/>
        </w:rPr>
        <w:t xml:space="preserve"> d</w:t>
      </w:r>
      <w:r w:rsidR="00867E43" w:rsidRPr="00245390">
        <w:rPr>
          <w:noProof/>
          <w:sz w:val="22"/>
          <w:szCs w:val="22"/>
          <w:lang w:val="sr-Latn-ME"/>
        </w:rPr>
        <w:t>j</w:t>
      </w:r>
      <w:r w:rsidRPr="00245390">
        <w:rPr>
          <w:noProof/>
          <w:sz w:val="22"/>
          <w:szCs w:val="22"/>
          <w:lang w:val="sr-Latn-ME"/>
        </w:rPr>
        <w:t>ec</w:t>
      </w:r>
      <w:r w:rsidR="00867E43" w:rsidRPr="00245390">
        <w:rPr>
          <w:noProof/>
          <w:sz w:val="22"/>
          <w:szCs w:val="22"/>
          <w:lang w:val="sr-Latn-ME"/>
        </w:rPr>
        <w:t>e</w:t>
      </w:r>
      <w:r w:rsidRPr="00245390">
        <w:rPr>
          <w:noProof/>
          <w:sz w:val="22"/>
          <w:szCs w:val="22"/>
          <w:lang w:val="sr-Latn-ME"/>
        </w:rPr>
        <w:t xml:space="preserve"> starij</w:t>
      </w:r>
      <w:r w:rsidR="00867E43" w:rsidRPr="00245390">
        <w:rPr>
          <w:noProof/>
          <w:sz w:val="22"/>
          <w:szCs w:val="22"/>
          <w:lang w:val="sr-Latn-ME"/>
        </w:rPr>
        <w:t>e</w:t>
      </w:r>
      <w:r w:rsidRPr="00245390">
        <w:rPr>
          <w:noProof/>
          <w:sz w:val="22"/>
          <w:szCs w:val="22"/>
          <w:lang w:val="sr-Latn-ME"/>
        </w:rPr>
        <w:t xml:space="preserve"> od 3 m</w:t>
      </w:r>
      <w:r w:rsidR="00867E43" w:rsidRPr="00245390">
        <w:rPr>
          <w:noProof/>
          <w:sz w:val="22"/>
          <w:szCs w:val="22"/>
          <w:lang w:val="sr-Latn-ME"/>
        </w:rPr>
        <w:t>j</w:t>
      </w:r>
      <w:r w:rsidRPr="00245390">
        <w:rPr>
          <w:noProof/>
          <w:sz w:val="22"/>
          <w:szCs w:val="22"/>
          <w:lang w:val="sr-Latn-ME"/>
        </w:rPr>
        <w:t>eseca. Na osnovu ograničenih dostupnih podataka, nema dokaza o povećanom riziku od neželjenih reakcija kod d</w:t>
      </w:r>
      <w:r w:rsidR="00867E43" w:rsidRPr="00245390">
        <w:rPr>
          <w:noProof/>
          <w:sz w:val="22"/>
          <w:szCs w:val="22"/>
          <w:lang w:val="sr-Latn-ME"/>
        </w:rPr>
        <w:t>j</w:t>
      </w:r>
      <w:r w:rsidRPr="00245390">
        <w:rPr>
          <w:noProof/>
          <w:sz w:val="22"/>
          <w:szCs w:val="22"/>
          <w:lang w:val="sr-Latn-ME"/>
        </w:rPr>
        <w:t>ece. Svi dobijeni izveštaji bili su u skladu sa događajima koji su zab</w:t>
      </w:r>
      <w:r w:rsidR="00867E43" w:rsidRPr="00245390">
        <w:rPr>
          <w:noProof/>
          <w:sz w:val="22"/>
          <w:szCs w:val="22"/>
          <w:lang w:val="sr-Latn-ME"/>
        </w:rPr>
        <w:t>i</w:t>
      </w:r>
      <w:r w:rsidRPr="00245390">
        <w:rPr>
          <w:noProof/>
          <w:sz w:val="22"/>
          <w:szCs w:val="22"/>
          <w:lang w:val="sr-Latn-ME"/>
        </w:rPr>
        <w:t>l</w:t>
      </w:r>
      <w:r w:rsidR="00867E43" w:rsidRPr="00245390">
        <w:rPr>
          <w:noProof/>
          <w:sz w:val="22"/>
          <w:szCs w:val="22"/>
          <w:lang w:val="sr-Latn-ME"/>
        </w:rPr>
        <w:t>j</w:t>
      </w:r>
      <w:r w:rsidRPr="00245390">
        <w:rPr>
          <w:noProof/>
          <w:sz w:val="22"/>
          <w:szCs w:val="22"/>
          <w:lang w:val="sr-Latn-ME"/>
        </w:rPr>
        <w:t xml:space="preserve">eženi kod odrasle populacije. </w:t>
      </w:r>
    </w:p>
    <w:bookmarkEnd w:id="8"/>
    <w:p w14:paraId="1DF7D7CF" w14:textId="77777777" w:rsidR="007D25C1" w:rsidRPr="00245390" w:rsidRDefault="007D25C1" w:rsidP="00EE5F09">
      <w:pPr>
        <w:jc w:val="both"/>
        <w:rPr>
          <w:rFonts w:eastAsia="Calibri"/>
          <w:sz w:val="22"/>
          <w:szCs w:val="22"/>
          <w:u w:val="single"/>
          <w:lang w:val="sr-Latn-ME"/>
        </w:rPr>
      </w:pPr>
    </w:p>
    <w:p w14:paraId="2171D579" w14:textId="77777777" w:rsidR="00325632" w:rsidRPr="00245390" w:rsidRDefault="00325632" w:rsidP="00EE5F09">
      <w:pPr>
        <w:spacing w:line="276" w:lineRule="auto"/>
        <w:jc w:val="both"/>
        <w:rPr>
          <w:rFonts w:eastAsia="Calibri"/>
          <w:sz w:val="22"/>
          <w:szCs w:val="22"/>
          <w:u w:val="single"/>
          <w:lang w:val="sr-Latn-ME"/>
        </w:rPr>
      </w:pPr>
      <w:r w:rsidRPr="00245390">
        <w:rPr>
          <w:rFonts w:eastAsia="Calibri"/>
          <w:sz w:val="22"/>
          <w:szCs w:val="22"/>
          <w:u w:val="single"/>
          <w:lang w:val="sr-Latn-ME"/>
        </w:rPr>
        <w:t>Prijavljivanje sumnji na neželjena dejstva</w:t>
      </w:r>
    </w:p>
    <w:p w14:paraId="27174951" w14:textId="77777777" w:rsidR="00325632" w:rsidRPr="00245390" w:rsidRDefault="00325632">
      <w:pPr>
        <w:spacing w:after="200"/>
        <w:jc w:val="both"/>
        <w:rPr>
          <w:rFonts w:eastAsia="Calibri"/>
          <w:sz w:val="22"/>
          <w:szCs w:val="22"/>
          <w:lang w:val="sr-Latn-ME"/>
        </w:rPr>
      </w:pPr>
      <w:r w:rsidRPr="00245390">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3647168" w14:textId="77777777" w:rsidR="00325632" w:rsidRPr="00245390" w:rsidRDefault="00325632">
      <w:pPr>
        <w:jc w:val="both"/>
        <w:rPr>
          <w:rFonts w:eastAsia="Calibri"/>
          <w:sz w:val="22"/>
          <w:szCs w:val="22"/>
          <w:lang w:val="sr-Latn-ME"/>
        </w:rPr>
      </w:pPr>
      <w:r w:rsidRPr="00245390">
        <w:rPr>
          <w:rFonts w:eastAsia="Calibri"/>
          <w:sz w:val="22"/>
          <w:szCs w:val="22"/>
          <w:lang w:val="sr-Latn-ME"/>
        </w:rPr>
        <w:t xml:space="preserve">Institut za ljekove i medicinska sredstva </w:t>
      </w:r>
    </w:p>
    <w:p w14:paraId="7F5F7978" w14:textId="77777777" w:rsidR="00325632" w:rsidRPr="00245390" w:rsidRDefault="00325632">
      <w:pPr>
        <w:jc w:val="both"/>
        <w:rPr>
          <w:rFonts w:eastAsia="Calibri"/>
          <w:sz w:val="22"/>
          <w:szCs w:val="22"/>
          <w:lang w:val="sr-Latn-ME"/>
        </w:rPr>
      </w:pPr>
      <w:r w:rsidRPr="00245390">
        <w:rPr>
          <w:rFonts w:eastAsia="Calibri"/>
          <w:sz w:val="22"/>
          <w:szCs w:val="22"/>
          <w:lang w:val="sr-Latn-ME"/>
        </w:rPr>
        <w:t>Odjeljenje za farmakovigilancu</w:t>
      </w:r>
    </w:p>
    <w:p w14:paraId="0CC3F6DE" w14:textId="77777777" w:rsidR="00325632" w:rsidRPr="00245390" w:rsidRDefault="00325632">
      <w:pPr>
        <w:jc w:val="both"/>
        <w:rPr>
          <w:rFonts w:eastAsia="Calibri"/>
          <w:sz w:val="22"/>
          <w:szCs w:val="22"/>
          <w:lang w:val="sr-Latn-ME"/>
        </w:rPr>
      </w:pPr>
      <w:r w:rsidRPr="00245390">
        <w:rPr>
          <w:rFonts w:eastAsia="Calibri"/>
          <w:sz w:val="22"/>
          <w:szCs w:val="22"/>
          <w:lang w:val="sr-Latn-ME"/>
        </w:rPr>
        <w:t>Bulevar Ivana Crnojevića 64a, 81000 Podgorica</w:t>
      </w:r>
    </w:p>
    <w:p w14:paraId="54E2694E" w14:textId="77777777" w:rsidR="00325632" w:rsidRPr="00245390" w:rsidRDefault="00325632" w:rsidP="00EE5F09">
      <w:pPr>
        <w:jc w:val="both"/>
        <w:rPr>
          <w:rFonts w:eastAsia="Calibri"/>
          <w:sz w:val="22"/>
          <w:szCs w:val="22"/>
          <w:lang w:val="sr-Latn-ME"/>
        </w:rPr>
      </w:pPr>
    </w:p>
    <w:p w14:paraId="0CEEBA31" w14:textId="77777777" w:rsidR="00325632" w:rsidRPr="00245390" w:rsidRDefault="00325632">
      <w:pPr>
        <w:jc w:val="both"/>
        <w:rPr>
          <w:rFonts w:eastAsia="Calibri"/>
          <w:sz w:val="22"/>
          <w:szCs w:val="22"/>
          <w:lang w:val="sr-Latn-ME"/>
        </w:rPr>
      </w:pPr>
      <w:r w:rsidRPr="00245390">
        <w:rPr>
          <w:rFonts w:eastAsia="Calibri"/>
          <w:sz w:val="22"/>
          <w:szCs w:val="22"/>
          <w:lang w:val="sr-Latn-ME"/>
        </w:rPr>
        <w:t>tel: +382 (0) 20 310 280</w:t>
      </w:r>
    </w:p>
    <w:p w14:paraId="3D69B002" w14:textId="77777777" w:rsidR="00325632" w:rsidRPr="00245390" w:rsidRDefault="00325632">
      <w:pPr>
        <w:jc w:val="both"/>
        <w:rPr>
          <w:rFonts w:eastAsia="Calibri"/>
          <w:sz w:val="22"/>
          <w:szCs w:val="22"/>
          <w:lang w:val="sr-Latn-ME"/>
        </w:rPr>
      </w:pPr>
      <w:r w:rsidRPr="00245390">
        <w:rPr>
          <w:rFonts w:eastAsia="Calibri"/>
          <w:sz w:val="22"/>
          <w:szCs w:val="22"/>
          <w:lang w:val="sr-Latn-ME"/>
        </w:rPr>
        <w:t>fax: +382 (0) 20 310 581</w:t>
      </w:r>
    </w:p>
    <w:p w14:paraId="1A921E23" w14:textId="77777777" w:rsidR="00325632" w:rsidRPr="00245390" w:rsidRDefault="00C65255">
      <w:pPr>
        <w:jc w:val="both"/>
        <w:rPr>
          <w:rFonts w:eastAsia="Calibri"/>
          <w:sz w:val="22"/>
          <w:szCs w:val="22"/>
          <w:lang w:val="sr-Latn-ME"/>
        </w:rPr>
      </w:pPr>
      <w:hyperlink r:id="rId8" w:history="1">
        <w:r w:rsidR="00325632" w:rsidRPr="00245390">
          <w:rPr>
            <w:rFonts w:eastAsia="Calibri"/>
            <w:color w:val="0563C1" w:themeColor="hyperlink"/>
            <w:sz w:val="22"/>
            <w:szCs w:val="22"/>
            <w:u w:val="single"/>
            <w:lang w:val="sr-Latn-ME"/>
          </w:rPr>
          <w:t>www.cinmed.me</w:t>
        </w:r>
      </w:hyperlink>
    </w:p>
    <w:p w14:paraId="729ADD48" w14:textId="77777777" w:rsidR="00325632" w:rsidRPr="00245390" w:rsidRDefault="00C65255">
      <w:pPr>
        <w:jc w:val="both"/>
        <w:rPr>
          <w:rFonts w:eastAsia="Calibri"/>
          <w:color w:val="0000FF"/>
          <w:sz w:val="22"/>
          <w:szCs w:val="22"/>
          <w:u w:val="single"/>
          <w:lang w:val="sr-Latn-ME"/>
        </w:rPr>
      </w:pPr>
      <w:hyperlink r:id="rId9" w:history="1">
        <w:r w:rsidR="00325632" w:rsidRPr="00245390">
          <w:rPr>
            <w:rFonts w:eastAsia="Calibri"/>
            <w:color w:val="0563C1" w:themeColor="hyperlink"/>
            <w:sz w:val="22"/>
            <w:szCs w:val="22"/>
            <w:u w:val="single"/>
            <w:lang w:val="sr-Latn-ME"/>
          </w:rPr>
          <w:t>nezeljenadejstva@cinmed.me</w:t>
        </w:r>
      </w:hyperlink>
    </w:p>
    <w:p w14:paraId="3A2818AE" w14:textId="2CB4837C" w:rsidR="00325632" w:rsidRPr="00245390" w:rsidRDefault="00325632">
      <w:pPr>
        <w:jc w:val="both"/>
        <w:rPr>
          <w:rFonts w:eastAsia="Calibri"/>
          <w:sz w:val="22"/>
          <w:szCs w:val="22"/>
          <w:lang w:val="sr-Latn-ME"/>
        </w:rPr>
      </w:pPr>
      <w:r w:rsidRPr="00245390">
        <w:rPr>
          <w:rFonts w:eastAsia="Calibri"/>
          <w:sz w:val="22"/>
          <w:szCs w:val="22"/>
          <w:lang w:val="sr-Latn-ME"/>
        </w:rPr>
        <w:t>putem IS zdravstvene zaštite</w:t>
      </w:r>
    </w:p>
    <w:p w14:paraId="7A06ECC9" w14:textId="77777777" w:rsidR="006200FC" w:rsidRPr="00245390" w:rsidRDefault="006200FC" w:rsidP="006200FC">
      <w:pPr>
        <w:pStyle w:val="NoSpacing"/>
        <w:jc w:val="both"/>
        <w:rPr>
          <w:rFonts w:eastAsia="Calibri"/>
          <w:sz w:val="22"/>
          <w:szCs w:val="22"/>
          <w:lang w:val="sr-Latn-ME"/>
        </w:rPr>
      </w:pPr>
      <w:r w:rsidRPr="00245390">
        <w:rPr>
          <w:rFonts w:eastAsia="Calibri"/>
          <w:sz w:val="22"/>
          <w:szCs w:val="22"/>
          <w:lang w:val="sr-Latn-ME"/>
        </w:rPr>
        <w:t>QR kod za online prijavu sumnje na neželjeno dejstvo lijeka:</w:t>
      </w:r>
    </w:p>
    <w:p w14:paraId="76B6CD35" w14:textId="77777777" w:rsidR="006200FC" w:rsidRPr="00245390" w:rsidRDefault="006200FC" w:rsidP="006200FC">
      <w:pPr>
        <w:pStyle w:val="NoSpacing"/>
        <w:jc w:val="both"/>
        <w:rPr>
          <w:rFonts w:eastAsia="Calibri"/>
          <w:sz w:val="22"/>
          <w:szCs w:val="22"/>
          <w:lang w:val="sr-Latn-ME"/>
        </w:rPr>
      </w:pPr>
    </w:p>
    <w:p w14:paraId="2424EE5C" w14:textId="1A013D81" w:rsidR="006200FC" w:rsidRPr="00245390" w:rsidRDefault="00030644" w:rsidP="00EE5F09">
      <w:pPr>
        <w:pStyle w:val="NoSpacing"/>
        <w:rPr>
          <w:rFonts w:eastAsia="Calibri"/>
          <w:sz w:val="22"/>
          <w:szCs w:val="22"/>
          <w:lang w:val="sr-Latn-ME"/>
        </w:rPr>
      </w:pPr>
      <w:r>
        <w:rPr>
          <w:noProof/>
        </w:rPr>
        <w:drawing>
          <wp:inline distT="0" distB="0" distL="0" distR="0" wp14:anchorId="6B800058" wp14:editId="57122C01">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06FA3C5" w14:textId="77777777" w:rsidR="00836B35" w:rsidRPr="00245390" w:rsidRDefault="00836B35" w:rsidP="00EE5F09">
      <w:pPr>
        <w:tabs>
          <w:tab w:val="left" w:pos="540"/>
          <w:tab w:val="left" w:pos="569"/>
        </w:tabs>
        <w:jc w:val="both"/>
        <w:rPr>
          <w:b/>
          <w:bCs/>
          <w:sz w:val="22"/>
          <w:szCs w:val="22"/>
          <w:lang w:val="sr-Latn-ME"/>
        </w:rPr>
      </w:pPr>
    </w:p>
    <w:p w14:paraId="55EA7895" w14:textId="77777777" w:rsidR="00CD6F02"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4.9. </w:t>
      </w:r>
      <w:r w:rsidR="00480FB1" w:rsidRPr="00245390">
        <w:rPr>
          <w:b/>
          <w:bCs/>
          <w:sz w:val="22"/>
          <w:szCs w:val="22"/>
          <w:lang w:val="sr-Latn-ME"/>
        </w:rPr>
        <w:tab/>
      </w:r>
      <w:r w:rsidRPr="00245390">
        <w:rPr>
          <w:b/>
          <w:bCs/>
          <w:sz w:val="22"/>
          <w:szCs w:val="22"/>
          <w:lang w:val="sr-Latn-ME"/>
        </w:rPr>
        <w:t>Predoziranje</w:t>
      </w:r>
      <w:r w:rsidR="002846DB" w:rsidRPr="00245390">
        <w:rPr>
          <w:b/>
          <w:bCs/>
          <w:sz w:val="22"/>
          <w:szCs w:val="22"/>
          <w:lang w:val="sr-Latn-ME"/>
        </w:rPr>
        <w:t xml:space="preserve"> </w:t>
      </w:r>
    </w:p>
    <w:p w14:paraId="7CD63670" w14:textId="77777777" w:rsidR="007D25C1" w:rsidRPr="00245390" w:rsidRDefault="007D25C1">
      <w:pPr>
        <w:autoSpaceDE w:val="0"/>
        <w:autoSpaceDN w:val="0"/>
        <w:adjustRightInd w:val="0"/>
        <w:jc w:val="both"/>
        <w:rPr>
          <w:rFonts w:eastAsia="TimesNewRoman"/>
          <w:sz w:val="22"/>
          <w:szCs w:val="22"/>
          <w:lang w:val="sr-Latn-ME" w:eastAsia="sr-Latn-RS"/>
        </w:rPr>
      </w:pPr>
    </w:p>
    <w:p w14:paraId="606CE1DF" w14:textId="409ABB62"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Moguće je relativno predoziranje kod pacijenata sa oslabljenom funkcijom bubrega ako doza nije prilagođena prema preporuci iz </w:t>
      </w:r>
      <w:r w:rsidR="006200FC" w:rsidRPr="00245390">
        <w:rPr>
          <w:rFonts w:eastAsia="TimesNewRoman"/>
          <w:sz w:val="22"/>
          <w:szCs w:val="22"/>
          <w:lang w:val="sr-Latn-ME" w:eastAsia="sr-Latn-RS"/>
        </w:rPr>
        <w:t>dijela</w:t>
      </w:r>
      <w:r w:rsidRPr="00245390">
        <w:rPr>
          <w:rFonts w:eastAsia="TimesNewRoman"/>
          <w:sz w:val="22"/>
          <w:szCs w:val="22"/>
          <w:lang w:val="sr-Latn-ME" w:eastAsia="sr-Latn-RS"/>
        </w:rPr>
        <w:t xml:space="preserve"> 4.2. Ograničeno postmarketinško iskustvo pokazuje da su neželjene reakcije koje se javljaju usljed predoziranja u skladu sa opisanim profilom neželjenih reakcija u </w:t>
      </w:r>
      <w:r w:rsidR="006200FC" w:rsidRPr="00245390">
        <w:rPr>
          <w:rFonts w:eastAsia="TimesNewRoman"/>
          <w:sz w:val="22"/>
          <w:szCs w:val="22"/>
          <w:lang w:val="sr-Latn-ME" w:eastAsia="sr-Latn-RS"/>
        </w:rPr>
        <w:t>dijelu</w:t>
      </w:r>
      <w:r w:rsidR="00177D45" w:rsidRPr="00245390">
        <w:rPr>
          <w:rFonts w:eastAsia="TimesNewRoman"/>
          <w:sz w:val="22"/>
          <w:szCs w:val="22"/>
          <w:lang w:val="sr-Latn-ME" w:eastAsia="sr-Latn-RS"/>
        </w:rPr>
        <w:t xml:space="preserve"> </w:t>
      </w:r>
      <w:r w:rsidRPr="00245390">
        <w:rPr>
          <w:rFonts w:eastAsia="TimesNewRoman"/>
          <w:sz w:val="22"/>
          <w:szCs w:val="22"/>
          <w:lang w:val="sr-Latn-ME" w:eastAsia="sr-Latn-RS"/>
        </w:rPr>
        <w:t>4.8. i obično su blage i prestaju sa smanjenjem doze ili po prestanku primjene meropenema. Ponekad je potrebna simptomatska terapija.</w:t>
      </w:r>
    </w:p>
    <w:p w14:paraId="4C21FF27" w14:textId="77777777" w:rsidR="007D25C1" w:rsidRPr="00245390" w:rsidRDefault="007D25C1">
      <w:pPr>
        <w:autoSpaceDE w:val="0"/>
        <w:autoSpaceDN w:val="0"/>
        <w:adjustRightInd w:val="0"/>
        <w:jc w:val="both"/>
        <w:rPr>
          <w:rFonts w:eastAsia="TimesNewRoman"/>
          <w:sz w:val="22"/>
          <w:szCs w:val="22"/>
          <w:lang w:val="sr-Latn-ME" w:eastAsia="sr-Latn-RS"/>
        </w:rPr>
      </w:pPr>
    </w:p>
    <w:p w14:paraId="4F465E86" w14:textId="00289142"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Kod osoba sa normalnom funkcijom bubrega dolazi do brze eliminacije putem bubrega.</w:t>
      </w:r>
    </w:p>
    <w:p w14:paraId="2F59498C" w14:textId="77777777" w:rsidR="00800241" w:rsidRPr="00245390" w:rsidRDefault="00800241">
      <w:pPr>
        <w:autoSpaceDE w:val="0"/>
        <w:autoSpaceDN w:val="0"/>
        <w:adjustRightInd w:val="0"/>
        <w:jc w:val="both"/>
        <w:rPr>
          <w:rFonts w:eastAsia="TimesNewRoman"/>
          <w:sz w:val="22"/>
          <w:szCs w:val="22"/>
          <w:lang w:val="sr-Latn-ME" w:eastAsia="sr-Latn-RS"/>
        </w:rPr>
      </w:pPr>
    </w:p>
    <w:p w14:paraId="59A50EF9" w14:textId="77777777" w:rsidR="007D25C1" w:rsidRPr="00245390" w:rsidRDefault="007D25C1">
      <w:pPr>
        <w:tabs>
          <w:tab w:val="left" w:pos="540"/>
          <w:tab w:val="left" w:pos="569"/>
        </w:tabs>
        <w:jc w:val="both"/>
        <w:rPr>
          <w:b/>
          <w:bCs/>
          <w:sz w:val="22"/>
          <w:szCs w:val="22"/>
          <w:lang w:val="sr-Latn-ME"/>
        </w:rPr>
      </w:pPr>
      <w:r w:rsidRPr="00245390">
        <w:rPr>
          <w:rFonts w:eastAsia="TimesNewRoman"/>
          <w:sz w:val="22"/>
          <w:szCs w:val="22"/>
          <w:lang w:val="sr-Latn-ME" w:eastAsia="sr-Latn-RS"/>
        </w:rPr>
        <w:t>Meropenem i njegovi metaboliti se eliminišu hemodijalizom.</w:t>
      </w:r>
    </w:p>
    <w:p w14:paraId="4A2ED783" w14:textId="07FEDB27" w:rsidR="00227BDB" w:rsidRPr="00245390" w:rsidRDefault="00227BDB" w:rsidP="00EE5F09">
      <w:pPr>
        <w:tabs>
          <w:tab w:val="left" w:pos="540"/>
          <w:tab w:val="left" w:pos="569"/>
        </w:tabs>
        <w:jc w:val="both"/>
        <w:rPr>
          <w:b/>
          <w:bCs/>
          <w:sz w:val="22"/>
          <w:szCs w:val="22"/>
          <w:lang w:val="sr-Latn-ME"/>
        </w:rPr>
      </w:pPr>
    </w:p>
    <w:p w14:paraId="572A0942" w14:textId="77777777" w:rsidR="00C314A1" w:rsidRPr="00245390" w:rsidRDefault="00C314A1" w:rsidP="00EE5F09">
      <w:pPr>
        <w:tabs>
          <w:tab w:val="left" w:pos="540"/>
          <w:tab w:val="left" w:pos="569"/>
        </w:tabs>
        <w:jc w:val="both"/>
        <w:rPr>
          <w:b/>
          <w:bCs/>
          <w:sz w:val="22"/>
          <w:szCs w:val="22"/>
          <w:lang w:val="sr-Latn-ME"/>
        </w:rPr>
      </w:pPr>
    </w:p>
    <w:p w14:paraId="020E8726" w14:textId="77777777" w:rsidR="0072020E"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5. </w:t>
      </w:r>
      <w:r w:rsidR="00480FB1" w:rsidRPr="00245390">
        <w:rPr>
          <w:b/>
          <w:bCs/>
          <w:sz w:val="22"/>
          <w:szCs w:val="22"/>
          <w:lang w:val="sr-Latn-ME"/>
        </w:rPr>
        <w:tab/>
      </w:r>
      <w:r w:rsidRPr="00245390">
        <w:rPr>
          <w:b/>
          <w:bCs/>
          <w:sz w:val="22"/>
          <w:szCs w:val="22"/>
          <w:lang w:val="sr-Latn-ME"/>
        </w:rPr>
        <w:t>FARMAKOLOŠK</w:t>
      </w:r>
      <w:r w:rsidR="000D425A" w:rsidRPr="00245390">
        <w:rPr>
          <w:b/>
          <w:bCs/>
          <w:sz w:val="22"/>
          <w:szCs w:val="22"/>
          <w:lang w:val="sr-Latn-ME"/>
        </w:rPr>
        <w:t>I</w:t>
      </w:r>
      <w:r w:rsidRPr="00245390">
        <w:rPr>
          <w:b/>
          <w:bCs/>
          <w:sz w:val="22"/>
          <w:szCs w:val="22"/>
          <w:lang w:val="sr-Latn-ME"/>
        </w:rPr>
        <w:t xml:space="preserve"> PODACI</w:t>
      </w:r>
    </w:p>
    <w:p w14:paraId="02636605" w14:textId="77777777" w:rsidR="0072020E" w:rsidRPr="00245390" w:rsidRDefault="0072020E" w:rsidP="00EE5F09">
      <w:pPr>
        <w:tabs>
          <w:tab w:val="left" w:pos="540"/>
          <w:tab w:val="left" w:pos="569"/>
        </w:tabs>
        <w:jc w:val="both"/>
        <w:rPr>
          <w:b/>
          <w:bCs/>
          <w:sz w:val="22"/>
          <w:szCs w:val="22"/>
          <w:lang w:val="sr-Latn-ME"/>
        </w:rPr>
      </w:pPr>
    </w:p>
    <w:p w14:paraId="3A4D7D8C" w14:textId="77777777" w:rsidR="0072020E"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5.1. </w:t>
      </w:r>
      <w:r w:rsidR="00480FB1" w:rsidRPr="00245390">
        <w:rPr>
          <w:b/>
          <w:bCs/>
          <w:sz w:val="22"/>
          <w:szCs w:val="22"/>
          <w:lang w:val="sr-Latn-ME"/>
        </w:rPr>
        <w:tab/>
      </w:r>
      <w:r w:rsidRPr="00245390">
        <w:rPr>
          <w:b/>
          <w:bCs/>
          <w:sz w:val="22"/>
          <w:szCs w:val="22"/>
          <w:lang w:val="sr-Latn-ME"/>
        </w:rPr>
        <w:t>Farmakodinamski podaci</w:t>
      </w:r>
      <w:r w:rsidR="003A7059" w:rsidRPr="00245390">
        <w:rPr>
          <w:b/>
          <w:bCs/>
          <w:sz w:val="22"/>
          <w:szCs w:val="22"/>
          <w:lang w:val="sr-Latn-ME"/>
        </w:rPr>
        <w:t xml:space="preserve"> </w:t>
      </w:r>
    </w:p>
    <w:p w14:paraId="49D64962" w14:textId="77777777" w:rsidR="00F45F77" w:rsidRPr="00245390" w:rsidRDefault="00F45F77" w:rsidP="00EE5F09">
      <w:pPr>
        <w:tabs>
          <w:tab w:val="left" w:pos="540"/>
          <w:tab w:val="left" w:pos="569"/>
        </w:tabs>
        <w:jc w:val="both"/>
        <w:rPr>
          <w:b/>
          <w:bCs/>
          <w:sz w:val="22"/>
          <w:szCs w:val="22"/>
          <w:lang w:val="sr-Latn-ME"/>
        </w:rPr>
      </w:pPr>
    </w:p>
    <w:p w14:paraId="097137AC" w14:textId="77777777" w:rsidR="007D25C1" w:rsidRPr="00245390" w:rsidRDefault="0072020E">
      <w:pPr>
        <w:tabs>
          <w:tab w:val="left" w:pos="540"/>
          <w:tab w:val="left" w:pos="569"/>
        </w:tabs>
        <w:jc w:val="both"/>
        <w:rPr>
          <w:bCs/>
          <w:sz w:val="22"/>
          <w:szCs w:val="22"/>
          <w:lang w:val="sr-Latn-ME"/>
        </w:rPr>
      </w:pPr>
      <w:r w:rsidRPr="00245390">
        <w:rPr>
          <w:bCs/>
          <w:sz w:val="22"/>
          <w:szCs w:val="22"/>
          <w:lang w:val="sr-Latn-ME"/>
        </w:rPr>
        <w:t>Farmakoterapijska grupa:</w:t>
      </w:r>
      <w:r w:rsidR="007D25C1" w:rsidRPr="00245390">
        <w:rPr>
          <w:bCs/>
          <w:sz w:val="22"/>
          <w:szCs w:val="22"/>
          <w:lang w:val="sr-Latn-ME"/>
        </w:rPr>
        <w:t xml:space="preserve"> </w:t>
      </w:r>
      <w:r w:rsidR="007D25C1" w:rsidRPr="00245390">
        <w:rPr>
          <w:rFonts w:eastAsia="TimesNewRoman"/>
          <w:sz w:val="22"/>
          <w:szCs w:val="22"/>
          <w:lang w:val="sr-Latn-ME" w:eastAsia="sr-Latn-RS"/>
        </w:rPr>
        <w:t>Antibakterijski ljekovi za sistemsku primjenu, karbapenemi</w:t>
      </w:r>
    </w:p>
    <w:p w14:paraId="2E28BBC5" w14:textId="77777777" w:rsidR="0072020E" w:rsidRPr="00245390" w:rsidRDefault="0072020E" w:rsidP="00EE5F09">
      <w:pPr>
        <w:tabs>
          <w:tab w:val="left" w:pos="540"/>
          <w:tab w:val="left" w:pos="569"/>
        </w:tabs>
        <w:jc w:val="both"/>
        <w:rPr>
          <w:bCs/>
          <w:sz w:val="22"/>
          <w:szCs w:val="22"/>
          <w:lang w:val="sr-Latn-ME"/>
        </w:rPr>
      </w:pPr>
    </w:p>
    <w:p w14:paraId="6BB82EDC" w14:textId="5FE52653" w:rsidR="0072020E" w:rsidRPr="00245390" w:rsidRDefault="0072020E" w:rsidP="00EE5F09">
      <w:pPr>
        <w:tabs>
          <w:tab w:val="left" w:pos="540"/>
          <w:tab w:val="left" w:pos="569"/>
        </w:tabs>
        <w:jc w:val="both"/>
        <w:rPr>
          <w:bCs/>
          <w:sz w:val="22"/>
          <w:szCs w:val="22"/>
          <w:lang w:val="sr-Latn-ME"/>
        </w:rPr>
      </w:pPr>
      <w:r w:rsidRPr="00245390">
        <w:rPr>
          <w:bCs/>
          <w:sz w:val="22"/>
          <w:szCs w:val="22"/>
          <w:lang w:val="sr-Latn-ME"/>
        </w:rPr>
        <w:t>ATC kod:</w:t>
      </w:r>
      <w:r w:rsidR="007D25C1" w:rsidRPr="00245390">
        <w:rPr>
          <w:bCs/>
          <w:sz w:val="22"/>
          <w:szCs w:val="22"/>
          <w:lang w:val="sr-Latn-ME"/>
        </w:rPr>
        <w:t xml:space="preserve"> </w:t>
      </w:r>
      <w:r w:rsidR="007D25C1" w:rsidRPr="00245390">
        <w:rPr>
          <w:rFonts w:eastAsia="TimesNewRoman"/>
          <w:sz w:val="22"/>
          <w:szCs w:val="22"/>
          <w:lang w:val="sr-Latn-ME" w:eastAsia="sr-Latn-RS"/>
        </w:rPr>
        <w:t>J01DH02</w:t>
      </w:r>
    </w:p>
    <w:p w14:paraId="13EA93E7" w14:textId="3A404A2D" w:rsidR="002E37A5" w:rsidRPr="00245390" w:rsidRDefault="007D25C1" w:rsidP="00EE5F09">
      <w:pPr>
        <w:tabs>
          <w:tab w:val="left" w:pos="540"/>
          <w:tab w:val="left" w:pos="569"/>
        </w:tabs>
        <w:jc w:val="both"/>
        <w:rPr>
          <w:b/>
          <w:bCs/>
          <w:sz w:val="22"/>
          <w:szCs w:val="22"/>
          <w:lang w:val="sr-Latn-ME"/>
        </w:rPr>
      </w:pPr>
      <w:r w:rsidRPr="00245390">
        <w:rPr>
          <w:b/>
          <w:bCs/>
          <w:sz w:val="22"/>
          <w:szCs w:val="22"/>
          <w:lang w:val="sr-Latn-ME"/>
        </w:rPr>
        <w:t xml:space="preserve"> </w:t>
      </w:r>
    </w:p>
    <w:p w14:paraId="3F99DABE"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Mehanizam dejstva</w:t>
      </w:r>
    </w:p>
    <w:p w14:paraId="0C698E62" w14:textId="128C5EAF"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Meropenem ispoljava svoju baktericidnu aktivnost inhibicijom sinteze bakterijskog ćelijskog zida kod gram-pozitivnih i gram-negativnih bakterija, vezivanjem za penicilin vezujuće proteine </w:t>
      </w:r>
      <w:r w:rsidRPr="00245390">
        <w:rPr>
          <w:sz w:val="22"/>
          <w:szCs w:val="22"/>
          <w:lang w:val="sr-Latn-ME"/>
        </w:rPr>
        <w:t xml:space="preserve">(engl. </w:t>
      </w:r>
      <w:r w:rsidR="00C77082" w:rsidRPr="00245390">
        <w:rPr>
          <w:i/>
          <w:iCs/>
          <w:sz w:val="22"/>
          <w:szCs w:val="22"/>
          <w:lang w:val="sr-Latn-ME"/>
        </w:rPr>
        <w:t>p</w:t>
      </w:r>
      <w:r w:rsidRPr="00245390">
        <w:rPr>
          <w:i/>
          <w:iCs/>
          <w:sz w:val="22"/>
          <w:szCs w:val="22"/>
          <w:lang w:val="sr-Latn-ME"/>
        </w:rPr>
        <w:t>enicillin</w:t>
      </w:r>
      <w:r w:rsidR="00C77082" w:rsidRPr="00245390">
        <w:rPr>
          <w:i/>
          <w:iCs/>
          <w:sz w:val="22"/>
          <w:szCs w:val="22"/>
          <w:lang w:val="sr-Latn-ME"/>
        </w:rPr>
        <w:t>-</w:t>
      </w:r>
      <w:r w:rsidRPr="00245390">
        <w:rPr>
          <w:i/>
          <w:iCs/>
          <w:sz w:val="22"/>
          <w:szCs w:val="22"/>
          <w:lang w:val="sr-Latn-ME"/>
        </w:rPr>
        <w:t>binding proteins</w:t>
      </w:r>
      <w:r w:rsidRPr="00245390">
        <w:rPr>
          <w:sz w:val="22"/>
          <w:szCs w:val="22"/>
          <w:lang w:val="sr-Latn-ME"/>
        </w:rPr>
        <w:t>, PBPs)</w:t>
      </w:r>
      <w:r w:rsidRPr="00245390">
        <w:rPr>
          <w:rFonts w:eastAsia="TimesNewRoman"/>
          <w:sz w:val="22"/>
          <w:szCs w:val="22"/>
          <w:lang w:val="sr-Latn-ME" w:eastAsia="sr-Latn-RS"/>
        </w:rPr>
        <w:t>.</w:t>
      </w:r>
    </w:p>
    <w:p w14:paraId="4887F388" w14:textId="77777777" w:rsidR="007D25C1" w:rsidRPr="00245390" w:rsidRDefault="007D25C1">
      <w:pPr>
        <w:autoSpaceDE w:val="0"/>
        <w:autoSpaceDN w:val="0"/>
        <w:adjustRightInd w:val="0"/>
        <w:jc w:val="both"/>
        <w:rPr>
          <w:rFonts w:eastAsia="TimesNewRoman"/>
          <w:sz w:val="22"/>
          <w:szCs w:val="22"/>
          <w:lang w:val="sr-Latn-ME" w:eastAsia="sr-Latn-RS"/>
        </w:rPr>
      </w:pPr>
    </w:p>
    <w:p w14:paraId="22968F82" w14:textId="77777777" w:rsidR="007D25C1" w:rsidRPr="00245390" w:rsidRDefault="007D25C1">
      <w:pPr>
        <w:tabs>
          <w:tab w:val="left" w:pos="540"/>
          <w:tab w:val="left" w:pos="569"/>
        </w:tabs>
        <w:jc w:val="both"/>
        <w:rPr>
          <w:i/>
          <w:iCs/>
          <w:sz w:val="22"/>
          <w:szCs w:val="22"/>
          <w:lang w:val="sr-Latn-ME" w:eastAsia="sr-Latn-RS"/>
        </w:rPr>
      </w:pPr>
      <w:r w:rsidRPr="00245390">
        <w:rPr>
          <w:i/>
          <w:iCs/>
          <w:sz w:val="22"/>
          <w:szCs w:val="22"/>
          <w:lang w:val="sr-Latn-ME" w:eastAsia="sr-Latn-RS"/>
        </w:rPr>
        <w:lastRenderedPageBreak/>
        <w:t>Odnos farmakokinetika/farmakodinamika</w:t>
      </w:r>
    </w:p>
    <w:p w14:paraId="42D989FC" w14:textId="15D10ACF"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Slično ostalim beta-laktamskim antibioticima, pokazano je da je dužina vremena u kome je koncentracija meropenema veća od minimalne inhibitorne koncentracije (T&gt;MI</w:t>
      </w:r>
      <w:r w:rsidR="00CF70CE" w:rsidRPr="00245390">
        <w:rPr>
          <w:rFonts w:eastAsia="TimesNewRoman"/>
          <w:sz w:val="22"/>
          <w:szCs w:val="22"/>
          <w:lang w:val="sr-Latn-ME" w:eastAsia="sr-Latn-RS"/>
        </w:rPr>
        <w:t>K</w:t>
      </w:r>
      <w:r w:rsidRPr="00245390">
        <w:rPr>
          <w:rFonts w:eastAsia="TimesNewRoman"/>
          <w:sz w:val="22"/>
          <w:szCs w:val="22"/>
          <w:lang w:val="sr-Latn-ME" w:eastAsia="sr-Latn-RS"/>
        </w:rPr>
        <w:t>) u korelaciji sa njegovom efikasnošću. Na pretkliničkim modelima meropenem je ispoljio aktivnost kada je plazma koncentracija meropenema bila veća od minimalne inhibitorne koncentracije za datog uzročnika tokom oko 40% doznog intervala. U kliničkim uslovima ova ciljna vrijednost nije potvrđena.</w:t>
      </w:r>
    </w:p>
    <w:p w14:paraId="2E8F72B9" w14:textId="77777777" w:rsidR="007D25C1" w:rsidRPr="00245390" w:rsidRDefault="007D25C1">
      <w:pPr>
        <w:autoSpaceDE w:val="0"/>
        <w:autoSpaceDN w:val="0"/>
        <w:adjustRightInd w:val="0"/>
        <w:jc w:val="both"/>
        <w:rPr>
          <w:rFonts w:eastAsia="TimesNewRoman"/>
          <w:sz w:val="22"/>
          <w:szCs w:val="22"/>
          <w:lang w:val="sr-Latn-ME" w:eastAsia="sr-Latn-RS"/>
        </w:rPr>
      </w:pPr>
    </w:p>
    <w:p w14:paraId="5030E571"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Mehanizam rezistencije</w:t>
      </w:r>
    </w:p>
    <w:p w14:paraId="7EDF0FC4" w14:textId="0F985788"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Pojava bakterijske rezistencije na meropenem je rezultat: (1) smanjene propustljivosti spoljašnje membrane gram-negativnih bakterija (zbog smanjene produkcije porina) (2) smanjenog afiniteta ciljnih penicilin vezujućih proteina (3) povećane ekspresije komponenti efluks pumpi (4) produkcije beta-laktamaza koje hidrolizuju karbapeneme.</w:t>
      </w:r>
    </w:p>
    <w:p w14:paraId="4E6CCBBC" w14:textId="77777777" w:rsidR="007D25C1" w:rsidRPr="00245390" w:rsidRDefault="007D25C1">
      <w:pPr>
        <w:autoSpaceDE w:val="0"/>
        <w:autoSpaceDN w:val="0"/>
        <w:adjustRightInd w:val="0"/>
        <w:jc w:val="both"/>
        <w:rPr>
          <w:rFonts w:eastAsia="TimesNewRoman"/>
          <w:sz w:val="22"/>
          <w:szCs w:val="22"/>
          <w:lang w:val="sr-Latn-ME" w:eastAsia="sr-Latn-RS"/>
        </w:rPr>
      </w:pPr>
    </w:p>
    <w:p w14:paraId="3ED0DD1D"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U okviru Evropske Unije postoje lokalizovane grupe infekcija uzrokovane karbapenem-rezistentnim bakterijama.</w:t>
      </w:r>
    </w:p>
    <w:p w14:paraId="6DBF7800" w14:textId="77777777" w:rsidR="007D25C1" w:rsidRPr="00245390" w:rsidRDefault="007D25C1">
      <w:pPr>
        <w:autoSpaceDE w:val="0"/>
        <w:autoSpaceDN w:val="0"/>
        <w:adjustRightInd w:val="0"/>
        <w:jc w:val="both"/>
        <w:rPr>
          <w:rFonts w:eastAsia="TimesNewRoman"/>
          <w:sz w:val="22"/>
          <w:szCs w:val="22"/>
          <w:lang w:val="sr-Latn-ME" w:eastAsia="sr-Latn-RS"/>
        </w:rPr>
      </w:pPr>
    </w:p>
    <w:p w14:paraId="656B895D"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Ne postoji ciljana ukrštena rezistencija između meropenema i ljekova iz grupe hinolona, aminoglikozida, makrolida i tetraciklina. Međutim, bakterija može pokazivati rezistenciju na više od jedne grupe antibiotika onda kada je rezistencija rezultat nepropustljivosti membrane i/ili efluks pumpe (pumpi).</w:t>
      </w:r>
    </w:p>
    <w:p w14:paraId="6981AE3E" w14:textId="77777777" w:rsidR="007D25C1" w:rsidRPr="00245390" w:rsidRDefault="007D25C1">
      <w:pPr>
        <w:autoSpaceDE w:val="0"/>
        <w:autoSpaceDN w:val="0"/>
        <w:adjustRightInd w:val="0"/>
        <w:jc w:val="both"/>
        <w:rPr>
          <w:rFonts w:eastAsia="TimesNewRoman"/>
          <w:sz w:val="22"/>
          <w:szCs w:val="22"/>
          <w:lang w:val="sr-Latn-ME" w:eastAsia="sr-Latn-RS"/>
        </w:rPr>
      </w:pPr>
    </w:p>
    <w:p w14:paraId="2F066B39"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Granične vrijednosti</w:t>
      </w:r>
    </w:p>
    <w:p w14:paraId="1ACE3A4C" w14:textId="79100076" w:rsidR="007D25C1" w:rsidRPr="00245390" w:rsidRDefault="00C77082">
      <w:pPr>
        <w:autoSpaceDE w:val="0"/>
        <w:autoSpaceDN w:val="0"/>
        <w:adjustRightInd w:val="0"/>
        <w:jc w:val="both"/>
        <w:rPr>
          <w:rFonts w:eastAsia="TimesNewRoman"/>
          <w:i/>
          <w:iCs/>
          <w:sz w:val="22"/>
          <w:szCs w:val="22"/>
          <w:lang w:val="sr-Latn-ME" w:eastAsia="sr-Latn-RS"/>
        </w:rPr>
      </w:pPr>
      <w:r w:rsidRPr="00245390">
        <w:rPr>
          <w:rFonts w:eastAsia="TimesNewRoman"/>
          <w:sz w:val="22"/>
          <w:szCs w:val="22"/>
          <w:lang w:val="sr-Latn-ME" w:eastAsia="sr-Latn-RS"/>
        </w:rPr>
        <w:t>Kliničke g</w:t>
      </w:r>
      <w:r w:rsidR="007D25C1" w:rsidRPr="00245390">
        <w:rPr>
          <w:rFonts w:eastAsia="TimesNewRoman"/>
          <w:sz w:val="22"/>
          <w:szCs w:val="22"/>
          <w:lang w:val="sr-Latn-ME" w:eastAsia="sr-Latn-RS"/>
        </w:rPr>
        <w:t>ranične vrijednosti minimalne inhibitorne koncentracije (MI</w:t>
      </w:r>
      <w:r w:rsidRPr="00245390">
        <w:rPr>
          <w:rFonts w:eastAsia="TimesNewRoman"/>
          <w:sz w:val="22"/>
          <w:szCs w:val="22"/>
          <w:lang w:val="sr-Latn-ME" w:eastAsia="sr-Latn-RS"/>
        </w:rPr>
        <w:t>K</w:t>
      </w:r>
      <w:r w:rsidR="007D25C1" w:rsidRPr="00245390">
        <w:rPr>
          <w:rFonts w:eastAsia="TimesNewRoman"/>
          <w:sz w:val="22"/>
          <w:szCs w:val="22"/>
          <w:lang w:val="sr-Latn-ME" w:eastAsia="sr-Latn-RS"/>
        </w:rPr>
        <w:t>) koje je utvrdio</w:t>
      </w:r>
      <w:r w:rsidRPr="00EE5F09">
        <w:rPr>
          <w:sz w:val="22"/>
          <w:szCs w:val="22"/>
          <w:lang w:val="sr-Latn-ME"/>
        </w:rPr>
        <w:t xml:space="preserve"> </w:t>
      </w:r>
      <w:r w:rsidRPr="00245390">
        <w:rPr>
          <w:rFonts w:eastAsia="TimesNewRoman"/>
          <w:sz w:val="22"/>
          <w:szCs w:val="22"/>
          <w:lang w:val="sr-Latn-ME" w:eastAsia="sr-Latn-RS"/>
        </w:rPr>
        <w:t>Evropski odbor za ispitivanje antimikrobne osjetljivosti</w:t>
      </w:r>
      <w:r w:rsidR="007D25C1" w:rsidRPr="00245390">
        <w:rPr>
          <w:rFonts w:eastAsia="TimesNewRoman"/>
          <w:sz w:val="22"/>
          <w:szCs w:val="22"/>
          <w:lang w:val="sr-Latn-ME" w:eastAsia="sr-Latn-RS"/>
        </w:rPr>
        <w:t xml:space="preserve"> </w:t>
      </w:r>
      <w:r w:rsidR="007D25C1" w:rsidRPr="00245390">
        <w:rPr>
          <w:rFonts w:eastAsia="TimesNewRoman"/>
          <w:i/>
          <w:iCs/>
          <w:sz w:val="22"/>
          <w:szCs w:val="22"/>
          <w:lang w:val="sr-Latn-ME" w:eastAsia="sr-Latn-RS"/>
        </w:rPr>
        <w:t>(</w:t>
      </w:r>
      <w:r w:rsidRPr="00245390">
        <w:rPr>
          <w:rFonts w:eastAsia="TimesNewRoman"/>
          <w:sz w:val="22"/>
          <w:szCs w:val="22"/>
          <w:lang w:val="sr-Latn-ME" w:eastAsia="sr-Latn-RS"/>
        </w:rPr>
        <w:t xml:space="preserve">engl. </w:t>
      </w:r>
      <w:r w:rsidR="007D25C1" w:rsidRPr="00245390">
        <w:rPr>
          <w:rFonts w:eastAsia="TimesNewRoman"/>
          <w:i/>
          <w:iCs/>
          <w:sz w:val="22"/>
          <w:szCs w:val="22"/>
          <w:lang w:val="sr-Latn-ME" w:eastAsia="sr-Latn-RS"/>
        </w:rPr>
        <w:t>European</w:t>
      </w:r>
      <w:r w:rsidRPr="00245390">
        <w:rPr>
          <w:rFonts w:eastAsia="TimesNewRoman"/>
          <w:i/>
          <w:iCs/>
          <w:sz w:val="22"/>
          <w:szCs w:val="22"/>
          <w:lang w:val="sr-Latn-ME" w:eastAsia="sr-Latn-RS"/>
        </w:rPr>
        <w:t xml:space="preserve"> </w:t>
      </w:r>
      <w:r w:rsidR="007D25C1" w:rsidRPr="00245390">
        <w:rPr>
          <w:rFonts w:eastAsia="TimesNewRoman"/>
          <w:i/>
          <w:iCs/>
          <w:sz w:val="22"/>
          <w:szCs w:val="22"/>
          <w:lang w:val="sr-Latn-ME" w:eastAsia="sr-Latn-RS"/>
        </w:rPr>
        <w:t>Committee for Antimicrobial Sensitivity Testing</w:t>
      </w:r>
      <w:r w:rsidRPr="00245390">
        <w:rPr>
          <w:rFonts w:eastAsia="TimesNewRoman"/>
          <w:i/>
          <w:iCs/>
          <w:sz w:val="22"/>
          <w:szCs w:val="22"/>
          <w:lang w:val="sr-Latn-ME" w:eastAsia="sr-Latn-RS"/>
        </w:rPr>
        <w:t>, EUCAST</w:t>
      </w:r>
      <w:r w:rsidR="007D25C1" w:rsidRPr="00245390">
        <w:rPr>
          <w:rFonts w:eastAsia="TimesNewRoman"/>
          <w:i/>
          <w:iCs/>
          <w:sz w:val="22"/>
          <w:szCs w:val="22"/>
          <w:lang w:val="sr-Latn-ME" w:eastAsia="sr-Latn-RS"/>
        </w:rPr>
        <w:t xml:space="preserve">) </w:t>
      </w:r>
      <w:r w:rsidR="007D25C1" w:rsidRPr="00245390">
        <w:rPr>
          <w:rFonts w:eastAsia="TimesNewRoman"/>
          <w:sz w:val="22"/>
          <w:szCs w:val="22"/>
          <w:lang w:val="sr-Latn-ME" w:eastAsia="sr-Latn-RS"/>
        </w:rPr>
        <w:t>su sljedeće:</w:t>
      </w:r>
    </w:p>
    <w:p w14:paraId="749F2509" w14:textId="77777777" w:rsidR="007D25C1" w:rsidRPr="00245390" w:rsidRDefault="007D25C1">
      <w:pPr>
        <w:tabs>
          <w:tab w:val="left" w:pos="540"/>
          <w:tab w:val="left" w:pos="569"/>
        </w:tabs>
        <w:jc w:val="both"/>
        <w:rPr>
          <w:rFonts w:eastAsia="TimesNewRoman"/>
          <w:sz w:val="22"/>
          <w:szCs w:val="22"/>
          <w:lang w:val="sr-Latn-ME" w:eastAsia="sr-Latn-RS"/>
        </w:rPr>
      </w:pPr>
    </w:p>
    <w:p w14:paraId="185CC9A6" w14:textId="2D82A148" w:rsidR="007D25C1" w:rsidRPr="00245390" w:rsidRDefault="007D25C1">
      <w:pPr>
        <w:tabs>
          <w:tab w:val="left" w:pos="540"/>
          <w:tab w:val="left" w:pos="569"/>
        </w:tabs>
        <w:jc w:val="both"/>
        <w:rPr>
          <w:rFonts w:eastAsia="TimesNewRoman"/>
          <w:b/>
          <w:bCs/>
          <w:sz w:val="22"/>
          <w:szCs w:val="22"/>
          <w:lang w:val="sr-Latn-ME" w:eastAsia="sr-Latn-RS"/>
        </w:rPr>
      </w:pPr>
      <w:r w:rsidRPr="00245390">
        <w:rPr>
          <w:rFonts w:eastAsia="TimesNewRoman"/>
          <w:b/>
          <w:bCs/>
          <w:sz w:val="22"/>
          <w:szCs w:val="22"/>
          <w:lang w:val="sr-Latn-ME" w:eastAsia="sr-Latn-RS"/>
        </w:rPr>
        <w:t>EUCAST kliničke MI</w:t>
      </w:r>
      <w:r w:rsidR="00C77082" w:rsidRPr="00245390">
        <w:rPr>
          <w:rFonts w:eastAsia="TimesNewRoman"/>
          <w:b/>
          <w:bCs/>
          <w:sz w:val="22"/>
          <w:szCs w:val="22"/>
          <w:lang w:val="sr-Latn-ME" w:eastAsia="sr-Latn-RS"/>
        </w:rPr>
        <w:t>K</w:t>
      </w:r>
      <w:r w:rsidRPr="00245390">
        <w:rPr>
          <w:rFonts w:eastAsia="TimesNewRoman"/>
          <w:b/>
          <w:bCs/>
          <w:sz w:val="22"/>
          <w:szCs w:val="22"/>
          <w:lang w:val="sr-Latn-ME" w:eastAsia="sr-Latn-RS"/>
        </w:rPr>
        <w:t xml:space="preserve"> granične vrijednosti za meropenem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982"/>
        <w:gridCol w:w="3000"/>
      </w:tblGrid>
      <w:tr w:rsidR="00086E08" w:rsidRPr="00245390" w14:paraId="1AA5B5AA" w14:textId="77777777" w:rsidTr="00C6235B">
        <w:tc>
          <w:tcPr>
            <w:tcW w:w="3093" w:type="dxa"/>
            <w:vMerge w:val="restart"/>
            <w:shd w:val="clear" w:color="auto" w:fill="auto"/>
          </w:tcPr>
          <w:p w14:paraId="22A57E82" w14:textId="77777777" w:rsidR="00086E08" w:rsidRPr="00245390" w:rsidRDefault="00086E08">
            <w:pPr>
              <w:jc w:val="both"/>
              <w:rPr>
                <w:b/>
                <w:bCs/>
                <w:sz w:val="22"/>
                <w:szCs w:val="22"/>
                <w:lang w:val="sr-Latn-ME"/>
              </w:rPr>
            </w:pPr>
          </w:p>
          <w:p w14:paraId="41F306AF" w14:textId="0772050E" w:rsidR="00086E08" w:rsidRPr="00245390" w:rsidRDefault="00086E08">
            <w:pPr>
              <w:jc w:val="both"/>
              <w:rPr>
                <w:b/>
                <w:bCs/>
                <w:sz w:val="22"/>
                <w:szCs w:val="22"/>
                <w:lang w:val="sr-Latn-ME"/>
              </w:rPr>
            </w:pPr>
            <w:r w:rsidRPr="00245390">
              <w:rPr>
                <w:b/>
                <w:bCs/>
                <w:sz w:val="22"/>
                <w:szCs w:val="22"/>
                <w:lang w:val="sr-Latn-ME"/>
              </w:rPr>
              <w:t>Organiz</w:t>
            </w:r>
            <w:r>
              <w:rPr>
                <w:b/>
                <w:bCs/>
                <w:sz w:val="22"/>
                <w:szCs w:val="22"/>
                <w:lang w:val="sr-Latn-ME"/>
              </w:rPr>
              <w:t>mi</w:t>
            </w:r>
          </w:p>
          <w:p w14:paraId="60E6378F" w14:textId="77777777" w:rsidR="00086E08" w:rsidRPr="00245390" w:rsidRDefault="00086E08" w:rsidP="00C6235B">
            <w:pPr>
              <w:jc w:val="both"/>
              <w:rPr>
                <w:b/>
                <w:bCs/>
                <w:sz w:val="22"/>
                <w:szCs w:val="22"/>
                <w:lang w:val="sr-Latn-ME"/>
              </w:rPr>
            </w:pPr>
          </w:p>
        </w:tc>
        <w:tc>
          <w:tcPr>
            <w:tcW w:w="5982" w:type="dxa"/>
            <w:gridSpan w:val="2"/>
            <w:shd w:val="clear" w:color="auto" w:fill="auto"/>
          </w:tcPr>
          <w:p w14:paraId="21823130" w14:textId="51470116" w:rsidR="00086E08" w:rsidRPr="00086E08" w:rsidRDefault="00086E08">
            <w:pPr>
              <w:jc w:val="both"/>
              <w:rPr>
                <w:b/>
                <w:bCs/>
                <w:sz w:val="22"/>
                <w:szCs w:val="22"/>
                <w:lang w:val="sr-Latn-ME"/>
              </w:rPr>
            </w:pPr>
            <w:r w:rsidRPr="00E23206">
              <w:rPr>
                <w:rFonts w:eastAsia="TimesNewRoman"/>
                <w:b/>
                <w:bCs/>
                <w:sz w:val="22"/>
                <w:szCs w:val="22"/>
                <w:lang w:val="sr-Latn-ME" w:eastAsia="sr-Latn-RS"/>
              </w:rPr>
              <w:t>Grani</w:t>
            </w:r>
            <w:r w:rsidRPr="00E23206">
              <w:rPr>
                <w:rFonts w:eastAsia="TimesNewRoman"/>
                <w:b/>
                <w:bCs/>
                <w:sz w:val="22"/>
                <w:szCs w:val="22"/>
                <w:lang w:val="sr-Latn-RS" w:eastAsia="sr-Latn-RS"/>
              </w:rPr>
              <w:t xml:space="preserve">čne vrijednosti </w:t>
            </w:r>
            <w:r w:rsidRPr="00E23206">
              <w:rPr>
                <w:rFonts w:eastAsia="TimesNewRoman"/>
                <w:b/>
                <w:bCs/>
                <w:sz w:val="22"/>
                <w:szCs w:val="22"/>
                <w:lang w:val="sr-Latn-ME" w:eastAsia="sr-Latn-RS"/>
              </w:rPr>
              <w:t xml:space="preserve">minimalne inhibitorne koncentracije (MIK) </w:t>
            </w:r>
            <w:r w:rsidRPr="00086E08">
              <w:rPr>
                <w:b/>
                <w:bCs/>
                <w:sz w:val="22"/>
                <w:szCs w:val="22"/>
                <w:lang w:val="sr-Latn-ME"/>
              </w:rPr>
              <w:t>(mg/l)</w:t>
            </w:r>
          </w:p>
        </w:tc>
      </w:tr>
      <w:tr w:rsidR="00086E08" w:rsidRPr="00245390" w14:paraId="7895BCA2" w14:textId="77777777" w:rsidTr="00086E08">
        <w:tc>
          <w:tcPr>
            <w:tcW w:w="3093" w:type="dxa"/>
            <w:vMerge/>
            <w:shd w:val="clear" w:color="auto" w:fill="auto"/>
          </w:tcPr>
          <w:p w14:paraId="379F45BC" w14:textId="77777777" w:rsidR="00086E08" w:rsidRPr="00245390" w:rsidRDefault="00086E08">
            <w:pPr>
              <w:jc w:val="both"/>
              <w:rPr>
                <w:b/>
                <w:bCs/>
                <w:sz w:val="22"/>
                <w:szCs w:val="22"/>
                <w:lang w:val="sr-Latn-ME"/>
              </w:rPr>
            </w:pPr>
          </w:p>
        </w:tc>
        <w:tc>
          <w:tcPr>
            <w:tcW w:w="2982" w:type="dxa"/>
            <w:shd w:val="clear" w:color="auto" w:fill="auto"/>
          </w:tcPr>
          <w:p w14:paraId="7443096C" w14:textId="77777777" w:rsidR="00086E08" w:rsidRPr="00245390" w:rsidRDefault="00086E08">
            <w:pPr>
              <w:jc w:val="both"/>
              <w:rPr>
                <w:b/>
                <w:bCs/>
                <w:sz w:val="22"/>
                <w:szCs w:val="22"/>
                <w:lang w:val="sr-Latn-ME"/>
              </w:rPr>
            </w:pPr>
          </w:p>
          <w:p w14:paraId="4ACD630E" w14:textId="3C388F8D" w:rsidR="00086E08" w:rsidRPr="00245390" w:rsidRDefault="00086E08">
            <w:pPr>
              <w:jc w:val="both"/>
              <w:rPr>
                <w:b/>
                <w:bCs/>
                <w:sz w:val="22"/>
                <w:szCs w:val="22"/>
                <w:lang w:val="sr-Latn-ME"/>
              </w:rPr>
            </w:pPr>
            <w:r w:rsidRPr="00245390">
              <w:rPr>
                <w:b/>
                <w:bCs/>
                <w:sz w:val="22"/>
                <w:szCs w:val="22"/>
                <w:lang w:val="sr-Latn-ME"/>
              </w:rPr>
              <w:t>Osjetljiv (S)</w:t>
            </w:r>
          </w:p>
        </w:tc>
        <w:tc>
          <w:tcPr>
            <w:tcW w:w="3000" w:type="dxa"/>
            <w:shd w:val="clear" w:color="auto" w:fill="auto"/>
          </w:tcPr>
          <w:p w14:paraId="445DDC70" w14:textId="77777777" w:rsidR="00086E08" w:rsidRPr="00245390" w:rsidRDefault="00086E08">
            <w:pPr>
              <w:jc w:val="both"/>
              <w:rPr>
                <w:b/>
                <w:bCs/>
                <w:sz w:val="22"/>
                <w:szCs w:val="22"/>
                <w:lang w:val="sr-Latn-ME"/>
              </w:rPr>
            </w:pPr>
          </w:p>
          <w:p w14:paraId="5FDE920C" w14:textId="60E7E72B" w:rsidR="00086E08" w:rsidRPr="00245390" w:rsidRDefault="00086E08">
            <w:pPr>
              <w:jc w:val="both"/>
              <w:rPr>
                <w:b/>
                <w:bCs/>
                <w:sz w:val="22"/>
                <w:szCs w:val="22"/>
                <w:lang w:val="sr-Latn-ME"/>
              </w:rPr>
            </w:pPr>
            <w:r w:rsidRPr="00245390">
              <w:rPr>
                <w:b/>
                <w:bCs/>
                <w:sz w:val="22"/>
                <w:szCs w:val="22"/>
                <w:lang w:val="sr-Latn-ME"/>
              </w:rPr>
              <w:t>Rezistentan (R)</w:t>
            </w:r>
          </w:p>
        </w:tc>
      </w:tr>
      <w:tr w:rsidR="00FE4E8C" w:rsidRPr="00245390" w14:paraId="73AE7738" w14:textId="77777777" w:rsidTr="00086E08">
        <w:tc>
          <w:tcPr>
            <w:tcW w:w="3093" w:type="dxa"/>
            <w:shd w:val="clear" w:color="auto" w:fill="auto"/>
          </w:tcPr>
          <w:p w14:paraId="07CC6150" w14:textId="26E8C139" w:rsidR="00FE4E8C" w:rsidRPr="00245390" w:rsidRDefault="00724620">
            <w:pPr>
              <w:jc w:val="both"/>
              <w:rPr>
                <w:sz w:val="22"/>
                <w:szCs w:val="22"/>
                <w:lang w:val="sr-Latn-ME"/>
              </w:rPr>
            </w:pPr>
            <w:r w:rsidRPr="00724620">
              <w:rPr>
                <w:sz w:val="22"/>
                <w:szCs w:val="22"/>
                <w:lang w:val="sr-Latn-ME"/>
              </w:rPr>
              <w:t>Achromobacter xylosoxidans</w:t>
            </w:r>
          </w:p>
        </w:tc>
        <w:tc>
          <w:tcPr>
            <w:tcW w:w="2982" w:type="dxa"/>
            <w:shd w:val="clear" w:color="auto" w:fill="auto"/>
          </w:tcPr>
          <w:p w14:paraId="46BDE8BE" w14:textId="5FC94326" w:rsidR="00FE4E8C" w:rsidRPr="00245390" w:rsidRDefault="00FE4E8C">
            <w:pPr>
              <w:jc w:val="both"/>
              <w:rPr>
                <w:sz w:val="22"/>
                <w:szCs w:val="22"/>
                <w:lang w:val="sr-Latn-ME"/>
              </w:rPr>
            </w:pPr>
            <w:r w:rsidRPr="00245390">
              <w:rPr>
                <w:sz w:val="22"/>
                <w:szCs w:val="22"/>
                <w:lang w:val="sr-Latn-ME"/>
              </w:rPr>
              <w:t>≤</w:t>
            </w:r>
            <w:r w:rsidR="00724620">
              <w:rPr>
                <w:sz w:val="22"/>
                <w:szCs w:val="22"/>
                <w:lang w:val="sr-Latn-ME"/>
              </w:rPr>
              <w:t>1</w:t>
            </w:r>
          </w:p>
        </w:tc>
        <w:tc>
          <w:tcPr>
            <w:tcW w:w="3000" w:type="dxa"/>
            <w:shd w:val="clear" w:color="auto" w:fill="auto"/>
          </w:tcPr>
          <w:p w14:paraId="7E96A114" w14:textId="395CE1B3" w:rsidR="00FE4E8C" w:rsidRPr="00245390" w:rsidRDefault="00B125E1">
            <w:pPr>
              <w:jc w:val="both"/>
              <w:rPr>
                <w:sz w:val="22"/>
                <w:szCs w:val="22"/>
                <w:lang w:val="sr-Latn-ME"/>
              </w:rPr>
            </w:pPr>
            <w:r w:rsidRPr="00245390">
              <w:rPr>
                <w:sz w:val="22"/>
                <w:szCs w:val="22"/>
                <w:lang w:val="sr-Latn-ME"/>
              </w:rPr>
              <w:t>&gt;</w:t>
            </w:r>
            <w:r w:rsidR="00724620">
              <w:rPr>
                <w:sz w:val="22"/>
                <w:szCs w:val="22"/>
                <w:lang w:val="sr-Latn-ME"/>
              </w:rPr>
              <w:t>4</w:t>
            </w:r>
          </w:p>
        </w:tc>
      </w:tr>
      <w:tr w:rsidR="00FE4E8C" w:rsidRPr="00245390" w14:paraId="72740AED" w14:textId="77777777" w:rsidTr="00086E08">
        <w:tc>
          <w:tcPr>
            <w:tcW w:w="3093" w:type="dxa"/>
            <w:shd w:val="clear" w:color="auto" w:fill="auto"/>
          </w:tcPr>
          <w:p w14:paraId="0720A266" w14:textId="5AE093A5" w:rsidR="00FE4E8C" w:rsidRPr="00245390" w:rsidRDefault="00D40F46">
            <w:pPr>
              <w:jc w:val="both"/>
              <w:rPr>
                <w:sz w:val="22"/>
                <w:szCs w:val="22"/>
                <w:lang w:val="sr-Latn-ME"/>
              </w:rPr>
            </w:pPr>
            <w:r w:rsidRPr="00D40F46">
              <w:rPr>
                <w:sz w:val="22"/>
                <w:szCs w:val="22"/>
                <w:lang w:val="sr-Latn-ME"/>
              </w:rPr>
              <w:t>Acinetobacter spp.</w:t>
            </w:r>
            <w:r w:rsidR="00910EE4">
              <w:rPr>
                <w:sz w:val="22"/>
                <w:szCs w:val="22"/>
                <w:lang w:val="sr-Latn-ME"/>
              </w:rPr>
              <w:t xml:space="preserve"> (</w:t>
            </w:r>
            <w:r w:rsidR="00E4356C">
              <w:rPr>
                <w:sz w:val="22"/>
                <w:szCs w:val="22"/>
                <w:lang w:val="sr-Latn-ME"/>
              </w:rPr>
              <w:t>indikacije osim meningitisa</w:t>
            </w:r>
            <w:r w:rsidRPr="00D40F46">
              <w:rPr>
                <w:sz w:val="22"/>
                <w:szCs w:val="22"/>
                <w:lang w:val="sr-Latn-ME"/>
              </w:rPr>
              <w:t>)</w:t>
            </w:r>
          </w:p>
        </w:tc>
        <w:tc>
          <w:tcPr>
            <w:tcW w:w="2982" w:type="dxa"/>
            <w:shd w:val="clear" w:color="auto" w:fill="auto"/>
          </w:tcPr>
          <w:p w14:paraId="0A02CAB2" w14:textId="0EC20812" w:rsidR="00FE4E8C" w:rsidRPr="00245390" w:rsidRDefault="00FE4E8C">
            <w:pPr>
              <w:jc w:val="both"/>
              <w:rPr>
                <w:sz w:val="22"/>
                <w:szCs w:val="22"/>
                <w:lang w:val="sr-Latn-ME"/>
              </w:rPr>
            </w:pPr>
            <w:r w:rsidRPr="00245390">
              <w:rPr>
                <w:sz w:val="22"/>
                <w:szCs w:val="22"/>
                <w:lang w:val="sr-Latn-ME"/>
              </w:rPr>
              <w:t>≤</w:t>
            </w:r>
            <w:r w:rsidR="005D3744">
              <w:rPr>
                <w:sz w:val="22"/>
                <w:szCs w:val="22"/>
                <w:lang w:val="sr-Latn-ME"/>
              </w:rPr>
              <w:t>2</w:t>
            </w:r>
          </w:p>
        </w:tc>
        <w:tc>
          <w:tcPr>
            <w:tcW w:w="3000" w:type="dxa"/>
            <w:shd w:val="clear" w:color="auto" w:fill="auto"/>
          </w:tcPr>
          <w:p w14:paraId="2826C583" w14:textId="2AC91402" w:rsidR="00FE4E8C" w:rsidRPr="00245390" w:rsidRDefault="00B125E1">
            <w:pPr>
              <w:jc w:val="both"/>
              <w:rPr>
                <w:sz w:val="22"/>
                <w:szCs w:val="22"/>
                <w:lang w:val="sr-Latn-ME"/>
              </w:rPr>
            </w:pPr>
            <w:r w:rsidRPr="00245390">
              <w:rPr>
                <w:sz w:val="22"/>
                <w:szCs w:val="22"/>
                <w:lang w:val="sr-Latn-ME"/>
              </w:rPr>
              <w:t>&gt;</w:t>
            </w:r>
            <w:r w:rsidR="005D3744">
              <w:rPr>
                <w:sz w:val="22"/>
                <w:szCs w:val="22"/>
                <w:lang w:val="sr-Latn-ME"/>
              </w:rPr>
              <w:t>8</w:t>
            </w:r>
          </w:p>
        </w:tc>
      </w:tr>
      <w:tr w:rsidR="00FE4E8C" w:rsidRPr="00245390" w14:paraId="2ECEB6E8" w14:textId="77777777" w:rsidTr="00086E08">
        <w:tc>
          <w:tcPr>
            <w:tcW w:w="3093" w:type="dxa"/>
            <w:shd w:val="clear" w:color="auto" w:fill="auto"/>
          </w:tcPr>
          <w:p w14:paraId="68D42C38" w14:textId="6091FD3A" w:rsidR="00FE4E8C" w:rsidRPr="00245390" w:rsidRDefault="00E4356C">
            <w:pPr>
              <w:jc w:val="both"/>
              <w:rPr>
                <w:sz w:val="22"/>
                <w:szCs w:val="22"/>
                <w:lang w:val="sr-Latn-ME"/>
              </w:rPr>
            </w:pPr>
            <w:r w:rsidRPr="00E4356C">
              <w:rPr>
                <w:sz w:val="22"/>
                <w:szCs w:val="22"/>
                <w:lang w:val="sr-Latn-ME"/>
              </w:rPr>
              <w:t>Acinetobacter spp. (meningitis)</w:t>
            </w:r>
          </w:p>
        </w:tc>
        <w:tc>
          <w:tcPr>
            <w:tcW w:w="2982" w:type="dxa"/>
            <w:shd w:val="clear" w:color="auto" w:fill="auto"/>
          </w:tcPr>
          <w:p w14:paraId="2EB13F94" w14:textId="40196C8F" w:rsidR="00FE4E8C" w:rsidRPr="00245390" w:rsidRDefault="00FE4E8C">
            <w:pPr>
              <w:jc w:val="both"/>
              <w:rPr>
                <w:sz w:val="22"/>
                <w:szCs w:val="22"/>
                <w:lang w:val="sr-Latn-ME"/>
              </w:rPr>
            </w:pPr>
            <w:r w:rsidRPr="00245390">
              <w:rPr>
                <w:sz w:val="22"/>
                <w:szCs w:val="22"/>
                <w:lang w:val="sr-Latn-ME"/>
              </w:rPr>
              <w:t>≤</w:t>
            </w:r>
            <w:r w:rsidR="00E4356C">
              <w:rPr>
                <w:sz w:val="22"/>
                <w:szCs w:val="22"/>
                <w:lang w:val="sr-Latn-ME"/>
              </w:rPr>
              <w:t>2</w:t>
            </w:r>
          </w:p>
        </w:tc>
        <w:tc>
          <w:tcPr>
            <w:tcW w:w="3000" w:type="dxa"/>
            <w:shd w:val="clear" w:color="auto" w:fill="auto"/>
          </w:tcPr>
          <w:p w14:paraId="60E0E56F" w14:textId="1F5D53FC" w:rsidR="00FE4E8C" w:rsidRPr="00245390" w:rsidRDefault="00B125E1">
            <w:pPr>
              <w:jc w:val="both"/>
              <w:rPr>
                <w:sz w:val="22"/>
                <w:szCs w:val="22"/>
                <w:lang w:val="sr-Latn-ME"/>
              </w:rPr>
            </w:pPr>
            <w:r w:rsidRPr="00245390">
              <w:rPr>
                <w:sz w:val="22"/>
                <w:szCs w:val="22"/>
                <w:lang w:val="sr-Latn-ME"/>
              </w:rPr>
              <w:t>&gt;</w:t>
            </w:r>
            <w:r w:rsidR="00E4356C">
              <w:rPr>
                <w:sz w:val="22"/>
                <w:szCs w:val="22"/>
                <w:lang w:val="sr-Latn-ME"/>
              </w:rPr>
              <w:t>2</w:t>
            </w:r>
          </w:p>
        </w:tc>
      </w:tr>
      <w:tr w:rsidR="00FE4E8C" w:rsidRPr="00245390" w14:paraId="06A8F1F6" w14:textId="77777777" w:rsidTr="00086E08">
        <w:tc>
          <w:tcPr>
            <w:tcW w:w="3093" w:type="dxa"/>
            <w:shd w:val="clear" w:color="auto" w:fill="auto"/>
          </w:tcPr>
          <w:p w14:paraId="4B4BA51E" w14:textId="6CC687D1" w:rsidR="00FE4E8C" w:rsidRPr="00245390" w:rsidRDefault="001A65D3">
            <w:pPr>
              <w:jc w:val="both"/>
              <w:rPr>
                <w:sz w:val="22"/>
                <w:szCs w:val="22"/>
                <w:lang w:val="sr-Latn-ME"/>
              </w:rPr>
            </w:pPr>
            <w:r w:rsidRPr="001A65D3">
              <w:rPr>
                <w:sz w:val="22"/>
                <w:szCs w:val="22"/>
                <w:lang w:val="sr-Latn-ME"/>
              </w:rPr>
              <w:t>Aerococcus sanguinicola</w:t>
            </w:r>
            <w:r>
              <w:rPr>
                <w:sz w:val="22"/>
                <w:szCs w:val="22"/>
                <w:lang w:val="sr-Latn-ME"/>
              </w:rPr>
              <w:t xml:space="preserve"> i </w:t>
            </w:r>
            <w:r w:rsidRPr="001A65D3">
              <w:rPr>
                <w:sz w:val="22"/>
                <w:szCs w:val="22"/>
                <w:lang w:val="sr-Latn-ME"/>
              </w:rPr>
              <w:t>A. urinae</w:t>
            </w:r>
          </w:p>
        </w:tc>
        <w:tc>
          <w:tcPr>
            <w:tcW w:w="2982" w:type="dxa"/>
            <w:shd w:val="clear" w:color="auto" w:fill="auto"/>
          </w:tcPr>
          <w:p w14:paraId="300A4AA3" w14:textId="6B6F2A41" w:rsidR="00FE4E8C" w:rsidRPr="00245390" w:rsidRDefault="00FE4E8C">
            <w:pPr>
              <w:jc w:val="both"/>
              <w:rPr>
                <w:sz w:val="22"/>
                <w:szCs w:val="22"/>
                <w:lang w:val="sr-Latn-ME"/>
              </w:rPr>
            </w:pPr>
            <w:r w:rsidRPr="00245390">
              <w:rPr>
                <w:sz w:val="22"/>
                <w:szCs w:val="22"/>
                <w:lang w:val="sr-Latn-ME"/>
              </w:rPr>
              <w:t>≤</w:t>
            </w:r>
            <w:r w:rsidR="001A65D3">
              <w:rPr>
                <w:sz w:val="22"/>
                <w:szCs w:val="22"/>
                <w:lang w:val="sr-Latn-ME"/>
              </w:rPr>
              <w:t>0</w:t>
            </w:r>
            <w:r w:rsidR="0028187C">
              <w:rPr>
                <w:sz w:val="22"/>
                <w:szCs w:val="22"/>
                <w:lang w:val="sr-Latn-ME"/>
              </w:rPr>
              <w:t>.25</w:t>
            </w:r>
          </w:p>
        </w:tc>
        <w:tc>
          <w:tcPr>
            <w:tcW w:w="3000" w:type="dxa"/>
            <w:shd w:val="clear" w:color="auto" w:fill="auto"/>
          </w:tcPr>
          <w:p w14:paraId="15DE27C8" w14:textId="653DD145" w:rsidR="00FE4E8C" w:rsidRPr="00245390" w:rsidRDefault="00B125E1">
            <w:pPr>
              <w:jc w:val="both"/>
              <w:rPr>
                <w:sz w:val="22"/>
                <w:szCs w:val="22"/>
                <w:lang w:val="sr-Latn-ME"/>
              </w:rPr>
            </w:pPr>
            <w:r w:rsidRPr="00245390">
              <w:rPr>
                <w:sz w:val="22"/>
                <w:szCs w:val="22"/>
                <w:lang w:val="sr-Latn-ME"/>
              </w:rPr>
              <w:t>&gt;</w:t>
            </w:r>
            <w:r w:rsidR="0028187C">
              <w:rPr>
                <w:sz w:val="22"/>
                <w:szCs w:val="22"/>
                <w:lang w:val="sr-Latn-ME"/>
              </w:rPr>
              <w:t>0.25</w:t>
            </w:r>
          </w:p>
        </w:tc>
      </w:tr>
      <w:tr w:rsidR="00FE4E8C" w:rsidRPr="00245390" w14:paraId="68E7CD8E" w14:textId="77777777" w:rsidTr="00086E08">
        <w:tc>
          <w:tcPr>
            <w:tcW w:w="3093" w:type="dxa"/>
            <w:shd w:val="clear" w:color="auto" w:fill="auto"/>
          </w:tcPr>
          <w:p w14:paraId="1A5716BA" w14:textId="2ED03187" w:rsidR="00FE4E8C" w:rsidRPr="00245390" w:rsidRDefault="00BE6C56">
            <w:pPr>
              <w:jc w:val="both"/>
              <w:rPr>
                <w:sz w:val="22"/>
                <w:szCs w:val="22"/>
                <w:lang w:val="sr-Latn-ME"/>
              </w:rPr>
            </w:pPr>
            <w:r w:rsidRPr="00BE6C56">
              <w:rPr>
                <w:sz w:val="22"/>
                <w:szCs w:val="22"/>
                <w:lang w:val="sr-Latn-ME"/>
              </w:rPr>
              <w:t xml:space="preserve">Bacillus spp. </w:t>
            </w:r>
            <w:r>
              <w:rPr>
                <w:sz w:val="22"/>
                <w:szCs w:val="22"/>
                <w:lang w:val="sr-Latn-ME"/>
              </w:rPr>
              <w:t>osim</w:t>
            </w:r>
            <w:r w:rsidRPr="00BE6C56">
              <w:rPr>
                <w:sz w:val="22"/>
                <w:szCs w:val="22"/>
                <w:lang w:val="sr-Latn-ME"/>
              </w:rPr>
              <w:t xml:space="preserve"> B. anthracis</w:t>
            </w:r>
          </w:p>
        </w:tc>
        <w:tc>
          <w:tcPr>
            <w:tcW w:w="2982" w:type="dxa"/>
            <w:shd w:val="clear" w:color="auto" w:fill="auto"/>
          </w:tcPr>
          <w:p w14:paraId="1A0FA56E" w14:textId="432FF690" w:rsidR="00FE4E8C" w:rsidRPr="00245390" w:rsidRDefault="00FE4E8C">
            <w:pPr>
              <w:jc w:val="both"/>
              <w:rPr>
                <w:sz w:val="22"/>
                <w:szCs w:val="22"/>
                <w:lang w:val="sr-Latn-ME"/>
              </w:rPr>
            </w:pPr>
            <w:r w:rsidRPr="00245390">
              <w:rPr>
                <w:sz w:val="22"/>
                <w:szCs w:val="22"/>
                <w:lang w:val="sr-Latn-ME"/>
              </w:rPr>
              <w:t>≤</w:t>
            </w:r>
            <w:r w:rsidR="00BE6C56">
              <w:rPr>
                <w:sz w:val="22"/>
                <w:szCs w:val="22"/>
                <w:lang w:val="sr-Latn-ME"/>
              </w:rPr>
              <w:t>0.25</w:t>
            </w:r>
          </w:p>
        </w:tc>
        <w:tc>
          <w:tcPr>
            <w:tcW w:w="3000" w:type="dxa"/>
            <w:shd w:val="clear" w:color="auto" w:fill="auto"/>
          </w:tcPr>
          <w:p w14:paraId="654A27DA" w14:textId="733BA500" w:rsidR="00FE4E8C" w:rsidRPr="00245390" w:rsidRDefault="00B125E1">
            <w:pPr>
              <w:jc w:val="both"/>
              <w:rPr>
                <w:sz w:val="22"/>
                <w:szCs w:val="22"/>
                <w:lang w:val="sr-Latn-ME"/>
              </w:rPr>
            </w:pPr>
            <w:r w:rsidRPr="00245390">
              <w:rPr>
                <w:sz w:val="22"/>
                <w:szCs w:val="22"/>
                <w:lang w:val="sr-Latn-ME"/>
              </w:rPr>
              <w:t>&gt;</w:t>
            </w:r>
            <w:r w:rsidR="00BE6C56">
              <w:rPr>
                <w:sz w:val="22"/>
                <w:szCs w:val="22"/>
                <w:lang w:val="sr-Latn-ME"/>
              </w:rPr>
              <w:t>0.25</w:t>
            </w:r>
          </w:p>
        </w:tc>
      </w:tr>
      <w:tr w:rsidR="00FE4E8C" w:rsidRPr="00245390" w14:paraId="0E7A1C95" w14:textId="77777777" w:rsidTr="00086E08">
        <w:tc>
          <w:tcPr>
            <w:tcW w:w="3093" w:type="dxa"/>
            <w:shd w:val="clear" w:color="auto" w:fill="auto"/>
          </w:tcPr>
          <w:p w14:paraId="1FC5A7FD" w14:textId="415715AD" w:rsidR="00FE4E8C" w:rsidRPr="00245390" w:rsidRDefault="00693C11">
            <w:pPr>
              <w:jc w:val="both"/>
              <w:rPr>
                <w:sz w:val="22"/>
                <w:szCs w:val="22"/>
                <w:lang w:val="sr-Latn-ME"/>
              </w:rPr>
            </w:pPr>
            <w:r>
              <w:rPr>
                <w:sz w:val="22"/>
                <w:szCs w:val="22"/>
                <w:lang w:val="sr-Latn-ME"/>
              </w:rPr>
              <w:t>Granične vr</w:t>
            </w:r>
            <w:r w:rsidR="00086E08">
              <w:rPr>
                <w:sz w:val="22"/>
                <w:szCs w:val="22"/>
                <w:lang w:val="sr-Latn-ME"/>
              </w:rPr>
              <w:t>ij</w:t>
            </w:r>
            <w:r>
              <w:rPr>
                <w:sz w:val="22"/>
                <w:szCs w:val="22"/>
                <w:lang w:val="sr-Latn-ME"/>
              </w:rPr>
              <w:t xml:space="preserve">ednosti za </w:t>
            </w:r>
            <w:r w:rsidRPr="00693C11">
              <w:rPr>
                <w:sz w:val="22"/>
                <w:szCs w:val="22"/>
                <w:lang w:val="sr-Latn-ME"/>
              </w:rPr>
              <w:t>Bacteroides spp.</w:t>
            </w:r>
            <w:r>
              <w:rPr>
                <w:sz w:val="22"/>
                <w:szCs w:val="22"/>
                <w:lang w:val="sr-Latn-ME"/>
              </w:rPr>
              <w:t xml:space="preserve"> </w:t>
            </w:r>
            <w:r w:rsidR="006838BD">
              <w:rPr>
                <w:sz w:val="22"/>
                <w:szCs w:val="22"/>
                <w:lang w:val="sr-Latn-ME"/>
              </w:rPr>
              <w:t>v</w:t>
            </w:r>
            <w:r>
              <w:rPr>
                <w:sz w:val="22"/>
                <w:szCs w:val="22"/>
                <w:lang w:val="sr-Latn-ME"/>
              </w:rPr>
              <w:t xml:space="preserve">aže i za </w:t>
            </w:r>
            <w:r w:rsidRPr="00693C11">
              <w:rPr>
                <w:sz w:val="22"/>
                <w:szCs w:val="22"/>
                <w:lang w:val="sr-Latn-ME"/>
              </w:rPr>
              <w:t>Parabacteroides spp.</w:t>
            </w:r>
            <w:r>
              <w:rPr>
                <w:sz w:val="22"/>
                <w:szCs w:val="22"/>
                <w:lang w:val="sr-Latn-ME"/>
              </w:rPr>
              <w:t xml:space="preserve"> i za</w:t>
            </w:r>
            <w:r w:rsidRPr="00693C11">
              <w:rPr>
                <w:sz w:val="22"/>
                <w:szCs w:val="22"/>
                <w:lang w:val="sr-Latn-ME"/>
              </w:rPr>
              <w:t xml:space="preserve"> Phocaeicola dorei/vulgatus (pr</w:t>
            </w:r>
            <w:r w:rsidR="002220F5">
              <w:rPr>
                <w:sz w:val="22"/>
                <w:szCs w:val="22"/>
                <w:lang w:val="sr-Latn-ME"/>
              </w:rPr>
              <w:t xml:space="preserve">ethodni naziv </w:t>
            </w:r>
            <w:r w:rsidRPr="00693C11">
              <w:rPr>
                <w:sz w:val="22"/>
                <w:szCs w:val="22"/>
                <w:lang w:val="sr-Latn-ME"/>
              </w:rPr>
              <w:t>Bacteroides dorei/vulgatus).</w:t>
            </w:r>
          </w:p>
        </w:tc>
        <w:tc>
          <w:tcPr>
            <w:tcW w:w="2982" w:type="dxa"/>
            <w:shd w:val="clear" w:color="auto" w:fill="auto"/>
          </w:tcPr>
          <w:p w14:paraId="7CCA61DC" w14:textId="6BAA1EFA" w:rsidR="00FE4E8C" w:rsidRPr="00245390" w:rsidRDefault="00FE4E8C">
            <w:pPr>
              <w:jc w:val="both"/>
              <w:rPr>
                <w:sz w:val="22"/>
                <w:szCs w:val="22"/>
                <w:lang w:val="sr-Latn-ME"/>
              </w:rPr>
            </w:pPr>
            <w:r w:rsidRPr="00245390">
              <w:rPr>
                <w:sz w:val="22"/>
                <w:szCs w:val="22"/>
                <w:lang w:val="sr-Latn-ME"/>
              </w:rPr>
              <w:t>≤</w:t>
            </w:r>
            <w:r w:rsidR="00693C11">
              <w:rPr>
                <w:sz w:val="22"/>
                <w:szCs w:val="22"/>
                <w:lang w:val="sr-Latn-ME"/>
              </w:rPr>
              <w:t>1</w:t>
            </w:r>
          </w:p>
        </w:tc>
        <w:tc>
          <w:tcPr>
            <w:tcW w:w="3000" w:type="dxa"/>
            <w:shd w:val="clear" w:color="auto" w:fill="auto"/>
          </w:tcPr>
          <w:p w14:paraId="7B1923AA" w14:textId="3A227367" w:rsidR="00FE4E8C" w:rsidRPr="00245390" w:rsidRDefault="00B125E1">
            <w:pPr>
              <w:jc w:val="both"/>
              <w:rPr>
                <w:sz w:val="22"/>
                <w:szCs w:val="22"/>
                <w:lang w:val="sr-Latn-ME"/>
              </w:rPr>
            </w:pPr>
            <w:r w:rsidRPr="00245390">
              <w:rPr>
                <w:sz w:val="22"/>
                <w:szCs w:val="22"/>
                <w:lang w:val="sr-Latn-ME"/>
              </w:rPr>
              <w:t>&gt;</w:t>
            </w:r>
            <w:r w:rsidR="00693C11">
              <w:rPr>
                <w:sz w:val="22"/>
                <w:szCs w:val="22"/>
                <w:lang w:val="sr-Latn-ME"/>
              </w:rPr>
              <w:t>1</w:t>
            </w:r>
          </w:p>
        </w:tc>
      </w:tr>
      <w:tr w:rsidR="00FE4E8C" w:rsidRPr="00245390" w14:paraId="6AE128DC" w14:textId="77777777" w:rsidTr="00086E08">
        <w:tc>
          <w:tcPr>
            <w:tcW w:w="3093" w:type="dxa"/>
            <w:shd w:val="clear" w:color="auto" w:fill="auto"/>
          </w:tcPr>
          <w:p w14:paraId="342A8559" w14:textId="0C3123DD" w:rsidR="00FE4E8C" w:rsidRPr="00245390" w:rsidRDefault="00040851">
            <w:pPr>
              <w:jc w:val="both"/>
              <w:rPr>
                <w:sz w:val="22"/>
                <w:szCs w:val="22"/>
                <w:lang w:val="sr-Latn-ME"/>
              </w:rPr>
            </w:pPr>
            <w:r w:rsidRPr="00040851">
              <w:rPr>
                <w:sz w:val="22"/>
                <w:szCs w:val="22"/>
                <w:lang w:val="sr-Latn-ME"/>
              </w:rPr>
              <w:t>Burkholderia pseudomallei</w:t>
            </w:r>
          </w:p>
        </w:tc>
        <w:tc>
          <w:tcPr>
            <w:tcW w:w="2982" w:type="dxa"/>
            <w:shd w:val="clear" w:color="auto" w:fill="auto"/>
          </w:tcPr>
          <w:p w14:paraId="5E4A6991" w14:textId="3446B008" w:rsidR="00FE4E8C" w:rsidRPr="00245390" w:rsidRDefault="00FE4E8C">
            <w:pPr>
              <w:jc w:val="both"/>
              <w:rPr>
                <w:sz w:val="22"/>
                <w:szCs w:val="22"/>
                <w:lang w:val="sr-Latn-ME"/>
              </w:rPr>
            </w:pPr>
            <w:r w:rsidRPr="00245390">
              <w:rPr>
                <w:sz w:val="22"/>
                <w:szCs w:val="22"/>
                <w:lang w:val="sr-Latn-ME"/>
              </w:rPr>
              <w:t>≤</w:t>
            </w:r>
            <w:r w:rsidR="006A79F0">
              <w:rPr>
                <w:sz w:val="22"/>
                <w:szCs w:val="22"/>
                <w:lang w:val="sr-Latn-ME"/>
              </w:rPr>
              <w:t>2</w:t>
            </w:r>
          </w:p>
        </w:tc>
        <w:tc>
          <w:tcPr>
            <w:tcW w:w="3000" w:type="dxa"/>
            <w:shd w:val="clear" w:color="auto" w:fill="auto"/>
          </w:tcPr>
          <w:p w14:paraId="67C0CF64" w14:textId="4CABD1FE" w:rsidR="00FE4E8C" w:rsidRPr="00E23206" w:rsidRDefault="00B125E1">
            <w:pPr>
              <w:jc w:val="both"/>
              <w:rPr>
                <w:sz w:val="22"/>
                <w:szCs w:val="22"/>
              </w:rPr>
            </w:pPr>
            <w:r w:rsidRPr="00245390">
              <w:rPr>
                <w:sz w:val="22"/>
                <w:szCs w:val="22"/>
                <w:lang w:val="sr-Latn-ME"/>
              </w:rPr>
              <w:t>&gt;</w:t>
            </w:r>
            <w:r w:rsidR="006A79F0">
              <w:rPr>
                <w:sz w:val="22"/>
                <w:szCs w:val="22"/>
                <w:lang w:val="sr-Latn-ME"/>
              </w:rPr>
              <w:t>2</w:t>
            </w:r>
          </w:p>
        </w:tc>
      </w:tr>
      <w:tr w:rsidR="00FE4E8C" w:rsidRPr="00245390" w14:paraId="11A75EC8" w14:textId="77777777" w:rsidTr="00086E08">
        <w:tc>
          <w:tcPr>
            <w:tcW w:w="3093" w:type="dxa"/>
            <w:shd w:val="clear" w:color="auto" w:fill="auto"/>
          </w:tcPr>
          <w:p w14:paraId="5AE97196" w14:textId="45D02149" w:rsidR="00FE4E8C" w:rsidRPr="00245390" w:rsidRDefault="0045509D">
            <w:pPr>
              <w:jc w:val="both"/>
              <w:rPr>
                <w:sz w:val="22"/>
                <w:szCs w:val="22"/>
                <w:lang w:val="sr-Latn-ME"/>
              </w:rPr>
            </w:pPr>
            <w:r w:rsidRPr="0045509D">
              <w:rPr>
                <w:sz w:val="22"/>
                <w:szCs w:val="22"/>
                <w:lang w:val="sr-Latn-ME"/>
              </w:rPr>
              <w:t>Clostridium perfringens</w:t>
            </w:r>
          </w:p>
        </w:tc>
        <w:tc>
          <w:tcPr>
            <w:tcW w:w="2982" w:type="dxa"/>
            <w:shd w:val="clear" w:color="auto" w:fill="auto"/>
          </w:tcPr>
          <w:p w14:paraId="48B77676" w14:textId="352F9BC1" w:rsidR="00FE4E8C" w:rsidRPr="00245390" w:rsidRDefault="00FE4E8C">
            <w:pPr>
              <w:jc w:val="both"/>
              <w:rPr>
                <w:sz w:val="22"/>
                <w:szCs w:val="22"/>
                <w:lang w:val="sr-Latn-ME"/>
              </w:rPr>
            </w:pPr>
            <w:r w:rsidRPr="00245390">
              <w:rPr>
                <w:sz w:val="22"/>
                <w:szCs w:val="22"/>
                <w:lang w:val="sr-Latn-ME"/>
              </w:rPr>
              <w:t>≤</w:t>
            </w:r>
            <w:r w:rsidR="001C4461" w:rsidRPr="001C4461">
              <w:rPr>
                <w:sz w:val="22"/>
                <w:szCs w:val="22"/>
                <w:lang w:val="sr-Latn-ME"/>
              </w:rPr>
              <w:t>0.125</w:t>
            </w:r>
            <w:r w:rsidR="002F29F0" w:rsidRPr="00245390">
              <w:rPr>
                <w:rFonts w:eastAsia="TimesNewRoman"/>
                <w:sz w:val="22"/>
                <w:szCs w:val="22"/>
                <w:vertAlign w:val="superscript"/>
                <w:lang w:val="sr-Latn-ME" w:eastAsia="sr-Latn-RS"/>
              </w:rPr>
              <w:t>1</w:t>
            </w:r>
          </w:p>
        </w:tc>
        <w:tc>
          <w:tcPr>
            <w:tcW w:w="3000" w:type="dxa"/>
            <w:shd w:val="clear" w:color="auto" w:fill="auto"/>
          </w:tcPr>
          <w:p w14:paraId="41486715" w14:textId="7CA7AEB9" w:rsidR="00FE4E8C" w:rsidRPr="00245390" w:rsidRDefault="00B125E1">
            <w:pPr>
              <w:jc w:val="both"/>
              <w:rPr>
                <w:sz w:val="22"/>
                <w:szCs w:val="22"/>
                <w:lang w:val="sr-Latn-ME"/>
              </w:rPr>
            </w:pPr>
            <w:r w:rsidRPr="00245390">
              <w:rPr>
                <w:sz w:val="22"/>
                <w:szCs w:val="22"/>
                <w:lang w:val="sr-Latn-ME"/>
              </w:rPr>
              <w:t>&gt;</w:t>
            </w:r>
            <w:r w:rsidR="00300C2A">
              <w:rPr>
                <w:sz w:val="22"/>
                <w:szCs w:val="22"/>
                <w:lang w:val="sr-Latn-ME"/>
              </w:rPr>
              <w:t>0.125</w:t>
            </w:r>
            <w:r w:rsidR="002F29F0" w:rsidRPr="00245390">
              <w:rPr>
                <w:rFonts w:eastAsia="TimesNewRoman"/>
                <w:sz w:val="22"/>
                <w:szCs w:val="22"/>
                <w:vertAlign w:val="superscript"/>
                <w:lang w:val="sr-Latn-ME" w:eastAsia="sr-Latn-RS"/>
              </w:rPr>
              <w:t>1</w:t>
            </w:r>
          </w:p>
        </w:tc>
      </w:tr>
      <w:tr w:rsidR="00FE4E8C" w:rsidRPr="00245390" w14:paraId="26D5451B" w14:textId="77777777" w:rsidTr="00086E08">
        <w:tc>
          <w:tcPr>
            <w:tcW w:w="3093" w:type="dxa"/>
            <w:shd w:val="clear" w:color="auto" w:fill="auto"/>
          </w:tcPr>
          <w:p w14:paraId="5CEBE370" w14:textId="131F0361" w:rsidR="00FE4E8C" w:rsidRPr="00245390" w:rsidRDefault="004D482D">
            <w:pPr>
              <w:jc w:val="both"/>
              <w:rPr>
                <w:sz w:val="22"/>
                <w:szCs w:val="22"/>
                <w:lang w:val="sr-Latn-ME"/>
              </w:rPr>
            </w:pPr>
            <w:r w:rsidRPr="004D482D">
              <w:rPr>
                <w:sz w:val="22"/>
                <w:szCs w:val="22"/>
                <w:lang w:val="sr-Latn-ME"/>
              </w:rPr>
              <w:t xml:space="preserve">Corynebacterium diphtheriae </w:t>
            </w:r>
            <w:r>
              <w:rPr>
                <w:sz w:val="22"/>
                <w:szCs w:val="22"/>
                <w:lang w:val="sr-Latn-ME"/>
              </w:rPr>
              <w:t>i</w:t>
            </w:r>
            <w:r w:rsidRPr="004D482D">
              <w:rPr>
                <w:sz w:val="22"/>
                <w:szCs w:val="22"/>
                <w:lang w:val="sr-Latn-ME"/>
              </w:rPr>
              <w:t xml:space="preserve"> C. ulcerans</w:t>
            </w:r>
          </w:p>
        </w:tc>
        <w:tc>
          <w:tcPr>
            <w:tcW w:w="2982" w:type="dxa"/>
            <w:shd w:val="clear" w:color="auto" w:fill="auto"/>
          </w:tcPr>
          <w:p w14:paraId="60813626" w14:textId="3F0C797C" w:rsidR="00FE4E8C" w:rsidRPr="00245390" w:rsidRDefault="00FE4E8C">
            <w:pPr>
              <w:jc w:val="both"/>
              <w:rPr>
                <w:sz w:val="22"/>
                <w:szCs w:val="22"/>
                <w:lang w:val="sr-Latn-ME"/>
              </w:rPr>
            </w:pPr>
            <w:r w:rsidRPr="00245390">
              <w:rPr>
                <w:sz w:val="22"/>
                <w:szCs w:val="22"/>
                <w:lang w:val="sr-Latn-ME"/>
              </w:rPr>
              <w:t>≤</w:t>
            </w:r>
            <w:r w:rsidR="004D482D">
              <w:rPr>
                <w:sz w:val="22"/>
                <w:szCs w:val="22"/>
                <w:lang w:val="sr-Latn-ME"/>
              </w:rPr>
              <w:t>0.25</w:t>
            </w:r>
            <w:r w:rsidR="004D482D" w:rsidRPr="00245390">
              <w:rPr>
                <w:rFonts w:eastAsia="TimesNewRoman"/>
                <w:sz w:val="22"/>
                <w:szCs w:val="22"/>
                <w:vertAlign w:val="superscript"/>
                <w:lang w:val="sr-Latn-ME" w:eastAsia="sr-Latn-RS"/>
              </w:rPr>
              <w:t>2</w:t>
            </w:r>
          </w:p>
        </w:tc>
        <w:tc>
          <w:tcPr>
            <w:tcW w:w="3000" w:type="dxa"/>
            <w:shd w:val="clear" w:color="auto" w:fill="auto"/>
          </w:tcPr>
          <w:p w14:paraId="58073050" w14:textId="70ACD793" w:rsidR="00FE4E8C" w:rsidRPr="00245390" w:rsidRDefault="00B125E1">
            <w:pPr>
              <w:jc w:val="both"/>
              <w:rPr>
                <w:sz w:val="22"/>
                <w:szCs w:val="22"/>
                <w:lang w:val="sr-Latn-ME"/>
              </w:rPr>
            </w:pPr>
            <w:r w:rsidRPr="00245390">
              <w:rPr>
                <w:sz w:val="22"/>
                <w:szCs w:val="22"/>
                <w:lang w:val="sr-Latn-ME"/>
              </w:rPr>
              <w:t>&gt;</w:t>
            </w:r>
            <w:r w:rsidR="004D482D">
              <w:rPr>
                <w:sz w:val="22"/>
                <w:szCs w:val="22"/>
                <w:lang w:val="sr-Latn-ME"/>
              </w:rPr>
              <w:t>0.25</w:t>
            </w:r>
            <w:r w:rsidR="004D482D" w:rsidRPr="00245390">
              <w:rPr>
                <w:rFonts w:eastAsia="TimesNewRoman"/>
                <w:sz w:val="22"/>
                <w:szCs w:val="22"/>
                <w:vertAlign w:val="superscript"/>
                <w:lang w:val="sr-Latn-ME" w:eastAsia="sr-Latn-RS"/>
              </w:rPr>
              <w:t>2</w:t>
            </w:r>
          </w:p>
        </w:tc>
      </w:tr>
      <w:tr w:rsidR="00FE4E8C" w:rsidRPr="00245390" w14:paraId="7D45F16E" w14:textId="77777777" w:rsidTr="00086E08">
        <w:tc>
          <w:tcPr>
            <w:tcW w:w="3093" w:type="dxa"/>
            <w:shd w:val="clear" w:color="auto" w:fill="auto"/>
          </w:tcPr>
          <w:p w14:paraId="5EC8E0B1" w14:textId="7FA43F4F" w:rsidR="00FE4E8C" w:rsidRPr="00245390" w:rsidRDefault="005F4D18">
            <w:pPr>
              <w:jc w:val="both"/>
              <w:rPr>
                <w:sz w:val="22"/>
                <w:szCs w:val="22"/>
                <w:lang w:val="sr-Latn-ME"/>
              </w:rPr>
            </w:pPr>
            <w:r w:rsidRPr="005F4D18">
              <w:rPr>
                <w:sz w:val="22"/>
                <w:szCs w:val="22"/>
                <w:lang w:val="sr-Latn-ME"/>
              </w:rPr>
              <w:t>Cutibacterium acnes</w:t>
            </w:r>
          </w:p>
        </w:tc>
        <w:tc>
          <w:tcPr>
            <w:tcW w:w="2982" w:type="dxa"/>
            <w:shd w:val="clear" w:color="auto" w:fill="auto"/>
          </w:tcPr>
          <w:p w14:paraId="5B60D5DE" w14:textId="01C01CD5" w:rsidR="00FE4E8C" w:rsidRPr="00245390" w:rsidRDefault="005F4D18">
            <w:pPr>
              <w:jc w:val="both"/>
              <w:rPr>
                <w:sz w:val="22"/>
                <w:szCs w:val="22"/>
                <w:lang w:val="sr-Latn-ME"/>
              </w:rPr>
            </w:pPr>
            <w:r w:rsidRPr="00245390">
              <w:rPr>
                <w:sz w:val="22"/>
                <w:szCs w:val="22"/>
                <w:lang w:val="sr-Latn-ME"/>
              </w:rPr>
              <w:t>≤</w:t>
            </w:r>
            <w:r w:rsidRPr="001C4461">
              <w:rPr>
                <w:sz w:val="22"/>
                <w:szCs w:val="22"/>
                <w:lang w:val="sr-Latn-ME"/>
              </w:rPr>
              <w:t>0.125</w:t>
            </w:r>
            <w:r w:rsidRPr="00245390">
              <w:rPr>
                <w:rFonts w:eastAsia="TimesNewRoman"/>
                <w:sz w:val="22"/>
                <w:szCs w:val="22"/>
                <w:vertAlign w:val="superscript"/>
                <w:lang w:val="sr-Latn-ME" w:eastAsia="sr-Latn-RS"/>
              </w:rPr>
              <w:t>1</w:t>
            </w:r>
          </w:p>
        </w:tc>
        <w:tc>
          <w:tcPr>
            <w:tcW w:w="3000" w:type="dxa"/>
            <w:shd w:val="clear" w:color="auto" w:fill="auto"/>
          </w:tcPr>
          <w:p w14:paraId="2CF9913F" w14:textId="67575D26" w:rsidR="00FE4E8C" w:rsidRPr="00245390" w:rsidRDefault="005F4D18">
            <w:pPr>
              <w:jc w:val="both"/>
              <w:rPr>
                <w:sz w:val="22"/>
                <w:szCs w:val="22"/>
                <w:lang w:val="sr-Latn-ME"/>
              </w:rPr>
            </w:pPr>
            <w:r w:rsidRPr="00245390">
              <w:rPr>
                <w:sz w:val="22"/>
                <w:szCs w:val="22"/>
                <w:lang w:val="sr-Latn-ME"/>
              </w:rPr>
              <w:t>&gt;</w:t>
            </w:r>
            <w:r>
              <w:rPr>
                <w:sz w:val="22"/>
                <w:szCs w:val="22"/>
                <w:lang w:val="sr-Latn-ME"/>
              </w:rPr>
              <w:t>0.125</w:t>
            </w:r>
            <w:r w:rsidRPr="00245390">
              <w:rPr>
                <w:rFonts w:eastAsia="TimesNewRoman"/>
                <w:sz w:val="22"/>
                <w:szCs w:val="22"/>
                <w:vertAlign w:val="superscript"/>
                <w:lang w:val="sr-Latn-ME" w:eastAsia="sr-Latn-RS"/>
              </w:rPr>
              <w:t>1</w:t>
            </w:r>
          </w:p>
        </w:tc>
      </w:tr>
      <w:tr w:rsidR="00FE4E8C" w:rsidRPr="00245390" w14:paraId="01286C36" w14:textId="77777777" w:rsidTr="00086E08">
        <w:tc>
          <w:tcPr>
            <w:tcW w:w="3093" w:type="dxa"/>
            <w:shd w:val="clear" w:color="auto" w:fill="auto"/>
          </w:tcPr>
          <w:p w14:paraId="7F4BF71A" w14:textId="3F604E5F" w:rsidR="00FE4E8C" w:rsidRPr="00245390" w:rsidRDefault="008518C3">
            <w:pPr>
              <w:jc w:val="both"/>
              <w:rPr>
                <w:sz w:val="22"/>
                <w:szCs w:val="22"/>
                <w:lang w:val="sr-Latn-ME"/>
              </w:rPr>
            </w:pPr>
            <w:r w:rsidRPr="008518C3">
              <w:rPr>
                <w:sz w:val="22"/>
                <w:szCs w:val="22"/>
                <w:lang w:val="sr-Latn-ME"/>
              </w:rPr>
              <w:t>Enterobacterales (indi</w:t>
            </w:r>
            <w:r>
              <w:rPr>
                <w:sz w:val="22"/>
                <w:szCs w:val="22"/>
                <w:lang w:val="sr-Latn-ME"/>
              </w:rPr>
              <w:t>kacije osim meningitisa</w:t>
            </w:r>
            <w:r w:rsidRPr="008518C3">
              <w:rPr>
                <w:sz w:val="22"/>
                <w:szCs w:val="22"/>
                <w:lang w:val="sr-Latn-ME"/>
              </w:rPr>
              <w:t>)</w:t>
            </w:r>
          </w:p>
        </w:tc>
        <w:tc>
          <w:tcPr>
            <w:tcW w:w="2982" w:type="dxa"/>
            <w:shd w:val="clear" w:color="auto" w:fill="auto"/>
          </w:tcPr>
          <w:p w14:paraId="2053A140" w14:textId="5741BFF4" w:rsidR="00FE4E8C" w:rsidRPr="00245390" w:rsidRDefault="00FE4E8C">
            <w:pPr>
              <w:jc w:val="both"/>
              <w:rPr>
                <w:sz w:val="22"/>
                <w:szCs w:val="22"/>
                <w:lang w:val="sr-Latn-ME"/>
              </w:rPr>
            </w:pPr>
            <w:r w:rsidRPr="00245390">
              <w:rPr>
                <w:sz w:val="22"/>
                <w:szCs w:val="22"/>
                <w:lang w:val="sr-Latn-ME"/>
              </w:rPr>
              <w:t>≤</w:t>
            </w:r>
            <w:r w:rsidR="008518C3">
              <w:rPr>
                <w:sz w:val="22"/>
                <w:szCs w:val="22"/>
                <w:lang w:val="sr-Latn-ME"/>
              </w:rPr>
              <w:t>2</w:t>
            </w:r>
          </w:p>
        </w:tc>
        <w:tc>
          <w:tcPr>
            <w:tcW w:w="3000" w:type="dxa"/>
            <w:shd w:val="clear" w:color="auto" w:fill="auto"/>
          </w:tcPr>
          <w:p w14:paraId="435DD104" w14:textId="51CACA55" w:rsidR="00FE4E8C" w:rsidRPr="00245390" w:rsidRDefault="00B125E1">
            <w:pPr>
              <w:jc w:val="both"/>
              <w:rPr>
                <w:sz w:val="22"/>
                <w:szCs w:val="22"/>
                <w:lang w:val="sr-Latn-ME"/>
              </w:rPr>
            </w:pPr>
            <w:r w:rsidRPr="00245390">
              <w:rPr>
                <w:sz w:val="22"/>
                <w:szCs w:val="22"/>
                <w:lang w:val="sr-Latn-ME"/>
              </w:rPr>
              <w:t>&gt;</w:t>
            </w:r>
            <w:r w:rsidR="008518C3">
              <w:rPr>
                <w:sz w:val="22"/>
                <w:szCs w:val="22"/>
                <w:lang w:val="sr-Latn-ME"/>
              </w:rPr>
              <w:t>8</w:t>
            </w:r>
          </w:p>
        </w:tc>
      </w:tr>
      <w:tr w:rsidR="00FE4E8C" w:rsidRPr="00245390" w14:paraId="278818C9" w14:textId="77777777" w:rsidTr="00086E08">
        <w:tc>
          <w:tcPr>
            <w:tcW w:w="3093" w:type="dxa"/>
            <w:shd w:val="clear" w:color="auto" w:fill="auto"/>
          </w:tcPr>
          <w:p w14:paraId="06CBFA5C" w14:textId="3030390D" w:rsidR="00FE4E8C" w:rsidRPr="00245390" w:rsidRDefault="00910EE4">
            <w:pPr>
              <w:jc w:val="both"/>
              <w:rPr>
                <w:sz w:val="22"/>
                <w:szCs w:val="22"/>
                <w:lang w:val="sr-Latn-ME"/>
              </w:rPr>
            </w:pPr>
            <w:r w:rsidRPr="00910EE4">
              <w:rPr>
                <w:sz w:val="22"/>
                <w:szCs w:val="22"/>
                <w:lang w:val="sr-Latn-ME"/>
              </w:rPr>
              <w:t>Enterobacterales (meningitis)</w:t>
            </w:r>
          </w:p>
        </w:tc>
        <w:tc>
          <w:tcPr>
            <w:tcW w:w="2982" w:type="dxa"/>
            <w:shd w:val="clear" w:color="auto" w:fill="auto"/>
          </w:tcPr>
          <w:p w14:paraId="5A504B60" w14:textId="369B46A5" w:rsidR="00FE4E8C" w:rsidRPr="00245390" w:rsidRDefault="00FE4E8C">
            <w:pPr>
              <w:jc w:val="both"/>
              <w:rPr>
                <w:sz w:val="22"/>
                <w:szCs w:val="22"/>
                <w:lang w:val="sr-Latn-ME"/>
              </w:rPr>
            </w:pPr>
            <w:r w:rsidRPr="00245390">
              <w:rPr>
                <w:sz w:val="22"/>
                <w:szCs w:val="22"/>
                <w:lang w:val="sr-Latn-ME"/>
              </w:rPr>
              <w:t>≤</w:t>
            </w:r>
            <w:r w:rsidR="007A4EC6">
              <w:rPr>
                <w:sz w:val="22"/>
                <w:szCs w:val="22"/>
                <w:lang w:val="sr-Latn-ME"/>
              </w:rPr>
              <w:t>2</w:t>
            </w:r>
          </w:p>
        </w:tc>
        <w:tc>
          <w:tcPr>
            <w:tcW w:w="3000" w:type="dxa"/>
            <w:shd w:val="clear" w:color="auto" w:fill="auto"/>
          </w:tcPr>
          <w:p w14:paraId="556890CE" w14:textId="046ECD87" w:rsidR="00FE4E8C" w:rsidRPr="00245390" w:rsidRDefault="00B125E1">
            <w:pPr>
              <w:jc w:val="both"/>
              <w:rPr>
                <w:sz w:val="22"/>
                <w:szCs w:val="22"/>
                <w:lang w:val="sr-Latn-ME"/>
              </w:rPr>
            </w:pPr>
            <w:r w:rsidRPr="00245390">
              <w:rPr>
                <w:sz w:val="22"/>
                <w:szCs w:val="22"/>
                <w:lang w:val="sr-Latn-ME"/>
              </w:rPr>
              <w:t>&gt;</w:t>
            </w:r>
            <w:r w:rsidR="007A4EC6">
              <w:rPr>
                <w:sz w:val="22"/>
                <w:szCs w:val="22"/>
                <w:lang w:val="sr-Latn-ME"/>
              </w:rPr>
              <w:t>2</w:t>
            </w:r>
          </w:p>
        </w:tc>
      </w:tr>
      <w:tr w:rsidR="009A6029" w:rsidRPr="00245390" w14:paraId="5715DF45" w14:textId="77777777" w:rsidTr="00086E08">
        <w:tc>
          <w:tcPr>
            <w:tcW w:w="3093" w:type="dxa"/>
            <w:shd w:val="clear" w:color="auto" w:fill="auto"/>
          </w:tcPr>
          <w:p w14:paraId="2B2BAAB7" w14:textId="69CC3AFF" w:rsidR="00FE4E8C" w:rsidRPr="00245390" w:rsidRDefault="00927109">
            <w:pPr>
              <w:jc w:val="both"/>
              <w:rPr>
                <w:sz w:val="22"/>
                <w:szCs w:val="22"/>
                <w:lang w:val="sr-Latn-ME"/>
              </w:rPr>
            </w:pPr>
            <w:r w:rsidRPr="00927109">
              <w:rPr>
                <w:sz w:val="22"/>
                <w:szCs w:val="22"/>
                <w:lang w:val="sr-Latn-ME"/>
              </w:rPr>
              <w:t>Fusobacterium necrophorum</w:t>
            </w:r>
          </w:p>
        </w:tc>
        <w:tc>
          <w:tcPr>
            <w:tcW w:w="2982" w:type="dxa"/>
            <w:shd w:val="clear" w:color="auto" w:fill="auto"/>
          </w:tcPr>
          <w:p w14:paraId="45410433" w14:textId="699D0C30" w:rsidR="00FE4E8C" w:rsidRPr="00245390" w:rsidRDefault="00FE4E8C">
            <w:pPr>
              <w:jc w:val="both"/>
              <w:rPr>
                <w:sz w:val="22"/>
                <w:szCs w:val="22"/>
                <w:lang w:val="sr-Latn-ME"/>
              </w:rPr>
            </w:pPr>
            <w:r w:rsidRPr="00245390">
              <w:rPr>
                <w:sz w:val="22"/>
                <w:szCs w:val="22"/>
                <w:lang w:val="sr-Latn-ME"/>
              </w:rPr>
              <w:t>≤</w:t>
            </w:r>
            <w:r w:rsidR="00927109">
              <w:rPr>
                <w:sz w:val="22"/>
                <w:szCs w:val="22"/>
                <w:lang w:val="sr-Latn-ME"/>
              </w:rPr>
              <w:t>0.</w:t>
            </w:r>
            <w:r w:rsidR="0022303C">
              <w:rPr>
                <w:sz w:val="22"/>
                <w:szCs w:val="22"/>
                <w:lang w:val="sr-Latn-ME"/>
              </w:rPr>
              <w:t>0</w:t>
            </w:r>
            <w:r w:rsidR="00927109">
              <w:rPr>
                <w:sz w:val="22"/>
                <w:szCs w:val="22"/>
                <w:lang w:val="sr-Latn-ME"/>
              </w:rPr>
              <w:t>3</w:t>
            </w:r>
            <w:r w:rsidR="00927109" w:rsidRPr="00245390">
              <w:rPr>
                <w:rFonts w:eastAsia="TimesNewRoman"/>
                <w:sz w:val="22"/>
                <w:szCs w:val="22"/>
                <w:vertAlign w:val="superscript"/>
                <w:lang w:val="sr-Latn-ME" w:eastAsia="sr-Latn-RS"/>
              </w:rPr>
              <w:t>1</w:t>
            </w:r>
          </w:p>
        </w:tc>
        <w:tc>
          <w:tcPr>
            <w:tcW w:w="3000" w:type="dxa"/>
            <w:shd w:val="clear" w:color="auto" w:fill="auto"/>
          </w:tcPr>
          <w:p w14:paraId="6A4AEA92" w14:textId="78A812E4" w:rsidR="00FE4E8C" w:rsidRPr="00245390" w:rsidRDefault="00B125E1">
            <w:pPr>
              <w:jc w:val="both"/>
              <w:rPr>
                <w:sz w:val="22"/>
                <w:szCs w:val="22"/>
                <w:lang w:val="sr-Latn-ME"/>
              </w:rPr>
            </w:pPr>
            <w:r w:rsidRPr="00245390">
              <w:rPr>
                <w:sz w:val="22"/>
                <w:szCs w:val="22"/>
                <w:lang w:val="sr-Latn-ME"/>
              </w:rPr>
              <w:t>&gt;</w:t>
            </w:r>
            <w:r w:rsidR="00927109">
              <w:rPr>
                <w:sz w:val="22"/>
                <w:szCs w:val="22"/>
                <w:lang w:val="sr-Latn-ME"/>
              </w:rPr>
              <w:t>0.</w:t>
            </w:r>
            <w:r w:rsidR="0022303C">
              <w:rPr>
                <w:sz w:val="22"/>
                <w:szCs w:val="22"/>
                <w:lang w:val="sr-Latn-ME"/>
              </w:rPr>
              <w:t>0</w:t>
            </w:r>
            <w:r w:rsidR="00927109">
              <w:rPr>
                <w:sz w:val="22"/>
                <w:szCs w:val="22"/>
                <w:lang w:val="sr-Latn-ME"/>
              </w:rPr>
              <w:t>3</w:t>
            </w:r>
            <w:r w:rsidR="00927109" w:rsidRPr="00245390">
              <w:rPr>
                <w:rFonts w:eastAsia="TimesNewRoman"/>
                <w:sz w:val="22"/>
                <w:szCs w:val="22"/>
                <w:vertAlign w:val="superscript"/>
                <w:lang w:val="sr-Latn-ME" w:eastAsia="sr-Latn-RS"/>
              </w:rPr>
              <w:t>1</w:t>
            </w:r>
          </w:p>
        </w:tc>
      </w:tr>
      <w:tr w:rsidR="004E7838" w:rsidRPr="00245390" w14:paraId="358C35C3" w14:textId="77777777" w:rsidTr="00086E08">
        <w:tc>
          <w:tcPr>
            <w:tcW w:w="3093" w:type="dxa"/>
            <w:shd w:val="clear" w:color="auto" w:fill="auto"/>
          </w:tcPr>
          <w:p w14:paraId="641203DC" w14:textId="5DD6C448" w:rsidR="004E7838" w:rsidRPr="00927109" w:rsidRDefault="0001555D" w:rsidP="00E23206">
            <w:pPr>
              <w:rPr>
                <w:sz w:val="22"/>
                <w:szCs w:val="22"/>
                <w:lang w:val="sr-Latn-ME"/>
              </w:rPr>
            </w:pPr>
            <w:r w:rsidRPr="0001555D">
              <w:rPr>
                <w:sz w:val="22"/>
                <w:szCs w:val="22"/>
                <w:lang w:val="sr-Latn-ME"/>
              </w:rPr>
              <w:t>Haemophilus influenzae (indi</w:t>
            </w:r>
            <w:r>
              <w:rPr>
                <w:sz w:val="22"/>
                <w:szCs w:val="22"/>
                <w:lang w:val="sr-Latn-ME"/>
              </w:rPr>
              <w:t>kacije osim meningitisa</w:t>
            </w:r>
            <w:r w:rsidRPr="0001555D">
              <w:rPr>
                <w:sz w:val="22"/>
                <w:szCs w:val="22"/>
                <w:lang w:val="sr-Latn-ME"/>
              </w:rPr>
              <w:t>)</w:t>
            </w:r>
          </w:p>
        </w:tc>
        <w:tc>
          <w:tcPr>
            <w:tcW w:w="2982" w:type="dxa"/>
            <w:shd w:val="clear" w:color="auto" w:fill="auto"/>
          </w:tcPr>
          <w:p w14:paraId="222B0503" w14:textId="03B3A3FE" w:rsidR="004E7838" w:rsidRPr="00245390" w:rsidRDefault="0001555D">
            <w:pPr>
              <w:jc w:val="both"/>
              <w:rPr>
                <w:sz w:val="22"/>
                <w:szCs w:val="22"/>
                <w:lang w:val="sr-Latn-ME"/>
              </w:rPr>
            </w:pPr>
            <w:r w:rsidRPr="00245390">
              <w:rPr>
                <w:sz w:val="22"/>
                <w:szCs w:val="22"/>
                <w:lang w:val="sr-Latn-ME"/>
              </w:rPr>
              <w:t>≤</w:t>
            </w:r>
            <w:r>
              <w:rPr>
                <w:sz w:val="22"/>
                <w:szCs w:val="22"/>
                <w:lang w:val="sr-Latn-ME"/>
              </w:rPr>
              <w:t>2</w:t>
            </w:r>
          </w:p>
        </w:tc>
        <w:tc>
          <w:tcPr>
            <w:tcW w:w="3000" w:type="dxa"/>
            <w:shd w:val="clear" w:color="auto" w:fill="auto"/>
          </w:tcPr>
          <w:p w14:paraId="676C01C1" w14:textId="4109D3BB" w:rsidR="004E7838" w:rsidRPr="00245390" w:rsidRDefault="0001555D">
            <w:pPr>
              <w:jc w:val="both"/>
              <w:rPr>
                <w:sz w:val="22"/>
                <w:szCs w:val="22"/>
                <w:lang w:val="sr-Latn-ME"/>
              </w:rPr>
            </w:pPr>
            <w:r w:rsidRPr="00245390">
              <w:rPr>
                <w:sz w:val="22"/>
                <w:szCs w:val="22"/>
                <w:lang w:val="sr-Latn-ME"/>
              </w:rPr>
              <w:t>&gt;</w:t>
            </w:r>
            <w:r w:rsidR="006B08E8">
              <w:rPr>
                <w:sz w:val="22"/>
                <w:szCs w:val="22"/>
                <w:lang w:val="sr-Latn-ME"/>
              </w:rPr>
              <w:t>2</w:t>
            </w:r>
          </w:p>
        </w:tc>
      </w:tr>
      <w:tr w:rsidR="004E7838" w:rsidRPr="00245390" w14:paraId="72002D84" w14:textId="77777777" w:rsidTr="00086E08">
        <w:tc>
          <w:tcPr>
            <w:tcW w:w="3093" w:type="dxa"/>
            <w:shd w:val="clear" w:color="auto" w:fill="auto"/>
          </w:tcPr>
          <w:p w14:paraId="5EF73BDA" w14:textId="520EB276" w:rsidR="004E7838" w:rsidRPr="00927109" w:rsidRDefault="006B08E8">
            <w:pPr>
              <w:jc w:val="both"/>
              <w:rPr>
                <w:sz w:val="22"/>
                <w:szCs w:val="22"/>
                <w:lang w:val="sr-Latn-ME"/>
              </w:rPr>
            </w:pPr>
            <w:r w:rsidRPr="006B08E8">
              <w:rPr>
                <w:sz w:val="22"/>
                <w:szCs w:val="22"/>
                <w:lang w:val="sr-Latn-ME"/>
              </w:rPr>
              <w:t>Haemophilus influenzae (meningitis)</w:t>
            </w:r>
          </w:p>
        </w:tc>
        <w:tc>
          <w:tcPr>
            <w:tcW w:w="2982" w:type="dxa"/>
            <w:shd w:val="clear" w:color="auto" w:fill="auto"/>
          </w:tcPr>
          <w:p w14:paraId="4DBFF502" w14:textId="54542397" w:rsidR="004E7838" w:rsidRPr="00245390" w:rsidRDefault="0001555D">
            <w:pPr>
              <w:jc w:val="both"/>
              <w:rPr>
                <w:sz w:val="22"/>
                <w:szCs w:val="22"/>
                <w:lang w:val="sr-Latn-ME"/>
              </w:rPr>
            </w:pPr>
            <w:r w:rsidRPr="00245390">
              <w:rPr>
                <w:sz w:val="22"/>
                <w:szCs w:val="22"/>
                <w:lang w:val="sr-Latn-ME"/>
              </w:rPr>
              <w:t>≤</w:t>
            </w:r>
            <w:r w:rsidR="00530074">
              <w:rPr>
                <w:sz w:val="22"/>
                <w:szCs w:val="22"/>
                <w:lang w:val="sr-Latn-ME"/>
              </w:rPr>
              <w:t>0.25</w:t>
            </w:r>
          </w:p>
        </w:tc>
        <w:tc>
          <w:tcPr>
            <w:tcW w:w="3000" w:type="dxa"/>
            <w:shd w:val="clear" w:color="auto" w:fill="auto"/>
          </w:tcPr>
          <w:p w14:paraId="58272D42" w14:textId="7FA8CEDC" w:rsidR="004E7838" w:rsidRPr="00245390" w:rsidRDefault="0001555D">
            <w:pPr>
              <w:jc w:val="both"/>
              <w:rPr>
                <w:sz w:val="22"/>
                <w:szCs w:val="22"/>
                <w:lang w:val="sr-Latn-ME"/>
              </w:rPr>
            </w:pPr>
            <w:r w:rsidRPr="00245390">
              <w:rPr>
                <w:sz w:val="22"/>
                <w:szCs w:val="22"/>
                <w:lang w:val="sr-Latn-ME"/>
              </w:rPr>
              <w:t>&gt;</w:t>
            </w:r>
            <w:r w:rsidR="00530074">
              <w:rPr>
                <w:sz w:val="22"/>
                <w:szCs w:val="22"/>
                <w:lang w:val="sr-Latn-ME"/>
              </w:rPr>
              <w:t>0.</w:t>
            </w:r>
            <w:r w:rsidR="006B08E8">
              <w:rPr>
                <w:sz w:val="22"/>
                <w:szCs w:val="22"/>
                <w:lang w:val="sr-Latn-ME"/>
              </w:rPr>
              <w:t>2</w:t>
            </w:r>
            <w:r w:rsidR="00530074">
              <w:rPr>
                <w:sz w:val="22"/>
                <w:szCs w:val="22"/>
                <w:lang w:val="sr-Latn-ME"/>
              </w:rPr>
              <w:t>5</w:t>
            </w:r>
          </w:p>
        </w:tc>
      </w:tr>
      <w:tr w:rsidR="004E7838" w:rsidRPr="00245390" w14:paraId="5CDA5906" w14:textId="77777777" w:rsidTr="00086E08">
        <w:tc>
          <w:tcPr>
            <w:tcW w:w="3093" w:type="dxa"/>
            <w:shd w:val="clear" w:color="auto" w:fill="auto"/>
          </w:tcPr>
          <w:p w14:paraId="0BDF1A6A" w14:textId="4BD67CE2" w:rsidR="004E7838" w:rsidRPr="00927109" w:rsidRDefault="00530074">
            <w:pPr>
              <w:jc w:val="both"/>
              <w:rPr>
                <w:sz w:val="22"/>
                <w:szCs w:val="22"/>
                <w:lang w:val="sr-Latn-ME"/>
              </w:rPr>
            </w:pPr>
            <w:r w:rsidRPr="00530074">
              <w:rPr>
                <w:sz w:val="22"/>
                <w:szCs w:val="22"/>
                <w:lang w:val="sr-Latn-ME"/>
              </w:rPr>
              <w:lastRenderedPageBreak/>
              <w:t>Kingella kingae</w:t>
            </w:r>
          </w:p>
        </w:tc>
        <w:tc>
          <w:tcPr>
            <w:tcW w:w="2982" w:type="dxa"/>
            <w:shd w:val="clear" w:color="auto" w:fill="auto"/>
          </w:tcPr>
          <w:p w14:paraId="090518EC" w14:textId="2D2C58DD" w:rsidR="004E7838" w:rsidRPr="00245390" w:rsidRDefault="0001555D">
            <w:pPr>
              <w:jc w:val="both"/>
              <w:rPr>
                <w:sz w:val="22"/>
                <w:szCs w:val="22"/>
                <w:lang w:val="sr-Latn-ME"/>
              </w:rPr>
            </w:pPr>
            <w:r w:rsidRPr="00245390">
              <w:rPr>
                <w:sz w:val="22"/>
                <w:szCs w:val="22"/>
                <w:lang w:val="sr-Latn-ME"/>
              </w:rPr>
              <w:t>≤</w:t>
            </w:r>
            <w:r w:rsidR="00530074">
              <w:rPr>
                <w:sz w:val="22"/>
                <w:szCs w:val="22"/>
                <w:lang w:val="sr-Latn-ME"/>
              </w:rPr>
              <w:t>0.03</w:t>
            </w:r>
          </w:p>
        </w:tc>
        <w:tc>
          <w:tcPr>
            <w:tcW w:w="3000" w:type="dxa"/>
            <w:shd w:val="clear" w:color="auto" w:fill="auto"/>
          </w:tcPr>
          <w:p w14:paraId="2399C2FE" w14:textId="32E846EE" w:rsidR="004E7838" w:rsidRPr="00245390" w:rsidRDefault="0001555D">
            <w:pPr>
              <w:jc w:val="both"/>
              <w:rPr>
                <w:sz w:val="22"/>
                <w:szCs w:val="22"/>
                <w:lang w:val="sr-Latn-ME"/>
              </w:rPr>
            </w:pPr>
            <w:r w:rsidRPr="00245390">
              <w:rPr>
                <w:sz w:val="22"/>
                <w:szCs w:val="22"/>
                <w:lang w:val="sr-Latn-ME"/>
              </w:rPr>
              <w:t>&gt;</w:t>
            </w:r>
            <w:r w:rsidR="00530074">
              <w:rPr>
                <w:sz w:val="22"/>
                <w:szCs w:val="22"/>
                <w:lang w:val="sr-Latn-ME"/>
              </w:rPr>
              <w:t>0.03</w:t>
            </w:r>
          </w:p>
        </w:tc>
      </w:tr>
      <w:tr w:rsidR="004E7838" w:rsidRPr="00245390" w14:paraId="420B32C3" w14:textId="77777777" w:rsidTr="00086E08">
        <w:tc>
          <w:tcPr>
            <w:tcW w:w="3093" w:type="dxa"/>
            <w:shd w:val="clear" w:color="auto" w:fill="auto"/>
          </w:tcPr>
          <w:p w14:paraId="3F961159" w14:textId="5EFCD293" w:rsidR="004E7838" w:rsidRPr="00927109" w:rsidRDefault="007412E2" w:rsidP="00E23206">
            <w:pPr>
              <w:rPr>
                <w:sz w:val="22"/>
                <w:szCs w:val="22"/>
                <w:lang w:val="sr-Latn-ME"/>
              </w:rPr>
            </w:pPr>
            <w:r w:rsidRPr="007412E2">
              <w:rPr>
                <w:sz w:val="22"/>
                <w:szCs w:val="22"/>
                <w:lang w:val="sr-Latn-ME"/>
              </w:rPr>
              <w:t>Listeria monocytogenes (</w:t>
            </w:r>
            <w:r>
              <w:rPr>
                <w:sz w:val="22"/>
                <w:szCs w:val="22"/>
                <w:lang w:val="sr-Latn-ME"/>
              </w:rPr>
              <w:t>sve indikacije</w:t>
            </w:r>
            <w:r w:rsidRPr="007412E2">
              <w:rPr>
                <w:sz w:val="22"/>
                <w:szCs w:val="22"/>
                <w:lang w:val="sr-Latn-ME"/>
              </w:rPr>
              <w:t>)</w:t>
            </w:r>
          </w:p>
        </w:tc>
        <w:tc>
          <w:tcPr>
            <w:tcW w:w="2982" w:type="dxa"/>
            <w:shd w:val="clear" w:color="auto" w:fill="auto"/>
          </w:tcPr>
          <w:p w14:paraId="7B2458D2" w14:textId="456EDD3E" w:rsidR="004E7838" w:rsidRPr="00245390" w:rsidRDefault="0001555D">
            <w:pPr>
              <w:jc w:val="both"/>
              <w:rPr>
                <w:sz w:val="22"/>
                <w:szCs w:val="22"/>
                <w:lang w:val="sr-Latn-ME"/>
              </w:rPr>
            </w:pPr>
            <w:r w:rsidRPr="00245390">
              <w:rPr>
                <w:sz w:val="22"/>
                <w:szCs w:val="22"/>
                <w:lang w:val="sr-Latn-ME"/>
              </w:rPr>
              <w:t>≤</w:t>
            </w:r>
            <w:r w:rsidR="007412E2">
              <w:rPr>
                <w:sz w:val="22"/>
                <w:szCs w:val="22"/>
                <w:lang w:val="sr-Latn-ME"/>
              </w:rPr>
              <w:t>0.25</w:t>
            </w:r>
          </w:p>
        </w:tc>
        <w:tc>
          <w:tcPr>
            <w:tcW w:w="3000" w:type="dxa"/>
            <w:shd w:val="clear" w:color="auto" w:fill="auto"/>
          </w:tcPr>
          <w:p w14:paraId="3C707A28" w14:textId="604B5CFB" w:rsidR="004E7838" w:rsidRPr="00245390" w:rsidRDefault="0001555D">
            <w:pPr>
              <w:jc w:val="both"/>
              <w:rPr>
                <w:sz w:val="22"/>
                <w:szCs w:val="22"/>
                <w:lang w:val="sr-Latn-ME"/>
              </w:rPr>
            </w:pPr>
            <w:r w:rsidRPr="00245390">
              <w:rPr>
                <w:sz w:val="22"/>
                <w:szCs w:val="22"/>
                <w:lang w:val="sr-Latn-ME"/>
              </w:rPr>
              <w:t>&gt;</w:t>
            </w:r>
            <w:r w:rsidR="007412E2">
              <w:rPr>
                <w:sz w:val="22"/>
                <w:szCs w:val="22"/>
                <w:lang w:val="sr-Latn-ME"/>
              </w:rPr>
              <w:t>0.25</w:t>
            </w:r>
          </w:p>
        </w:tc>
      </w:tr>
      <w:tr w:rsidR="004E7838" w:rsidRPr="00245390" w14:paraId="533C5895" w14:textId="77777777" w:rsidTr="00086E08">
        <w:tc>
          <w:tcPr>
            <w:tcW w:w="3093" w:type="dxa"/>
            <w:shd w:val="clear" w:color="auto" w:fill="auto"/>
          </w:tcPr>
          <w:p w14:paraId="42A741B3" w14:textId="3DBE78CC" w:rsidR="004E7838" w:rsidRPr="00927109" w:rsidRDefault="00861A28">
            <w:pPr>
              <w:jc w:val="both"/>
              <w:rPr>
                <w:sz w:val="22"/>
                <w:szCs w:val="22"/>
                <w:lang w:val="sr-Latn-ME"/>
              </w:rPr>
            </w:pPr>
            <w:r w:rsidRPr="00861A28">
              <w:rPr>
                <w:sz w:val="22"/>
                <w:szCs w:val="22"/>
                <w:lang w:val="sr-Latn-ME"/>
              </w:rPr>
              <w:t>Moraxella catarrhalis</w:t>
            </w:r>
          </w:p>
        </w:tc>
        <w:tc>
          <w:tcPr>
            <w:tcW w:w="2982" w:type="dxa"/>
            <w:shd w:val="clear" w:color="auto" w:fill="auto"/>
          </w:tcPr>
          <w:p w14:paraId="25904838" w14:textId="0C3D0492" w:rsidR="004E7838" w:rsidRPr="00245390" w:rsidRDefault="0001555D">
            <w:pPr>
              <w:jc w:val="both"/>
              <w:rPr>
                <w:sz w:val="22"/>
                <w:szCs w:val="22"/>
                <w:lang w:val="sr-Latn-ME"/>
              </w:rPr>
            </w:pPr>
            <w:r w:rsidRPr="00245390">
              <w:rPr>
                <w:sz w:val="22"/>
                <w:szCs w:val="22"/>
                <w:lang w:val="sr-Latn-ME"/>
              </w:rPr>
              <w:t>≤</w:t>
            </w:r>
            <w:r w:rsidR="00861A28">
              <w:rPr>
                <w:sz w:val="22"/>
                <w:szCs w:val="22"/>
                <w:lang w:val="sr-Latn-ME"/>
              </w:rPr>
              <w:t>2</w:t>
            </w:r>
          </w:p>
        </w:tc>
        <w:tc>
          <w:tcPr>
            <w:tcW w:w="3000" w:type="dxa"/>
            <w:shd w:val="clear" w:color="auto" w:fill="auto"/>
          </w:tcPr>
          <w:p w14:paraId="2B2F5E2B" w14:textId="5EB36819" w:rsidR="004E7838" w:rsidRPr="00245390" w:rsidRDefault="0001555D">
            <w:pPr>
              <w:jc w:val="both"/>
              <w:rPr>
                <w:sz w:val="22"/>
                <w:szCs w:val="22"/>
                <w:lang w:val="sr-Latn-ME"/>
              </w:rPr>
            </w:pPr>
            <w:r w:rsidRPr="00245390">
              <w:rPr>
                <w:sz w:val="22"/>
                <w:szCs w:val="22"/>
                <w:lang w:val="sr-Latn-ME"/>
              </w:rPr>
              <w:t>&gt;</w:t>
            </w:r>
            <w:r w:rsidR="00861A28">
              <w:rPr>
                <w:sz w:val="22"/>
                <w:szCs w:val="22"/>
                <w:lang w:val="sr-Latn-ME"/>
              </w:rPr>
              <w:t>2</w:t>
            </w:r>
          </w:p>
        </w:tc>
      </w:tr>
      <w:tr w:rsidR="004E7838" w:rsidRPr="00245390" w14:paraId="477C1B87" w14:textId="77777777" w:rsidTr="00086E08">
        <w:tc>
          <w:tcPr>
            <w:tcW w:w="3093" w:type="dxa"/>
            <w:shd w:val="clear" w:color="auto" w:fill="auto"/>
          </w:tcPr>
          <w:p w14:paraId="4D1F387A" w14:textId="52AE4413" w:rsidR="004E7838" w:rsidRPr="00927109" w:rsidRDefault="00861A28">
            <w:pPr>
              <w:jc w:val="both"/>
              <w:rPr>
                <w:sz w:val="22"/>
                <w:szCs w:val="22"/>
                <w:lang w:val="sr-Latn-ME"/>
              </w:rPr>
            </w:pPr>
            <w:r w:rsidRPr="00861A28">
              <w:rPr>
                <w:sz w:val="22"/>
                <w:szCs w:val="22"/>
                <w:lang w:val="sr-Latn-ME"/>
              </w:rPr>
              <w:t>Neisseria gonorrhoeae</w:t>
            </w:r>
          </w:p>
        </w:tc>
        <w:tc>
          <w:tcPr>
            <w:tcW w:w="2982" w:type="dxa"/>
            <w:shd w:val="clear" w:color="auto" w:fill="auto"/>
          </w:tcPr>
          <w:p w14:paraId="41C66CD3" w14:textId="77770AB2" w:rsidR="004E7838" w:rsidRPr="00245390" w:rsidRDefault="0001555D">
            <w:pPr>
              <w:jc w:val="both"/>
              <w:rPr>
                <w:sz w:val="22"/>
                <w:szCs w:val="22"/>
                <w:lang w:val="sr-Latn-ME"/>
              </w:rPr>
            </w:pPr>
            <w:r w:rsidRPr="00245390">
              <w:rPr>
                <w:sz w:val="22"/>
                <w:szCs w:val="22"/>
                <w:lang w:val="sr-Latn-ME"/>
              </w:rPr>
              <w:t>≤</w:t>
            </w:r>
            <w:r w:rsidR="00861A28">
              <w:rPr>
                <w:sz w:val="22"/>
                <w:szCs w:val="22"/>
                <w:lang w:val="sr-Latn-ME"/>
              </w:rPr>
              <w:t>IE</w:t>
            </w:r>
          </w:p>
        </w:tc>
        <w:tc>
          <w:tcPr>
            <w:tcW w:w="3000" w:type="dxa"/>
            <w:shd w:val="clear" w:color="auto" w:fill="auto"/>
          </w:tcPr>
          <w:p w14:paraId="74499F95" w14:textId="73484703" w:rsidR="004E7838" w:rsidRPr="00245390" w:rsidRDefault="0001555D">
            <w:pPr>
              <w:jc w:val="both"/>
              <w:rPr>
                <w:sz w:val="22"/>
                <w:szCs w:val="22"/>
                <w:lang w:val="sr-Latn-ME"/>
              </w:rPr>
            </w:pPr>
            <w:r w:rsidRPr="00245390">
              <w:rPr>
                <w:sz w:val="22"/>
                <w:szCs w:val="22"/>
                <w:lang w:val="sr-Latn-ME"/>
              </w:rPr>
              <w:t>&gt;</w:t>
            </w:r>
            <w:r w:rsidR="00A801ED">
              <w:rPr>
                <w:sz w:val="22"/>
                <w:szCs w:val="22"/>
                <w:lang w:val="sr-Latn-ME"/>
              </w:rPr>
              <w:t>IE</w:t>
            </w:r>
          </w:p>
        </w:tc>
      </w:tr>
      <w:tr w:rsidR="004E7838" w:rsidRPr="00245390" w14:paraId="6DA7BAB3" w14:textId="77777777" w:rsidTr="00086E08">
        <w:tc>
          <w:tcPr>
            <w:tcW w:w="3093" w:type="dxa"/>
            <w:shd w:val="clear" w:color="auto" w:fill="auto"/>
          </w:tcPr>
          <w:p w14:paraId="7F38E261" w14:textId="65A26914" w:rsidR="004E7838" w:rsidRPr="00927109" w:rsidRDefault="00A801ED">
            <w:pPr>
              <w:jc w:val="both"/>
              <w:rPr>
                <w:sz w:val="22"/>
                <w:szCs w:val="22"/>
                <w:lang w:val="sr-Latn-ME"/>
              </w:rPr>
            </w:pPr>
            <w:r w:rsidRPr="00A801ED">
              <w:rPr>
                <w:sz w:val="22"/>
                <w:szCs w:val="22"/>
                <w:lang w:val="sr-Latn-ME"/>
              </w:rPr>
              <w:t>Neisseria meningitidis (</w:t>
            </w:r>
            <w:r>
              <w:rPr>
                <w:sz w:val="22"/>
                <w:szCs w:val="22"/>
                <w:lang w:val="sr-Latn-ME"/>
              </w:rPr>
              <w:t>sve indikacije</w:t>
            </w:r>
            <w:r w:rsidRPr="00A801ED">
              <w:rPr>
                <w:sz w:val="22"/>
                <w:szCs w:val="22"/>
                <w:lang w:val="sr-Latn-ME"/>
              </w:rPr>
              <w:t>)</w:t>
            </w:r>
          </w:p>
        </w:tc>
        <w:tc>
          <w:tcPr>
            <w:tcW w:w="2982" w:type="dxa"/>
            <w:shd w:val="clear" w:color="auto" w:fill="auto"/>
          </w:tcPr>
          <w:p w14:paraId="4451A95C" w14:textId="4266D53F" w:rsidR="004E7838" w:rsidRPr="00245390" w:rsidRDefault="0001555D">
            <w:pPr>
              <w:jc w:val="both"/>
              <w:rPr>
                <w:sz w:val="22"/>
                <w:szCs w:val="22"/>
                <w:lang w:val="sr-Latn-ME"/>
              </w:rPr>
            </w:pPr>
            <w:r w:rsidRPr="00245390">
              <w:rPr>
                <w:sz w:val="22"/>
                <w:szCs w:val="22"/>
                <w:lang w:val="sr-Latn-ME"/>
              </w:rPr>
              <w:t>≤</w:t>
            </w:r>
            <w:r w:rsidR="004F536D">
              <w:rPr>
                <w:sz w:val="22"/>
                <w:szCs w:val="22"/>
                <w:lang w:val="sr-Latn-ME"/>
              </w:rPr>
              <w:t>0.25</w:t>
            </w:r>
          </w:p>
        </w:tc>
        <w:tc>
          <w:tcPr>
            <w:tcW w:w="3000" w:type="dxa"/>
            <w:shd w:val="clear" w:color="auto" w:fill="auto"/>
          </w:tcPr>
          <w:p w14:paraId="0BDB0DA9" w14:textId="53947A43" w:rsidR="004E7838" w:rsidRPr="00245390" w:rsidRDefault="0001555D">
            <w:pPr>
              <w:jc w:val="both"/>
              <w:rPr>
                <w:sz w:val="22"/>
                <w:szCs w:val="22"/>
                <w:lang w:val="sr-Latn-ME"/>
              </w:rPr>
            </w:pPr>
            <w:r w:rsidRPr="00245390">
              <w:rPr>
                <w:sz w:val="22"/>
                <w:szCs w:val="22"/>
                <w:lang w:val="sr-Latn-ME"/>
              </w:rPr>
              <w:t>&gt;</w:t>
            </w:r>
            <w:r w:rsidR="004F536D">
              <w:rPr>
                <w:sz w:val="22"/>
                <w:szCs w:val="22"/>
                <w:lang w:val="sr-Latn-ME"/>
              </w:rPr>
              <w:t>0.25</w:t>
            </w:r>
          </w:p>
        </w:tc>
      </w:tr>
      <w:tr w:rsidR="004E7838" w:rsidRPr="00245390" w14:paraId="1CC70A30" w14:textId="77777777" w:rsidTr="00086E08">
        <w:tc>
          <w:tcPr>
            <w:tcW w:w="3093" w:type="dxa"/>
            <w:shd w:val="clear" w:color="auto" w:fill="auto"/>
          </w:tcPr>
          <w:p w14:paraId="56B2489B" w14:textId="31F628A3" w:rsidR="004E7838" w:rsidRPr="00927109" w:rsidRDefault="004F536D">
            <w:pPr>
              <w:jc w:val="both"/>
              <w:rPr>
                <w:sz w:val="22"/>
                <w:szCs w:val="22"/>
                <w:lang w:val="sr-Latn-ME"/>
              </w:rPr>
            </w:pPr>
            <w:r w:rsidRPr="004F536D">
              <w:rPr>
                <w:sz w:val="22"/>
                <w:szCs w:val="22"/>
                <w:lang w:val="sr-Latn-ME"/>
              </w:rPr>
              <w:t>P. aeruginosa (i</w:t>
            </w:r>
            <w:r>
              <w:rPr>
                <w:sz w:val="22"/>
                <w:szCs w:val="22"/>
                <w:lang w:val="sr-Latn-ME"/>
              </w:rPr>
              <w:t>ndikacije osim meningitisa</w:t>
            </w:r>
            <w:r w:rsidRPr="004F536D">
              <w:rPr>
                <w:sz w:val="22"/>
                <w:szCs w:val="22"/>
                <w:lang w:val="sr-Latn-ME"/>
              </w:rPr>
              <w:t>)</w:t>
            </w:r>
          </w:p>
        </w:tc>
        <w:tc>
          <w:tcPr>
            <w:tcW w:w="2982" w:type="dxa"/>
            <w:shd w:val="clear" w:color="auto" w:fill="auto"/>
          </w:tcPr>
          <w:p w14:paraId="10984B96" w14:textId="57CC8E7C" w:rsidR="004E7838" w:rsidRPr="00245390" w:rsidRDefault="0001555D">
            <w:pPr>
              <w:jc w:val="both"/>
              <w:rPr>
                <w:sz w:val="22"/>
                <w:szCs w:val="22"/>
                <w:lang w:val="sr-Latn-ME"/>
              </w:rPr>
            </w:pPr>
            <w:r w:rsidRPr="00245390">
              <w:rPr>
                <w:sz w:val="22"/>
                <w:szCs w:val="22"/>
                <w:lang w:val="sr-Latn-ME"/>
              </w:rPr>
              <w:t>≤</w:t>
            </w:r>
            <w:r w:rsidR="004F536D">
              <w:rPr>
                <w:sz w:val="22"/>
                <w:szCs w:val="22"/>
                <w:lang w:val="sr-Latn-ME"/>
              </w:rPr>
              <w:t>2</w:t>
            </w:r>
          </w:p>
        </w:tc>
        <w:tc>
          <w:tcPr>
            <w:tcW w:w="3000" w:type="dxa"/>
            <w:shd w:val="clear" w:color="auto" w:fill="auto"/>
          </w:tcPr>
          <w:p w14:paraId="3D9874D6" w14:textId="55D7AFEA" w:rsidR="004E7838" w:rsidRPr="00245390" w:rsidRDefault="0001555D">
            <w:pPr>
              <w:jc w:val="both"/>
              <w:rPr>
                <w:sz w:val="22"/>
                <w:szCs w:val="22"/>
                <w:lang w:val="sr-Latn-ME"/>
              </w:rPr>
            </w:pPr>
            <w:r w:rsidRPr="00245390">
              <w:rPr>
                <w:sz w:val="22"/>
                <w:szCs w:val="22"/>
                <w:lang w:val="sr-Latn-ME"/>
              </w:rPr>
              <w:t>&gt;</w:t>
            </w:r>
            <w:r w:rsidR="004F536D">
              <w:rPr>
                <w:sz w:val="22"/>
                <w:szCs w:val="22"/>
                <w:lang w:val="sr-Latn-ME"/>
              </w:rPr>
              <w:t>8</w:t>
            </w:r>
          </w:p>
        </w:tc>
      </w:tr>
      <w:tr w:rsidR="004E7838" w:rsidRPr="00245390" w14:paraId="0E0067C7" w14:textId="77777777" w:rsidTr="00086E08">
        <w:tc>
          <w:tcPr>
            <w:tcW w:w="3093" w:type="dxa"/>
            <w:shd w:val="clear" w:color="auto" w:fill="auto"/>
          </w:tcPr>
          <w:p w14:paraId="1ADEA21D" w14:textId="7C55A34B" w:rsidR="004E7838" w:rsidRPr="00927109" w:rsidRDefault="002B6559">
            <w:pPr>
              <w:jc w:val="both"/>
              <w:rPr>
                <w:sz w:val="22"/>
                <w:szCs w:val="22"/>
                <w:lang w:val="sr-Latn-ME"/>
              </w:rPr>
            </w:pPr>
            <w:r w:rsidRPr="002B6559">
              <w:rPr>
                <w:sz w:val="22"/>
                <w:szCs w:val="22"/>
                <w:lang w:val="sr-Latn-ME"/>
              </w:rPr>
              <w:t>P. aeruginosa (meningitis)</w:t>
            </w:r>
          </w:p>
        </w:tc>
        <w:tc>
          <w:tcPr>
            <w:tcW w:w="2982" w:type="dxa"/>
            <w:shd w:val="clear" w:color="auto" w:fill="auto"/>
          </w:tcPr>
          <w:p w14:paraId="69FE01BB" w14:textId="30C2C9D0" w:rsidR="004E7838" w:rsidRPr="00245390" w:rsidRDefault="0001555D">
            <w:pPr>
              <w:jc w:val="both"/>
              <w:rPr>
                <w:sz w:val="22"/>
                <w:szCs w:val="22"/>
                <w:lang w:val="sr-Latn-ME"/>
              </w:rPr>
            </w:pPr>
            <w:r w:rsidRPr="00245390">
              <w:rPr>
                <w:sz w:val="22"/>
                <w:szCs w:val="22"/>
                <w:lang w:val="sr-Latn-ME"/>
              </w:rPr>
              <w:t>≤</w:t>
            </w:r>
            <w:r w:rsidR="006716CB">
              <w:rPr>
                <w:sz w:val="22"/>
                <w:szCs w:val="22"/>
                <w:lang w:val="sr-Latn-ME"/>
              </w:rPr>
              <w:t>2</w:t>
            </w:r>
          </w:p>
        </w:tc>
        <w:tc>
          <w:tcPr>
            <w:tcW w:w="3000" w:type="dxa"/>
            <w:shd w:val="clear" w:color="auto" w:fill="auto"/>
          </w:tcPr>
          <w:p w14:paraId="509562E9" w14:textId="095152C6" w:rsidR="004E7838" w:rsidRPr="00245390" w:rsidRDefault="0001555D">
            <w:pPr>
              <w:jc w:val="both"/>
              <w:rPr>
                <w:sz w:val="22"/>
                <w:szCs w:val="22"/>
                <w:lang w:val="sr-Latn-ME"/>
              </w:rPr>
            </w:pPr>
            <w:r w:rsidRPr="00245390">
              <w:rPr>
                <w:sz w:val="22"/>
                <w:szCs w:val="22"/>
                <w:lang w:val="sr-Latn-ME"/>
              </w:rPr>
              <w:t>&gt;</w:t>
            </w:r>
            <w:r w:rsidR="006716CB">
              <w:rPr>
                <w:sz w:val="22"/>
                <w:szCs w:val="22"/>
                <w:lang w:val="sr-Latn-ME"/>
              </w:rPr>
              <w:t>2</w:t>
            </w:r>
          </w:p>
        </w:tc>
      </w:tr>
      <w:tr w:rsidR="004E7838" w:rsidRPr="00245390" w14:paraId="180DA7B1" w14:textId="77777777" w:rsidTr="00086E08">
        <w:tc>
          <w:tcPr>
            <w:tcW w:w="3093" w:type="dxa"/>
            <w:shd w:val="clear" w:color="auto" w:fill="auto"/>
          </w:tcPr>
          <w:p w14:paraId="4099FCAF" w14:textId="2160C0B0" w:rsidR="004E7838" w:rsidRPr="00927109" w:rsidRDefault="00B922AE">
            <w:pPr>
              <w:jc w:val="both"/>
              <w:rPr>
                <w:sz w:val="22"/>
                <w:szCs w:val="22"/>
                <w:lang w:val="sr-Latn-ME"/>
              </w:rPr>
            </w:pPr>
            <w:r w:rsidRPr="00B922AE">
              <w:rPr>
                <w:sz w:val="22"/>
                <w:szCs w:val="22"/>
                <w:lang w:val="sr-Latn-ME"/>
              </w:rPr>
              <w:t>Prevotella spp.</w:t>
            </w:r>
          </w:p>
        </w:tc>
        <w:tc>
          <w:tcPr>
            <w:tcW w:w="2982" w:type="dxa"/>
            <w:shd w:val="clear" w:color="auto" w:fill="auto"/>
          </w:tcPr>
          <w:p w14:paraId="6E7F92AC" w14:textId="5644D4CF" w:rsidR="004E7838" w:rsidRPr="00245390" w:rsidRDefault="0001555D">
            <w:pPr>
              <w:jc w:val="both"/>
              <w:rPr>
                <w:sz w:val="22"/>
                <w:szCs w:val="22"/>
                <w:lang w:val="sr-Latn-ME"/>
              </w:rPr>
            </w:pPr>
            <w:r w:rsidRPr="00245390">
              <w:rPr>
                <w:sz w:val="22"/>
                <w:szCs w:val="22"/>
                <w:lang w:val="sr-Latn-ME"/>
              </w:rPr>
              <w:t>≤</w:t>
            </w:r>
            <w:r w:rsidR="00DC3920">
              <w:rPr>
                <w:sz w:val="22"/>
                <w:szCs w:val="22"/>
                <w:lang w:val="sr-Latn-ME"/>
              </w:rPr>
              <w:t>0.25</w:t>
            </w:r>
            <w:r w:rsidR="00DC3920" w:rsidRPr="00245390">
              <w:rPr>
                <w:rFonts w:eastAsia="TimesNewRoman"/>
                <w:sz w:val="22"/>
                <w:szCs w:val="22"/>
                <w:vertAlign w:val="superscript"/>
                <w:lang w:val="sr-Latn-ME" w:eastAsia="sr-Latn-RS"/>
              </w:rPr>
              <w:t>1</w:t>
            </w:r>
          </w:p>
        </w:tc>
        <w:tc>
          <w:tcPr>
            <w:tcW w:w="3000" w:type="dxa"/>
            <w:shd w:val="clear" w:color="auto" w:fill="auto"/>
          </w:tcPr>
          <w:p w14:paraId="2F2ACD2B" w14:textId="4E89933C" w:rsidR="004E7838" w:rsidRPr="00245390" w:rsidRDefault="0001555D">
            <w:pPr>
              <w:jc w:val="both"/>
              <w:rPr>
                <w:sz w:val="22"/>
                <w:szCs w:val="22"/>
                <w:lang w:val="sr-Latn-ME"/>
              </w:rPr>
            </w:pPr>
            <w:r w:rsidRPr="00245390">
              <w:rPr>
                <w:sz w:val="22"/>
                <w:szCs w:val="22"/>
                <w:lang w:val="sr-Latn-ME"/>
              </w:rPr>
              <w:t>&gt;</w:t>
            </w:r>
            <w:r w:rsidR="00DC3920">
              <w:rPr>
                <w:sz w:val="22"/>
                <w:szCs w:val="22"/>
                <w:lang w:val="sr-Latn-ME"/>
              </w:rPr>
              <w:t>0.25</w:t>
            </w:r>
            <w:r w:rsidR="00DC3920" w:rsidRPr="00245390">
              <w:rPr>
                <w:rFonts w:eastAsia="TimesNewRoman"/>
                <w:sz w:val="22"/>
                <w:szCs w:val="22"/>
                <w:vertAlign w:val="superscript"/>
                <w:lang w:val="sr-Latn-ME" w:eastAsia="sr-Latn-RS"/>
              </w:rPr>
              <w:t>1</w:t>
            </w:r>
          </w:p>
        </w:tc>
      </w:tr>
      <w:tr w:rsidR="004E7838" w:rsidRPr="00245390" w14:paraId="361A1F57" w14:textId="77777777" w:rsidTr="00086E08">
        <w:tc>
          <w:tcPr>
            <w:tcW w:w="3093" w:type="dxa"/>
            <w:shd w:val="clear" w:color="auto" w:fill="auto"/>
          </w:tcPr>
          <w:p w14:paraId="5EE6E633" w14:textId="465311D7" w:rsidR="004E7838" w:rsidRPr="00927109" w:rsidRDefault="00EC065C">
            <w:pPr>
              <w:jc w:val="both"/>
              <w:rPr>
                <w:sz w:val="22"/>
                <w:szCs w:val="22"/>
                <w:lang w:val="sr-Latn-ME"/>
              </w:rPr>
            </w:pPr>
            <w:r w:rsidRPr="00EC065C">
              <w:rPr>
                <w:sz w:val="22"/>
                <w:szCs w:val="22"/>
                <w:lang w:val="sr-Latn-ME"/>
              </w:rPr>
              <w:t xml:space="preserve">Pseudomonas </w:t>
            </w:r>
            <w:r>
              <w:rPr>
                <w:sz w:val="22"/>
                <w:szCs w:val="22"/>
                <w:lang w:val="sr-Latn-ME"/>
              </w:rPr>
              <w:t>osim</w:t>
            </w:r>
            <w:r w:rsidRPr="00EC065C">
              <w:rPr>
                <w:sz w:val="22"/>
                <w:szCs w:val="22"/>
                <w:lang w:val="sr-Latn-ME"/>
              </w:rPr>
              <w:t xml:space="preserve"> P. aeruginosa (indi</w:t>
            </w:r>
            <w:r>
              <w:rPr>
                <w:sz w:val="22"/>
                <w:szCs w:val="22"/>
                <w:lang w:val="sr-Latn-ME"/>
              </w:rPr>
              <w:t xml:space="preserve">kacije </w:t>
            </w:r>
            <w:r w:rsidR="00975488">
              <w:rPr>
                <w:sz w:val="22"/>
                <w:szCs w:val="22"/>
                <w:lang w:val="sr-Latn-ME"/>
              </w:rPr>
              <w:t>osim meningitisa</w:t>
            </w:r>
            <w:r w:rsidRPr="00EC065C">
              <w:rPr>
                <w:sz w:val="22"/>
                <w:szCs w:val="22"/>
                <w:lang w:val="sr-Latn-ME"/>
              </w:rPr>
              <w:t>)</w:t>
            </w:r>
          </w:p>
        </w:tc>
        <w:tc>
          <w:tcPr>
            <w:tcW w:w="2982" w:type="dxa"/>
            <w:shd w:val="clear" w:color="auto" w:fill="auto"/>
          </w:tcPr>
          <w:p w14:paraId="5B1A1582" w14:textId="33F0F210" w:rsidR="004E7838" w:rsidRPr="00245390" w:rsidRDefault="0001555D">
            <w:pPr>
              <w:jc w:val="both"/>
              <w:rPr>
                <w:sz w:val="22"/>
                <w:szCs w:val="22"/>
                <w:lang w:val="sr-Latn-ME"/>
              </w:rPr>
            </w:pPr>
            <w:r w:rsidRPr="00245390">
              <w:rPr>
                <w:sz w:val="22"/>
                <w:szCs w:val="22"/>
                <w:lang w:val="sr-Latn-ME"/>
              </w:rPr>
              <w:t>≤</w:t>
            </w:r>
            <w:r w:rsidR="00975488">
              <w:rPr>
                <w:sz w:val="22"/>
                <w:szCs w:val="22"/>
                <w:lang w:val="sr-Latn-ME"/>
              </w:rPr>
              <w:t>2</w:t>
            </w:r>
          </w:p>
        </w:tc>
        <w:tc>
          <w:tcPr>
            <w:tcW w:w="3000" w:type="dxa"/>
            <w:shd w:val="clear" w:color="auto" w:fill="auto"/>
          </w:tcPr>
          <w:p w14:paraId="12B7F40C" w14:textId="45284FB7" w:rsidR="004E7838" w:rsidRPr="00245390" w:rsidRDefault="0001555D">
            <w:pPr>
              <w:jc w:val="both"/>
              <w:rPr>
                <w:sz w:val="22"/>
                <w:szCs w:val="22"/>
                <w:lang w:val="sr-Latn-ME"/>
              </w:rPr>
            </w:pPr>
            <w:r w:rsidRPr="00245390">
              <w:rPr>
                <w:sz w:val="22"/>
                <w:szCs w:val="22"/>
                <w:lang w:val="sr-Latn-ME"/>
              </w:rPr>
              <w:t>&gt;</w:t>
            </w:r>
            <w:r w:rsidR="00975488">
              <w:rPr>
                <w:sz w:val="22"/>
                <w:szCs w:val="22"/>
                <w:lang w:val="sr-Latn-ME"/>
              </w:rPr>
              <w:t>8</w:t>
            </w:r>
          </w:p>
        </w:tc>
      </w:tr>
      <w:tr w:rsidR="004E7838" w:rsidRPr="00245390" w14:paraId="38243045" w14:textId="77777777" w:rsidTr="00086E08">
        <w:tc>
          <w:tcPr>
            <w:tcW w:w="3093" w:type="dxa"/>
            <w:shd w:val="clear" w:color="auto" w:fill="auto"/>
          </w:tcPr>
          <w:p w14:paraId="2331222D" w14:textId="7C1C4B54" w:rsidR="004E7838" w:rsidRPr="00927109" w:rsidRDefault="00975488">
            <w:pPr>
              <w:jc w:val="both"/>
              <w:rPr>
                <w:sz w:val="22"/>
                <w:szCs w:val="22"/>
                <w:lang w:val="sr-Latn-ME"/>
              </w:rPr>
            </w:pPr>
            <w:r w:rsidRPr="00975488">
              <w:rPr>
                <w:sz w:val="22"/>
                <w:szCs w:val="22"/>
                <w:lang w:val="sr-Latn-ME"/>
              </w:rPr>
              <w:t>Staphylococcus spp.</w:t>
            </w:r>
          </w:p>
        </w:tc>
        <w:tc>
          <w:tcPr>
            <w:tcW w:w="2982" w:type="dxa"/>
            <w:shd w:val="clear" w:color="auto" w:fill="auto"/>
          </w:tcPr>
          <w:p w14:paraId="2EF8DC75" w14:textId="595330DE" w:rsidR="004E7838" w:rsidRPr="00245390" w:rsidRDefault="0088598F">
            <w:pPr>
              <w:jc w:val="both"/>
              <w:rPr>
                <w:sz w:val="22"/>
                <w:szCs w:val="22"/>
                <w:lang w:val="sr-Latn-ME"/>
              </w:rPr>
            </w:pPr>
            <w:r>
              <w:rPr>
                <w:sz w:val="22"/>
                <w:szCs w:val="22"/>
                <w:lang w:val="sr-Latn-ME"/>
              </w:rPr>
              <w:t>napomena</w:t>
            </w:r>
            <w:r w:rsidR="0055447D" w:rsidRPr="00245390">
              <w:rPr>
                <w:rFonts w:eastAsia="TimesNewRoman"/>
                <w:sz w:val="22"/>
                <w:szCs w:val="22"/>
                <w:vertAlign w:val="superscript"/>
                <w:lang w:val="sr-Latn-ME" w:eastAsia="sr-Latn-RS"/>
              </w:rPr>
              <w:t>3</w:t>
            </w:r>
          </w:p>
        </w:tc>
        <w:tc>
          <w:tcPr>
            <w:tcW w:w="3000" w:type="dxa"/>
            <w:shd w:val="clear" w:color="auto" w:fill="auto"/>
          </w:tcPr>
          <w:p w14:paraId="1C2E529E" w14:textId="33515880" w:rsidR="004E7838" w:rsidRPr="00245390" w:rsidRDefault="0088598F">
            <w:pPr>
              <w:jc w:val="both"/>
              <w:rPr>
                <w:sz w:val="22"/>
                <w:szCs w:val="22"/>
                <w:lang w:val="sr-Latn-ME"/>
              </w:rPr>
            </w:pPr>
            <w:r>
              <w:rPr>
                <w:sz w:val="22"/>
                <w:szCs w:val="22"/>
                <w:lang w:val="sr-Latn-ME"/>
              </w:rPr>
              <w:t>napomena</w:t>
            </w:r>
            <w:r w:rsidR="0055447D" w:rsidRPr="00245390">
              <w:rPr>
                <w:rFonts w:eastAsia="TimesNewRoman"/>
                <w:sz w:val="22"/>
                <w:szCs w:val="22"/>
                <w:vertAlign w:val="superscript"/>
                <w:lang w:val="sr-Latn-ME" w:eastAsia="sr-Latn-RS"/>
              </w:rPr>
              <w:t>3</w:t>
            </w:r>
          </w:p>
        </w:tc>
      </w:tr>
      <w:tr w:rsidR="004E7838" w:rsidRPr="00245390" w14:paraId="2C580224" w14:textId="77777777" w:rsidTr="00086E08">
        <w:tc>
          <w:tcPr>
            <w:tcW w:w="3093" w:type="dxa"/>
            <w:shd w:val="clear" w:color="auto" w:fill="auto"/>
          </w:tcPr>
          <w:p w14:paraId="5F5C9BBC" w14:textId="67007FD9" w:rsidR="004E7838" w:rsidRPr="00927109" w:rsidRDefault="0055447D">
            <w:pPr>
              <w:jc w:val="both"/>
              <w:rPr>
                <w:sz w:val="22"/>
                <w:szCs w:val="22"/>
                <w:lang w:val="sr-Latn-ME"/>
              </w:rPr>
            </w:pPr>
            <w:r w:rsidRPr="0055447D">
              <w:rPr>
                <w:sz w:val="22"/>
                <w:szCs w:val="22"/>
                <w:lang w:val="sr-Latn-ME"/>
              </w:rPr>
              <w:t>Streptococcus gr</w:t>
            </w:r>
            <w:r w:rsidR="00CB285B">
              <w:rPr>
                <w:sz w:val="22"/>
                <w:szCs w:val="22"/>
                <w:lang w:val="sr-Latn-ME"/>
              </w:rPr>
              <w:t>upa</w:t>
            </w:r>
            <w:r w:rsidRPr="0055447D">
              <w:rPr>
                <w:sz w:val="22"/>
                <w:szCs w:val="22"/>
                <w:lang w:val="sr-Latn-ME"/>
              </w:rPr>
              <w:t xml:space="preserve"> A, B, C </w:t>
            </w:r>
            <w:r w:rsidR="00CB285B">
              <w:rPr>
                <w:sz w:val="22"/>
                <w:szCs w:val="22"/>
                <w:lang w:val="sr-Latn-ME"/>
              </w:rPr>
              <w:t>i</w:t>
            </w:r>
            <w:r w:rsidRPr="0055447D">
              <w:rPr>
                <w:sz w:val="22"/>
                <w:szCs w:val="22"/>
                <w:lang w:val="sr-Latn-ME"/>
              </w:rPr>
              <w:t xml:space="preserve"> G</w:t>
            </w:r>
          </w:p>
        </w:tc>
        <w:tc>
          <w:tcPr>
            <w:tcW w:w="2982" w:type="dxa"/>
            <w:shd w:val="clear" w:color="auto" w:fill="auto"/>
          </w:tcPr>
          <w:p w14:paraId="7ECF5EE0" w14:textId="7C77DAF0" w:rsidR="004E7838" w:rsidRPr="00245390" w:rsidRDefault="0088598F">
            <w:pPr>
              <w:jc w:val="both"/>
              <w:rPr>
                <w:sz w:val="22"/>
                <w:szCs w:val="22"/>
                <w:lang w:val="sr-Latn-ME"/>
              </w:rPr>
            </w:pPr>
            <w:r>
              <w:rPr>
                <w:sz w:val="22"/>
                <w:szCs w:val="22"/>
                <w:lang w:val="sr-Latn-ME"/>
              </w:rPr>
              <w:t>napomena</w:t>
            </w:r>
            <w:r w:rsidR="0055447D" w:rsidRPr="00245390">
              <w:rPr>
                <w:rFonts w:eastAsia="TimesNewRoman"/>
                <w:sz w:val="22"/>
                <w:szCs w:val="22"/>
                <w:vertAlign w:val="superscript"/>
                <w:lang w:val="sr-Latn-ME" w:eastAsia="sr-Latn-RS"/>
              </w:rPr>
              <w:t>4</w:t>
            </w:r>
          </w:p>
        </w:tc>
        <w:tc>
          <w:tcPr>
            <w:tcW w:w="3000" w:type="dxa"/>
            <w:shd w:val="clear" w:color="auto" w:fill="auto"/>
          </w:tcPr>
          <w:p w14:paraId="7477A092" w14:textId="1BEE7A87" w:rsidR="004E7838" w:rsidRPr="00245390" w:rsidRDefault="0088598F">
            <w:pPr>
              <w:jc w:val="both"/>
              <w:rPr>
                <w:sz w:val="22"/>
                <w:szCs w:val="22"/>
                <w:lang w:val="sr-Latn-ME"/>
              </w:rPr>
            </w:pPr>
            <w:r>
              <w:rPr>
                <w:sz w:val="22"/>
                <w:szCs w:val="22"/>
                <w:lang w:val="sr-Latn-ME"/>
              </w:rPr>
              <w:t>napomena</w:t>
            </w:r>
            <w:r w:rsidR="0055447D" w:rsidRPr="00245390">
              <w:rPr>
                <w:rFonts w:eastAsia="TimesNewRoman"/>
                <w:sz w:val="22"/>
                <w:szCs w:val="22"/>
                <w:vertAlign w:val="superscript"/>
                <w:lang w:val="sr-Latn-ME" w:eastAsia="sr-Latn-RS"/>
              </w:rPr>
              <w:t>4</w:t>
            </w:r>
          </w:p>
        </w:tc>
      </w:tr>
      <w:tr w:rsidR="004E7838" w:rsidRPr="00245390" w14:paraId="2643AD06" w14:textId="77777777" w:rsidTr="00086E08">
        <w:tc>
          <w:tcPr>
            <w:tcW w:w="3093" w:type="dxa"/>
            <w:shd w:val="clear" w:color="auto" w:fill="auto"/>
          </w:tcPr>
          <w:p w14:paraId="4756F7B8" w14:textId="7F419BE5" w:rsidR="004E7838" w:rsidRPr="00927109" w:rsidRDefault="005A73B3">
            <w:pPr>
              <w:jc w:val="both"/>
              <w:rPr>
                <w:sz w:val="22"/>
                <w:szCs w:val="22"/>
                <w:lang w:val="sr-Latn-ME"/>
              </w:rPr>
            </w:pPr>
            <w:r w:rsidRPr="005A73B3">
              <w:rPr>
                <w:sz w:val="22"/>
                <w:szCs w:val="22"/>
                <w:lang w:val="sr-Latn-ME"/>
              </w:rPr>
              <w:t>Streptococcus pneumoniae (indi</w:t>
            </w:r>
            <w:r>
              <w:rPr>
                <w:sz w:val="22"/>
                <w:szCs w:val="22"/>
                <w:lang w:val="sr-Latn-ME"/>
              </w:rPr>
              <w:t>kacije osim meningitisa</w:t>
            </w:r>
            <w:r w:rsidRPr="005A73B3">
              <w:rPr>
                <w:sz w:val="22"/>
                <w:szCs w:val="22"/>
                <w:lang w:val="sr-Latn-ME"/>
              </w:rPr>
              <w:t>)</w:t>
            </w:r>
          </w:p>
        </w:tc>
        <w:tc>
          <w:tcPr>
            <w:tcW w:w="2982" w:type="dxa"/>
            <w:shd w:val="clear" w:color="auto" w:fill="auto"/>
          </w:tcPr>
          <w:p w14:paraId="6E6A231C" w14:textId="7381A660" w:rsidR="004E7838" w:rsidRPr="00245390" w:rsidRDefault="0001555D">
            <w:pPr>
              <w:jc w:val="both"/>
              <w:rPr>
                <w:sz w:val="22"/>
                <w:szCs w:val="22"/>
                <w:lang w:val="sr-Latn-ME"/>
              </w:rPr>
            </w:pPr>
            <w:r w:rsidRPr="00245390">
              <w:rPr>
                <w:sz w:val="22"/>
                <w:szCs w:val="22"/>
                <w:lang w:val="sr-Latn-ME"/>
              </w:rPr>
              <w:t>≤</w:t>
            </w:r>
            <w:r w:rsidR="004252B7">
              <w:rPr>
                <w:sz w:val="22"/>
                <w:szCs w:val="22"/>
                <w:lang w:val="sr-Latn-ME"/>
              </w:rPr>
              <w:t>2</w:t>
            </w:r>
          </w:p>
        </w:tc>
        <w:tc>
          <w:tcPr>
            <w:tcW w:w="3000" w:type="dxa"/>
            <w:shd w:val="clear" w:color="auto" w:fill="auto"/>
          </w:tcPr>
          <w:p w14:paraId="78D1DE22" w14:textId="108E4489" w:rsidR="004E7838" w:rsidRPr="00245390" w:rsidRDefault="0001555D">
            <w:pPr>
              <w:jc w:val="both"/>
              <w:rPr>
                <w:sz w:val="22"/>
                <w:szCs w:val="22"/>
                <w:lang w:val="sr-Latn-ME"/>
              </w:rPr>
            </w:pPr>
            <w:r w:rsidRPr="00245390">
              <w:rPr>
                <w:sz w:val="22"/>
                <w:szCs w:val="22"/>
                <w:lang w:val="sr-Latn-ME"/>
              </w:rPr>
              <w:t>&gt;</w:t>
            </w:r>
            <w:r w:rsidR="004252B7">
              <w:rPr>
                <w:sz w:val="22"/>
                <w:szCs w:val="22"/>
                <w:lang w:val="sr-Latn-ME"/>
              </w:rPr>
              <w:t>2</w:t>
            </w:r>
          </w:p>
        </w:tc>
      </w:tr>
      <w:tr w:rsidR="004252B7" w:rsidRPr="00245390" w14:paraId="4471FD2E" w14:textId="77777777" w:rsidTr="00086E08">
        <w:tc>
          <w:tcPr>
            <w:tcW w:w="3093" w:type="dxa"/>
            <w:shd w:val="clear" w:color="auto" w:fill="auto"/>
          </w:tcPr>
          <w:p w14:paraId="479DF273" w14:textId="5A72D6B9" w:rsidR="004252B7" w:rsidRPr="005A73B3" w:rsidRDefault="004252B7">
            <w:pPr>
              <w:jc w:val="both"/>
              <w:rPr>
                <w:sz w:val="22"/>
                <w:szCs w:val="22"/>
                <w:lang w:val="sr-Latn-ME"/>
              </w:rPr>
            </w:pPr>
            <w:r w:rsidRPr="004252B7">
              <w:rPr>
                <w:sz w:val="22"/>
                <w:szCs w:val="22"/>
                <w:lang w:val="sr-Latn-ME"/>
              </w:rPr>
              <w:t>Streptococcus pneumoniae (meningitis)</w:t>
            </w:r>
          </w:p>
        </w:tc>
        <w:tc>
          <w:tcPr>
            <w:tcW w:w="2982" w:type="dxa"/>
            <w:shd w:val="clear" w:color="auto" w:fill="auto"/>
          </w:tcPr>
          <w:p w14:paraId="116B059D" w14:textId="49E37ECB" w:rsidR="004252B7" w:rsidRPr="00245390" w:rsidRDefault="003F7665">
            <w:pPr>
              <w:jc w:val="both"/>
              <w:rPr>
                <w:sz w:val="22"/>
                <w:szCs w:val="22"/>
                <w:lang w:val="sr-Latn-ME"/>
              </w:rPr>
            </w:pPr>
            <w:r w:rsidRPr="00245390">
              <w:rPr>
                <w:sz w:val="22"/>
                <w:szCs w:val="22"/>
                <w:lang w:val="sr-Latn-ME"/>
              </w:rPr>
              <w:t>≤</w:t>
            </w:r>
            <w:r>
              <w:rPr>
                <w:sz w:val="22"/>
                <w:szCs w:val="22"/>
                <w:lang w:val="sr-Latn-ME"/>
              </w:rPr>
              <w:t>0.25</w:t>
            </w:r>
          </w:p>
        </w:tc>
        <w:tc>
          <w:tcPr>
            <w:tcW w:w="3000" w:type="dxa"/>
            <w:shd w:val="clear" w:color="auto" w:fill="auto"/>
          </w:tcPr>
          <w:p w14:paraId="51C317B9" w14:textId="53D87D43" w:rsidR="004252B7" w:rsidRPr="00245390" w:rsidRDefault="003F7665">
            <w:pPr>
              <w:jc w:val="both"/>
              <w:rPr>
                <w:sz w:val="22"/>
                <w:szCs w:val="22"/>
                <w:lang w:val="sr-Latn-ME"/>
              </w:rPr>
            </w:pPr>
            <w:r w:rsidRPr="00245390">
              <w:rPr>
                <w:sz w:val="22"/>
                <w:szCs w:val="22"/>
                <w:lang w:val="sr-Latn-ME"/>
              </w:rPr>
              <w:t>&gt;</w:t>
            </w:r>
            <w:r>
              <w:rPr>
                <w:sz w:val="22"/>
                <w:szCs w:val="22"/>
                <w:lang w:val="sr-Latn-ME"/>
              </w:rPr>
              <w:t>0.25</w:t>
            </w:r>
          </w:p>
        </w:tc>
      </w:tr>
      <w:tr w:rsidR="004252B7" w:rsidRPr="00245390" w14:paraId="7A886B07" w14:textId="77777777" w:rsidTr="00086E08">
        <w:tc>
          <w:tcPr>
            <w:tcW w:w="3093" w:type="dxa"/>
            <w:shd w:val="clear" w:color="auto" w:fill="auto"/>
          </w:tcPr>
          <w:p w14:paraId="640AB9E8" w14:textId="43A1AFC9" w:rsidR="004252B7" w:rsidRPr="005A73B3" w:rsidRDefault="004252B7">
            <w:pPr>
              <w:jc w:val="both"/>
              <w:rPr>
                <w:sz w:val="22"/>
                <w:szCs w:val="22"/>
                <w:lang w:val="sr-Latn-ME"/>
              </w:rPr>
            </w:pPr>
            <w:r w:rsidRPr="004252B7">
              <w:rPr>
                <w:sz w:val="22"/>
                <w:szCs w:val="22"/>
                <w:lang w:val="sr-Latn-ME"/>
              </w:rPr>
              <w:t>Vibrio spp.</w:t>
            </w:r>
          </w:p>
        </w:tc>
        <w:tc>
          <w:tcPr>
            <w:tcW w:w="2982" w:type="dxa"/>
            <w:shd w:val="clear" w:color="auto" w:fill="auto"/>
          </w:tcPr>
          <w:p w14:paraId="0A8ADE37" w14:textId="299CC3B3" w:rsidR="004252B7" w:rsidRPr="00245390" w:rsidRDefault="003F7665">
            <w:pPr>
              <w:jc w:val="both"/>
              <w:rPr>
                <w:sz w:val="22"/>
                <w:szCs w:val="22"/>
                <w:lang w:val="sr-Latn-ME"/>
              </w:rPr>
            </w:pPr>
            <w:r w:rsidRPr="00245390">
              <w:rPr>
                <w:sz w:val="22"/>
                <w:szCs w:val="22"/>
                <w:lang w:val="sr-Latn-ME"/>
              </w:rPr>
              <w:t>≤</w:t>
            </w:r>
            <w:r>
              <w:rPr>
                <w:sz w:val="22"/>
                <w:szCs w:val="22"/>
                <w:lang w:val="sr-Latn-ME"/>
              </w:rPr>
              <w:t>0.5</w:t>
            </w:r>
          </w:p>
        </w:tc>
        <w:tc>
          <w:tcPr>
            <w:tcW w:w="3000" w:type="dxa"/>
            <w:shd w:val="clear" w:color="auto" w:fill="auto"/>
          </w:tcPr>
          <w:p w14:paraId="0C7B8ACC" w14:textId="186F7353" w:rsidR="004252B7" w:rsidRPr="00245390" w:rsidRDefault="003F7665">
            <w:pPr>
              <w:jc w:val="both"/>
              <w:rPr>
                <w:sz w:val="22"/>
                <w:szCs w:val="22"/>
                <w:lang w:val="sr-Latn-ME"/>
              </w:rPr>
            </w:pPr>
            <w:r w:rsidRPr="00245390">
              <w:rPr>
                <w:sz w:val="22"/>
                <w:szCs w:val="22"/>
                <w:lang w:val="sr-Latn-ME"/>
              </w:rPr>
              <w:t>&gt;</w:t>
            </w:r>
            <w:r>
              <w:rPr>
                <w:sz w:val="22"/>
                <w:szCs w:val="22"/>
                <w:lang w:val="sr-Latn-ME"/>
              </w:rPr>
              <w:t>0.5</w:t>
            </w:r>
          </w:p>
        </w:tc>
      </w:tr>
      <w:tr w:rsidR="004252B7" w:rsidRPr="00245390" w14:paraId="0A04ED23" w14:textId="77777777" w:rsidTr="00086E08">
        <w:tc>
          <w:tcPr>
            <w:tcW w:w="3093" w:type="dxa"/>
            <w:shd w:val="clear" w:color="auto" w:fill="auto"/>
          </w:tcPr>
          <w:p w14:paraId="5E7EF137" w14:textId="3E5D8715" w:rsidR="004252B7" w:rsidRPr="005A73B3" w:rsidRDefault="003F7665">
            <w:pPr>
              <w:jc w:val="both"/>
              <w:rPr>
                <w:sz w:val="22"/>
                <w:szCs w:val="22"/>
                <w:lang w:val="sr-Latn-ME"/>
              </w:rPr>
            </w:pPr>
            <w:r w:rsidRPr="003F7665">
              <w:rPr>
                <w:sz w:val="22"/>
                <w:szCs w:val="22"/>
                <w:lang w:val="sr-Latn-ME"/>
              </w:rPr>
              <w:t>Viridans gr</w:t>
            </w:r>
            <w:r w:rsidR="009308C5">
              <w:rPr>
                <w:sz w:val="22"/>
                <w:szCs w:val="22"/>
                <w:lang w:val="sr-Latn-ME"/>
              </w:rPr>
              <w:t>upa</w:t>
            </w:r>
            <w:r w:rsidRPr="003F7665">
              <w:rPr>
                <w:sz w:val="22"/>
                <w:szCs w:val="22"/>
                <w:lang w:val="sr-Latn-ME"/>
              </w:rPr>
              <w:t xml:space="preserve"> streptococci</w:t>
            </w:r>
          </w:p>
        </w:tc>
        <w:tc>
          <w:tcPr>
            <w:tcW w:w="2982" w:type="dxa"/>
            <w:shd w:val="clear" w:color="auto" w:fill="auto"/>
          </w:tcPr>
          <w:p w14:paraId="46F8A69E" w14:textId="29B25D04" w:rsidR="004252B7" w:rsidRPr="00245390" w:rsidRDefault="003F7665">
            <w:pPr>
              <w:jc w:val="both"/>
              <w:rPr>
                <w:sz w:val="22"/>
                <w:szCs w:val="22"/>
                <w:lang w:val="sr-Latn-ME"/>
              </w:rPr>
            </w:pPr>
            <w:r w:rsidRPr="00245390">
              <w:rPr>
                <w:sz w:val="22"/>
                <w:szCs w:val="22"/>
                <w:lang w:val="sr-Latn-ME"/>
              </w:rPr>
              <w:t>≤</w:t>
            </w:r>
            <w:r>
              <w:rPr>
                <w:sz w:val="22"/>
                <w:szCs w:val="22"/>
                <w:lang w:val="sr-Latn-ME"/>
              </w:rPr>
              <w:t>2</w:t>
            </w:r>
          </w:p>
        </w:tc>
        <w:tc>
          <w:tcPr>
            <w:tcW w:w="3000" w:type="dxa"/>
            <w:shd w:val="clear" w:color="auto" w:fill="auto"/>
          </w:tcPr>
          <w:p w14:paraId="4C1CDADB" w14:textId="6D0B9499" w:rsidR="004252B7" w:rsidRPr="00245390" w:rsidRDefault="003F7665">
            <w:pPr>
              <w:jc w:val="both"/>
              <w:rPr>
                <w:sz w:val="22"/>
                <w:szCs w:val="22"/>
                <w:lang w:val="sr-Latn-ME"/>
              </w:rPr>
            </w:pPr>
            <w:r w:rsidRPr="00245390">
              <w:rPr>
                <w:sz w:val="22"/>
                <w:szCs w:val="22"/>
                <w:lang w:val="sr-Latn-ME"/>
              </w:rPr>
              <w:t>&gt;</w:t>
            </w:r>
            <w:r>
              <w:rPr>
                <w:sz w:val="22"/>
                <w:szCs w:val="22"/>
                <w:lang w:val="sr-Latn-ME"/>
              </w:rPr>
              <w:t>2</w:t>
            </w:r>
          </w:p>
        </w:tc>
      </w:tr>
    </w:tbl>
    <w:p w14:paraId="77565066" w14:textId="77777777" w:rsidR="007D25C1" w:rsidRPr="00245390" w:rsidRDefault="007D25C1">
      <w:pPr>
        <w:tabs>
          <w:tab w:val="left" w:pos="540"/>
          <w:tab w:val="left" w:pos="569"/>
        </w:tabs>
        <w:jc w:val="both"/>
        <w:rPr>
          <w:bCs/>
          <w:sz w:val="22"/>
          <w:szCs w:val="22"/>
          <w:lang w:val="sr-Latn-ME"/>
        </w:rPr>
      </w:pPr>
    </w:p>
    <w:p w14:paraId="45575AFB" w14:textId="46C139BF" w:rsidR="007D25C1" w:rsidRPr="00245390" w:rsidRDefault="007D25C1">
      <w:pPr>
        <w:tabs>
          <w:tab w:val="left" w:pos="540"/>
          <w:tab w:val="left" w:pos="569"/>
        </w:tabs>
        <w:jc w:val="both"/>
        <w:rPr>
          <w:rFonts w:eastAsia="TimesNewRoman"/>
          <w:sz w:val="22"/>
          <w:szCs w:val="22"/>
          <w:lang w:val="sr-Latn-ME" w:eastAsia="sr-Latn-RS"/>
        </w:rPr>
      </w:pPr>
      <w:r w:rsidRPr="00245390">
        <w:rPr>
          <w:rFonts w:eastAsia="TimesNewRoman"/>
          <w:sz w:val="22"/>
          <w:szCs w:val="22"/>
          <w:vertAlign w:val="superscript"/>
          <w:lang w:val="sr-Latn-ME" w:eastAsia="sr-Latn-RS"/>
        </w:rPr>
        <w:t>1</w:t>
      </w:r>
      <w:r w:rsidRPr="00245390">
        <w:rPr>
          <w:rFonts w:eastAsia="TimesNewRoman"/>
          <w:sz w:val="22"/>
          <w:szCs w:val="22"/>
          <w:lang w:val="sr-Latn-ME" w:eastAsia="sr-Latn-RS"/>
        </w:rPr>
        <w:t xml:space="preserve"> </w:t>
      </w:r>
      <w:r w:rsidR="006F22D0">
        <w:rPr>
          <w:rFonts w:eastAsia="TimesNewRoman"/>
          <w:sz w:val="22"/>
          <w:szCs w:val="22"/>
          <w:lang w:val="sr-Latn-ME" w:eastAsia="sr-Latn-RS"/>
        </w:rPr>
        <w:t>Sojevi</w:t>
      </w:r>
      <w:r w:rsidR="00FC7E6C">
        <w:rPr>
          <w:rFonts w:eastAsia="TimesNewRoman"/>
          <w:sz w:val="22"/>
          <w:szCs w:val="22"/>
          <w:lang w:val="sr-Latn-ME" w:eastAsia="sr-Latn-RS"/>
        </w:rPr>
        <w:t xml:space="preserve"> koji su os</w:t>
      </w:r>
      <w:r w:rsidR="006A6BA6">
        <w:rPr>
          <w:rFonts w:eastAsia="TimesNewRoman"/>
          <w:sz w:val="22"/>
          <w:szCs w:val="22"/>
          <w:lang w:val="sr-Latn-ME" w:eastAsia="sr-Latn-RS"/>
        </w:rPr>
        <w:t>j</w:t>
      </w:r>
      <w:r w:rsidR="00FC7E6C">
        <w:rPr>
          <w:rFonts w:eastAsia="TimesNewRoman"/>
          <w:sz w:val="22"/>
          <w:szCs w:val="22"/>
          <w:lang w:val="sr-Latn-ME" w:eastAsia="sr-Latn-RS"/>
        </w:rPr>
        <w:t xml:space="preserve">etljivi na </w:t>
      </w:r>
      <w:r w:rsidR="00FB295C">
        <w:rPr>
          <w:rFonts w:eastAsia="TimesNewRoman"/>
          <w:sz w:val="22"/>
          <w:szCs w:val="22"/>
          <w:lang w:val="sr-Latn-ME" w:eastAsia="sr-Latn-RS"/>
        </w:rPr>
        <w:t>b</w:t>
      </w:r>
      <w:r w:rsidR="00FC7E6C">
        <w:rPr>
          <w:rFonts w:eastAsia="TimesNewRoman"/>
          <w:sz w:val="22"/>
          <w:szCs w:val="22"/>
          <w:lang w:val="sr-Latn-ME" w:eastAsia="sr-Latn-RS"/>
        </w:rPr>
        <w:t>enzilpenicilin</w:t>
      </w:r>
      <w:r w:rsidR="001C662D">
        <w:rPr>
          <w:rFonts w:eastAsia="TimesNewRoman"/>
          <w:sz w:val="22"/>
          <w:szCs w:val="22"/>
          <w:lang w:val="sr-Latn-ME" w:eastAsia="sr-Latn-RS"/>
        </w:rPr>
        <w:t xml:space="preserve"> </w:t>
      </w:r>
      <w:r w:rsidR="00A45485">
        <w:rPr>
          <w:rFonts w:eastAsia="TimesNewRoman"/>
          <w:sz w:val="22"/>
          <w:szCs w:val="22"/>
          <w:lang w:val="sr-Latn-ME" w:eastAsia="sr-Latn-RS"/>
        </w:rPr>
        <w:t>smatraju se os</w:t>
      </w:r>
      <w:r w:rsidR="006A6BA6">
        <w:rPr>
          <w:rFonts w:eastAsia="TimesNewRoman"/>
          <w:sz w:val="22"/>
          <w:szCs w:val="22"/>
          <w:lang w:val="sr-Latn-ME" w:eastAsia="sr-Latn-RS"/>
        </w:rPr>
        <w:t>j</w:t>
      </w:r>
      <w:r w:rsidR="00A45485">
        <w:rPr>
          <w:rFonts w:eastAsia="TimesNewRoman"/>
          <w:sz w:val="22"/>
          <w:szCs w:val="22"/>
          <w:lang w:val="sr-Latn-ME" w:eastAsia="sr-Latn-RS"/>
        </w:rPr>
        <w:t>etljivim na</w:t>
      </w:r>
      <w:r w:rsidR="007336A8">
        <w:rPr>
          <w:rFonts w:eastAsia="TimesNewRoman"/>
          <w:sz w:val="22"/>
          <w:szCs w:val="22"/>
          <w:lang w:val="sr-Latn-ME" w:eastAsia="sr-Latn-RS"/>
        </w:rPr>
        <w:t xml:space="preserve"> sve beta-laktamske antibiot</w:t>
      </w:r>
      <w:r w:rsidR="00263103">
        <w:rPr>
          <w:rFonts w:eastAsia="TimesNewRoman"/>
          <w:sz w:val="22"/>
          <w:szCs w:val="22"/>
          <w:lang w:val="sr-Latn-ME" w:eastAsia="sr-Latn-RS"/>
        </w:rPr>
        <w:t>i</w:t>
      </w:r>
      <w:r w:rsidR="007336A8">
        <w:rPr>
          <w:rFonts w:eastAsia="TimesNewRoman"/>
          <w:sz w:val="22"/>
          <w:szCs w:val="22"/>
          <w:lang w:val="sr-Latn-ME" w:eastAsia="sr-Latn-RS"/>
        </w:rPr>
        <w:t>k</w:t>
      </w:r>
      <w:r w:rsidR="00263103">
        <w:rPr>
          <w:rFonts w:eastAsia="TimesNewRoman"/>
          <w:sz w:val="22"/>
          <w:szCs w:val="22"/>
          <w:lang w:val="sr-Latn-ME" w:eastAsia="sr-Latn-RS"/>
        </w:rPr>
        <w:t>e</w:t>
      </w:r>
      <w:r w:rsidR="007336A8">
        <w:rPr>
          <w:rFonts w:eastAsia="TimesNewRoman"/>
          <w:sz w:val="22"/>
          <w:szCs w:val="22"/>
          <w:lang w:val="sr-Latn-ME" w:eastAsia="sr-Latn-RS"/>
        </w:rPr>
        <w:t xml:space="preserve"> </w:t>
      </w:r>
      <w:r w:rsidR="00B4359E">
        <w:rPr>
          <w:rFonts w:eastAsia="TimesNewRoman"/>
          <w:sz w:val="22"/>
          <w:szCs w:val="22"/>
          <w:lang w:val="sr-Latn-ME" w:eastAsia="sr-Latn-RS"/>
        </w:rPr>
        <w:t>u okviru grani</w:t>
      </w:r>
      <w:r w:rsidR="00B552ED">
        <w:rPr>
          <w:rFonts w:eastAsia="TimesNewRoman"/>
          <w:sz w:val="22"/>
          <w:szCs w:val="22"/>
          <w:lang w:val="sr-Latn-ME" w:eastAsia="sr-Latn-RS"/>
        </w:rPr>
        <w:t>č</w:t>
      </w:r>
      <w:r w:rsidR="00B4359E">
        <w:rPr>
          <w:rFonts w:eastAsia="TimesNewRoman"/>
          <w:sz w:val="22"/>
          <w:szCs w:val="22"/>
          <w:lang w:val="sr-Latn-ME" w:eastAsia="sr-Latn-RS"/>
        </w:rPr>
        <w:t>nih vr</w:t>
      </w:r>
      <w:r w:rsidR="006A6BA6">
        <w:rPr>
          <w:rFonts w:eastAsia="TimesNewRoman"/>
          <w:sz w:val="22"/>
          <w:szCs w:val="22"/>
          <w:lang w:val="sr-Latn-ME" w:eastAsia="sr-Latn-RS"/>
        </w:rPr>
        <w:t>ij</w:t>
      </w:r>
      <w:r w:rsidR="00B4359E">
        <w:rPr>
          <w:rFonts w:eastAsia="TimesNewRoman"/>
          <w:sz w:val="22"/>
          <w:szCs w:val="22"/>
          <w:lang w:val="sr-Latn-ME" w:eastAsia="sr-Latn-RS"/>
        </w:rPr>
        <w:t>ednosti (uklju</w:t>
      </w:r>
      <w:r w:rsidR="00B4359E">
        <w:rPr>
          <w:rFonts w:eastAsia="TimesNewRoman"/>
          <w:sz w:val="22"/>
          <w:szCs w:val="22"/>
          <w:lang w:val="sr-Latn-RS" w:eastAsia="sr-Latn-RS"/>
        </w:rPr>
        <w:t>čujući</w:t>
      </w:r>
      <w:r w:rsidR="00263103">
        <w:rPr>
          <w:rFonts w:eastAsia="TimesNewRoman"/>
          <w:sz w:val="22"/>
          <w:szCs w:val="22"/>
          <w:lang w:val="sr-Latn-RS" w:eastAsia="sr-Latn-RS"/>
        </w:rPr>
        <w:t xml:space="preserve"> </w:t>
      </w:r>
      <w:r w:rsidR="00263103" w:rsidRPr="00263103">
        <w:rPr>
          <w:rFonts w:eastAsia="TimesNewRoman"/>
          <w:sz w:val="22"/>
          <w:szCs w:val="22"/>
          <w:lang w:val="sr-Latn-RS" w:eastAsia="sr-Latn-RS"/>
        </w:rPr>
        <w:t>Staphylococcus spp.</w:t>
      </w:r>
      <w:r w:rsidR="00263103">
        <w:rPr>
          <w:rFonts w:eastAsia="TimesNewRoman"/>
          <w:sz w:val="22"/>
          <w:szCs w:val="22"/>
          <w:lang w:val="sr-Latn-RS" w:eastAsia="sr-Latn-RS"/>
        </w:rPr>
        <w:t xml:space="preserve"> i </w:t>
      </w:r>
      <w:r w:rsidR="00263103" w:rsidRPr="00263103">
        <w:rPr>
          <w:rFonts w:eastAsia="TimesNewRoman"/>
          <w:sz w:val="22"/>
          <w:szCs w:val="22"/>
          <w:lang w:val="sr-Latn-RS" w:eastAsia="sr-Latn-RS"/>
        </w:rPr>
        <w:t>Streptococcus gr</w:t>
      </w:r>
      <w:r w:rsidR="00CF155A">
        <w:rPr>
          <w:rFonts w:eastAsia="TimesNewRoman"/>
          <w:sz w:val="22"/>
          <w:szCs w:val="22"/>
          <w:lang w:val="sr-Latn-RS" w:eastAsia="sr-Latn-RS"/>
        </w:rPr>
        <w:t>upa</w:t>
      </w:r>
      <w:r w:rsidR="00263103" w:rsidRPr="00263103">
        <w:rPr>
          <w:rFonts w:eastAsia="TimesNewRoman"/>
          <w:sz w:val="22"/>
          <w:szCs w:val="22"/>
          <w:lang w:val="sr-Latn-RS" w:eastAsia="sr-Latn-RS"/>
        </w:rPr>
        <w:t xml:space="preserve"> A, B, C </w:t>
      </w:r>
      <w:r w:rsidR="00CF155A">
        <w:rPr>
          <w:rFonts w:eastAsia="TimesNewRoman"/>
          <w:sz w:val="22"/>
          <w:szCs w:val="22"/>
          <w:lang w:val="sr-Latn-RS" w:eastAsia="sr-Latn-RS"/>
        </w:rPr>
        <w:t>i</w:t>
      </w:r>
      <w:r w:rsidR="00263103" w:rsidRPr="00263103">
        <w:rPr>
          <w:rFonts w:eastAsia="TimesNewRoman"/>
          <w:sz w:val="22"/>
          <w:szCs w:val="22"/>
          <w:lang w:val="sr-Latn-RS" w:eastAsia="sr-Latn-RS"/>
        </w:rPr>
        <w:t xml:space="preserve"> G</w:t>
      </w:r>
      <w:r w:rsidR="00263103">
        <w:rPr>
          <w:rFonts w:eastAsia="TimesNewRoman"/>
          <w:sz w:val="22"/>
          <w:szCs w:val="22"/>
          <w:lang w:val="sr-Latn-RS" w:eastAsia="sr-Latn-RS"/>
        </w:rPr>
        <w:t>)</w:t>
      </w:r>
      <w:r w:rsidR="00FC7E6C">
        <w:rPr>
          <w:rFonts w:eastAsia="TimesNewRoman"/>
          <w:sz w:val="22"/>
          <w:szCs w:val="22"/>
          <w:lang w:val="sr-Latn-ME" w:eastAsia="sr-Latn-RS"/>
        </w:rPr>
        <w:t xml:space="preserve"> </w:t>
      </w:r>
      <w:r w:rsidR="00A45485">
        <w:rPr>
          <w:rFonts w:eastAsia="TimesNewRoman"/>
          <w:sz w:val="22"/>
          <w:szCs w:val="22"/>
          <w:lang w:val="sr-Latn-ME" w:eastAsia="sr-Latn-RS"/>
        </w:rPr>
        <w:t xml:space="preserve">bez </w:t>
      </w:r>
      <w:r w:rsidR="002F3AB5">
        <w:rPr>
          <w:rFonts w:eastAsia="TimesNewRoman"/>
          <w:sz w:val="22"/>
          <w:szCs w:val="22"/>
          <w:lang w:val="sr-Latn-ME" w:eastAsia="sr-Latn-RS"/>
        </w:rPr>
        <w:t>dodatnih testiranja. Sojev</w:t>
      </w:r>
      <w:r w:rsidR="000D745C">
        <w:rPr>
          <w:rFonts w:eastAsia="TimesNewRoman"/>
          <w:sz w:val="22"/>
          <w:szCs w:val="22"/>
          <w:lang w:val="sr-Latn-ME" w:eastAsia="sr-Latn-RS"/>
        </w:rPr>
        <w:t>e</w:t>
      </w:r>
      <w:r w:rsidR="00237F3D">
        <w:rPr>
          <w:rFonts w:eastAsia="TimesNewRoman"/>
          <w:sz w:val="22"/>
          <w:szCs w:val="22"/>
          <w:lang w:val="sr-Latn-ME" w:eastAsia="sr-Latn-RS"/>
        </w:rPr>
        <w:t xml:space="preserve"> koji su rezistentni na benzilpenicilin</w:t>
      </w:r>
      <w:r w:rsidR="00AE5BF6">
        <w:rPr>
          <w:rFonts w:eastAsia="TimesNewRoman"/>
          <w:sz w:val="22"/>
          <w:szCs w:val="22"/>
          <w:lang w:val="sr-Latn-ME" w:eastAsia="sr-Latn-RS"/>
        </w:rPr>
        <w:t xml:space="preserve"> treba testirati na os</w:t>
      </w:r>
      <w:r w:rsidR="006A6BA6">
        <w:rPr>
          <w:rFonts w:eastAsia="TimesNewRoman"/>
          <w:sz w:val="22"/>
          <w:szCs w:val="22"/>
          <w:lang w:val="sr-Latn-ME" w:eastAsia="sr-Latn-RS"/>
        </w:rPr>
        <w:t>j</w:t>
      </w:r>
      <w:r w:rsidR="00AE5BF6">
        <w:rPr>
          <w:rFonts w:eastAsia="TimesNewRoman"/>
          <w:sz w:val="22"/>
          <w:szCs w:val="22"/>
          <w:lang w:val="sr-Latn-ME" w:eastAsia="sr-Latn-RS"/>
        </w:rPr>
        <w:t>etljivost svakog antimikrobnog agensa pojedinačno.</w:t>
      </w:r>
      <w:r w:rsidR="00AE27E1">
        <w:rPr>
          <w:rFonts w:eastAsia="TimesNewRoman"/>
          <w:sz w:val="22"/>
          <w:szCs w:val="22"/>
          <w:lang w:val="sr-Latn-ME" w:eastAsia="sr-Latn-RS"/>
        </w:rPr>
        <w:t xml:space="preserve"> </w:t>
      </w:r>
    </w:p>
    <w:p w14:paraId="434A27D3" w14:textId="77777777" w:rsidR="007D25C1" w:rsidRPr="00245390" w:rsidRDefault="007D25C1">
      <w:pPr>
        <w:tabs>
          <w:tab w:val="left" w:pos="540"/>
          <w:tab w:val="left" w:pos="569"/>
        </w:tabs>
        <w:jc w:val="both"/>
        <w:rPr>
          <w:rFonts w:eastAsia="TimesNewRoman"/>
          <w:sz w:val="22"/>
          <w:szCs w:val="22"/>
          <w:lang w:val="sr-Latn-ME" w:eastAsia="sr-Latn-RS"/>
        </w:rPr>
      </w:pPr>
    </w:p>
    <w:p w14:paraId="0EE69EED" w14:textId="5B1CDEC9"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vertAlign w:val="superscript"/>
          <w:lang w:val="sr-Latn-ME" w:eastAsia="sr-Latn-RS"/>
        </w:rPr>
        <w:t>2</w:t>
      </w:r>
      <w:r w:rsidRPr="00245390">
        <w:rPr>
          <w:rFonts w:eastAsia="TimesNewRoman"/>
          <w:sz w:val="22"/>
          <w:szCs w:val="22"/>
          <w:lang w:val="sr-Latn-ME" w:eastAsia="sr-Latn-RS"/>
        </w:rPr>
        <w:t xml:space="preserve"> </w:t>
      </w:r>
      <w:r w:rsidR="00A07023">
        <w:rPr>
          <w:rFonts w:eastAsia="TimesNewRoman"/>
          <w:sz w:val="22"/>
          <w:szCs w:val="22"/>
          <w:lang w:val="sr-Latn-ME" w:eastAsia="sr-Latn-RS"/>
        </w:rPr>
        <w:t xml:space="preserve">Sojevi </w:t>
      </w:r>
      <w:r w:rsidR="001778B4">
        <w:rPr>
          <w:rFonts w:eastAsia="TimesNewRoman"/>
          <w:sz w:val="22"/>
          <w:szCs w:val="22"/>
          <w:lang w:val="sr-Latn-ME" w:eastAsia="sr-Latn-RS"/>
        </w:rPr>
        <w:t>koji su „os</w:t>
      </w:r>
      <w:r w:rsidR="006A6BA6">
        <w:rPr>
          <w:rFonts w:eastAsia="TimesNewRoman"/>
          <w:sz w:val="22"/>
          <w:szCs w:val="22"/>
          <w:lang w:val="sr-Latn-ME" w:eastAsia="sr-Latn-RS"/>
        </w:rPr>
        <w:t>j</w:t>
      </w:r>
      <w:r w:rsidR="001778B4">
        <w:rPr>
          <w:rFonts w:eastAsia="TimesNewRoman"/>
          <w:sz w:val="22"/>
          <w:szCs w:val="22"/>
          <w:lang w:val="sr-Latn-ME" w:eastAsia="sr-Latn-RS"/>
        </w:rPr>
        <w:t xml:space="preserve">etljivi uz povećanu izloženost“ na benzilpenicilin </w:t>
      </w:r>
      <w:r w:rsidR="00F815F3">
        <w:rPr>
          <w:rFonts w:eastAsia="TimesNewRoman"/>
          <w:sz w:val="22"/>
          <w:szCs w:val="22"/>
          <w:lang w:val="sr-Latn-ME" w:eastAsia="sr-Latn-RS"/>
        </w:rPr>
        <w:t>smatraju se os</w:t>
      </w:r>
      <w:r w:rsidR="006A6BA6">
        <w:rPr>
          <w:rFonts w:eastAsia="TimesNewRoman"/>
          <w:sz w:val="22"/>
          <w:szCs w:val="22"/>
          <w:lang w:val="sr-Latn-ME" w:eastAsia="sr-Latn-RS"/>
        </w:rPr>
        <w:t>j</w:t>
      </w:r>
      <w:r w:rsidR="00F815F3">
        <w:rPr>
          <w:rFonts w:eastAsia="TimesNewRoman"/>
          <w:sz w:val="22"/>
          <w:szCs w:val="22"/>
          <w:lang w:val="sr-Latn-ME" w:eastAsia="sr-Latn-RS"/>
        </w:rPr>
        <w:t>etljivim na meropenem. Sojev</w:t>
      </w:r>
      <w:r w:rsidR="00283AEC">
        <w:rPr>
          <w:rFonts w:eastAsia="TimesNewRoman"/>
          <w:sz w:val="22"/>
          <w:szCs w:val="22"/>
          <w:lang w:val="sr-Latn-ME" w:eastAsia="sr-Latn-RS"/>
        </w:rPr>
        <w:t>e</w:t>
      </w:r>
      <w:r w:rsidR="00F815F3">
        <w:rPr>
          <w:rFonts w:eastAsia="TimesNewRoman"/>
          <w:sz w:val="22"/>
          <w:szCs w:val="22"/>
          <w:lang w:val="sr-Latn-ME" w:eastAsia="sr-Latn-RS"/>
        </w:rPr>
        <w:t xml:space="preserve"> rezistentn</w:t>
      </w:r>
      <w:r w:rsidR="00283AEC">
        <w:rPr>
          <w:rFonts w:eastAsia="TimesNewRoman"/>
          <w:sz w:val="22"/>
          <w:szCs w:val="22"/>
          <w:lang w:val="sr-Latn-ME" w:eastAsia="sr-Latn-RS"/>
        </w:rPr>
        <w:t>e</w:t>
      </w:r>
      <w:r w:rsidR="00F815F3">
        <w:rPr>
          <w:rFonts w:eastAsia="TimesNewRoman"/>
          <w:sz w:val="22"/>
          <w:szCs w:val="22"/>
          <w:lang w:val="sr-Latn-ME" w:eastAsia="sr-Latn-RS"/>
        </w:rPr>
        <w:t xml:space="preserve"> na benzilpenicilin </w:t>
      </w:r>
      <w:r w:rsidR="00283AEC">
        <w:rPr>
          <w:rFonts w:eastAsia="TimesNewRoman"/>
          <w:sz w:val="22"/>
          <w:szCs w:val="22"/>
          <w:lang w:val="sr-Latn-ME" w:eastAsia="sr-Latn-RS"/>
        </w:rPr>
        <w:t xml:space="preserve">treba testirati </w:t>
      </w:r>
      <w:r w:rsidR="008B57AE">
        <w:rPr>
          <w:rFonts w:eastAsia="TimesNewRoman"/>
          <w:sz w:val="22"/>
          <w:szCs w:val="22"/>
          <w:lang w:val="sr-Latn-ME" w:eastAsia="sr-Latn-RS"/>
        </w:rPr>
        <w:t>na os</w:t>
      </w:r>
      <w:r w:rsidR="006A6BA6">
        <w:rPr>
          <w:rFonts w:eastAsia="TimesNewRoman"/>
          <w:sz w:val="22"/>
          <w:szCs w:val="22"/>
          <w:lang w:val="sr-Latn-ME" w:eastAsia="sr-Latn-RS"/>
        </w:rPr>
        <w:t>j</w:t>
      </w:r>
      <w:r w:rsidR="008B57AE">
        <w:rPr>
          <w:rFonts w:eastAsia="TimesNewRoman"/>
          <w:sz w:val="22"/>
          <w:szCs w:val="22"/>
          <w:lang w:val="sr-Latn-ME" w:eastAsia="sr-Latn-RS"/>
        </w:rPr>
        <w:t>etljivost na meropenem ili na</w:t>
      </w:r>
      <w:r w:rsidR="00066CA6">
        <w:rPr>
          <w:rFonts w:eastAsia="TimesNewRoman"/>
          <w:sz w:val="22"/>
          <w:szCs w:val="22"/>
          <w:lang w:val="sr-Latn-ME" w:eastAsia="sr-Latn-RS"/>
        </w:rPr>
        <w:t xml:space="preserve"> antimikrobni agens na koji je benzilpenicilin rezistentan.</w:t>
      </w:r>
    </w:p>
    <w:p w14:paraId="406B9256" w14:textId="77777777" w:rsidR="007D25C1" w:rsidRPr="00245390" w:rsidRDefault="007D25C1">
      <w:pPr>
        <w:autoSpaceDE w:val="0"/>
        <w:autoSpaceDN w:val="0"/>
        <w:adjustRightInd w:val="0"/>
        <w:jc w:val="both"/>
        <w:rPr>
          <w:rFonts w:eastAsia="TimesNewRoman"/>
          <w:sz w:val="22"/>
          <w:szCs w:val="22"/>
          <w:lang w:val="sr-Latn-ME" w:eastAsia="sr-Latn-RS"/>
        </w:rPr>
      </w:pPr>
    </w:p>
    <w:p w14:paraId="79D9B578"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vertAlign w:val="superscript"/>
          <w:lang w:val="sr-Latn-ME" w:eastAsia="sr-Latn-RS"/>
        </w:rPr>
        <w:t>3</w:t>
      </w:r>
      <w:r w:rsidRPr="00245390">
        <w:rPr>
          <w:rFonts w:eastAsia="TimesNewRoman"/>
          <w:sz w:val="22"/>
          <w:szCs w:val="22"/>
          <w:lang w:val="sr-Latn-ME" w:eastAsia="sr-Latn-RS"/>
        </w:rPr>
        <w:t xml:space="preserve"> Osjetljivost stafilokoka na karbapeneme zaključuje se na osnovu osjetljivosti na cefoksitin.</w:t>
      </w:r>
    </w:p>
    <w:p w14:paraId="3013C0B2" w14:textId="77777777" w:rsidR="007D25C1" w:rsidRPr="00245390" w:rsidRDefault="007D25C1">
      <w:pPr>
        <w:autoSpaceDE w:val="0"/>
        <w:autoSpaceDN w:val="0"/>
        <w:adjustRightInd w:val="0"/>
        <w:jc w:val="both"/>
        <w:rPr>
          <w:rFonts w:eastAsia="TimesNewRoman"/>
          <w:sz w:val="22"/>
          <w:szCs w:val="22"/>
          <w:lang w:val="sr-Latn-ME" w:eastAsia="sr-Latn-RS"/>
        </w:rPr>
      </w:pPr>
    </w:p>
    <w:p w14:paraId="00D42923" w14:textId="5954CB1F"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sz w:val="22"/>
          <w:szCs w:val="22"/>
          <w:vertAlign w:val="superscript"/>
          <w:lang w:val="sr-Latn-ME" w:eastAsia="sr-Latn-RS"/>
        </w:rPr>
        <w:t>4</w:t>
      </w:r>
      <w:r w:rsidRPr="00245390">
        <w:rPr>
          <w:rFonts w:eastAsia="TimesNewRoman"/>
          <w:sz w:val="22"/>
          <w:szCs w:val="22"/>
          <w:lang w:val="sr-Latn-ME" w:eastAsia="sr-Latn-RS"/>
        </w:rPr>
        <w:t xml:space="preserve"> </w:t>
      </w:r>
      <w:r w:rsidR="003D76D4" w:rsidRPr="00E23206">
        <w:rPr>
          <w:rFonts w:eastAsia="TimesNewRoman"/>
          <w:sz w:val="22"/>
          <w:szCs w:val="22"/>
          <w:lang w:val="sr-Latn-ME" w:eastAsia="sr-Latn-RS"/>
        </w:rPr>
        <w:t>Os</w:t>
      </w:r>
      <w:r w:rsidR="006A6BA6">
        <w:rPr>
          <w:rFonts w:eastAsia="TimesNewRoman"/>
          <w:sz w:val="22"/>
          <w:szCs w:val="22"/>
          <w:lang w:val="sr-Latn-ME" w:eastAsia="sr-Latn-RS"/>
        </w:rPr>
        <w:t>j</w:t>
      </w:r>
      <w:r w:rsidR="003D76D4" w:rsidRPr="00E23206">
        <w:rPr>
          <w:rFonts w:eastAsia="TimesNewRoman"/>
          <w:sz w:val="22"/>
          <w:szCs w:val="22"/>
          <w:lang w:val="sr-Latn-ME" w:eastAsia="sr-Latn-RS"/>
        </w:rPr>
        <w:t>etljivost streptokoka</w:t>
      </w:r>
      <w:r w:rsidR="002152B6">
        <w:rPr>
          <w:rFonts w:eastAsia="TimesNewRoman"/>
          <w:sz w:val="22"/>
          <w:szCs w:val="22"/>
          <w:lang w:val="sr-Latn-ME" w:eastAsia="sr-Latn-RS"/>
        </w:rPr>
        <w:t xml:space="preserve"> grupa A, B, C i G na karbapeneme </w:t>
      </w:r>
      <w:r w:rsidR="0035770B">
        <w:rPr>
          <w:rFonts w:eastAsia="TimesNewRoman"/>
          <w:sz w:val="22"/>
          <w:szCs w:val="22"/>
          <w:lang w:val="sr-Latn-ME" w:eastAsia="sr-Latn-RS"/>
        </w:rPr>
        <w:t>zaključena je na osnovu os</w:t>
      </w:r>
      <w:r w:rsidR="006A6BA6">
        <w:rPr>
          <w:rFonts w:eastAsia="TimesNewRoman"/>
          <w:sz w:val="22"/>
          <w:szCs w:val="22"/>
          <w:lang w:val="sr-Latn-ME" w:eastAsia="sr-Latn-RS"/>
        </w:rPr>
        <w:t>j</w:t>
      </w:r>
      <w:r w:rsidR="0035770B">
        <w:rPr>
          <w:rFonts w:eastAsia="TimesNewRoman"/>
          <w:sz w:val="22"/>
          <w:szCs w:val="22"/>
          <w:lang w:val="sr-Latn-ME" w:eastAsia="sr-Latn-RS"/>
        </w:rPr>
        <w:t>etljivosti na benzilpenicilin.</w:t>
      </w:r>
      <w:r w:rsidR="003D76D4" w:rsidRPr="00E23206">
        <w:rPr>
          <w:rFonts w:eastAsia="TimesNewRoman"/>
          <w:sz w:val="22"/>
          <w:szCs w:val="22"/>
          <w:lang w:val="sr-Latn-ME" w:eastAsia="sr-Latn-RS"/>
        </w:rPr>
        <w:t xml:space="preserve"> </w:t>
      </w:r>
    </w:p>
    <w:p w14:paraId="600802CA" w14:textId="77777777" w:rsidR="007D25C1" w:rsidRPr="00245390" w:rsidRDefault="007D25C1">
      <w:pPr>
        <w:autoSpaceDE w:val="0"/>
        <w:autoSpaceDN w:val="0"/>
        <w:adjustRightInd w:val="0"/>
        <w:jc w:val="both"/>
        <w:rPr>
          <w:rFonts w:eastAsia="TimesNewRoman"/>
          <w:sz w:val="22"/>
          <w:szCs w:val="22"/>
          <w:lang w:val="sr-Latn-ME" w:eastAsia="sr-Latn-RS"/>
        </w:rPr>
      </w:pPr>
    </w:p>
    <w:p w14:paraId="2E5FE6DC" w14:textId="75992599"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Prevalenca stečene rezistencije može da varira geografski i vremenski</w:t>
      </w:r>
      <w:r w:rsidR="00177D45" w:rsidRPr="00245390">
        <w:rPr>
          <w:rFonts w:eastAsia="TimesNewRoman"/>
          <w:sz w:val="22"/>
          <w:szCs w:val="22"/>
          <w:lang w:val="sr-Latn-ME" w:eastAsia="sr-Latn-RS"/>
        </w:rPr>
        <w:t xml:space="preserve"> </w:t>
      </w:r>
      <w:r w:rsidR="00177D45" w:rsidRPr="00245390">
        <w:rPr>
          <w:sz w:val="22"/>
          <w:szCs w:val="22"/>
          <w:lang w:val="sr-Latn-ME"/>
        </w:rPr>
        <w:t>za određene sojeve</w:t>
      </w:r>
      <w:r w:rsidRPr="00245390">
        <w:rPr>
          <w:rFonts w:eastAsia="TimesNewRoman"/>
          <w:sz w:val="22"/>
          <w:szCs w:val="22"/>
          <w:lang w:val="sr-Latn-ME" w:eastAsia="sr-Latn-RS"/>
        </w:rPr>
        <w:t>, pa su poželjne, naročito kod teških infekcija, lokalne informacije o rezistentnosti za izolovane vrste. Ako je neophodno, može se tražiti mišljenje stručnjaka kad je lokalna prevalenca rezistencije takva da je korist od terapije lijekom kod nekih tipova infekcije sporna.</w:t>
      </w:r>
    </w:p>
    <w:p w14:paraId="302859D8" w14:textId="77777777" w:rsidR="007D25C1" w:rsidRPr="00245390" w:rsidRDefault="007D25C1">
      <w:pPr>
        <w:autoSpaceDE w:val="0"/>
        <w:autoSpaceDN w:val="0"/>
        <w:adjustRightInd w:val="0"/>
        <w:jc w:val="both"/>
        <w:rPr>
          <w:rFonts w:eastAsia="TimesNewRoman"/>
          <w:sz w:val="22"/>
          <w:szCs w:val="22"/>
          <w:lang w:val="sr-Latn-ME" w:eastAsia="sr-Latn-RS"/>
        </w:rPr>
      </w:pPr>
    </w:p>
    <w:p w14:paraId="170B77BB" w14:textId="77777777" w:rsidR="007D25C1" w:rsidRPr="00245390" w:rsidRDefault="007D25C1">
      <w:pPr>
        <w:tabs>
          <w:tab w:val="left" w:pos="540"/>
          <w:tab w:val="left" w:pos="569"/>
        </w:tabs>
        <w:jc w:val="both"/>
        <w:rPr>
          <w:rFonts w:eastAsia="TimesNewRoman"/>
          <w:sz w:val="22"/>
          <w:szCs w:val="22"/>
          <w:lang w:val="sr-Latn-ME" w:eastAsia="sr-Latn-RS"/>
        </w:rPr>
      </w:pPr>
      <w:r w:rsidRPr="00245390">
        <w:rPr>
          <w:rFonts w:eastAsia="TimesNewRoman"/>
          <w:sz w:val="22"/>
          <w:szCs w:val="22"/>
          <w:lang w:val="sr-Latn-ME" w:eastAsia="sr-Latn-RS"/>
        </w:rPr>
        <w:t>Na osnovu kliničkog iskustva i terapijskih vodiča napravljena je sljedeća lista patogena:</w:t>
      </w:r>
    </w:p>
    <w:p w14:paraId="2DFD069E" w14:textId="77777777" w:rsidR="007D25C1" w:rsidRPr="00245390" w:rsidRDefault="007D25C1">
      <w:pPr>
        <w:tabs>
          <w:tab w:val="left" w:pos="540"/>
          <w:tab w:val="left" w:pos="569"/>
        </w:tabs>
        <w:jc w:val="both"/>
        <w:rPr>
          <w:rFonts w:eastAsia="TimesNewRoman"/>
          <w:sz w:val="22"/>
          <w:szCs w:val="22"/>
          <w:lang w:val="sr-Latn-ME" w:eastAsia="sr-Latn-RS"/>
        </w:rPr>
      </w:pPr>
    </w:p>
    <w:p w14:paraId="5EF3B263" w14:textId="38C62606" w:rsidR="007D25C1" w:rsidRPr="00245390" w:rsidRDefault="007D25C1">
      <w:pPr>
        <w:autoSpaceDE w:val="0"/>
        <w:autoSpaceDN w:val="0"/>
        <w:adjustRightInd w:val="0"/>
        <w:jc w:val="both"/>
        <w:rPr>
          <w:b/>
          <w:bCs/>
          <w:sz w:val="22"/>
          <w:szCs w:val="22"/>
          <w:lang w:val="sr-Latn-ME" w:eastAsia="sr-Latn-RS"/>
        </w:rPr>
      </w:pPr>
      <w:r w:rsidRPr="00245390">
        <w:rPr>
          <w:b/>
          <w:bCs/>
          <w:sz w:val="22"/>
          <w:szCs w:val="22"/>
          <w:lang w:val="sr-Latn-ME" w:eastAsia="sr-Latn-RS"/>
        </w:rPr>
        <w:t>Uobičajeno os</w:t>
      </w:r>
      <w:r w:rsidR="005E7218" w:rsidRPr="00245390">
        <w:rPr>
          <w:b/>
          <w:bCs/>
          <w:sz w:val="22"/>
          <w:szCs w:val="22"/>
          <w:lang w:val="sr-Latn-ME" w:eastAsia="sr-Latn-RS"/>
        </w:rPr>
        <w:t>j</w:t>
      </w:r>
      <w:r w:rsidRPr="00245390">
        <w:rPr>
          <w:b/>
          <w:bCs/>
          <w:sz w:val="22"/>
          <w:szCs w:val="22"/>
          <w:lang w:val="sr-Latn-ME" w:eastAsia="sr-Latn-RS"/>
        </w:rPr>
        <w:t>etljivi sojevi</w:t>
      </w:r>
    </w:p>
    <w:p w14:paraId="460F7BBF" w14:textId="77777777" w:rsidR="007D25C1" w:rsidRPr="00245390" w:rsidRDefault="007D25C1">
      <w:pPr>
        <w:autoSpaceDE w:val="0"/>
        <w:autoSpaceDN w:val="0"/>
        <w:adjustRightInd w:val="0"/>
        <w:jc w:val="both"/>
        <w:rPr>
          <w:b/>
          <w:bCs/>
          <w:sz w:val="22"/>
          <w:szCs w:val="22"/>
          <w:lang w:val="sr-Latn-ME" w:eastAsia="sr-Latn-RS"/>
        </w:rPr>
      </w:pPr>
    </w:p>
    <w:p w14:paraId="5B0B2AEC"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Gram-pozitivne aerobne bakterije</w:t>
      </w:r>
    </w:p>
    <w:p w14:paraId="567A8616" w14:textId="37D74AE6"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Enterococcus faecalis</w:t>
      </w:r>
      <w:r w:rsidR="00C77082" w:rsidRPr="00245390">
        <w:rPr>
          <w:i/>
          <w:iCs/>
          <w:sz w:val="22"/>
          <w:szCs w:val="22"/>
          <w:vertAlign w:val="superscript"/>
          <w:lang w:val="sr-Latn-ME" w:eastAsia="sr-Latn-RS"/>
        </w:rPr>
        <w:t>a</w:t>
      </w:r>
    </w:p>
    <w:p w14:paraId="3576D87A" w14:textId="59613C89"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Staphylococcus aureus </w:t>
      </w:r>
      <w:r w:rsidRPr="00245390">
        <w:rPr>
          <w:rFonts w:eastAsia="TimesNewRoman"/>
          <w:sz w:val="22"/>
          <w:szCs w:val="22"/>
          <w:lang w:val="sr-Latn-ME" w:eastAsia="sr-Latn-RS"/>
        </w:rPr>
        <w:t>(osjetljive na meticilin)</w:t>
      </w:r>
      <w:r w:rsidRPr="00245390">
        <w:rPr>
          <w:rFonts w:eastAsia="TimesNewRoman"/>
          <w:sz w:val="22"/>
          <w:szCs w:val="22"/>
          <w:vertAlign w:val="superscript"/>
          <w:lang w:val="sr-Latn-ME" w:eastAsia="sr-Latn-RS"/>
        </w:rPr>
        <w:t>b</w:t>
      </w:r>
    </w:p>
    <w:p w14:paraId="2B5B9C09" w14:textId="025C2B9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 xml:space="preserve">Staphylococcus </w:t>
      </w:r>
      <w:r w:rsidRPr="00245390">
        <w:rPr>
          <w:rFonts w:eastAsia="TimesNewRoman"/>
          <w:sz w:val="22"/>
          <w:szCs w:val="22"/>
          <w:lang w:val="sr-Latn-ME" w:eastAsia="sr-Latn-RS"/>
        </w:rPr>
        <w:t xml:space="preserve">species (osjetljive na meticillin) uključujući </w:t>
      </w:r>
      <w:r w:rsidRPr="00245390">
        <w:rPr>
          <w:i/>
          <w:iCs/>
          <w:sz w:val="22"/>
          <w:szCs w:val="22"/>
          <w:lang w:val="sr-Latn-ME" w:eastAsia="sr-Latn-RS"/>
        </w:rPr>
        <w:t>Staphylococcus epidermidis</w:t>
      </w:r>
    </w:p>
    <w:p w14:paraId="747DC55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Streptococcus agalactiae </w:t>
      </w:r>
      <w:r w:rsidRPr="00245390">
        <w:rPr>
          <w:rFonts w:eastAsia="TimesNewRoman"/>
          <w:sz w:val="22"/>
          <w:szCs w:val="22"/>
          <w:lang w:val="sr-Latn-ME" w:eastAsia="sr-Latn-RS"/>
        </w:rPr>
        <w:t>(grupa B)</w:t>
      </w:r>
    </w:p>
    <w:p w14:paraId="18083356"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Streptococcus milleri </w:t>
      </w:r>
      <w:r w:rsidRPr="00245390">
        <w:rPr>
          <w:rFonts w:eastAsia="TimesNewRoman"/>
          <w:sz w:val="22"/>
          <w:szCs w:val="22"/>
          <w:lang w:val="sr-Latn-ME" w:eastAsia="sr-Latn-RS"/>
        </w:rPr>
        <w:t>grupa (</w:t>
      </w:r>
      <w:r w:rsidRPr="00245390">
        <w:rPr>
          <w:i/>
          <w:iCs/>
          <w:sz w:val="22"/>
          <w:szCs w:val="22"/>
          <w:lang w:val="sr-Latn-ME" w:eastAsia="sr-Latn-RS"/>
        </w:rPr>
        <w:t>S. anginosus, S. constellatus, i S. intermedius</w:t>
      </w:r>
      <w:r w:rsidRPr="00245390">
        <w:rPr>
          <w:rFonts w:eastAsia="TimesNewRoman"/>
          <w:sz w:val="22"/>
          <w:szCs w:val="22"/>
          <w:lang w:val="sr-Latn-ME" w:eastAsia="sr-Latn-RS"/>
        </w:rPr>
        <w:t>)</w:t>
      </w:r>
    </w:p>
    <w:p w14:paraId="0DA61BA0"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Streptococcus pneumoniae</w:t>
      </w:r>
    </w:p>
    <w:p w14:paraId="387E7123"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Streptococcus pyogenes </w:t>
      </w:r>
      <w:r w:rsidRPr="00245390">
        <w:rPr>
          <w:rFonts w:eastAsia="TimesNewRoman"/>
          <w:sz w:val="22"/>
          <w:szCs w:val="22"/>
          <w:lang w:val="sr-Latn-ME" w:eastAsia="sr-Latn-RS"/>
        </w:rPr>
        <w:t>(grupa A)</w:t>
      </w:r>
    </w:p>
    <w:p w14:paraId="65C72567" w14:textId="77777777" w:rsidR="007D25C1" w:rsidRPr="00245390" w:rsidRDefault="007D25C1">
      <w:pPr>
        <w:autoSpaceDE w:val="0"/>
        <w:autoSpaceDN w:val="0"/>
        <w:adjustRightInd w:val="0"/>
        <w:jc w:val="both"/>
        <w:rPr>
          <w:rFonts w:eastAsia="TimesNewRoman"/>
          <w:sz w:val="22"/>
          <w:szCs w:val="22"/>
          <w:lang w:val="sr-Latn-ME" w:eastAsia="sr-Latn-RS"/>
        </w:rPr>
      </w:pPr>
    </w:p>
    <w:p w14:paraId="23F2CA85"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Gram-negativne aerobne bakterije</w:t>
      </w:r>
    </w:p>
    <w:p w14:paraId="34500B96" w14:textId="44BBDB23"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lastRenderedPageBreak/>
        <w:t>Citrobacter freu</w:t>
      </w:r>
      <w:r w:rsidR="00177D45" w:rsidRPr="00245390">
        <w:rPr>
          <w:i/>
          <w:iCs/>
          <w:sz w:val="22"/>
          <w:szCs w:val="22"/>
          <w:lang w:val="sr-Latn-ME" w:eastAsia="sr-Latn-RS"/>
        </w:rPr>
        <w:t>n</w:t>
      </w:r>
      <w:r w:rsidRPr="00245390">
        <w:rPr>
          <w:i/>
          <w:iCs/>
          <w:sz w:val="22"/>
          <w:szCs w:val="22"/>
          <w:lang w:val="sr-Latn-ME" w:eastAsia="sr-Latn-RS"/>
        </w:rPr>
        <w:t>dii</w:t>
      </w:r>
    </w:p>
    <w:p w14:paraId="7DD946F7"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Citrobacter koseri</w:t>
      </w:r>
    </w:p>
    <w:p w14:paraId="13846AE4"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Enterobacter aerogenes</w:t>
      </w:r>
    </w:p>
    <w:p w14:paraId="5A057BBA"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Enterobacter cloacae</w:t>
      </w:r>
    </w:p>
    <w:p w14:paraId="1F6872AD"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Escherichia coli</w:t>
      </w:r>
    </w:p>
    <w:p w14:paraId="0504241A"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Haemophilus influenzae</w:t>
      </w:r>
    </w:p>
    <w:p w14:paraId="0AE9B757"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Klebsiella oxytoca</w:t>
      </w:r>
    </w:p>
    <w:p w14:paraId="432B396E" w14:textId="77777777" w:rsidR="007D25C1" w:rsidRPr="00245390" w:rsidRDefault="007D25C1">
      <w:pPr>
        <w:tabs>
          <w:tab w:val="left" w:pos="540"/>
          <w:tab w:val="left" w:pos="569"/>
        </w:tabs>
        <w:jc w:val="both"/>
        <w:rPr>
          <w:i/>
          <w:iCs/>
          <w:sz w:val="22"/>
          <w:szCs w:val="22"/>
          <w:lang w:val="sr-Latn-ME" w:eastAsia="sr-Latn-RS"/>
        </w:rPr>
      </w:pPr>
      <w:r w:rsidRPr="00245390">
        <w:rPr>
          <w:i/>
          <w:iCs/>
          <w:sz w:val="22"/>
          <w:szCs w:val="22"/>
          <w:lang w:val="sr-Latn-ME" w:eastAsia="sr-Latn-RS"/>
        </w:rPr>
        <w:t>Klebsiella pneumoniae</w:t>
      </w:r>
    </w:p>
    <w:p w14:paraId="6C470CF8"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Morganella morganii</w:t>
      </w:r>
    </w:p>
    <w:p w14:paraId="7CC98864"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Neisseria meningitidis</w:t>
      </w:r>
    </w:p>
    <w:p w14:paraId="5A825FBC"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Proteus mirabilis</w:t>
      </w:r>
    </w:p>
    <w:p w14:paraId="569F8F6E"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Proteus vulgaris</w:t>
      </w:r>
    </w:p>
    <w:p w14:paraId="424E4A86" w14:textId="77777777" w:rsidR="007D25C1" w:rsidRPr="00245390" w:rsidRDefault="007D25C1">
      <w:pPr>
        <w:tabs>
          <w:tab w:val="left" w:pos="540"/>
          <w:tab w:val="left" w:pos="569"/>
        </w:tabs>
        <w:jc w:val="both"/>
        <w:rPr>
          <w:bCs/>
          <w:sz w:val="22"/>
          <w:szCs w:val="22"/>
          <w:lang w:val="sr-Latn-ME"/>
        </w:rPr>
      </w:pPr>
      <w:r w:rsidRPr="00245390">
        <w:rPr>
          <w:i/>
          <w:iCs/>
          <w:sz w:val="22"/>
          <w:szCs w:val="22"/>
          <w:lang w:val="sr-Latn-ME" w:eastAsia="sr-Latn-RS"/>
        </w:rPr>
        <w:t>Serratia marcescens</w:t>
      </w:r>
    </w:p>
    <w:p w14:paraId="508DCF2B" w14:textId="77777777" w:rsidR="007D25C1" w:rsidRPr="00245390" w:rsidRDefault="007D25C1">
      <w:pPr>
        <w:tabs>
          <w:tab w:val="left" w:pos="540"/>
          <w:tab w:val="left" w:pos="569"/>
        </w:tabs>
        <w:jc w:val="both"/>
        <w:rPr>
          <w:b/>
          <w:bCs/>
          <w:sz w:val="22"/>
          <w:szCs w:val="22"/>
          <w:lang w:val="sr-Latn-ME"/>
        </w:rPr>
      </w:pPr>
    </w:p>
    <w:p w14:paraId="6B519250"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Gram-pozitivne anaerobne bakterije</w:t>
      </w:r>
    </w:p>
    <w:p w14:paraId="33670445"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Clostridium perfringens</w:t>
      </w:r>
    </w:p>
    <w:p w14:paraId="121B92A0"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Peptoniphilus asaccharolyticus</w:t>
      </w:r>
    </w:p>
    <w:p w14:paraId="46D4C982"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i/>
          <w:iCs/>
          <w:sz w:val="22"/>
          <w:szCs w:val="22"/>
          <w:lang w:val="sr-Latn-ME" w:eastAsia="sr-Latn-RS"/>
        </w:rPr>
        <w:t xml:space="preserve">Peptostreptococcus </w:t>
      </w:r>
      <w:r w:rsidRPr="00245390">
        <w:rPr>
          <w:rFonts w:eastAsia="TimesNewRoman"/>
          <w:sz w:val="22"/>
          <w:szCs w:val="22"/>
          <w:lang w:val="sr-Latn-ME" w:eastAsia="sr-Latn-RS"/>
        </w:rPr>
        <w:t xml:space="preserve">species (uključujući </w:t>
      </w:r>
      <w:r w:rsidRPr="00245390">
        <w:rPr>
          <w:rFonts w:eastAsia="TimesNewRoman"/>
          <w:i/>
          <w:iCs/>
          <w:sz w:val="22"/>
          <w:szCs w:val="22"/>
          <w:lang w:val="sr-Latn-ME" w:eastAsia="sr-Latn-RS"/>
        </w:rPr>
        <w:t>P. micros, P. anaerobius, P. magnus</w:t>
      </w:r>
      <w:r w:rsidRPr="00245390">
        <w:rPr>
          <w:rFonts w:eastAsia="TimesNewRoman"/>
          <w:sz w:val="22"/>
          <w:szCs w:val="22"/>
          <w:lang w:val="sr-Latn-ME" w:eastAsia="sr-Latn-RS"/>
        </w:rPr>
        <w:t>)</w:t>
      </w:r>
    </w:p>
    <w:p w14:paraId="6C4361B5" w14:textId="77777777" w:rsidR="007D25C1" w:rsidRPr="00245390" w:rsidRDefault="007D25C1">
      <w:pPr>
        <w:autoSpaceDE w:val="0"/>
        <w:autoSpaceDN w:val="0"/>
        <w:adjustRightInd w:val="0"/>
        <w:jc w:val="both"/>
        <w:rPr>
          <w:rFonts w:eastAsia="TimesNewRoman"/>
          <w:sz w:val="22"/>
          <w:szCs w:val="22"/>
          <w:lang w:val="sr-Latn-ME" w:eastAsia="sr-Latn-RS"/>
        </w:rPr>
      </w:pPr>
    </w:p>
    <w:p w14:paraId="700842A7"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Gram-negativne anaerobne bakterije</w:t>
      </w:r>
    </w:p>
    <w:p w14:paraId="07F20213"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Bacteroides caccae</w:t>
      </w:r>
    </w:p>
    <w:p w14:paraId="6A463AB0"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i/>
          <w:iCs/>
          <w:sz w:val="22"/>
          <w:szCs w:val="22"/>
          <w:lang w:val="sr-Latn-ME" w:eastAsia="sr-Latn-RS"/>
        </w:rPr>
        <w:t xml:space="preserve">Bacteroides fragilis </w:t>
      </w:r>
      <w:r w:rsidRPr="00245390">
        <w:rPr>
          <w:rFonts w:eastAsia="TimesNewRoman"/>
          <w:sz w:val="22"/>
          <w:szCs w:val="22"/>
          <w:lang w:val="sr-Latn-ME" w:eastAsia="sr-Latn-RS"/>
        </w:rPr>
        <w:t>grupa</w:t>
      </w:r>
    </w:p>
    <w:p w14:paraId="23465D16"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Prevotella bivia</w:t>
      </w:r>
    </w:p>
    <w:p w14:paraId="5D6DE517" w14:textId="77777777" w:rsidR="007D25C1" w:rsidRPr="00EE5F09" w:rsidRDefault="007D25C1">
      <w:pPr>
        <w:tabs>
          <w:tab w:val="left" w:pos="540"/>
          <w:tab w:val="left" w:pos="569"/>
        </w:tabs>
        <w:jc w:val="both"/>
        <w:rPr>
          <w:rFonts w:eastAsia="TimesNewRoman"/>
          <w:i/>
          <w:iCs/>
          <w:sz w:val="22"/>
          <w:szCs w:val="22"/>
          <w:lang w:val="sr-Latn-ME" w:eastAsia="sr-Latn-RS"/>
        </w:rPr>
      </w:pPr>
      <w:r w:rsidRPr="00245390">
        <w:rPr>
          <w:rFonts w:eastAsia="TimesNewRoman"/>
          <w:i/>
          <w:iCs/>
          <w:sz w:val="22"/>
          <w:szCs w:val="22"/>
          <w:lang w:val="sr-Latn-ME" w:eastAsia="sr-Latn-RS"/>
        </w:rPr>
        <w:t>Prevotella disiens</w:t>
      </w:r>
    </w:p>
    <w:p w14:paraId="5BFA83DD" w14:textId="77777777" w:rsidR="007D25C1" w:rsidRPr="00EE5F09" w:rsidRDefault="007D25C1">
      <w:pPr>
        <w:tabs>
          <w:tab w:val="left" w:pos="540"/>
          <w:tab w:val="left" w:pos="569"/>
        </w:tabs>
        <w:jc w:val="both"/>
        <w:rPr>
          <w:rFonts w:eastAsia="TimesNewRoman"/>
          <w:i/>
          <w:iCs/>
          <w:sz w:val="22"/>
          <w:szCs w:val="22"/>
          <w:lang w:val="sr-Latn-ME" w:eastAsia="sr-Latn-RS"/>
        </w:rPr>
      </w:pPr>
    </w:p>
    <w:p w14:paraId="34A18D54" w14:textId="2500EED6" w:rsidR="007D25C1" w:rsidRPr="00245390" w:rsidRDefault="007D25C1">
      <w:pPr>
        <w:autoSpaceDE w:val="0"/>
        <w:autoSpaceDN w:val="0"/>
        <w:adjustRightInd w:val="0"/>
        <w:jc w:val="both"/>
        <w:rPr>
          <w:b/>
          <w:bCs/>
          <w:sz w:val="22"/>
          <w:szCs w:val="22"/>
          <w:lang w:val="sr-Latn-ME" w:eastAsia="sr-Latn-RS"/>
        </w:rPr>
      </w:pPr>
      <w:r w:rsidRPr="00245390">
        <w:rPr>
          <w:b/>
          <w:bCs/>
          <w:sz w:val="22"/>
          <w:szCs w:val="22"/>
          <w:lang w:val="sr-Latn-ME" w:eastAsia="sr-Latn-RS"/>
        </w:rPr>
        <w:t>Sojevi kod kojih stečena rezistencija može predstavljati problem</w:t>
      </w:r>
    </w:p>
    <w:p w14:paraId="34B79367"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Gram-pozitivne aerobne bakterije</w:t>
      </w:r>
    </w:p>
    <w:p w14:paraId="019E9FA1" w14:textId="2FD75D50"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Enterococcus faecium</w:t>
      </w:r>
      <w:r w:rsidRPr="00245390">
        <w:rPr>
          <w:rFonts w:eastAsia="TimesNewRoman"/>
          <w:sz w:val="22"/>
          <w:szCs w:val="22"/>
          <w:vertAlign w:val="superscript"/>
          <w:lang w:val="sr-Latn-ME" w:eastAsia="sr-Latn-RS"/>
        </w:rPr>
        <w:t>a,c</w:t>
      </w:r>
    </w:p>
    <w:p w14:paraId="3D5E825C" w14:textId="77777777" w:rsidR="007D25C1" w:rsidRPr="00245390" w:rsidRDefault="007D25C1">
      <w:pPr>
        <w:autoSpaceDE w:val="0"/>
        <w:autoSpaceDN w:val="0"/>
        <w:adjustRightInd w:val="0"/>
        <w:jc w:val="both"/>
        <w:rPr>
          <w:rFonts w:eastAsia="TimesNewRoman"/>
          <w:sz w:val="22"/>
          <w:szCs w:val="22"/>
          <w:lang w:val="sr-Latn-ME" w:eastAsia="sr-Latn-RS"/>
        </w:rPr>
      </w:pPr>
    </w:p>
    <w:p w14:paraId="6DBBD6F7"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Gram-negativne aerobne bakterije</w:t>
      </w:r>
    </w:p>
    <w:p w14:paraId="5A32BB56"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Acinetobacter </w:t>
      </w:r>
      <w:r w:rsidRPr="00245390">
        <w:rPr>
          <w:rFonts w:eastAsia="TimesNewRoman"/>
          <w:sz w:val="22"/>
          <w:szCs w:val="22"/>
          <w:lang w:val="sr-Latn-ME" w:eastAsia="sr-Latn-RS"/>
        </w:rPr>
        <w:t>species</w:t>
      </w:r>
    </w:p>
    <w:p w14:paraId="6749CAF3"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Burkholderia cepacia</w:t>
      </w:r>
    </w:p>
    <w:p w14:paraId="14FBBE05"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Pseudomonas aeruginosa</w:t>
      </w:r>
    </w:p>
    <w:p w14:paraId="18B59551" w14:textId="77777777" w:rsidR="007D25C1" w:rsidRPr="00245390" w:rsidRDefault="007D25C1">
      <w:pPr>
        <w:autoSpaceDE w:val="0"/>
        <w:autoSpaceDN w:val="0"/>
        <w:adjustRightInd w:val="0"/>
        <w:jc w:val="both"/>
        <w:rPr>
          <w:i/>
          <w:iCs/>
          <w:sz w:val="22"/>
          <w:szCs w:val="22"/>
          <w:lang w:val="sr-Latn-ME" w:eastAsia="sr-Latn-RS"/>
        </w:rPr>
      </w:pPr>
    </w:p>
    <w:p w14:paraId="092E138E" w14:textId="77777777" w:rsidR="007D25C1" w:rsidRPr="00245390" w:rsidRDefault="007D25C1">
      <w:pPr>
        <w:autoSpaceDE w:val="0"/>
        <w:autoSpaceDN w:val="0"/>
        <w:adjustRightInd w:val="0"/>
        <w:jc w:val="both"/>
        <w:rPr>
          <w:b/>
          <w:bCs/>
          <w:sz w:val="22"/>
          <w:szCs w:val="22"/>
          <w:lang w:val="sr-Latn-ME" w:eastAsia="sr-Latn-RS"/>
        </w:rPr>
      </w:pPr>
      <w:r w:rsidRPr="00245390">
        <w:rPr>
          <w:b/>
          <w:bCs/>
          <w:sz w:val="22"/>
          <w:szCs w:val="22"/>
          <w:lang w:val="sr-Latn-ME" w:eastAsia="sr-Latn-RS"/>
        </w:rPr>
        <w:t>Prirodno rezistentni mikroorganizmi</w:t>
      </w:r>
    </w:p>
    <w:p w14:paraId="47B0DADE" w14:textId="77777777" w:rsidR="007D25C1" w:rsidRPr="00245390" w:rsidRDefault="007D25C1">
      <w:pPr>
        <w:autoSpaceDE w:val="0"/>
        <w:autoSpaceDN w:val="0"/>
        <w:adjustRightInd w:val="0"/>
        <w:jc w:val="both"/>
        <w:rPr>
          <w:rFonts w:eastAsia="TimesNewRoman"/>
          <w:sz w:val="22"/>
          <w:szCs w:val="22"/>
          <w:u w:val="single"/>
          <w:lang w:val="sr-Latn-ME" w:eastAsia="sr-Latn-RS"/>
        </w:rPr>
      </w:pPr>
      <w:r w:rsidRPr="00245390">
        <w:rPr>
          <w:rFonts w:eastAsia="TimesNewRoman"/>
          <w:sz w:val="22"/>
          <w:szCs w:val="22"/>
          <w:u w:val="single"/>
          <w:lang w:val="sr-Latn-ME" w:eastAsia="sr-Latn-RS"/>
        </w:rPr>
        <w:t>Gram-negativne aerobne bakterije</w:t>
      </w:r>
    </w:p>
    <w:p w14:paraId="66C95DE6"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Stentrophomonas maltophilia</w:t>
      </w:r>
    </w:p>
    <w:p w14:paraId="562425EE"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i/>
          <w:iCs/>
          <w:sz w:val="22"/>
          <w:szCs w:val="22"/>
          <w:lang w:val="sr-Latn-ME" w:eastAsia="sr-Latn-RS"/>
        </w:rPr>
        <w:t xml:space="preserve">Legionella </w:t>
      </w:r>
      <w:r w:rsidRPr="00245390">
        <w:rPr>
          <w:rFonts w:eastAsia="TimesNewRoman"/>
          <w:sz w:val="22"/>
          <w:szCs w:val="22"/>
          <w:lang w:val="sr-Latn-ME" w:eastAsia="sr-Latn-RS"/>
        </w:rPr>
        <w:t>vrste</w:t>
      </w:r>
    </w:p>
    <w:p w14:paraId="43D01272" w14:textId="77777777" w:rsidR="007D25C1" w:rsidRPr="00245390" w:rsidRDefault="007D25C1">
      <w:pPr>
        <w:autoSpaceDE w:val="0"/>
        <w:autoSpaceDN w:val="0"/>
        <w:adjustRightInd w:val="0"/>
        <w:jc w:val="both"/>
        <w:rPr>
          <w:rFonts w:eastAsia="TimesNewRoman"/>
          <w:sz w:val="22"/>
          <w:szCs w:val="22"/>
          <w:lang w:val="sr-Latn-ME" w:eastAsia="sr-Latn-RS"/>
        </w:rPr>
      </w:pPr>
    </w:p>
    <w:p w14:paraId="20608A57" w14:textId="77777777" w:rsidR="007D25C1" w:rsidRPr="00245390" w:rsidRDefault="007D25C1">
      <w:pPr>
        <w:autoSpaceDE w:val="0"/>
        <w:autoSpaceDN w:val="0"/>
        <w:adjustRightInd w:val="0"/>
        <w:jc w:val="both"/>
        <w:rPr>
          <w:b/>
          <w:bCs/>
          <w:sz w:val="22"/>
          <w:szCs w:val="22"/>
          <w:lang w:val="sr-Latn-ME" w:eastAsia="sr-Latn-RS"/>
        </w:rPr>
      </w:pPr>
      <w:r w:rsidRPr="00245390">
        <w:rPr>
          <w:b/>
          <w:bCs/>
          <w:sz w:val="22"/>
          <w:szCs w:val="22"/>
          <w:lang w:val="sr-Latn-ME" w:eastAsia="sr-Latn-RS"/>
        </w:rPr>
        <w:t>Drugi mikroorganizmi</w:t>
      </w:r>
    </w:p>
    <w:p w14:paraId="32A7E6CD"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Chlamydophila pneumoniae</w:t>
      </w:r>
    </w:p>
    <w:p w14:paraId="6E4E0CFA"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Chlamydophila psittaci</w:t>
      </w:r>
    </w:p>
    <w:p w14:paraId="4354D01A"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Coxiella burnetti</w:t>
      </w:r>
    </w:p>
    <w:p w14:paraId="27C043E6"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Mycoplasma pneumonia</w:t>
      </w:r>
    </w:p>
    <w:p w14:paraId="15F988DA" w14:textId="77777777" w:rsidR="007D25C1" w:rsidRPr="00245390" w:rsidRDefault="007D25C1">
      <w:pPr>
        <w:autoSpaceDE w:val="0"/>
        <w:autoSpaceDN w:val="0"/>
        <w:adjustRightInd w:val="0"/>
        <w:jc w:val="both"/>
        <w:rPr>
          <w:i/>
          <w:iCs/>
          <w:sz w:val="22"/>
          <w:szCs w:val="22"/>
          <w:lang w:val="sr-Latn-ME" w:eastAsia="sr-Latn-RS"/>
        </w:rPr>
      </w:pPr>
    </w:p>
    <w:p w14:paraId="2103D2D0" w14:textId="7423A12C"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vertAlign w:val="superscript"/>
          <w:lang w:val="sr-Latn-ME" w:eastAsia="sr-Latn-RS"/>
        </w:rPr>
        <w:t>a</w:t>
      </w:r>
      <w:r w:rsidRPr="00245390">
        <w:rPr>
          <w:rFonts w:eastAsia="TimesNewRoman"/>
          <w:sz w:val="22"/>
          <w:szCs w:val="22"/>
          <w:lang w:val="sr-Latn-ME" w:eastAsia="sr-Latn-RS"/>
        </w:rPr>
        <w:t xml:space="preserve"> sojevi koji pokazuju prirodnu srednju osjetljivost</w:t>
      </w:r>
    </w:p>
    <w:p w14:paraId="2ABB3135" w14:textId="15EB106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vertAlign w:val="superscript"/>
          <w:lang w:val="sr-Latn-ME" w:eastAsia="sr-Latn-RS"/>
        </w:rPr>
        <w:t>b</w:t>
      </w:r>
      <w:r w:rsidRPr="00245390">
        <w:rPr>
          <w:rFonts w:eastAsia="TimesNewRoman"/>
          <w:sz w:val="22"/>
          <w:szCs w:val="22"/>
          <w:lang w:val="sr-Latn-ME" w:eastAsia="sr-Latn-RS"/>
        </w:rPr>
        <w:t xml:space="preserve"> svi meticilin rezistentni stafilokoki su rezistentni na meropenem</w:t>
      </w:r>
    </w:p>
    <w:p w14:paraId="6A5B8835" w14:textId="75E0AC7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vertAlign w:val="superscript"/>
          <w:lang w:val="sr-Latn-ME" w:eastAsia="sr-Latn-RS"/>
        </w:rPr>
        <w:t>c</w:t>
      </w:r>
      <w:r w:rsidRPr="00245390">
        <w:rPr>
          <w:rFonts w:eastAsia="TimesNewRoman"/>
          <w:sz w:val="22"/>
          <w:szCs w:val="22"/>
          <w:lang w:val="sr-Latn-ME" w:eastAsia="sr-Latn-RS"/>
        </w:rPr>
        <w:t xml:space="preserve"> stopa rezistencije ≥ 50% u jednoj ili više EU zemalja.</w:t>
      </w:r>
    </w:p>
    <w:p w14:paraId="54853DCF" w14:textId="77777777" w:rsidR="007D25C1" w:rsidRPr="00245390" w:rsidRDefault="007D25C1">
      <w:pPr>
        <w:autoSpaceDE w:val="0"/>
        <w:autoSpaceDN w:val="0"/>
        <w:adjustRightInd w:val="0"/>
        <w:jc w:val="both"/>
        <w:rPr>
          <w:rFonts w:eastAsia="TimesNewRoman"/>
          <w:sz w:val="22"/>
          <w:szCs w:val="22"/>
          <w:lang w:val="sr-Latn-ME" w:eastAsia="sr-Latn-RS"/>
        </w:rPr>
      </w:pPr>
    </w:p>
    <w:p w14:paraId="16A0FEE6" w14:textId="0368C5B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sz w:val="22"/>
          <w:szCs w:val="22"/>
          <w:lang w:val="sr-Latn-ME" w:eastAsia="sr-Latn-RS"/>
        </w:rPr>
        <w:t>Sakagija i meloidoza: Primjena meropenema kod ljudi bazira se</w:t>
      </w:r>
      <w:r w:rsidR="00177D45" w:rsidRPr="00245390">
        <w:rPr>
          <w:rFonts w:eastAsia="TimesNewRoman"/>
          <w:sz w:val="22"/>
          <w:szCs w:val="22"/>
          <w:lang w:val="sr-Latn-ME" w:eastAsia="sr-Latn-RS"/>
        </w:rPr>
        <w:t xml:space="preserve"> na</w:t>
      </w:r>
      <w:r w:rsidRPr="00245390">
        <w:rPr>
          <w:rFonts w:eastAsia="TimesNewRoman"/>
          <w:sz w:val="22"/>
          <w:szCs w:val="22"/>
          <w:lang w:val="sr-Latn-ME" w:eastAsia="sr-Latn-RS"/>
        </w:rPr>
        <w:t xml:space="preserve"> </w:t>
      </w:r>
      <w:r w:rsidRPr="00245390">
        <w:rPr>
          <w:i/>
          <w:iCs/>
          <w:sz w:val="22"/>
          <w:szCs w:val="22"/>
          <w:lang w:val="sr-Latn-ME" w:eastAsia="sr-Latn-RS"/>
        </w:rPr>
        <w:t xml:space="preserve">in vitro </w:t>
      </w:r>
      <w:r w:rsidRPr="00245390">
        <w:rPr>
          <w:rFonts w:eastAsia="TimesNewRoman"/>
          <w:sz w:val="22"/>
          <w:szCs w:val="22"/>
          <w:lang w:val="sr-Latn-ME" w:eastAsia="sr-Latn-RS"/>
        </w:rPr>
        <w:t>os</w:t>
      </w:r>
      <w:r w:rsidR="00245390">
        <w:rPr>
          <w:rFonts w:eastAsia="TimesNewRoman"/>
          <w:sz w:val="22"/>
          <w:szCs w:val="22"/>
          <w:lang w:val="sr-Latn-ME" w:eastAsia="sr-Latn-RS"/>
        </w:rPr>
        <w:t>j</w:t>
      </w:r>
      <w:r w:rsidRPr="00245390">
        <w:rPr>
          <w:rFonts w:eastAsia="TimesNewRoman"/>
          <w:sz w:val="22"/>
          <w:szCs w:val="22"/>
          <w:lang w:val="sr-Latn-ME" w:eastAsia="sr-Latn-RS"/>
        </w:rPr>
        <w:t xml:space="preserve">etljivosti </w:t>
      </w:r>
      <w:r w:rsidRPr="00245390">
        <w:rPr>
          <w:i/>
          <w:iCs/>
          <w:sz w:val="22"/>
          <w:szCs w:val="22"/>
          <w:lang w:val="sr-Latn-ME" w:eastAsia="sr-Latn-RS"/>
        </w:rPr>
        <w:t xml:space="preserve">B.mallei </w:t>
      </w:r>
      <w:r w:rsidRPr="00245390">
        <w:rPr>
          <w:rFonts w:eastAsia="TimesNewRoman"/>
          <w:sz w:val="22"/>
          <w:szCs w:val="22"/>
          <w:lang w:val="sr-Latn-ME" w:eastAsia="sr-Latn-RS"/>
        </w:rPr>
        <w:t xml:space="preserve">i </w:t>
      </w:r>
      <w:r w:rsidRPr="00245390">
        <w:rPr>
          <w:i/>
          <w:iCs/>
          <w:sz w:val="22"/>
          <w:szCs w:val="22"/>
          <w:lang w:val="sr-Latn-ME" w:eastAsia="sr-Latn-RS"/>
        </w:rPr>
        <w:t xml:space="preserve">B. pseudomallei </w:t>
      </w:r>
      <w:r w:rsidRPr="00245390">
        <w:rPr>
          <w:rFonts w:eastAsia="TimesNewRoman"/>
          <w:sz w:val="22"/>
          <w:szCs w:val="22"/>
          <w:lang w:val="sr-Latn-ME" w:eastAsia="sr-Latn-RS"/>
        </w:rPr>
        <w:t>i ograničenim podacima o humanoj upotrebi. Ordinirajući ljekar treba da se osloni na nacionalne i /ili internacionalne smjernice za liječenje sakagije i meloidoze.</w:t>
      </w:r>
    </w:p>
    <w:p w14:paraId="4F6A6462" w14:textId="77777777" w:rsidR="007D25C1" w:rsidRPr="00245390" w:rsidRDefault="007D25C1" w:rsidP="00EE5F09">
      <w:pPr>
        <w:tabs>
          <w:tab w:val="left" w:pos="540"/>
          <w:tab w:val="left" w:pos="569"/>
        </w:tabs>
        <w:jc w:val="both"/>
        <w:rPr>
          <w:b/>
          <w:bCs/>
          <w:sz w:val="22"/>
          <w:szCs w:val="22"/>
          <w:lang w:val="sr-Latn-ME"/>
        </w:rPr>
      </w:pPr>
    </w:p>
    <w:p w14:paraId="2938C0A3" w14:textId="77777777" w:rsidR="0072020E"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5.2. </w:t>
      </w:r>
      <w:r w:rsidR="00480FB1" w:rsidRPr="00245390">
        <w:rPr>
          <w:b/>
          <w:bCs/>
          <w:sz w:val="22"/>
          <w:szCs w:val="22"/>
          <w:lang w:val="sr-Latn-ME"/>
        </w:rPr>
        <w:tab/>
      </w:r>
      <w:r w:rsidRPr="00245390">
        <w:rPr>
          <w:b/>
          <w:bCs/>
          <w:sz w:val="22"/>
          <w:szCs w:val="22"/>
          <w:lang w:val="sr-Latn-ME"/>
        </w:rPr>
        <w:t>Farmakokinetički podaci</w:t>
      </w:r>
      <w:r w:rsidR="003A7059" w:rsidRPr="00245390">
        <w:rPr>
          <w:b/>
          <w:bCs/>
          <w:sz w:val="22"/>
          <w:szCs w:val="22"/>
          <w:lang w:val="sr-Latn-ME"/>
        </w:rPr>
        <w:t xml:space="preserve"> </w:t>
      </w:r>
    </w:p>
    <w:p w14:paraId="0142FE24" w14:textId="4A8DC435" w:rsidR="0072020E" w:rsidRPr="00245390" w:rsidRDefault="0072020E" w:rsidP="00EE5F09">
      <w:pPr>
        <w:tabs>
          <w:tab w:val="left" w:pos="540"/>
          <w:tab w:val="left" w:pos="569"/>
        </w:tabs>
        <w:jc w:val="both"/>
        <w:rPr>
          <w:bCs/>
          <w:sz w:val="22"/>
          <w:szCs w:val="22"/>
          <w:lang w:val="sr-Latn-ME"/>
        </w:rPr>
      </w:pPr>
    </w:p>
    <w:p w14:paraId="7A0A67A0" w14:textId="10C74390"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Kod zdravih dobrovoljaca srednje poluvrijeme eliminacije iz plazme iznosi oko 1 h, srednja vrijednost volumena distribucije je oko 0,25 </w:t>
      </w:r>
      <w:r w:rsidR="00FF75C2" w:rsidRPr="00245390">
        <w:rPr>
          <w:rFonts w:eastAsia="TimesNewRoman"/>
          <w:sz w:val="22"/>
          <w:szCs w:val="22"/>
          <w:lang w:val="sr-Latn-ME" w:eastAsia="sr-Latn-RS"/>
        </w:rPr>
        <w:t>l</w:t>
      </w:r>
      <w:r w:rsidRPr="00245390">
        <w:rPr>
          <w:rFonts w:eastAsia="TimesNewRoman"/>
          <w:sz w:val="22"/>
          <w:szCs w:val="22"/>
          <w:lang w:val="sr-Latn-ME" w:eastAsia="sr-Latn-RS"/>
        </w:rPr>
        <w:t xml:space="preserve">/kg (11-27 l), i srednji klirens je 287 ml/min pri dozi od 250 mg i </w:t>
      </w:r>
      <w:r w:rsidRPr="00245390">
        <w:rPr>
          <w:rFonts w:eastAsia="TimesNewRoman"/>
          <w:sz w:val="22"/>
          <w:szCs w:val="22"/>
          <w:lang w:val="sr-Latn-ME" w:eastAsia="sr-Latn-RS"/>
        </w:rPr>
        <w:lastRenderedPageBreak/>
        <w:t>smanjuje se do 205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 pri dozi od 2 g. Doze od 500, 1000 i 2000 mg koje se primjenjuju putem intravenske infuzije tokom 30 minuta daju Cmax od približno 23, 49 i 115 μg/m</w:t>
      </w:r>
      <w:r w:rsidR="00CF70CE" w:rsidRPr="00245390">
        <w:rPr>
          <w:rFonts w:eastAsia="TimesNewRoman"/>
          <w:sz w:val="22"/>
          <w:szCs w:val="22"/>
          <w:lang w:val="sr-Latn-ME" w:eastAsia="sr-Latn-RS"/>
        </w:rPr>
        <w:t>l</w:t>
      </w:r>
      <w:r w:rsidRPr="00245390">
        <w:rPr>
          <w:rFonts w:eastAsia="TimesNewRoman"/>
          <w:sz w:val="22"/>
          <w:szCs w:val="22"/>
          <w:lang w:val="sr-Latn-ME" w:eastAsia="sr-Latn-RS"/>
        </w:rPr>
        <w:t>, odgovarajuće PIK vrijednosti su 39,3, 62,3 i 153 μg.h/m</w:t>
      </w:r>
      <w:r w:rsidR="00CF70CE" w:rsidRPr="00245390">
        <w:rPr>
          <w:rFonts w:eastAsia="TimesNewRoman"/>
          <w:sz w:val="22"/>
          <w:szCs w:val="22"/>
          <w:lang w:val="sr-Latn-ME" w:eastAsia="sr-Latn-RS"/>
        </w:rPr>
        <w:t>l</w:t>
      </w:r>
      <w:r w:rsidRPr="00245390">
        <w:rPr>
          <w:rFonts w:eastAsia="TimesNewRoman"/>
          <w:sz w:val="22"/>
          <w:szCs w:val="22"/>
          <w:lang w:val="sr-Latn-ME" w:eastAsia="sr-Latn-RS"/>
        </w:rPr>
        <w:t>. Nakon primjene infuzije tokom 5 minuta, vrijednosti Cmax iznosile su 52 i 112 μg/m</w:t>
      </w:r>
      <w:r w:rsidR="00CF70CE" w:rsidRPr="00245390">
        <w:rPr>
          <w:rFonts w:eastAsia="TimesNewRoman"/>
          <w:sz w:val="22"/>
          <w:szCs w:val="22"/>
          <w:lang w:val="sr-Latn-ME" w:eastAsia="sr-Latn-RS"/>
        </w:rPr>
        <w:t>l</w:t>
      </w:r>
      <w:r w:rsidRPr="00245390">
        <w:rPr>
          <w:rFonts w:eastAsia="TimesNewRoman"/>
          <w:sz w:val="22"/>
          <w:szCs w:val="22"/>
          <w:lang w:val="sr-Latn-ME" w:eastAsia="sr-Latn-RS"/>
        </w:rPr>
        <w:t xml:space="preserve"> nakon primjene doze od 500 i 1000 mg. Kada se </w:t>
      </w:r>
      <w:bookmarkStart w:id="9" w:name="_Hlk69137553"/>
      <w:r w:rsidR="00177D45" w:rsidRPr="00245390">
        <w:rPr>
          <w:rFonts w:eastAsia="TimesNewRoman"/>
          <w:sz w:val="22"/>
          <w:szCs w:val="22"/>
          <w:lang w:val="sr-Latn-ME" w:eastAsia="sr-Latn-RS"/>
        </w:rPr>
        <w:t xml:space="preserve">primjenjuju ponovljene doze meropenema </w:t>
      </w:r>
      <w:bookmarkEnd w:id="9"/>
      <w:r w:rsidRPr="00245390">
        <w:rPr>
          <w:rFonts w:eastAsia="TimesNewRoman"/>
          <w:sz w:val="22"/>
          <w:szCs w:val="22"/>
          <w:lang w:val="sr-Latn-ME" w:eastAsia="sr-Latn-RS"/>
        </w:rPr>
        <w:t>u intervalima od po 8 sati, kod osoba sa očuvanom funkcijom bubrega ne dolazi do akumulacije lijeka u organizmu.</w:t>
      </w:r>
    </w:p>
    <w:p w14:paraId="7C3656CA" w14:textId="77777777" w:rsidR="007D25C1" w:rsidRPr="00245390" w:rsidRDefault="007D25C1">
      <w:pPr>
        <w:autoSpaceDE w:val="0"/>
        <w:autoSpaceDN w:val="0"/>
        <w:adjustRightInd w:val="0"/>
        <w:jc w:val="both"/>
        <w:rPr>
          <w:rFonts w:eastAsia="TimesNewRoman"/>
          <w:sz w:val="22"/>
          <w:szCs w:val="22"/>
          <w:lang w:val="sr-Latn-ME" w:eastAsia="sr-Latn-RS"/>
        </w:rPr>
      </w:pPr>
    </w:p>
    <w:p w14:paraId="31ABC0FC" w14:textId="56527C11"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U studiji na 12 pacijenata koji su postoperativno primali meropenem u dozi od 1000 mg svakih 8 h zbog intraabdominalnih infekcija, pokazano je da su postignute vrijednosti Cmax i poluvremena eliminacije iz plazme uporedivi sa zdravim dobrovoljcima, ali da imaju veći volumen distribucije (27 </w:t>
      </w:r>
      <w:r w:rsidR="00177D45" w:rsidRPr="00245390">
        <w:rPr>
          <w:rFonts w:eastAsia="TimesNewRoman"/>
          <w:sz w:val="22"/>
          <w:szCs w:val="22"/>
          <w:lang w:val="sr-Latn-ME" w:eastAsia="sr-Latn-RS"/>
        </w:rPr>
        <w:t>l</w:t>
      </w:r>
      <w:r w:rsidRPr="00245390">
        <w:rPr>
          <w:rFonts w:eastAsia="TimesNewRoman"/>
          <w:sz w:val="22"/>
          <w:szCs w:val="22"/>
          <w:lang w:val="sr-Latn-ME" w:eastAsia="sr-Latn-RS"/>
        </w:rPr>
        <w:t>).</w:t>
      </w:r>
    </w:p>
    <w:p w14:paraId="251758AB" w14:textId="77777777" w:rsidR="007D25C1" w:rsidRPr="00245390" w:rsidRDefault="007D25C1">
      <w:pPr>
        <w:autoSpaceDE w:val="0"/>
        <w:autoSpaceDN w:val="0"/>
        <w:adjustRightInd w:val="0"/>
        <w:jc w:val="both"/>
        <w:rPr>
          <w:rFonts w:eastAsia="TimesNewRoman"/>
          <w:sz w:val="22"/>
          <w:szCs w:val="22"/>
          <w:lang w:val="sr-Latn-ME" w:eastAsia="sr-Latn-RS"/>
        </w:rPr>
      </w:pPr>
    </w:p>
    <w:p w14:paraId="0BB158CA"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Distribucija</w:t>
      </w:r>
    </w:p>
    <w:p w14:paraId="2DA7E77E" w14:textId="356E6E6B"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Prosječno vezivanje meropenema za proteine plazme je oko 2% i ne zavisi od koncentracije lijeka. Nakon brze primjene (5 minuta ili manje) farmakokinetika je bieksponencijalna, ali ovo je mnogo manje evidentno nakon 30-minutne infuzije. Meropenem dobro prodire u većinu tjelesnih tečnosti i tjelesnih tkiva uključujući: pluća, bronhijalni sekret, žuč, cerebrospinalnu tečnost, ginekološka tkiva, kožu, fascije, mišiće i peritonealni eksudat.</w:t>
      </w:r>
    </w:p>
    <w:p w14:paraId="1D68A9C3" w14:textId="77777777" w:rsidR="007D25C1" w:rsidRPr="00245390" w:rsidRDefault="007D25C1">
      <w:pPr>
        <w:autoSpaceDE w:val="0"/>
        <w:autoSpaceDN w:val="0"/>
        <w:adjustRightInd w:val="0"/>
        <w:jc w:val="both"/>
        <w:rPr>
          <w:rFonts w:eastAsia="TimesNewRoman"/>
          <w:sz w:val="22"/>
          <w:szCs w:val="22"/>
          <w:lang w:val="sr-Latn-ME" w:eastAsia="sr-Latn-RS"/>
        </w:rPr>
      </w:pPr>
    </w:p>
    <w:p w14:paraId="53456146"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Metabolizam</w:t>
      </w:r>
    </w:p>
    <w:p w14:paraId="27B1A68E"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Meropenem se metaboliše hidrolizom beta-laktamskog prstena, prelazeći u mikrobiološki neaktivni metabolit. U </w:t>
      </w:r>
      <w:r w:rsidRPr="00245390">
        <w:rPr>
          <w:rFonts w:eastAsia="TimesNewRoman"/>
          <w:i/>
          <w:iCs/>
          <w:sz w:val="22"/>
          <w:szCs w:val="22"/>
          <w:lang w:val="sr-Latn-ME" w:eastAsia="sr-Latn-RS"/>
        </w:rPr>
        <w:t xml:space="preserve">in vitro </w:t>
      </w:r>
      <w:r w:rsidRPr="00245390">
        <w:rPr>
          <w:rFonts w:eastAsia="TimesNewRoman"/>
          <w:sz w:val="22"/>
          <w:szCs w:val="22"/>
          <w:lang w:val="sr-Latn-ME" w:eastAsia="sr-Latn-RS"/>
        </w:rPr>
        <w:t>uslovima meropenem pokazuje slabiju osjetljivost na hidrolizu humanim dehidropeptidazama-I (DHP-I) u poređenju sa imipenemom, te ne postoji potreba za istovremenom primjenom inhibitora DHP-I.</w:t>
      </w:r>
    </w:p>
    <w:p w14:paraId="654F4D2E" w14:textId="77777777" w:rsidR="007D25C1" w:rsidRPr="00245390" w:rsidRDefault="007D25C1">
      <w:pPr>
        <w:autoSpaceDE w:val="0"/>
        <w:autoSpaceDN w:val="0"/>
        <w:adjustRightInd w:val="0"/>
        <w:jc w:val="both"/>
        <w:rPr>
          <w:rFonts w:eastAsia="TimesNewRoman"/>
          <w:sz w:val="22"/>
          <w:szCs w:val="22"/>
          <w:lang w:val="sr-Latn-ME" w:eastAsia="sr-Latn-RS"/>
        </w:rPr>
      </w:pPr>
    </w:p>
    <w:p w14:paraId="2E50D55F" w14:textId="77777777" w:rsidR="007D25C1" w:rsidRPr="00245390" w:rsidRDefault="007D25C1">
      <w:pPr>
        <w:autoSpaceDE w:val="0"/>
        <w:autoSpaceDN w:val="0"/>
        <w:adjustRightInd w:val="0"/>
        <w:jc w:val="both"/>
        <w:rPr>
          <w:rFonts w:eastAsia="TimesNewRoman"/>
          <w:i/>
          <w:iCs/>
          <w:sz w:val="22"/>
          <w:szCs w:val="22"/>
          <w:lang w:val="sr-Latn-ME" w:eastAsia="sr-Latn-RS"/>
        </w:rPr>
      </w:pPr>
      <w:r w:rsidRPr="00245390">
        <w:rPr>
          <w:rFonts w:eastAsia="TimesNewRoman"/>
          <w:i/>
          <w:iCs/>
          <w:sz w:val="22"/>
          <w:szCs w:val="22"/>
          <w:lang w:val="sr-Latn-ME" w:eastAsia="sr-Latn-RS"/>
        </w:rPr>
        <w:t>Eliminacija</w:t>
      </w:r>
    </w:p>
    <w:p w14:paraId="6E167A6C" w14:textId="1C49CCDB"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Meropenem se pretežno izlučuje </w:t>
      </w:r>
      <w:r w:rsidR="00177D45" w:rsidRPr="00245390">
        <w:rPr>
          <w:rFonts w:eastAsia="TimesNewRoman"/>
          <w:sz w:val="22"/>
          <w:szCs w:val="22"/>
          <w:lang w:val="sr-Latn-ME" w:eastAsia="sr-Latn-RS"/>
        </w:rPr>
        <w:t xml:space="preserve">nepromijenjen </w:t>
      </w:r>
      <w:r w:rsidRPr="00245390">
        <w:rPr>
          <w:rFonts w:eastAsia="TimesNewRoman"/>
          <w:sz w:val="22"/>
          <w:szCs w:val="22"/>
          <w:lang w:val="sr-Latn-ME" w:eastAsia="sr-Latn-RS"/>
        </w:rPr>
        <w:t>preko bubrega; oko 70% (50-75%) doze se izluči u nepromijenjenom obliku tokom 12 sati. Daljih 28% se nalazi u obliku mikrobiološki neaktivnog metabolita. Putem fecesa eliminiše se samo 2% ukupne doze. Izmjeren renalni klirens i efekat probenecida pokazuju da meropenem podliježe i filtraciji i tubularnoj sekreciji.</w:t>
      </w:r>
    </w:p>
    <w:p w14:paraId="6F636410" w14:textId="77777777" w:rsidR="007D25C1" w:rsidRPr="00245390" w:rsidRDefault="007D25C1">
      <w:pPr>
        <w:autoSpaceDE w:val="0"/>
        <w:autoSpaceDN w:val="0"/>
        <w:adjustRightInd w:val="0"/>
        <w:jc w:val="both"/>
        <w:rPr>
          <w:rFonts w:eastAsia="TimesNewRoman"/>
          <w:sz w:val="22"/>
          <w:szCs w:val="22"/>
          <w:lang w:val="sr-Latn-ME" w:eastAsia="sr-Latn-RS"/>
        </w:rPr>
      </w:pPr>
    </w:p>
    <w:p w14:paraId="5302AA21"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Insuficijencija bubrega</w:t>
      </w:r>
    </w:p>
    <w:p w14:paraId="2845989E" w14:textId="63CFD106"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Oštećenje funkcije bubrega dovodi do veće vrijednosti PIK i dužeg poluvremena eliminacije meropenema. PIK se povećava 2,4 puta kod pacijenata sa umjerenim oštećenjem funkcije bubrega (CrC</w:t>
      </w:r>
      <w:r w:rsidR="005E7218" w:rsidRPr="00245390">
        <w:rPr>
          <w:rFonts w:eastAsia="TimesNewRoman"/>
          <w:sz w:val="22"/>
          <w:szCs w:val="22"/>
          <w:lang w:val="sr-Latn-ME" w:eastAsia="sr-Latn-RS"/>
        </w:rPr>
        <w:t>L</w:t>
      </w:r>
      <w:r w:rsidRPr="00245390">
        <w:rPr>
          <w:rFonts w:eastAsia="TimesNewRoman"/>
          <w:sz w:val="22"/>
          <w:szCs w:val="22"/>
          <w:lang w:val="sr-Latn-ME" w:eastAsia="sr-Latn-RS"/>
        </w:rPr>
        <w:t xml:space="preserve"> 33-74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 5 puta kod teškog oštećenja funkcije bubrega (CrCL 4-23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 i 10 puta kod pacijenata na hemodijalizi (CrC</w:t>
      </w:r>
      <w:r w:rsidR="005E7218" w:rsidRPr="00245390">
        <w:rPr>
          <w:rFonts w:eastAsia="TimesNewRoman"/>
          <w:sz w:val="22"/>
          <w:szCs w:val="22"/>
          <w:lang w:val="sr-Latn-ME" w:eastAsia="sr-Latn-RS"/>
        </w:rPr>
        <w:t>L</w:t>
      </w:r>
      <w:r w:rsidRPr="00245390">
        <w:rPr>
          <w:rFonts w:eastAsia="TimesNewRoman"/>
          <w:sz w:val="22"/>
          <w:szCs w:val="22"/>
          <w:lang w:val="sr-Latn-ME" w:eastAsia="sr-Latn-RS"/>
        </w:rPr>
        <w:t xml:space="preserve"> &lt;2 ml/min) u odnosu na zdrave osobe (CrC</w:t>
      </w:r>
      <w:r w:rsidR="005E7218" w:rsidRPr="00245390">
        <w:rPr>
          <w:rFonts w:eastAsia="TimesNewRoman"/>
          <w:sz w:val="22"/>
          <w:szCs w:val="22"/>
          <w:lang w:val="sr-Latn-ME" w:eastAsia="sr-Latn-RS"/>
        </w:rPr>
        <w:t>L</w:t>
      </w:r>
      <w:r w:rsidRPr="00245390">
        <w:rPr>
          <w:rFonts w:eastAsia="TimesNewRoman"/>
          <w:sz w:val="22"/>
          <w:szCs w:val="22"/>
          <w:lang w:val="sr-Latn-ME" w:eastAsia="sr-Latn-RS"/>
        </w:rPr>
        <w:t>&gt; 80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 PIK mikrobiološki neaktivnog metabolita sa otvorenim prstenom se takođe značajno povećava kod pacijenata sa oštećenjem funkcije bubrega. Preporučuje se prilagođavanje doze kod</w:t>
      </w:r>
    </w:p>
    <w:p w14:paraId="10FCBD11" w14:textId="535DF38D"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pacijenata sa umjerenim do teškim oštećenjem funkcije bubrega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4.2).</w:t>
      </w:r>
    </w:p>
    <w:p w14:paraId="5EAFB8F6" w14:textId="77777777" w:rsidR="00C77082" w:rsidRPr="00245390" w:rsidRDefault="00C77082">
      <w:pPr>
        <w:autoSpaceDE w:val="0"/>
        <w:autoSpaceDN w:val="0"/>
        <w:adjustRightInd w:val="0"/>
        <w:jc w:val="both"/>
        <w:rPr>
          <w:rFonts w:eastAsia="TimesNewRoman"/>
          <w:sz w:val="22"/>
          <w:szCs w:val="22"/>
          <w:lang w:val="sr-Latn-ME" w:eastAsia="sr-Latn-RS"/>
        </w:rPr>
      </w:pPr>
    </w:p>
    <w:p w14:paraId="4AEDFC95" w14:textId="039AA4C5"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Meropenem se eliminiše hemodijalizom, a klirens tokom hemodijalize je oko 4 puta veći nego kod pacijenata sa anurijom.</w:t>
      </w:r>
    </w:p>
    <w:p w14:paraId="26FFBDF1" w14:textId="77777777" w:rsidR="007D25C1" w:rsidRPr="00245390" w:rsidRDefault="007D25C1">
      <w:pPr>
        <w:autoSpaceDE w:val="0"/>
        <w:autoSpaceDN w:val="0"/>
        <w:adjustRightInd w:val="0"/>
        <w:jc w:val="both"/>
        <w:rPr>
          <w:rFonts w:eastAsia="TimesNewRoman"/>
          <w:sz w:val="22"/>
          <w:szCs w:val="22"/>
          <w:lang w:val="sr-Latn-ME" w:eastAsia="sr-Latn-RS"/>
        </w:rPr>
      </w:pPr>
    </w:p>
    <w:p w14:paraId="3C2689E9"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Insuficijencija jetre</w:t>
      </w:r>
    </w:p>
    <w:p w14:paraId="2D8594CD"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Rezultati studije kod pacijenata sa alkoholnom cirozom pokazali su da oboljenje jetre ne utiče na farmakokinetiku meropenema nakon ponovljene doze.</w:t>
      </w:r>
    </w:p>
    <w:p w14:paraId="78AA3830" w14:textId="77777777" w:rsidR="007D25C1" w:rsidRPr="00245390" w:rsidRDefault="007D25C1">
      <w:pPr>
        <w:autoSpaceDE w:val="0"/>
        <w:autoSpaceDN w:val="0"/>
        <w:adjustRightInd w:val="0"/>
        <w:jc w:val="both"/>
        <w:rPr>
          <w:rFonts w:eastAsia="TimesNewRoman"/>
          <w:sz w:val="22"/>
          <w:szCs w:val="22"/>
          <w:lang w:val="sr-Latn-ME" w:eastAsia="sr-Latn-RS"/>
        </w:rPr>
      </w:pPr>
    </w:p>
    <w:p w14:paraId="353A80B9"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Odrasli pacijenti</w:t>
      </w:r>
    </w:p>
    <w:p w14:paraId="206919A4" w14:textId="786F6338"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Farmakokinetička ispitivanja su pokazala da nema značajnih farmakokinetičkih razlika u odnosu na zdrave osobe sa istom bubrežnom funkcijom. Populacioni model koji je razvijen iz ispitivanja na 79 pacijenata sa intraabdominaln</w:t>
      </w:r>
      <w:r w:rsidR="006B66D3" w:rsidRPr="00245390">
        <w:rPr>
          <w:rFonts w:eastAsia="TimesNewRoman"/>
          <w:sz w:val="22"/>
          <w:szCs w:val="22"/>
          <w:lang w:val="sr-Latn-ME" w:eastAsia="sr-Latn-RS"/>
        </w:rPr>
        <w:t>o</w:t>
      </w:r>
      <w:r w:rsidRPr="00245390">
        <w:rPr>
          <w:rFonts w:eastAsia="TimesNewRoman"/>
          <w:sz w:val="22"/>
          <w:szCs w:val="22"/>
          <w:lang w:val="sr-Latn-ME" w:eastAsia="sr-Latn-RS"/>
        </w:rPr>
        <w:t>m infekcijom ili pneumonijom je pokazao zavisnost centralnog volumena od tjelesne mase pacijenta i klirensa od klirensa kreatinina i starosnog doba.</w:t>
      </w:r>
    </w:p>
    <w:p w14:paraId="7B0979A6" w14:textId="77777777" w:rsidR="007D25C1" w:rsidRPr="00245390" w:rsidRDefault="007D25C1">
      <w:pPr>
        <w:autoSpaceDE w:val="0"/>
        <w:autoSpaceDN w:val="0"/>
        <w:adjustRightInd w:val="0"/>
        <w:jc w:val="both"/>
        <w:rPr>
          <w:rFonts w:eastAsia="TimesNewRoman"/>
          <w:sz w:val="22"/>
          <w:szCs w:val="22"/>
          <w:lang w:val="sr-Latn-ME" w:eastAsia="sr-Latn-RS"/>
        </w:rPr>
      </w:pPr>
    </w:p>
    <w:p w14:paraId="358CC3AD" w14:textId="46ACC2A5"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Pedijatrijsk</w:t>
      </w:r>
      <w:r w:rsidR="006B66D3" w:rsidRPr="00245390">
        <w:rPr>
          <w:i/>
          <w:iCs/>
          <w:sz w:val="22"/>
          <w:szCs w:val="22"/>
          <w:lang w:val="sr-Latn-ME" w:eastAsia="sr-Latn-RS"/>
        </w:rPr>
        <w:t>a</w:t>
      </w:r>
      <w:r w:rsidRPr="00245390">
        <w:rPr>
          <w:i/>
          <w:iCs/>
          <w:sz w:val="22"/>
          <w:szCs w:val="22"/>
          <w:lang w:val="sr-Latn-ME" w:eastAsia="sr-Latn-RS"/>
        </w:rPr>
        <w:t xml:space="preserve"> </w:t>
      </w:r>
      <w:r w:rsidR="006B66D3" w:rsidRPr="00245390">
        <w:rPr>
          <w:i/>
          <w:iCs/>
          <w:sz w:val="22"/>
          <w:szCs w:val="22"/>
          <w:lang w:val="sr-Latn-ME" w:eastAsia="sr-Latn-RS"/>
        </w:rPr>
        <w:t>populacija</w:t>
      </w:r>
    </w:p>
    <w:p w14:paraId="2B9397D7" w14:textId="3CD8DA50"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Ispitivanjem farmakokinetike kod odojčadi i djece sa infekcijom, pri dozama od 10, 20 i 40 mg/kg, pokazano je da vrijednosti Cmax odgovaraju dozama od 500 mg, 1000 mg i 2000 mg koje su primijenjene kod odraslih. Poređenjem je pokazana konzistentna farmakokinetika između doza i poluvremena eliminacije slično onima zapaženim kod odraslih, osim kod najmlađih ispitanika (mlađi </w:t>
      </w:r>
      <w:r w:rsidRPr="00245390">
        <w:rPr>
          <w:rFonts w:eastAsia="TimesNewRoman"/>
          <w:sz w:val="22"/>
          <w:szCs w:val="22"/>
          <w:lang w:val="sr-Latn-ME" w:eastAsia="sr-Latn-RS"/>
        </w:rPr>
        <w:lastRenderedPageBreak/>
        <w:t>od 6 mjeseci t1/2=1,6 h). Srednje vrijednosti klirensa meropenema su bile 5,8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/min/kg (</w:t>
      </w:r>
      <w:r w:rsidR="006B66D3" w:rsidRPr="00245390">
        <w:rPr>
          <w:rFonts w:eastAsia="TimesNewRoman"/>
          <w:sz w:val="22"/>
          <w:szCs w:val="22"/>
          <w:lang w:val="sr-Latn-ME" w:eastAsia="sr-Latn-RS"/>
        </w:rPr>
        <w:t xml:space="preserve">kod djece uzrasta </w:t>
      </w:r>
      <w:r w:rsidRPr="00245390">
        <w:rPr>
          <w:rFonts w:eastAsia="TimesNewRoman"/>
          <w:sz w:val="22"/>
          <w:szCs w:val="22"/>
          <w:lang w:val="sr-Latn-ME" w:eastAsia="sr-Latn-RS"/>
        </w:rPr>
        <w:t>6-12 godina), 6,2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/min/kg (</w:t>
      </w:r>
      <w:r w:rsidR="006B66D3" w:rsidRPr="00245390">
        <w:rPr>
          <w:rFonts w:eastAsia="TimesNewRoman"/>
          <w:sz w:val="22"/>
          <w:szCs w:val="22"/>
          <w:lang w:val="sr-Latn-ME" w:eastAsia="sr-Latn-RS"/>
        </w:rPr>
        <w:t xml:space="preserve">kod djece uzrasta </w:t>
      </w:r>
      <w:r w:rsidRPr="00245390">
        <w:rPr>
          <w:rFonts w:eastAsia="TimesNewRoman"/>
          <w:sz w:val="22"/>
          <w:szCs w:val="22"/>
          <w:lang w:val="sr-Latn-ME" w:eastAsia="sr-Latn-RS"/>
        </w:rPr>
        <w:t>2-5 godina), 5,3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/min/kg (</w:t>
      </w:r>
      <w:r w:rsidR="006B66D3" w:rsidRPr="00245390">
        <w:rPr>
          <w:rFonts w:eastAsia="TimesNewRoman"/>
          <w:sz w:val="22"/>
          <w:szCs w:val="22"/>
          <w:lang w:val="sr-Latn-ME" w:eastAsia="sr-Latn-RS"/>
        </w:rPr>
        <w:t xml:space="preserve">kod djece uzrasta </w:t>
      </w:r>
      <w:r w:rsidRPr="00245390">
        <w:rPr>
          <w:rFonts w:eastAsia="TimesNewRoman"/>
          <w:sz w:val="22"/>
          <w:szCs w:val="22"/>
          <w:lang w:val="sr-Latn-ME" w:eastAsia="sr-Latn-RS"/>
        </w:rPr>
        <w:t>6-23 mjeseci) i 4,3 m</w:t>
      </w:r>
      <w:r w:rsidR="00CF70CE" w:rsidRPr="00245390">
        <w:rPr>
          <w:rFonts w:eastAsia="TimesNewRoman"/>
          <w:sz w:val="22"/>
          <w:szCs w:val="22"/>
          <w:lang w:val="sr-Latn-ME" w:eastAsia="sr-Latn-RS"/>
        </w:rPr>
        <w:t>l</w:t>
      </w:r>
      <w:r w:rsidRPr="00245390">
        <w:rPr>
          <w:rFonts w:eastAsia="TimesNewRoman"/>
          <w:sz w:val="22"/>
          <w:szCs w:val="22"/>
          <w:lang w:val="sr-Latn-ME" w:eastAsia="sr-Latn-RS"/>
        </w:rPr>
        <w:t>/min/kg (</w:t>
      </w:r>
      <w:r w:rsidR="006B66D3" w:rsidRPr="00245390">
        <w:rPr>
          <w:rFonts w:eastAsia="TimesNewRoman"/>
          <w:sz w:val="22"/>
          <w:szCs w:val="22"/>
          <w:lang w:val="sr-Latn-ME" w:eastAsia="sr-Latn-RS"/>
        </w:rPr>
        <w:t xml:space="preserve">kod odojčadi uzrasta </w:t>
      </w:r>
      <w:r w:rsidRPr="00245390">
        <w:rPr>
          <w:rFonts w:eastAsia="TimesNewRoman"/>
          <w:sz w:val="22"/>
          <w:szCs w:val="22"/>
          <w:lang w:val="sr-Latn-ME" w:eastAsia="sr-Latn-RS"/>
        </w:rPr>
        <w:t>2-5 mjeseci). Približno 60% doze se izluči urinom tokom 12 sati u nepromijenjenom obliku, a 12 % u obliku metabolita.</w:t>
      </w:r>
      <w:r w:rsidR="006B66D3" w:rsidRPr="00245390">
        <w:rPr>
          <w:rFonts w:eastAsia="TimesNewRoman"/>
          <w:sz w:val="22"/>
          <w:szCs w:val="22"/>
          <w:lang w:val="sr-Latn-ME" w:eastAsia="sr-Latn-RS"/>
        </w:rPr>
        <w:t xml:space="preserve"> </w:t>
      </w:r>
      <w:r w:rsidRPr="00245390">
        <w:rPr>
          <w:rFonts w:eastAsia="TimesNewRoman"/>
          <w:sz w:val="22"/>
          <w:szCs w:val="22"/>
          <w:lang w:val="sr-Latn-ME" w:eastAsia="sr-Latn-RS"/>
        </w:rPr>
        <w:t>Koncentracija meropenema u cerebrospinalnoj tečnosti kod djece sa meningitisom je oko 20% koncentracije u plazmi, ali postoje značajne interindividualne razlike.</w:t>
      </w:r>
    </w:p>
    <w:p w14:paraId="5834D0C5" w14:textId="77777777" w:rsidR="007D25C1" w:rsidRPr="00245390" w:rsidRDefault="007D25C1">
      <w:pPr>
        <w:autoSpaceDE w:val="0"/>
        <w:autoSpaceDN w:val="0"/>
        <w:adjustRightInd w:val="0"/>
        <w:jc w:val="both"/>
        <w:rPr>
          <w:rFonts w:eastAsia="TimesNewRoman"/>
          <w:sz w:val="22"/>
          <w:szCs w:val="22"/>
          <w:lang w:val="sr-Latn-ME" w:eastAsia="sr-Latn-RS"/>
        </w:rPr>
      </w:pPr>
    </w:p>
    <w:p w14:paraId="7D3A0236" w14:textId="2DE9AD20"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Ispitivanje farmakokinetike meropenema kod novoro</w:t>
      </w:r>
      <w:r w:rsidR="006B66D3" w:rsidRPr="00245390">
        <w:rPr>
          <w:rFonts w:eastAsia="TimesNewRoman"/>
          <w:sz w:val="22"/>
          <w:szCs w:val="22"/>
          <w:lang w:val="sr-Latn-ME" w:eastAsia="sr-Latn-RS"/>
        </w:rPr>
        <w:t>đ</w:t>
      </w:r>
      <w:r w:rsidRPr="00245390">
        <w:rPr>
          <w:rFonts w:eastAsia="TimesNewRoman"/>
          <w:sz w:val="22"/>
          <w:szCs w:val="22"/>
          <w:lang w:val="sr-Latn-ME" w:eastAsia="sr-Latn-RS"/>
        </w:rPr>
        <w:t xml:space="preserve">enčadi kojima je neophodna antibiotska terapija pokazalo je veću vrijednost klirensa kod </w:t>
      </w:r>
      <w:r w:rsidR="006B66D3" w:rsidRPr="00245390">
        <w:rPr>
          <w:rFonts w:eastAsia="TimesNewRoman"/>
          <w:sz w:val="22"/>
          <w:szCs w:val="22"/>
          <w:lang w:val="sr-Latn-ME" w:eastAsia="sr-Latn-RS"/>
        </w:rPr>
        <w:t xml:space="preserve">novorođenčadi </w:t>
      </w:r>
      <w:r w:rsidRPr="00245390">
        <w:rPr>
          <w:rFonts w:eastAsia="TimesNewRoman"/>
          <w:sz w:val="22"/>
          <w:szCs w:val="22"/>
          <w:lang w:val="sr-Latn-ME" w:eastAsia="sr-Latn-RS"/>
        </w:rPr>
        <w:t>sa većom hronološkom i</w:t>
      </w:r>
      <w:r w:rsidR="006B66D3" w:rsidRPr="00245390">
        <w:rPr>
          <w:rFonts w:eastAsia="TimesNewRoman"/>
          <w:sz w:val="22"/>
          <w:szCs w:val="22"/>
          <w:lang w:val="sr-Latn-ME" w:eastAsia="sr-Latn-RS"/>
        </w:rPr>
        <w:t>li</w:t>
      </w:r>
      <w:r w:rsidRPr="00245390">
        <w:rPr>
          <w:rFonts w:eastAsia="TimesNewRoman"/>
          <w:sz w:val="22"/>
          <w:szCs w:val="22"/>
          <w:lang w:val="sr-Latn-ME" w:eastAsia="sr-Latn-RS"/>
        </w:rPr>
        <w:t xml:space="preserve"> gestacionom starošću i ukupno pros</w:t>
      </w:r>
      <w:r w:rsidR="005E7218" w:rsidRPr="00245390">
        <w:rPr>
          <w:rFonts w:eastAsia="TimesNewRoman"/>
          <w:sz w:val="22"/>
          <w:szCs w:val="22"/>
          <w:lang w:val="sr-Latn-ME" w:eastAsia="sr-Latn-RS"/>
        </w:rPr>
        <w:t>j</w:t>
      </w:r>
      <w:r w:rsidRPr="00245390">
        <w:rPr>
          <w:rFonts w:eastAsia="TimesNewRoman"/>
          <w:sz w:val="22"/>
          <w:szCs w:val="22"/>
          <w:lang w:val="sr-Latn-ME" w:eastAsia="sr-Latn-RS"/>
        </w:rPr>
        <w:t xml:space="preserve">ečno poluvrijeme eliminacije od oko 2,9 h. </w:t>
      </w:r>
      <w:r w:rsidRPr="00245390">
        <w:rPr>
          <w:i/>
          <w:iCs/>
          <w:sz w:val="22"/>
          <w:szCs w:val="22"/>
          <w:lang w:val="sr-Latn-ME" w:eastAsia="sr-Latn-RS"/>
        </w:rPr>
        <w:t xml:space="preserve">Monte Karlo </w:t>
      </w:r>
      <w:r w:rsidRPr="00245390">
        <w:rPr>
          <w:rFonts w:eastAsia="TimesNewRoman"/>
          <w:sz w:val="22"/>
          <w:szCs w:val="22"/>
          <w:lang w:val="sr-Latn-ME" w:eastAsia="sr-Latn-RS"/>
        </w:rPr>
        <w:t>simulacija zasnovana na populacionom farmakokinetičkom modelu je pokazala da se režimom doziranja od 20 mg/kg na svakih 8 sati postiže 60%T&gt;MI</w:t>
      </w:r>
      <w:r w:rsidR="00CF70CE" w:rsidRPr="00245390">
        <w:rPr>
          <w:rFonts w:eastAsia="TimesNewRoman"/>
          <w:sz w:val="22"/>
          <w:szCs w:val="22"/>
          <w:lang w:val="sr-Latn-ME" w:eastAsia="sr-Latn-RS"/>
        </w:rPr>
        <w:t>K</w:t>
      </w:r>
      <w:r w:rsidRPr="00245390">
        <w:rPr>
          <w:rFonts w:eastAsia="TimesNewRoman"/>
          <w:sz w:val="22"/>
          <w:szCs w:val="22"/>
          <w:lang w:val="sr-Latn-ME" w:eastAsia="sr-Latn-RS"/>
        </w:rPr>
        <w:t xml:space="preserve"> za </w:t>
      </w:r>
      <w:r w:rsidRPr="00245390">
        <w:rPr>
          <w:i/>
          <w:iCs/>
          <w:sz w:val="22"/>
          <w:szCs w:val="22"/>
          <w:lang w:val="sr-Latn-ME" w:eastAsia="sr-Latn-RS"/>
        </w:rPr>
        <w:t xml:space="preserve">Pseudomonas aeruginosa </w:t>
      </w:r>
      <w:r w:rsidRPr="00245390">
        <w:rPr>
          <w:rFonts w:eastAsia="TimesNewRoman"/>
          <w:sz w:val="22"/>
          <w:szCs w:val="22"/>
          <w:lang w:val="sr-Latn-ME" w:eastAsia="sr-Latn-RS"/>
        </w:rPr>
        <w:t>kod 95% prijevremeno rođene djece i 91% djece koja su rođena u terminu.</w:t>
      </w:r>
    </w:p>
    <w:p w14:paraId="3573B9FE" w14:textId="77777777" w:rsidR="007D25C1" w:rsidRPr="00245390" w:rsidRDefault="007D25C1">
      <w:pPr>
        <w:autoSpaceDE w:val="0"/>
        <w:autoSpaceDN w:val="0"/>
        <w:adjustRightInd w:val="0"/>
        <w:jc w:val="both"/>
        <w:rPr>
          <w:rFonts w:eastAsia="TimesNewRoman"/>
          <w:sz w:val="22"/>
          <w:szCs w:val="22"/>
          <w:lang w:val="sr-Latn-ME" w:eastAsia="sr-Latn-RS"/>
        </w:rPr>
      </w:pPr>
    </w:p>
    <w:p w14:paraId="33B3202A" w14:textId="77777777" w:rsidR="007D25C1" w:rsidRPr="00245390" w:rsidRDefault="007D25C1">
      <w:pPr>
        <w:autoSpaceDE w:val="0"/>
        <w:autoSpaceDN w:val="0"/>
        <w:adjustRightInd w:val="0"/>
        <w:jc w:val="both"/>
        <w:rPr>
          <w:i/>
          <w:iCs/>
          <w:sz w:val="22"/>
          <w:szCs w:val="22"/>
          <w:lang w:val="sr-Latn-ME" w:eastAsia="sr-Latn-RS"/>
        </w:rPr>
      </w:pPr>
      <w:r w:rsidRPr="00245390">
        <w:rPr>
          <w:i/>
          <w:iCs/>
          <w:sz w:val="22"/>
          <w:szCs w:val="22"/>
          <w:lang w:val="sr-Latn-ME" w:eastAsia="sr-Latn-RS"/>
        </w:rPr>
        <w:t>Stariji pacijenti</w:t>
      </w:r>
    </w:p>
    <w:p w14:paraId="3BAD14F9" w14:textId="687D883C" w:rsidR="007D25C1" w:rsidRPr="00245390" w:rsidRDefault="007D25C1" w:rsidP="00EE5F09">
      <w:pPr>
        <w:tabs>
          <w:tab w:val="left" w:pos="540"/>
          <w:tab w:val="left" w:pos="569"/>
        </w:tabs>
        <w:jc w:val="both"/>
        <w:rPr>
          <w:rFonts w:eastAsia="TimesNewRoman"/>
          <w:sz w:val="22"/>
          <w:szCs w:val="22"/>
          <w:lang w:val="sr-Latn-ME" w:eastAsia="sr-Latn-RS"/>
        </w:rPr>
      </w:pPr>
      <w:r w:rsidRPr="00245390">
        <w:rPr>
          <w:rFonts w:eastAsia="TimesNewRoman"/>
          <w:sz w:val="22"/>
          <w:szCs w:val="22"/>
          <w:lang w:val="sr-Latn-ME" w:eastAsia="sr-Latn-RS"/>
        </w:rPr>
        <w:t xml:space="preserve">Rezultati farmakokinetičkih studija na zdravim starijim dobrovoljcima (65-80 godina) su pokazali da dolazi do smanjenja klirensa lijeka iz plazme, koji je u korelaciji sa smanjenjem klirensa kreatinina zavisnog od starosti kao i manjeg smanjenja nebubrežnog klirensa. Nije potrebno prilagođavanje doze kod starijih pacijenata osim u slučajevima umjerenog do teškog oštećenja funkcije bubrega (vidjeti </w:t>
      </w:r>
      <w:r w:rsidR="00513009" w:rsidRPr="00245390">
        <w:rPr>
          <w:rFonts w:eastAsia="TimesNewRoman"/>
          <w:sz w:val="22"/>
          <w:szCs w:val="22"/>
          <w:lang w:val="sr-Latn-ME" w:eastAsia="sr-Latn-RS"/>
        </w:rPr>
        <w:t>dio</w:t>
      </w:r>
      <w:r w:rsidRPr="00245390">
        <w:rPr>
          <w:rFonts w:eastAsia="TimesNewRoman"/>
          <w:sz w:val="22"/>
          <w:szCs w:val="22"/>
          <w:lang w:val="sr-Latn-ME" w:eastAsia="sr-Latn-RS"/>
        </w:rPr>
        <w:t xml:space="preserve"> 4.2).</w:t>
      </w:r>
    </w:p>
    <w:p w14:paraId="05D5FA2D" w14:textId="77777777" w:rsidR="007D25C1" w:rsidRPr="00245390" w:rsidRDefault="007D25C1" w:rsidP="00EE5F09">
      <w:pPr>
        <w:tabs>
          <w:tab w:val="left" w:pos="540"/>
          <w:tab w:val="left" w:pos="569"/>
        </w:tabs>
        <w:jc w:val="both"/>
        <w:rPr>
          <w:bCs/>
          <w:sz w:val="22"/>
          <w:szCs w:val="22"/>
          <w:lang w:val="sr-Latn-ME"/>
        </w:rPr>
      </w:pPr>
    </w:p>
    <w:p w14:paraId="021C6527" w14:textId="77777777" w:rsidR="0072020E" w:rsidRPr="00245390" w:rsidRDefault="0072020E" w:rsidP="00EE5F09">
      <w:pPr>
        <w:tabs>
          <w:tab w:val="left" w:pos="540"/>
          <w:tab w:val="left" w:pos="569"/>
        </w:tabs>
        <w:jc w:val="both"/>
        <w:rPr>
          <w:b/>
          <w:bCs/>
          <w:sz w:val="22"/>
          <w:szCs w:val="22"/>
          <w:lang w:val="sr-Latn-ME"/>
        </w:rPr>
      </w:pPr>
      <w:r w:rsidRPr="00245390">
        <w:rPr>
          <w:b/>
          <w:bCs/>
          <w:sz w:val="22"/>
          <w:szCs w:val="22"/>
          <w:lang w:val="sr-Latn-ME"/>
        </w:rPr>
        <w:t xml:space="preserve">5.3. </w:t>
      </w:r>
      <w:r w:rsidR="00480FB1" w:rsidRPr="00245390">
        <w:rPr>
          <w:b/>
          <w:bCs/>
          <w:sz w:val="22"/>
          <w:szCs w:val="22"/>
          <w:lang w:val="sr-Latn-ME"/>
        </w:rPr>
        <w:tab/>
      </w:r>
      <w:r w:rsidRPr="00245390">
        <w:rPr>
          <w:b/>
          <w:bCs/>
          <w:sz w:val="22"/>
          <w:szCs w:val="22"/>
          <w:lang w:val="sr-Latn-ME"/>
        </w:rPr>
        <w:t xml:space="preserve">Pretklinički podaci o bezbjednosti </w:t>
      </w:r>
    </w:p>
    <w:p w14:paraId="166133E2" w14:textId="77777777" w:rsidR="00836B35" w:rsidRPr="00245390" w:rsidRDefault="00836B35" w:rsidP="00EE5F09">
      <w:pPr>
        <w:tabs>
          <w:tab w:val="left" w:pos="540"/>
          <w:tab w:val="left" w:pos="569"/>
        </w:tabs>
        <w:jc w:val="both"/>
        <w:rPr>
          <w:bCs/>
          <w:sz w:val="22"/>
          <w:szCs w:val="22"/>
          <w:lang w:val="sr-Latn-ME"/>
        </w:rPr>
      </w:pPr>
    </w:p>
    <w:p w14:paraId="5D73AE3F"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Studije na životinjama ukazuju na dobru renalnu podnošljivost meropenema. Histološki dokazi oštećenja tubula bubrega uočeni su kod miševa i pasa samo pri dozama od 2000 mg/kg i većim nakon jednokratne primjene i kod majmuna pri dozama od 500 mg/kg tokom sedmodnevne studije.</w:t>
      </w:r>
    </w:p>
    <w:p w14:paraId="39F08479" w14:textId="77777777" w:rsidR="007D25C1" w:rsidRPr="00245390" w:rsidRDefault="007D25C1">
      <w:pPr>
        <w:autoSpaceDE w:val="0"/>
        <w:autoSpaceDN w:val="0"/>
        <w:adjustRightInd w:val="0"/>
        <w:jc w:val="both"/>
        <w:rPr>
          <w:rFonts w:eastAsia="TimesNewRoman"/>
          <w:sz w:val="22"/>
          <w:szCs w:val="22"/>
          <w:lang w:val="sr-Latn-ME" w:eastAsia="sr-Latn-RS"/>
        </w:rPr>
      </w:pPr>
    </w:p>
    <w:p w14:paraId="5B16EAC6" w14:textId="7789C7F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Meropenem se</w:t>
      </w:r>
      <w:r w:rsidR="006B66D3" w:rsidRPr="00245390">
        <w:rPr>
          <w:rFonts w:eastAsia="TimesNewRoman"/>
          <w:sz w:val="22"/>
          <w:szCs w:val="22"/>
          <w:lang w:val="sr-Latn-ME" w:eastAsia="sr-Latn-RS"/>
        </w:rPr>
        <w:t xml:space="preserve"> u principu</w:t>
      </w:r>
      <w:r w:rsidRPr="00245390">
        <w:rPr>
          <w:rFonts w:eastAsia="TimesNewRoman"/>
          <w:sz w:val="22"/>
          <w:szCs w:val="22"/>
          <w:lang w:val="sr-Latn-ME" w:eastAsia="sr-Latn-RS"/>
        </w:rPr>
        <w:t xml:space="preserve"> dobro podnosi od strane centralnog nervnog sistema. Efekti se vide u studijama akutne toksičnosti kod glodara pri dozama većim od 1000 mg/kg.</w:t>
      </w:r>
    </w:p>
    <w:p w14:paraId="19399F73" w14:textId="77777777" w:rsidR="007D25C1" w:rsidRPr="00245390" w:rsidRDefault="007D25C1">
      <w:pPr>
        <w:autoSpaceDE w:val="0"/>
        <w:autoSpaceDN w:val="0"/>
        <w:adjustRightInd w:val="0"/>
        <w:jc w:val="both"/>
        <w:rPr>
          <w:rFonts w:eastAsia="TimesNewRoman"/>
          <w:sz w:val="22"/>
          <w:szCs w:val="22"/>
          <w:lang w:val="sr-Latn-ME" w:eastAsia="sr-Latn-RS"/>
        </w:rPr>
      </w:pPr>
    </w:p>
    <w:p w14:paraId="52A6B95F"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Kod primjene i.v. doze LD50 vrijednost kod glodara je veća od 2000 mg/kg.</w:t>
      </w:r>
    </w:p>
    <w:p w14:paraId="61224CFF" w14:textId="77777777" w:rsidR="007D25C1" w:rsidRPr="00245390" w:rsidRDefault="007D25C1">
      <w:pPr>
        <w:autoSpaceDE w:val="0"/>
        <w:autoSpaceDN w:val="0"/>
        <w:adjustRightInd w:val="0"/>
        <w:jc w:val="both"/>
        <w:rPr>
          <w:rFonts w:eastAsia="TimesNewRoman"/>
          <w:sz w:val="22"/>
          <w:szCs w:val="22"/>
          <w:lang w:val="sr-Latn-ME" w:eastAsia="sr-Latn-RS"/>
        </w:rPr>
      </w:pPr>
    </w:p>
    <w:p w14:paraId="7BF0CA8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U studijama ponovljenog doziranja (do 6 mjeseci) kod pasa uočeni su samo manji efekti, uključujući smanjenje parametara crvenih krvnih zrnaca.</w:t>
      </w:r>
    </w:p>
    <w:p w14:paraId="2273E8E5"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Nema dokaza o mutagenom potencijalu meropenema (na osnovu konvencionalnih testova) i nema dokaza o reproduktivnoj toksičnosti, uključujući teratogeni potencijal pri dozama do 750 mg/kg u studijama na pacovima i do 360 mg/kg u studijama na majmunima.</w:t>
      </w:r>
    </w:p>
    <w:p w14:paraId="7A3C57A2" w14:textId="77777777" w:rsidR="007D25C1" w:rsidRPr="00245390" w:rsidRDefault="007D25C1">
      <w:pPr>
        <w:autoSpaceDE w:val="0"/>
        <w:autoSpaceDN w:val="0"/>
        <w:adjustRightInd w:val="0"/>
        <w:jc w:val="both"/>
        <w:rPr>
          <w:rFonts w:eastAsia="TimesNewRoman"/>
          <w:sz w:val="22"/>
          <w:szCs w:val="22"/>
          <w:lang w:val="sr-Latn-ME" w:eastAsia="sr-Latn-RS"/>
        </w:rPr>
      </w:pPr>
    </w:p>
    <w:p w14:paraId="77FAD576" w14:textId="77777777"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Nema dokaza o povećanoj osjetljivosti na meropenem kod mladunaca u odnosu na odrasle životinje. Intravenska formulacija se dobro podnosila u studijama na životinjama.</w:t>
      </w:r>
    </w:p>
    <w:p w14:paraId="6CDC1A8F" w14:textId="77777777" w:rsidR="007D25C1" w:rsidRPr="00245390" w:rsidRDefault="007D25C1">
      <w:pPr>
        <w:autoSpaceDE w:val="0"/>
        <w:autoSpaceDN w:val="0"/>
        <w:adjustRightInd w:val="0"/>
        <w:jc w:val="both"/>
        <w:rPr>
          <w:rFonts w:eastAsia="TimesNewRoman"/>
          <w:sz w:val="22"/>
          <w:szCs w:val="22"/>
          <w:lang w:val="sr-Latn-ME" w:eastAsia="sr-Latn-RS"/>
        </w:rPr>
      </w:pPr>
    </w:p>
    <w:p w14:paraId="52F3C22E" w14:textId="77777777" w:rsidR="007D25C1" w:rsidRPr="00245390" w:rsidRDefault="007D25C1">
      <w:pPr>
        <w:tabs>
          <w:tab w:val="left" w:pos="540"/>
          <w:tab w:val="left" w:pos="569"/>
        </w:tabs>
        <w:jc w:val="both"/>
        <w:rPr>
          <w:b/>
          <w:bCs/>
          <w:sz w:val="22"/>
          <w:szCs w:val="22"/>
          <w:lang w:val="sr-Latn-ME"/>
        </w:rPr>
      </w:pPr>
      <w:r w:rsidRPr="00245390">
        <w:rPr>
          <w:rFonts w:eastAsia="TimesNewRoman"/>
          <w:sz w:val="22"/>
          <w:szCs w:val="22"/>
          <w:lang w:val="sr-Latn-ME" w:eastAsia="sr-Latn-RS"/>
        </w:rPr>
        <w:t>Jedan metabolit meropenema je pokazao sličan profil toksičnosti kao meropenem u studijama na životinjama.</w:t>
      </w:r>
    </w:p>
    <w:p w14:paraId="2A10123F" w14:textId="0F540A75" w:rsidR="00396DFD" w:rsidRPr="00245390" w:rsidRDefault="00396DFD" w:rsidP="00480FB1">
      <w:pPr>
        <w:tabs>
          <w:tab w:val="left" w:pos="540"/>
          <w:tab w:val="left" w:pos="569"/>
        </w:tabs>
        <w:rPr>
          <w:b/>
          <w:bCs/>
          <w:sz w:val="22"/>
          <w:szCs w:val="22"/>
          <w:lang w:val="sr-Latn-ME"/>
        </w:rPr>
      </w:pPr>
    </w:p>
    <w:p w14:paraId="2621D165" w14:textId="77777777" w:rsidR="00C314A1" w:rsidRPr="00245390" w:rsidRDefault="00C314A1" w:rsidP="00480FB1">
      <w:pPr>
        <w:tabs>
          <w:tab w:val="left" w:pos="540"/>
          <w:tab w:val="left" w:pos="569"/>
        </w:tabs>
        <w:rPr>
          <w:b/>
          <w:bCs/>
          <w:sz w:val="22"/>
          <w:szCs w:val="22"/>
          <w:lang w:val="sr-Latn-ME"/>
        </w:rPr>
      </w:pPr>
    </w:p>
    <w:p w14:paraId="4598BB5D"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 </w:t>
      </w:r>
      <w:r w:rsidR="00480FB1" w:rsidRPr="00245390">
        <w:rPr>
          <w:b/>
          <w:bCs/>
          <w:sz w:val="22"/>
          <w:szCs w:val="22"/>
          <w:lang w:val="sr-Latn-ME"/>
        </w:rPr>
        <w:tab/>
      </w:r>
      <w:r w:rsidRPr="00245390">
        <w:rPr>
          <w:b/>
          <w:bCs/>
          <w:sz w:val="22"/>
          <w:szCs w:val="22"/>
          <w:lang w:val="sr-Latn-ME"/>
        </w:rPr>
        <w:t>FARMACEUTSKI PODACI</w:t>
      </w:r>
    </w:p>
    <w:p w14:paraId="0F58B106" w14:textId="77777777" w:rsidR="00836B35" w:rsidRPr="00245390" w:rsidRDefault="00836B35" w:rsidP="00480FB1">
      <w:pPr>
        <w:tabs>
          <w:tab w:val="left" w:pos="540"/>
          <w:tab w:val="left" w:pos="569"/>
        </w:tabs>
        <w:rPr>
          <w:bCs/>
          <w:sz w:val="22"/>
          <w:szCs w:val="22"/>
          <w:lang w:val="sr-Latn-ME"/>
        </w:rPr>
      </w:pPr>
    </w:p>
    <w:p w14:paraId="588BE0E3"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6.1. </w:t>
      </w:r>
      <w:r w:rsidR="00480FB1" w:rsidRPr="00245390">
        <w:rPr>
          <w:b/>
          <w:bCs/>
          <w:sz w:val="22"/>
          <w:szCs w:val="22"/>
          <w:lang w:val="sr-Latn-ME"/>
        </w:rPr>
        <w:tab/>
      </w:r>
      <w:r w:rsidRPr="00245390">
        <w:rPr>
          <w:b/>
          <w:bCs/>
          <w:sz w:val="22"/>
          <w:szCs w:val="22"/>
          <w:lang w:val="sr-Latn-ME"/>
        </w:rPr>
        <w:t>Lista pomoćnih supstanci</w:t>
      </w:r>
      <w:r w:rsidR="002E0135" w:rsidRPr="00245390">
        <w:rPr>
          <w:b/>
          <w:bCs/>
          <w:sz w:val="22"/>
          <w:szCs w:val="22"/>
          <w:lang w:val="sr-Latn-ME"/>
        </w:rPr>
        <w:t xml:space="preserve"> (ekscipijenasa)</w:t>
      </w:r>
    </w:p>
    <w:p w14:paraId="093F36AA" w14:textId="7150B79B" w:rsidR="0072020E" w:rsidRPr="00245390" w:rsidRDefault="0072020E" w:rsidP="00480FB1">
      <w:pPr>
        <w:tabs>
          <w:tab w:val="left" w:pos="540"/>
          <w:tab w:val="left" w:pos="569"/>
        </w:tabs>
        <w:rPr>
          <w:bCs/>
          <w:sz w:val="22"/>
          <w:szCs w:val="22"/>
          <w:lang w:val="sr-Latn-ME"/>
        </w:rPr>
      </w:pPr>
    </w:p>
    <w:p w14:paraId="6CC57DEC" w14:textId="6D9A2038" w:rsidR="007D25C1" w:rsidRPr="00245390" w:rsidRDefault="007D25C1" w:rsidP="007D25C1">
      <w:pPr>
        <w:tabs>
          <w:tab w:val="left" w:pos="540"/>
          <w:tab w:val="left" w:pos="569"/>
        </w:tabs>
        <w:jc w:val="both"/>
        <w:rPr>
          <w:b/>
          <w:bCs/>
          <w:sz w:val="22"/>
          <w:szCs w:val="22"/>
          <w:lang w:val="sr-Latn-ME"/>
        </w:rPr>
      </w:pPr>
      <w:r w:rsidRPr="00245390">
        <w:rPr>
          <w:rFonts w:eastAsia="TimesNewRoman"/>
          <w:sz w:val="22"/>
          <w:szCs w:val="22"/>
          <w:lang w:val="sr-Latn-ME" w:eastAsia="sr-Latn-RS"/>
        </w:rPr>
        <w:t>Natrijum</w:t>
      </w:r>
      <w:r w:rsidR="00C314A1" w:rsidRPr="00245390">
        <w:rPr>
          <w:rFonts w:eastAsia="TimesNewRoman"/>
          <w:sz w:val="22"/>
          <w:szCs w:val="22"/>
          <w:lang w:val="sr-Latn-ME" w:eastAsia="sr-Latn-RS"/>
        </w:rPr>
        <w:t xml:space="preserve"> </w:t>
      </w:r>
      <w:r w:rsidRPr="00245390">
        <w:rPr>
          <w:rFonts w:eastAsia="TimesNewRoman"/>
          <w:sz w:val="22"/>
          <w:szCs w:val="22"/>
          <w:lang w:val="sr-Latn-ME" w:eastAsia="sr-Latn-RS"/>
        </w:rPr>
        <w:t>karbonat.</w:t>
      </w:r>
    </w:p>
    <w:p w14:paraId="40A09D76" w14:textId="77777777" w:rsidR="007D25C1" w:rsidRPr="00245390" w:rsidRDefault="007D25C1" w:rsidP="00480FB1">
      <w:pPr>
        <w:tabs>
          <w:tab w:val="left" w:pos="540"/>
          <w:tab w:val="left" w:pos="569"/>
        </w:tabs>
        <w:rPr>
          <w:bCs/>
          <w:sz w:val="22"/>
          <w:szCs w:val="22"/>
          <w:lang w:val="sr-Latn-ME"/>
        </w:rPr>
      </w:pPr>
    </w:p>
    <w:p w14:paraId="5920D533"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6.2. </w:t>
      </w:r>
      <w:r w:rsidR="00480FB1" w:rsidRPr="00245390">
        <w:rPr>
          <w:b/>
          <w:bCs/>
          <w:sz w:val="22"/>
          <w:szCs w:val="22"/>
          <w:lang w:val="sr-Latn-ME"/>
        </w:rPr>
        <w:tab/>
      </w:r>
      <w:r w:rsidRPr="00245390">
        <w:rPr>
          <w:b/>
          <w:bCs/>
          <w:sz w:val="22"/>
          <w:szCs w:val="22"/>
          <w:lang w:val="sr-Latn-ME"/>
        </w:rPr>
        <w:t>Inkompatibilnost</w:t>
      </w:r>
      <w:r w:rsidR="002846DB" w:rsidRPr="00245390">
        <w:rPr>
          <w:b/>
          <w:bCs/>
          <w:sz w:val="22"/>
          <w:szCs w:val="22"/>
          <w:lang w:val="sr-Latn-ME"/>
        </w:rPr>
        <w:t>i</w:t>
      </w:r>
    </w:p>
    <w:p w14:paraId="5B9FDD44" w14:textId="57F8F240" w:rsidR="0072020E" w:rsidRPr="00245390" w:rsidRDefault="0072020E" w:rsidP="00480FB1">
      <w:pPr>
        <w:tabs>
          <w:tab w:val="left" w:pos="540"/>
          <w:tab w:val="left" w:pos="569"/>
        </w:tabs>
        <w:rPr>
          <w:bCs/>
          <w:sz w:val="22"/>
          <w:szCs w:val="22"/>
          <w:lang w:val="sr-Latn-ME"/>
        </w:rPr>
      </w:pPr>
    </w:p>
    <w:p w14:paraId="3436DAD8" w14:textId="3955348C" w:rsidR="007D25C1" w:rsidRPr="00245390" w:rsidRDefault="00C77082"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 xml:space="preserve">Ovaj lijek se ne smije </w:t>
      </w:r>
      <w:r w:rsidR="005E7218" w:rsidRPr="00245390">
        <w:rPr>
          <w:rFonts w:eastAsia="TimesNewRoman"/>
          <w:sz w:val="22"/>
          <w:szCs w:val="22"/>
          <w:lang w:val="sr-Latn-ME" w:eastAsia="sr-Latn-RS"/>
        </w:rPr>
        <w:t>miješati</w:t>
      </w:r>
      <w:r w:rsidRPr="00245390">
        <w:rPr>
          <w:rFonts w:eastAsia="TimesNewRoman"/>
          <w:sz w:val="22"/>
          <w:szCs w:val="22"/>
          <w:lang w:val="sr-Latn-ME" w:eastAsia="sr-Latn-RS"/>
        </w:rPr>
        <w:t xml:space="preserve"> sa drugim ljekovima, osim sa onima koji su navedeni u </w:t>
      </w:r>
      <w:r w:rsidR="00C314A1" w:rsidRPr="00245390">
        <w:rPr>
          <w:rFonts w:eastAsia="TimesNewRoman"/>
          <w:sz w:val="22"/>
          <w:szCs w:val="22"/>
          <w:lang w:val="sr-Latn-ME" w:eastAsia="sr-Latn-RS"/>
        </w:rPr>
        <w:t xml:space="preserve">dijelu </w:t>
      </w:r>
      <w:r w:rsidRPr="00245390">
        <w:rPr>
          <w:rFonts w:eastAsia="TimesNewRoman"/>
          <w:sz w:val="22"/>
          <w:szCs w:val="22"/>
          <w:lang w:val="sr-Latn-ME" w:eastAsia="sr-Latn-RS"/>
        </w:rPr>
        <w:t>6.6.</w:t>
      </w:r>
    </w:p>
    <w:p w14:paraId="0472691B" w14:textId="77777777" w:rsidR="007D25C1" w:rsidRPr="00245390" w:rsidRDefault="007D25C1" w:rsidP="00480FB1">
      <w:pPr>
        <w:tabs>
          <w:tab w:val="left" w:pos="540"/>
          <w:tab w:val="left" w:pos="569"/>
        </w:tabs>
        <w:rPr>
          <w:bCs/>
          <w:sz w:val="22"/>
          <w:szCs w:val="22"/>
          <w:lang w:val="sr-Latn-ME"/>
        </w:rPr>
      </w:pPr>
    </w:p>
    <w:p w14:paraId="1EF86E72"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6.3.</w:t>
      </w:r>
      <w:r w:rsidR="00C05DF8" w:rsidRPr="00245390">
        <w:rPr>
          <w:b/>
          <w:bCs/>
          <w:sz w:val="22"/>
          <w:szCs w:val="22"/>
          <w:lang w:val="sr-Latn-ME"/>
        </w:rPr>
        <w:t xml:space="preserve"> </w:t>
      </w:r>
      <w:r w:rsidR="00480FB1" w:rsidRPr="00245390">
        <w:rPr>
          <w:b/>
          <w:bCs/>
          <w:sz w:val="22"/>
          <w:szCs w:val="22"/>
          <w:lang w:val="sr-Latn-ME"/>
        </w:rPr>
        <w:tab/>
      </w:r>
      <w:r w:rsidRPr="00245390">
        <w:rPr>
          <w:b/>
          <w:bCs/>
          <w:sz w:val="22"/>
          <w:szCs w:val="22"/>
          <w:lang w:val="sr-Latn-ME"/>
        </w:rPr>
        <w:t>Rok upotrebe</w:t>
      </w:r>
    </w:p>
    <w:p w14:paraId="3BB1BEBE" w14:textId="3DD06BDE" w:rsidR="0072020E" w:rsidRPr="00245390" w:rsidRDefault="0072020E" w:rsidP="00480FB1">
      <w:pPr>
        <w:tabs>
          <w:tab w:val="left" w:pos="540"/>
          <w:tab w:val="left" w:pos="569"/>
        </w:tabs>
        <w:rPr>
          <w:bCs/>
          <w:sz w:val="22"/>
          <w:szCs w:val="22"/>
          <w:lang w:val="sr-Latn-ME"/>
        </w:rPr>
      </w:pPr>
    </w:p>
    <w:p w14:paraId="1008CC50" w14:textId="4284D20E" w:rsidR="007D25C1" w:rsidRPr="00245390" w:rsidRDefault="007D25C1" w:rsidP="007D25C1">
      <w:pPr>
        <w:autoSpaceDE w:val="0"/>
        <w:autoSpaceDN w:val="0"/>
        <w:adjustRightInd w:val="0"/>
        <w:jc w:val="both"/>
        <w:rPr>
          <w:i/>
          <w:iCs/>
          <w:sz w:val="22"/>
          <w:szCs w:val="22"/>
          <w:lang w:val="sr-Latn-ME" w:eastAsia="sr-Latn-RS"/>
        </w:rPr>
      </w:pPr>
      <w:r w:rsidRPr="00245390">
        <w:rPr>
          <w:i/>
          <w:iCs/>
          <w:sz w:val="22"/>
          <w:szCs w:val="22"/>
          <w:lang w:val="sr-Latn-ME" w:eastAsia="sr-Latn-RS"/>
        </w:rPr>
        <w:lastRenderedPageBreak/>
        <w:t xml:space="preserve">Rok upotrebe </w:t>
      </w:r>
      <w:r w:rsidR="00C77082" w:rsidRPr="00245390">
        <w:rPr>
          <w:i/>
          <w:iCs/>
          <w:sz w:val="22"/>
          <w:szCs w:val="22"/>
          <w:lang w:val="sr-Latn-ME" w:eastAsia="sr-Latn-RS"/>
        </w:rPr>
        <w:t>neotvorenog lijeka:</w:t>
      </w:r>
    </w:p>
    <w:p w14:paraId="3C92D0BC" w14:textId="77777777" w:rsidR="007D25C1" w:rsidRPr="00245390" w:rsidRDefault="007D25C1" w:rsidP="007D25C1">
      <w:pPr>
        <w:tabs>
          <w:tab w:val="left" w:pos="540"/>
          <w:tab w:val="left" w:pos="569"/>
        </w:tabs>
        <w:jc w:val="both"/>
        <w:rPr>
          <w:rFonts w:eastAsia="TimesNewRoman"/>
          <w:sz w:val="22"/>
          <w:szCs w:val="22"/>
          <w:lang w:val="sr-Latn-ME" w:eastAsia="sr-Latn-RS"/>
        </w:rPr>
      </w:pPr>
      <w:r w:rsidRPr="00245390">
        <w:rPr>
          <w:rFonts w:eastAsia="TimesNewRoman"/>
          <w:sz w:val="22"/>
          <w:szCs w:val="22"/>
          <w:lang w:val="sr-Latn-ME" w:eastAsia="sr-Latn-RS"/>
        </w:rPr>
        <w:t>3 godine</w:t>
      </w:r>
    </w:p>
    <w:p w14:paraId="675E948F" w14:textId="77777777" w:rsidR="007D25C1" w:rsidRPr="00245390" w:rsidRDefault="007D25C1" w:rsidP="007D25C1">
      <w:pPr>
        <w:tabs>
          <w:tab w:val="left" w:pos="540"/>
          <w:tab w:val="left" w:pos="569"/>
        </w:tabs>
        <w:jc w:val="both"/>
        <w:rPr>
          <w:rFonts w:eastAsia="TimesNewRoman"/>
          <w:sz w:val="22"/>
          <w:szCs w:val="22"/>
          <w:lang w:val="sr-Latn-ME" w:eastAsia="sr-Latn-RS"/>
        </w:rPr>
      </w:pPr>
    </w:p>
    <w:p w14:paraId="3276311B" w14:textId="7C7B3727" w:rsidR="007D25C1" w:rsidRPr="00245390" w:rsidRDefault="007D25C1" w:rsidP="007D25C1">
      <w:pPr>
        <w:autoSpaceDE w:val="0"/>
        <w:autoSpaceDN w:val="0"/>
        <w:adjustRightInd w:val="0"/>
        <w:jc w:val="both"/>
        <w:rPr>
          <w:i/>
          <w:iCs/>
          <w:sz w:val="22"/>
          <w:szCs w:val="22"/>
          <w:lang w:val="sr-Latn-ME" w:eastAsia="sr-Latn-RS"/>
        </w:rPr>
      </w:pPr>
      <w:r w:rsidRPr="00245390">
        <w:rPr>
          <w:i/>
          <w:iCs/>
          <w:sz w:val="22"/>
          <w:szCs w:val="22"/>
          <w:lang w:val="sr-Latn-ME" w:eastAsia="sr-Latn-RS"/>
        </w:rPr>
        <w:t xml:space="preserve">Rok upotrebe nakon </w:t>
      </w:r>
      <w:r w:rsidR="00C77082" w:rsidRPr="00245390">
        <w:rPr>
          <w:i/>
          <w:iCs/>
          <w:sz w:val="22"/>
          <w:szCs w:val="22"/>
          <w:lang w:val="sr-Latn-ME" w:eastAsia="sr-Latn-RS"/>
        </w:rPr>
        <w:t>rekonstitucije/razblaženja:</w:t>
      </w:r>
    </w:p>
    <w:p w14:paraId="7B4695A6" w14:textId="6ED198D2" w:rsidR="007D25C1" w:rsidRPr="00245390" w:rsidRDefault="007D25C1" w:rsidP="007D25C1">
      <w:pPr>
        <w:tabs>
          <w:tab w:val="left" w:pos="540"/>
          <w:tab w:val="left" w:pos="569"/>
        </w:tabs>
        <w:jc w:val="both"/>
        <w:rPr>
          <w:b/>
          <w:bCs/>
          <w:sz w:val="22"/>
          <w:szCs w:val="22"/>
          <w:lang w:val="sr-Latn-ME"/>
        </w:rPr>
      </w:pPr>
    </w:p>
    <w:p w14:paraId="3755845F" w14:textId="63501ED1" w:rsidR="00C77082" w:rsidRPr="00245390" w:rsidRDefault="00C77082" w:rsidP="00C77082">
      <w:pPr>
        <w:rPr>
          <w:b/>
          <w:sz w:val="22"/>
          <w:szCs w:val="20"/>
          <w:u w:val="single"/>
          <w:lang w:val="sr-Latn-ME"/>
        </w:rPr>
      </w:pPr>
      <w:r w:rsidRPr="00245390">
        <w:rPr>
          <w:b/>
          <w:sz w:val="22"/>
          <w:szCs w:val="20"/>
          <w:u w:val="single"/>
          <w:lang w:val="sr-Latn-ME"/>
        </w:rPr>
        <w:t>Prim</w:t>
      </w:r>
      <w:r w:rsidR="00E87EE5" w:rsidRPr="00245390">
        <w:rPr>
          <w:b/>
          <w:sz w:val="22"/>
          <w:szCs w:val="20"/>
          <w:u w:val="single"/>
          <w:lang w:val="sr-Latn-ME"/>
        </w:rPr>
        <w:t>j</w:t>
      </w:r>
      <w:r w:rsidRPr="00245390">
        <w:rPr>
          <w:b/>
          <w:sz w:val="22"/>
          <w:szCs w:val="20"/>
          <w:u w:val="single"/>
          <w:lang w:val="sr-Latn-ME"/>
        </w:rPr>
        <w:t>ena intravenske bolus injekcije</w:t>
      </w:r>
    </w:p>
    <w:p w14:paraId="66C41211" w14:textId="6FCB8E45" w:rsidR="00C77082" w:rsidRPr="00245390" w:rsidRDefault="00C77082" w:rsidP="00EE5F09">
      <w:pPr>
        <w:jc w:val="both"/>
        <w:rPr>
          <w:sz w:val="22"/>
          <w:szCs w:val="20"/>
          <w:lang w:val="sr-Latn-ME"/>
        </w:rPr>
      </w:pPr>
      <w:r w:rsidRPr="00245390">
        <w:rPr>
          <w:sz w:val="22"/>
          <w:szCs w:val="20"/>
          <w:lang w:val="sr-Latn-ME"/>
        </w:rPr>
        <w:t>Rastvor za bolus injekciju priprema se rastvaranjem l</w:t>
      </w:r>
      <w:r w:rsidR="00E87EE5" w:rsidRPr="00245390">
        <w:rPr>
          <w:sz w:val="22"/>
          <w:szCs w:val="20"/>
          <w:lang w:val="sr-Latn-ME"/>
        </w:rPr>
        <w:t>ij</w:t>
      </w:r>
      <w:r w:rsidRPr="00245390">
        <w:rPr>
          <w:sz w:val="22"/>
          <w:szCs w:val="20"/>
          <w:lang w:val="sr-Latn-ME"/>
        </w:rPr>
        <w:t>eka u vodi za injekcije do finalne koncentracije od 50 mg/m</w:t>
      </w:r>
      <w:r w:rsidR="00E87EE5" w:rsidRPr="00245390">
        <w:rPr>
          <w:sz w:val="22"/>
          <w:szCs w:val="20"/>
          <w:lang w:val="sr-Latn-ME"/>
        </w:rPr>
        <w:t>l</w:t>
      </w:r>
      <w:r w:rsidRPr="00245390">
        <w:rPr>
          <w:sz w:val="22"/>
          <w:szCs w:val="20"/>
          <w:lang w:val="sr-Latn-ME"/>
        </w:rPr>
        <w:t xml:space="preserve">. </w:t>
      </w:r>
      <w:bookmarkStart w:id="10" w:name="_Hlk42158109"/>
      <w:r w:rsidRPr="00245390">
        <w:rPr>
          <w:sz w:val="22"/>
          <w:szCs w:val="20"/>
          <w:lang w:val="sr-Latn-ME"/>
        </w:rPr>
        <w:t>Dokazana hemijska i fizička stabilnost pripremljenog rastvora za bolus injekciju je 3 sata na temperaturi do 25°C ili 12 sati u frižideru (</w:t>
      </w:r>
      <w:bookmarkStart w:id="11" w:name="_Hlk42157022"/>
      <w:r w:rsidRPr="00245390">
        <w:rPr>
          <w:sz w:val="22"/>
          <w:szCs w:val="20"/>
          <w:lang w:val="sr-Latn-ME"/>
        </w:rPr>
        <w:t xml:space="preserve">na temperaturi </w:t>
      </w:r>
      <w:bookmarkEnd w:id="11"/>
      <w:r w:rsidRPr="00245390">
        <w:rPr>
          <w:sz w:val="22"/>
          <w:szCs w:val="20"/>
          <w:lang w:val="sr-Latn-ME"/>
        </w:rPr>
        <w:t>2</w:t>
      </w:r>
      <w:r w:rsidR="00C314A1" w:rsidRPr="00245390">
        <w:rPr>
          <w:sz w:val="22"/>
          <w:szCs w:val="20"/>
          <w:lang w:val="sr-Latn-ME"/>
        </w:rPr>
        <w:t>°C</w:t>
      </w:r>
      <w:r w:rsidRPr="00245390">
        <w:rPr>
          <w:sz w:val="22"/>
          <w:szCs w:val="20"/>
          <w:lang w:val="sr-Latn-ME"/>
        </w:rPr>
        <w:t>-8°C).</w:t>
      </w:r>
    </w:p>
    <w:p w14:paraId="0AF6030D" w14:textId="77777777" w:rsidR="00C77082" w:rsidRPr="00245390" w:rsidRDefault="00C77082" w:rsidP="00EE5F09">
      <w:pPr>
        <w:jc w:val="both"/>
        <w:rPr>
          <w:sz w:val="22"/>
          <w:szCs w:val="20"/>
          <w:lang w:val="sr-Latn-ME"/>
        </w:rPr>
      </w:pPr>
    </w:p>
    <w:bookmarkEnd w:id="10"/>
    <w:p w14:paraId="13FA043F" w14:textId="3C310B1B" w:rsidR="00C77082" w:rsidRPr="00245390" w:rsidRDefault="00C77082" w:rsidP="00EE5F09">
      <w:pPr>
        <w:jc w:val="both"/>
        <w:rPr>
          <w:sz w:val="22"/>
          <w:szCs w:val="20"/>
          <w:lang w:val="sr-Latn-ME"/>
        </w:rPr>
      </w:pPr>
      <w:r w:rsidRPr="00245390">
        <w:rPr>
          <w:sz w:val="22"/>
          <w:szCs w:val="20"/>
          <w:lang w:val="sr-Latn-ME"/>
        </w:rPr>
        <w:t>S</w:t>
      </w:r>
      <w:r w:rsidR="00C314A1" w:rsidRPr="00245390">
        <w:rPr>
          <w:sz w:val="22"/>
          <w:szCs w:val="20"/>
          <w:lang w:val="sr-Latn-ME"/>
        </w:rPr>
        <w:t>a</w:t>
      </w:r>
      <w:r w:rsidRPr="00245390">
        <w:rPr>
          <w:sz w:val="22"/>
          <w:szCs w:val="20"/>
          <w:lang w:val="sr-Latn-ME"/>
        </w:rPr>
        <w:t xml:space="preserve"> mikrobiološke tačke gledišta, izuzev u slučaju da način otvaranja/rekonstitucije/razblaživanja isključuje rizik od mikrobiološke kontaminacije, l</w:t>
      </w:r>
      <w:r w:rsidR="00E87EE5" w:rsidRPr="00245390">
        <w:rPr>
          <w:sz w:val="22"/>
          <w:szCs w:val="20"/>
          <w:lang w:val="sr-Latn-ME"/>
        </w:rPr>
        <w:t>ij</w:t>
      </w:r>
      <w:r w:rsidRPr="00245390">
        <w:rPr>
          <w:sz w:val="22"/>
          <w:szCs w:val="20"/>
          <w:lang w:val="sr-Latn-ME"/>
        </w:rPr>
        <w:t>ek treba upotr</w:t>
      </w:r>
      <w:r w:rsidR="00C314A1" w:rsidRPr="00245390">
        <w:rPr>
          <w:sz w:val="22"/>
          <w:szCs w:val="20"/>
          <w:lang w:val="sr-Latn-ME"/>
        </w:rPr>
        <w:t>ij</w:t>
      </w:r>
      <w:r w:rsidRPr="00245390">
        <w:rPr>
          <w:sz w:val="22"/>
          <w:szCs w:val="20"/>
          <w:lang w:val="sr-Latn-ME"/>
        </w:rPr>
        <w:t>ebiti odmah</w:t>
      </w:r>
      <w:r w:rsidR="00C314A1" w:rsidRPr="00245390">
        <w:rPr>
          <w:sz w:val="22"/>
          <w:szCs w:val="20"/>
          <w:lang w:val="sr-Latn-ME"/>
        </w:rPr>
        <w:t xml:space="preserve">. </w:t>
      </w:r>
      <w:r w:rsidRPr="00245390">
        <w:rPr>
          <w:sz w:val="22"/>
          <w:szCs w:val="20"/>
          <w:lang w:val="sr-Latn-ME"/>
        </w:rPr>
        <w:t>Ukoliko se ne upotr</w:t>
      </w:r>
      <w:r w:rsidR="00C314A1" w:rsidRPr="00245390">
        <w:rPr>
          <w:sz w:val="22"/>
          <w:szCs w:val="20"/>
          <w:lang w:val="sr-Latn-ME"/>
        </w:rPr>
        <w:t>ij</w:t>
      </w:r>
      <w:r w:rsidRPr="00245390">
        <w:rPr>
          <w:sz w:val="22"/>
          <w:szCs w:val="20"/>
          <w:lang w:val="sr-Latn-ME"/>
        </w:rPr>
        <w:t>ebi odmah, vr</w:t>
      </w:r>
      <w:r w:rsidR="00E87EE5" w:rsidRPr="00245390">
        <w:rPr>
          <w:sz w:val="22"/>
          <w:szCs w:val="20"/>
          <w:lang w:val="sr-Latn-ME"/>
        </w:rPr>
        <w:t>ij</w:t>
      </w:r>
      <w:r w:rsidRPr="00245390">
        <w:rPr>
          <w:sz w:val="22"/>
          <w:szCs w:val="20"/>
          <w:lang w:val="sr-Latn-ME"/>
        </w:rPr>
        <w:t xml:space="preserve">eme i uslovi čuvanja rastvora odgovornost </w:t>
      </w:r>
      <w:r w:rsidR="00C314A1" w:rsidRPr="00245390">
        <w:rPr>
          <w:sz w:val="22"/>
          <w:szCs w:val="20"/>
          <w:lang w:val="sr-Latn-ME"/>
        </w:rPr>
        <w:t xml:space="preserve">su </w:t>
      </w:r>
      <w:r w:rsidRPr="00245390">
        <w:rPr>
          <w:sz w:val="22"/>
          <w:szCs w:val="20"/>
          <w:lang w:val="sr-Latn-ME"/>
        </w:rPr>
        <w:t>korisnika.</w:t>
      </w:r>
    </w:p>
    <w:p w14:paraId="79819F2E" w14:textId="77777777" w:rsidR="00C77082" w:rsidRPr="00245390" w:rsidRDefault="00C77082" w:rsidP="00C77082">
      <w:pPr>
        <w:rPr>
          <w:sz w:val="22"/>
          <w:szCs w:val="20"/>
          <w:lang w:val="sr-Latn-ME"/>
        </w:rPr>
      </w:pPr>
    </w:p>
    <w:p w14:paraId="7CC48DAF" w14:textId="2A852D66" w:rsidR="00C77082" w:rsidRPr="00245390" w:rsidRDefault="00C77082" w:rsidP="00C77082">
      <w:pPr>
        <w:rPr>
          <w:b/>
          <w:sz w:val="22"/>
          <w:szCs w:val="20"/>
          <w:u w:val="single"/>
          <w:lang w:val="sr-Latn-ME"/>
        </w:rPr>
      </w:pPr>
      <w:r w:rsidRPr="00245390">
        <w:rPr>
          <w:b/>
          <w:sz w:val="22"/>
          <w:szCs w:val="20"/>
          <w:u w:val="single"/>
          <w:lang w:val="sr-Latn-ME"/>
        </w:rPr>
        <w:t>Prim</w:t>
      </w:r>
      <w:r w:rsidR="00E87EE5" w:rsidRPr="00245390">
        <w:rPr>
          <w:b/>
          <w:sz w:val="22"/>
          <w:szCs w:val="20"/>
          <w:u w:val="single"/>
          <w:lang w:val="sr-Latn-ME"/>
        </w:rPr>
        <w:t>j</w:t>
      </w:r>
      <w:r w:rsidRPr="00245390">
        <w:rPr>
          <w:b/>
          <w:sz w:val="22"/>
          <w:szCs w:val="20"/>
          <w:u w:val="single"/>
          <w:lang w:val="sr-Latn-ME"/>
        </w:rPr>
        <w:t>ena intravenske infuzije</w:t>
      </w:r>
    </w:p>
    <w:p w14:paraId="1B7C7B05" w14:textId="6BCF3850" w:rsidR="00C77082" w:rsidRPr="00245390" w:rsidRDefault="00C77082" w:rsidP="00EE5F09">
      <w:pPr>
        <w:jc w:val="both"/>
        <w:rPr>
          <w:sz w:val="22"/>
          <w:szCs w:val="20"/>
          <w:lang w:val="sr-Latn-ME"/>
        </w:rPr>
      </w:pPr>
      <w:r w:rsidRPr="00245390">
        <w:rPr>
          <w:sz w:val="22"/>
          <w:szCs w:val="20"/>
          <w:lang w:val="sr-Latn-ME"/>
        </w:rPr>
        <w:t>Rastvor za intravensku infuziju priprema se rastvaranjem l</w:t>
      </w:r>
      <w:r w:rsidR="00E87EE5" w:rsidRPr="00245390">
        <w:rPr>
          <w:sz w:val="22"/>
          <w:szCs w:val="20"/>
          <w:lang w:val="sr-Latn-ME"/>
        </w:rPr>
        <w:t>ij</w:t>
      </w:r>
      <w:r w:rsidRPr="00245390">
        <w:rPr>
          <w:sz w:val="22"/>
          <w:szCs w:val="20"/>
          <w:lang w:val="sr-Latn-ME"/>
        </w:rPr>
        <w:t>eka u 0,9% rastvoru natrijum</w:t>
      </w:r>
      <w:r w:rsidR="00C314A1" w:rsidRPr="00245390">
        <w:rPr>
          <w:sz w:val="22"/>
          <w:szCs w:val="20"/>
          <w:lang w:val="sr-Latn-ME"/>
        </w:rPr>
        <w:t xml:space="preserve"> </w:t>
      </w:r>
      <w:r w:rsidRPr="00245390">
        <w:rPr>
          <w:sz w:val="22"/>
          <w:szCs w:val="20"/>
          <w:lang w:val="sr-Latn-ME"/>
        </w:rPr>
        <w:t>hlorida ili u 5% rastvoru glukoze do finalne koncentracije od 1 do 20 mg/m</w:t>
      </w:r>
      <w:r w:rsidR="00E87EE5" w:rsidRPr="00245390">
        <w:rPr>
          <w:sz w:val="22"/>
          <w:szCs w:val="20"/>
          <w:lang w:val="sr-Latn-ME"/>
        </w:rPr>
        <w:t>l</w:t>
      </w:r>
      <w:r w:rsidRPr="00245390">
        <w:rPr>
          <w:sz w:val="22"/>
          <w:szCs w:val="20"/>
          <w:lang w:val="sr-Latn-ME"/>
        </w:rPr>
        <w:t>.</w:t>
      </w:r>
      <w:r w:rsidRPr="00245390">
        <w:rPr>
          <w:sz w:val="22"/>
          <w:szCs w:val="22"/>
          <w:lang w:val="sr-Latn-ME"/>
        </w:rPr>
        <w:t xml:space="preserve"> </w:t>
      </w:r>
      <w:bookmarkStart w:id="12" w:name="_Hlk42158122"/>
      <w:bookmarkStart w:id="13" w:name="_Hlk42158094"/>
      <w:r w:rsidRPr="00245390">
        <w:rPr>
          <w:sz w:val="22"/>
          <w:szCs w:val="20"/>
          <w:lang w:val="sr-Latn-ME"/>
        </w:rPr>
        <w:t>Dokazana hemijska i fizička stabilnost rastvora za infuziju korišćenjem 0,9% rastvora natrijum</w:t>
      </w:r>
      <w:r w:rsidR="0056783E" w:rsidRPr="00245390">
        <w:rPr>
          <w:sz w:val="22"/>
          <w:szCs w:val="20"/>
          <w:lang w:val="sr-Latn-ME"/>
        </w:rPr>
        <w:t xml:space="preserve"> </w:t>
      </w:r>
      <w:r w:rsidRPr="00245390">
        <w:rPr>
          <w:sz w:val="22"/>
          <w:szCs w:val="20"/>
          <w:lang w:val="sr-Latn-ME"/>
        </w:rPr>
        <w:t>hlorida je 3 sata na temperaturi do 25°C ili 24 sata u frižideru (na temperaturi 2</w:t>
      </w:r>
      <w:r w:rsidR="0056783E" w:rsidRPr="00245390">
        <w:rPr>
          <w:sz w:val="22"/>
          <w:szCs w:val="20"/>
          <w:lang w:val="sr-Latn-ME"/>
        </w:rPr>
        <w:t>°C</w:t>
      </w:r>
      <w:r w:rsidRPr="00245390">
        <w:rPr>
          <w:sz w:val="22"/>
          <w:szCs w:val="20"/>
          <w:lang w:val="sr-Latn-ME"/>
        </w:rPr>
        <w:t>-8°C).</w:t>
      </w:r>
      <w:bookmarkEnd w:id="12"/>
    </w:p>
    <w:bookmarkEnd w:id="13"/>
    <w:p w14:paraId="11883FD1" w14:textId="0931C1C9" w:rsidR="00C77082" w:rsidRPr="00245390" w:rsidRDefault="00C77082" w:rsidP="00EE5F09">
      <w:pPr>
        <w:jc w:val="both"/>
        <w:rPr>
          <w:sz w:val="22"/>
          <w:szCs w:val="20"/>
          <w:lang w:val="sr-Latn-ME"/>
        </w:rPr>
      </w:pPr>
      <w:r w:rsidRPr="00245390">
        <w:rPr>
          <w:sz w:val="22"/>
          <w:szCs w:val="20"/>
          <w:lang w:val="sr-Latn-ME"/>
        </w:rPr>
        <w:t>Rastvor rekonstituisan sa 5% rastvorom glukoze upotr</w:t>
      </w:r>
      <w:r w:rsidR="0056783E" w:rsidRPr="00245390">
        <w:rPr>
          <w:sz w:val="22"/>
          <w:szCs w:val="20"/>
          <w:lang w:val="sr-Latn-ME"/>
        </w:rPr>
        <w:t>ij</w:t>
      </w:r>
      <w:r w:rsidRPr="00245390">
        <w:rPr>
          <w:sz w:val="22"/>
          <w:szCs w:val="20"/>
          <w:lang w:val="sr-Latn-ME"/>
        </w:rPr>
        <w:t>ebiti odmah.</w:t>
      </w:r>
    </w:p>
    <w:p w14:paraId="3304F5F7" w14:textId="77777777" w:rsidR="00C77082" w:rsidRPr="00245390" w:rsidRDefault="00C77082" w:rsidP="00EE5F09">
      <w:pPr>
        <w:jc w:val="both"/>
        <w:rPr>
          <w:sz w:val="22"/>
          <w:szCs w:val="20"/>
          <w:lang w:val="sr-Latn-ME"/>
        </w:rPr>
      </w:pPr>
    </w:p>
    <w:p w14:paraId="63E4EEF4" w14:textId="5A0FC42F" w:rsidR="00C77082" w:rsidRPr="00245390" w:rsidRDefault="00C77082" w:rsidP="00EE5F09">
      <w:pPr>
        <w:jc w:val="both"/>
        <w:rPr>
          <w:sz w:val="22"/>
          <w:szCs w:val="20"/>
          <w:lang w:val="sr-Latn-ME"/>
        </w:rPr>
      </w:pPr>
      <w:r w:rsidRPr="00245390">
        <w:rPr>
          <w:sz w:val="22"/>
          <w:szCs w:val="20"/>
          <w:lang w:val="sr-Latn-ME"/>
        </w:rPr>
        <w:t>S</w:t>
      </w:r>
      <w:r w:rsidR="00C314A1" w:rsidRPr="00245390">
        <w:rPr>
          <w:sz w:val="22"/>
          <w:szCs w:val="20"/>
          <w:lang w:val="sr-Latn-ME"/>
        </w:rPr>
        <w:t>a</w:t>
      </w:r>
      <w:r w:rsidRPr="00245390">
        <w:rPr>
          <w:sz w:val="22"/>
          <w:szCs w:val="20"/>
          <w:lang w:val="sr-Latn-ME"/>
        </w:rPr>
        <w:t xml:space="preserve"> mikrobiološke tačke gledišta, izuzev u slučaju da način otvaranja/rekonstitucije/razblaživanja isključuje rizik od mikrobiološke kontaminacije, l</w:t>
      </w:r>
      <w:r w:rsidR="00E87EE5" w:rsidRPr="00245390">
        <w:rPr>
          <w:sz w:val="22"/>
          <w:szCs w:val="20"/>
          <w:lang w:val="sr-Latn-ME"/>
        </w:rPr>
        <w:t>ij</w:t>
      </w:r>
      <w:r w:rsidRPr="00245390">
        <w:rPr>
          <w:sz w:val="22"/>
          <w:szCs w:val="20"/>
          <w:lang w:val="sr-Latn-ME"/>
        </w:rPr>
        <w:t>ek treba upotr</w:t>
      </w:r>
      <w:r w:rsidR="00C314A1" w:rsidRPr="00245390">
        <w:rPr>
          <w:sz w:val="22"/>
          <w:szCs w:val="20"/>
          <w:lang w:val="sr-Latn-ME"/>
        </w:rPr>
        <w:t>ij</w:t>
      </w:r>
      <w:r w:rsidRPr="00245390">
        <w:rPr>
          <w:sz w:val="22"/>
          <w:szCs w:val="20"/>
          <w:lang w:val="sr-Latn-ME"/>
        </w:rPr>
        <w:t>ebiti odmah.</w:t>
      </w:r>
      <w:r w:rsidR="00C314A1" w:rsidRPr="00245390">
        <w:rPr>
          <w:sz w:val="22"/>
          <w:szCs w:val="20"/>
          <w:lang w:val="sr-Latn-ME"/>
        </w:rPr>
        <w:t xml:space="preserve"> </w:t>
      </w:r>
      <w:r w:rsidRPr="00245390">
        <w:rPr>
          <w:sz w:val="22"/>
          <w:szCs w:val="20"/>
          <w:lang w:val="sr-Latn-ME"/>
        </w:rPr>
        <w:t>Ukoliko se ne upotr</w:t>
      </w:r>
      <w:r w:rsidR="00C314A1" w:rsidRPr="00245390">
        <w:rPr>
          <w:sz w:val="22"/>
          <w:szCs w:val="20"/>
          <w:lang w:val="sr-Latn-ME"/>
        </w:rPr>
        <w:t>ij</w:t>
      </w:r>
      <w:r w:rsidRPr="00245390">
        <w:rPr>
          <w:sz w:val="22"/>
          <w:szCs w:val="20"/>
          <w:lang w:val="sr-Latn-ME"/>
        </w:rPr>
        <w:t>ebi odmah, vr</w:t>
      </w:r>
      <w:r w:rsidR="00E87EE5" w:rsidRPr="00245390">
        <w:rPr>
          <w:sz w:val="22"/>
          <w:szCs w:val="20"/>
          <w:lang w:val="sr-Latn-ME"/>
        </w:rPr>
        <w:t>ij</w:t>
      </w:r>
      <w:r w:rsidRPr="00245390">
        <w:rPr>
          <w:sz w:val="22"/>
          <w:szCs w:val="20"/>
          <w:lang w:val="sr-Latn-ME"/>
        </w:rPr>
        <w:t xml:space="preserve">eme i uslovi čuvanja rastvora odgovornost </w:t>
      </w:r>
      <w:r w:rsidR="00C314A1" w:rsidRPr="00245390">
        <w:rPr>
          <w:sz w:val="22"/>
          <w:szCs w:val="20"/>
          <w:lang w:val="sr-Latn-ME"/>
        </w:rPr>
        <w:t xml:space="preserve">su </w:t>
      </w:r>
      <w:r w:rsidRPr="00245390">
        <w:rPr>
          <w:sz w:val="22"/>
          <w:szCs w:val="20"/>
          <w:lang w:val="sr-Latn-ME"/>
        </w:rPr>
        <w:t>korisnika.</w:t>
      </w:r>
    </w:p>
    <w:p w14:paraId="60AFF250" w14:textId="6F9BAD4B" w:rsidR="00C77082" w:rsidRPr="00245390" w:rsidRDefault="00C77082" w:rsidP="00EE5F09">
      <w:pPr>
        <w:jc w:val="both"/>
        <w:rPr>
          <w:sz w:val="22"/>
          <w:szCs w:val="20"/>
          <w:lang w:val="sr-Latn-ME"/>
        </w:rPr>
      </w:pPr>
      <w:r w:rsidRPr="00245390">
        <w:rPr>
          <w:sz w:val="22"/>
          <w:szCs w:val="20"/>
          <w:lang w:val="sr-Latn-ME"/>
        </w:rPr>
        <w:t>Rekonstituisani rastvor ne zamrzavati.</w:t>
      </w:r>
    </w:p>
    <w:p w14:paraId="7FC6FDF0" w14:textId="77777777" w:rsidR="007D25C1" w:rsidRPr="00245390" w:rsidRDefault="007D25C1" w:rsidP="00480FB1">
      <w:pPr>
        <w:tabs>
          <w:tab w:val="left" w:pos="540"/>
          <w:tab w:val="left" w:pos="569"/>
        </w:tabs>
        <w:rPr>
          <w:bCs/>
          <w:sz w:val="22"/>
          <w:szCs w:val="22"/>
          <w:lang w:val="sr-Latn-ME"/>
        </w:rPr>
      </w:pPr>
    </w:p>
    <w:p w14:paraId="2CEF42C3"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6.4. </w:t>
      </w:r>
      <w:r w:rsidR="00480FB1" w:rsidRPr="00245390">
        <w:rPr>
          <w:b/>
          <w:bCs/>
          <w:sz w:val="22"/>
          <w:szCs w:val="22"/>
          <w:lang w:val="sr-Latn-ME"/>
        </w:rPr>
        <w:tab/>
      </w:r>
      <w:r w:rsidRPr="00245390">
        <w:rPr>
          <w:b/>
          <w:bCs/>
          <w:sz w:val="22"/>
          <w:szCs w:val="22"/>
          <w:lang w:val="sr-Latn-ME"/>
        </w:rPr>
        <w:t>Posebne mjere upozorenja pri čuvanju</w:t>
      </w:r>
      <w:r w:rsidR="00F8570A" w:rsidRPr="00245390">
        <w:rPr>
          <w:b/>
          <w:bCs/>
          <w:sz w:val="22"/>
          <w:szCs w:val="22"/>
          <w:lang w:val="sr-Latn-ME"/>
        </w:rPr>
        <w:t xml:space="preserve"> lijeka</w:t>
      </w:r>
    </w:p>
    <w:p w14:paraId="71E0EE1B" w14:textId="310560B0" w:rsidR="00EC2532" w:rsidRPr="00245390" w:rsidRDefault="00EC2532" w:rsidP="00480FB1">
      <w:pPr>
        <w:tabs>
          <w:tab w:val="left" w:pos="540"/>
          <w:tab w:val="left" w:pos="569"/>
        </w:tabs>
        <w:rPr>
          <w:bCs/>
          <w:sz w:val="22"/>
          <w:szCs w:val="22"/>
          <w:lang w:val="sr-Latn-ME"/>
        </w:rPr>
      </w:pPr>
    </w:p>
    <w:p w14:paraId="14F3198C" w14:textId="77777777" w:rsidR="006B66D3" w:rsidRPr="00245390" w:rsidRDefault="00C77082" w:rsidP="007D25C1">
      <w:pPr>
        <w:autoSpaceDE w:val="0"/>
        <w:autoSpaceDN w:val="0"/>
        <w:adjustRightInd w:val="0"/>
        <w:jc w:val="both"/>
        <w:rPr>
          <w:i/>
          <w:iCs/>
          <w:sz w:val="22"/>
          <w:szCs w:val="22"/>
          <w:lang w:val="sr-Latn-ME" w:eastAsia="sr-Latn-RS"/>
        </w:rPr>
      </w:pPr>
      <w:r w:rsidRPr="00245390">
        <w:rPr>
          <w:i/>
          <w:iCs/>
          <w:sz w:val="22"/>
          <w:szCs w:val="22"/>
          <w:lang w:val="sr-Latn-ME" w:eastAsia="sr-Latn-RS"/>
        </w:rPr>
        <w:t>Uslovi čuvanja neotvorenog l</w:t>
      </w:r>
      <w:r w:rsidR="00E87EE5" w:rsidRPr="00245390">
        <w:rPr>
          <w:i/>
          <w:iCs/>
          <w:sz w:val="22"/>
          <w:szCs w:val="22"/>
          <w:lang w:val="sr-Latn-ME" w:eastAsia="sr-Latn-RS"/>
        </w:rPr>
        <w:t>ij</w:t>
      </w:r>
      <w:r w:rsidRPr="00245390">
        <w:rPr>
          <w:i/>
          <w:iCs/>
          <w:sz w:val="22"/>
          <w:szCs w:val="22"/>
          <w:lang w:val="sr-Latn-ME" w:eastAsia="sr-Latn-RS"/>
        </w:rPr>
        <w:t>eka:</w:t>
      </w:r>
    </w:p>
    <w:p w14:paraId="6DBC80C2" w14:textId="3B591476" w:rsidR="007D25C1" w:rsidRPr="00245390" w:rsidRDefault="0056783E" w:rsidP="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Lijek n</w:t>
      </w:r>
      <w:r w:rsidR="007D25C1" w:rsidRPr="00245390">
        <w:rPr>
          <w:rFonts w:eastAsia="TimesNewRoman"/>
          <w:sz w:val="22"/>
          <w:szCs w:val="22"/>
          <w:lang w:val="sr-Latn-ME" w:eastAsia="sr-Latn-RS"/>
        </w:rPr>
        <w:t>e zahtijeva</w:t>
      </w:r>
      <w:r w:rsidRPr="00245390">
        <w:rPr>
          <w:rFonts w:eastAsia="TimesNewRoman"/>
          <w:sz w:val="22"/>
          <w:szCs w:val="22"/>
          <w:lang w:val="sr-Latn-ME" w:eastAsia="sr-Latn-RS"/>
        </w:rPr>
        <w:t xml:space="preserve"> </w:t>
      </w:r>
      <w:r w:rsidR="007D25C1" w:rsidRPr="00245390">
        <w:rPr>
          <w:rFonts w:eastAsia="TimesNewRoman"/>
          <w:sz w:val="22"/>
          <w:szCs w:val="22"/>
          <w:lang w:val="sr-Latn-ME" w:eastAsia="sr-Latn-RS"/>
        </w:rPr>
        <w:t>posebn</w:t>
      </w:r>
      <w:r w:rsidRPr="00245390">
        <w:rPr>
          <w:rFonts w:eastAsia="TimesNewRoman"/>
          <w:sz w:val="22"/>
          <w:szCs w:val="22"/>
          <w:lang w:val="sr-Latn-ME" w:eastAsia="sr-Latn-RS"/>
        </w:rPr>
        <w:t>e</w:t>
      </w:r>
      <w:r w:rsidR="007D25C1" w:rsidRPr="00245390">
        <w:rPr>
          <w:rFonts w:eastAsia="TimesNewRoman"/>
          <w:sz w:val="22"/>
          <w:szCs w:val="22"/>
          <w:lang w:val="sr-Latn-ME" w:eastAsia="sr-Latn-RS"/>
        </w:rPr>
        <w:t xml:space="preserve"> uslova čuvanja.</w:t>
      </w:r>
    </w:p>
    <w:p w14:paraId="73A48171" w14:textId="77777777" w:rsidR="007D25C1" w:rsidRPr="00245390" w:rsidRDefault="007D25C1" w:rsidP="007D25C1">
      <w:pPr>
        <w:autoSpaceDE w:val="0"/>
        <w:autoSpaceDN w:val="0"/>
        <w:adjustRightInd w:val="0"/>
        <w:jc w:val="both"/>
        <w:rPr>
          <w:rFonts w:eastAsia="TimesNewRoman"/>
          <w:sz w:val="22"/>
          <w:szCs w:val="22"/>
          <w:lang w:val="sr-Latn-ME" w:eastAsia="sr-Latn-RS"/>
        </w:rPr>
      </w:pPr>
    </w:p>
    <w:p w14:paraId="0AB6DDD2" w14:textId="15A91294" w:rsidR="006B66D3" w:rsidRPr="00245390" w:rsidRDefault="00C77082" w:rsidP="007D25C1">
      <w:pPr>
        <w:autoSpaceDE w:val="0"/>
        <w:autoSpaceDN w:val="0"/>
        <w:adjustRightInd w:val="0"/>
        <w:jc w:val="both"/>
        <w:rPr>
          <w:i/>
          <w:iCs/>
          <w:sz w:val="22"/>
          <w:szCs w:val="22"/>
          <w:lang w:val="sr-Latn-ME" w:eastAsia="sr-Latn-RS"/>
        </w:rPr>
      </w:pPr>
      <w:r w:rsidRPr="00245390">
        <w:rPr>
          <w:i/>
          <w:iCs/>
          <w:sz w:val="22"/>
          <w:szCs w:val="22"/>
          <w:lang w:val="sr-Latn-ME" w:eastAsia="sr-Latn-RS"/>
        </w:rPr>
        <w:t>Uslovi čuvanja nakon rekonstitucije/razblaženja:</w:t>
      </w:r>
    </w:p>
    <w:p w14:paraId="33B788BA" w14:textId="73F87C7E" w:rsidR="00E87EE5" w:rsidRPr="00245390" w:rsidRDefault="00E87EE5" w:rsidP="00E87EE5">
      <w:pPr>
        <w:rPr>
          <w:sz w:val="22"/>
          <w:szCs w:val="20"/>
          <w:lang w:val="sr-Latn-ME"/>
        </w:rPr>
      </w:pPr>
      <w:bookmarkStart w:id="14" w:name="_Hlk38468039"/>
      <w:r w:rsidRPr="00245390">
        <w:rPr>
          <w:sz w:val="22"/>
          <w:szCs w:val="20"/>
          <w:lang w:val="sr-Latn-ME"/>
        </w:rPr>
        <w:t xml:space="preserve">Za uslove čuvanja nakon rekonstitucije/razblaženja lijeka, vidjeti </w:t>
      </w:r>
      <w:r w:rsidR="00513009" w:rsidRPr="00245390">
        <w:rPr>
          <w:sz w:val="22"/>
          <w:szCs w:val="20"/>
          <w:lang w:val="sr-Latn-ME"/>
        </w:rPr>
        <w:t>dio</w:t>
      </w:r>
      <w:r w:rsidRPr="00245390">
        <w:rPr>
          <w:sz w:val="22"/>
          <w:szCs w:val="20"/>
          <w:lang w:val="sr-Latn-ME"/>
        </w:rPr>
        <w:t xml:space="preserve"> 6.3</w:t>
      </w:r>
      <w:bookmarkEnd w:id="14"/>
      <w:r w:rsidRPr="00245390">
        <w:rPr>
          <w:sz w:val="22"/>
          <w:szCs w:val="20"/>
          <w:lang w:val="sr-Latn-ME"/>
        </w:rPr>
        <w:t>.</w:t>
      </w:r>
    </w:p>
    <w:p w14:paraId="2305058A" w14:textId="77777777" w:rsidR="00E87EE5" w:rsidRPr="00245390" w:rsidRDefault="00E87EE5" w:rsidP="00E87EE5">
      <w:pPr>
        <w:rPr>
          <w:sz w:val="22"/>
          <w:szCs w:val="20"/>
          <w:lang w:val="sr-Latn-ME"/>
        </w:rPr>
      </w:pPr>
    </w:p>
    <w:p w14:paraId="12B23AEE" w14:textId="77777777" w:rsidR="00E87EE5" w:rsidRPr="00245390" w:rsidRDefault="00E87EE5" w:rsidP="00E87EE5">
      <w:pPr>
        <w:rPr>
          <w:sz w:val="22"/>
          <w:szCs w:val="20"/>
          <w:lang w:val="sr-Latn-ME"/>
        </w:rPr>
      </w:pPr>
      <w:r w:rsidRPr="00245390">
        <w:rPr>
          <w:sz w:val="22"/>
          <w:szCs w:val="20"/>
          <w:lang w:val="sr-Latn-ME"/>
        </w:rPr>
        <w:t>Rekonstituisani rastvor ne zamrzavati.</w:t>
      </w:r>
    </w:p>
    <w:p w14:paraId="365B18A7" w14:textId="77777777" w:rsidR="007D25C1" w:rsidRPr="00245390" w:rsidRDefault="007D25C1" w:rsidP="00480FB1">
      <w:pPr>
        <w:tabs>
          <w:tab w:val="left" w:pos="540"/>
          <w:tab w:val="left" w:pos="569"/>
        </w:tabs>
        <w:rPr>
          <w:bCs/>
          <w:sz w:val="22"/>
          <w:szCs w:val="22"/>
          <w:lang w:val="sr-Latn-ME"/>
        </w:rPr>
      </w:pPr>
    </w:p>
    <w:p w14:paraId="5D1B75A5"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6.5. </w:t>
      </w:r>
      <w:r w:rsidR="00480FB1" w:rsidRPr="00245390">
        <w:rPr>
          <w:b/>
          <w:bCs/>
          <w:sz w:val="22"/>
          <w:szCs w:val="22"/>
          <w:lang w:val="sr-Latn-ME"/>
        </w:rPr>
        <w:tab/>
      </w:r>
      <w:r w:rsidR="002846DB" w:rsidRPr="00245390">
        <w:rPr>
          <w:b/>
          <w:bCs/>
          <w:sz w:val="22"/>
          <w:szCs w:val="22"/>
          <w:lang w:val="sr-Latn-ME"/>
        </w:rPr>
        <w:t xml:space="preserve">Vrsta i sadržaj </w:t>
      </w:r>
      <w:r w:rsidR="00F8570A" w:rsidRPr="00245390">
        <w:rPr>
          <w:b/>
          <w:bCs/>
          <w:sz w:val="22"/>
          <w:szCs w:val="22"/>
          <w:lang w:val="sr-Latn-ME"/>
        </w:rPr>
        <w:t>pakovanja</w:t>
      </w:r>
      <w:r w:rsidR="00C06864" w:rsidRPr="00245390">
        <w:rPr>
          <w:b/>
          <w:bCs/>
          <w:sz w:val="22"/>
          <w:szCs w:val="22"/>
          <w:lang w:val="sr-Latn-ME"/>
        </w:rPr>
        <w:t xml:space="preserve"> </w:t>
      </w:r>
    </w:p>
    <w:p w14:paraId="017D3441" w14:textId="108D82A7" w:rsidR="0072020E" w:rsidRPr="00245390" w:rsidRDefault="0072020E" w:rsidP="00480FB1">
      <w:pPr>
        <w:tabs>
          <w:tab w:val="left" w:pos="540"/>
          <w:tab w:val="left" w:pos="569"/>
        </w:tabs>
        <w:rPr>
          <w:bCs/>
          <w:sz w:val="22"/>
          <w:szCs w:val="22"/>
          <w:lang w:val="sr-Latn-ME"/>
        </w:rPr>
      </w:pPr>
    </w:p>
    <w:p w14:paraId="0874F5BC" w14:textId="2F2B3237" w:rsidR="007D25C1" w:rsidRPr="00245390" w:rsidRDefault="007D25C1" w:rsidP="007D25C1">
      <w:pPr>
        <w:jc w:val="both"/>
        <w:rPr>
          <w:sz w:val="22"/>
          <w:szCs w:val="22"/>
          <w:lang w:val="sr-Latn-ME"/>
        </w:rPr>
      </w:pPr>
      <w:bookmarkStart w:id="15" w:name="_Hlk11155396"/>
      <w:r w:rsidRPr="00245390">
        <w:rPr>
          <w:sz w:val="22"/>
          <w:szCs w:val="22"/>
          <w:lang w:val="sr-Latn-ME"/>
        </w:rPr>
        <w:t>Unutrašnje pakovanje l</w:t>
      </w:r>
      <w:r w:rsidR="00E87EE5" w:rsidRPr="00245390">
        <w:rPr>
          <w:sz w:val="22"/>
          <w:szCs w:val="22"/>
          <w:lang w:val="sr-Latn-ME"/>
        </w:rPr>
        <w:t>ij</w:t>
      </w:r>
      <w:r w:rsidRPr="00245390">
        <w:rPr>
          <w:sz w:val="22"/>
          <w:szCs w:val="22"/>
          <w:lang w:val="sr-Latn-ME"/>
        </w:rPr>
        <w:t>eka je providna bočica</w:t>
      </w:r>
      <w:r w:rsidR="004E4240" w:rsidRPr="00245390">
        <w:rPr>
          <w:sz w:val="22"/>
          <w:szCs w:val="22"/>
          <w:lang w:val="sr-Latn-ME"/>
        </w:rPr>
        <w:t xml:space="preserve">, zapremine </w:t>
      </w:r>
      <w:r w:rsidRPr="00245390">
        <w:rPr>
          <w:sz w:val="22"/>
          <w:szCs w:val="22"/>
          <w:lang w:val="sr-Latn-ME"/>
        </w:rPr>
        <w:t>20 m</w:t>
      </w:r>
      <w:r w:rsidR="00E87EE5" w:rsidRPr="00245390">
        <w:rPr>
          <w:sz w:val="22"/>
          <w:szCs w:val="22"/>
          <w:lang w:val="sr-Latn-ME"/>
        </w:rPr>
        <w:t>l</w:t>
      </w:r>
      <w:r w:rsidR="004E4240" w:rsidRPr="00245390">
        <w:rPr>
          <w:sz w:val="22"/>
          <w:szCs w:val="22"/>
          <w:lang w:val="sr-Latn-ME"/>
        </w:rPr>
        <w:t>,</w:t>
      </w:r>
      <w:r w:rsidRPr="00245390">
        <w:rPr>
          <w:sz w:val="22"/>
          <w:szCs w:val="22"/>
          <w:lang w:val="sr-Latn-ME"/>
        </w:rPr>
        <w:t xml:space="preserve"> od stakla (tip III) sa brombutil gumenim </w:t>
      </w:r>
      <w:r w:rsidR="00E87EE5" w:rsidRPr="00245390">
        <w:rPr>
          <w:sz w:val="22"/>
          <w:szCs w:val="22"/>
          <w:lang w:val="sr-Latn-ME"/>
        </w:rPr>
        <w:t>čepom</w:t>
      </w:r>
      <w:r w:rsidRPr="00245390">
        <w:rPr>
          <w:sz w:val="22"/>
          <w:szCs w:val="22"/>
          <w:lang w:val="sr-Latn-ME"/>
        </w:rPr>
        <w:t xml:space="preserve"> i </w:t>
      </w:r>
      <w:r w:rsidR="00E87EE5" w:rsidRPr="00245390">
        <w:rPr>
          <w:sz w:val="22"/>
          <w:szCs w:val="22"/>
          <w:lang w:val="sr-Latn-ME"/>
        </w:rPr>
        <w:t xml:space="preserve">aluminijumskim prstenom sa </w:t>
      </w:r>
      <w:r w:rsidRPr="00245390">
        <w:rPr>
          <w:sz w:val="22"/>
          <w:szCs w:val="22"/>
          <w:lang w:val="sr-Latn-ME"/>
        </w:rPr>
        <w:t xml:space="preserve">plastičnim </w:t>
      </w:r>
      <w:r w:rsidRPr="00245390">
        <w:rPr>
          <w:i/>
          <w:iCs/>
          <w:sz w:val="22"/>
          <w:szCs w:val="22"/>
          <w:lang w:val="sr-Latn-ME"/>
        </w:rPr>
        <w:t xml:space="preserve">flip-off </w:t>
      </w:r>
      <w:r w:rsidRPr="00245390">
        <w:rPr>
          <w:sz w:val="22"/>
          <w:szCs w:val="22"/>
          <w:lang w:val="sr-Latn-ME"/>
        </w:rPr>
        <w:t xml:space="preserve">poklopcem </w:t>
      </w:r>
      <w:r w:rsidR="00E87EE5" w:rsidRPr="00245390">
        <w:rPr>
          <w:sz w:val="22"/>
          <w:szCs w:val="22"/>
          <w:lang w:val="sr-Latn-ME"/>
        </w:rPr>
        <w:t>sive boje</w:t>
      </w:r>
      <w:r w:rsidRPr="00245390">
        <w:rPr>
          <w:sz w:val="22"/>
          <w:szCs w:val="22"/>
          <w:lang w:val="sr-Latn-ME"/>
        </w:rPr>
        <w:t>.</w:t>
      </w:r>
    </w:p>
    <w:p w14:paraId="6C52177C" w14:textId="77777777" w:rsidR="004E4240" w:rsidRPr="00245390" w:rsidRDefault="004E4240" w:rsidP="007D25C1">
      <w:pPr>
        <w:tabs>
          <w:tab w:val="left" w:pos="284"/>
        </w:tabs>
        <w:jc w:val="both"/>
        <w:rPr>
          <w:sz w:val="22"/>
          <w:szCs w:val="22"/>
          <w:lang w:val="sr-Latn-ME"/>
        </w:rPr>
      </w:pPr>
    </w:p>
    <w:p w14:paraId="0A03F54E" w14:textId="376D047E" w:rsidR="007D25C1" w:rsidRPr="00245390" w:rsidRDefault="007D25C1" w:rsidP="007D25C1">
      <w:pPr>
        <w:tabs>
          <w:tab w:val="left" w:pos="284"/>
        </w:tabs>
        <w:jc w:val="both"/>
        <w:rPr>
          <w:sz w:val="22"/>
          <w:szCs w:val="22"/>
          <w:lang w:val="sr-Latn-ME"/>
        </w:rPr>
      </w:pPr>
      <w:r w:rsidRPr="00245390">
        <w:rPr>
          <w:sz w:val="22"/>
          <w:szCs w:val="22"/>
          <w:lang w:val="sr-Latn-ME"/>
        </w:rPr>
        <w:t>Spoljašnje pakovanje l</w:t>
      </w:r>
      <w:r w:rsidR="005E7218" w:rsidRPr="00245390">
        <w:rPr>
          <w:sz w:val="22"/>
          <w:szCs w:val="22"/>
          <w:lang w:val="sr-Latn-ME"/>
        </w:rPr>
        <w:t>ij</w:t>
      </w:r>
      <w:r w:rsidRPr="00245390">
        <w:rPr>
          <w:sz w:val="22"/>
          <w:szCs w:val="22"/>
          <w:lang w:val="sr-Latn-ME"/>
        </w:rPr>
        <w:t>eka je složiva kartonska kutija u kojoj se nalazi 10 staklen</w:t>
      </w:r>
      <w:r w:rsidR="006B66D3" w:rsidRPr="00245390">
        <w:rPr>
          <w:sz w:val="22"/>
          <w:szCs w:val="22"/>
          <w:lang w:val="sr-Latn-ME"/>
        </w:rPr>
        <w:t>ih</w:t>
      </w:r>
      <w:r w:rsidRPr="00245390">
        <w:rPr>
          <w:sz w:val="22"/>
          <w:szCs w:val="22"/>
          <w:lang w:val="sr-Latn-ME"/>
        </w:rPr>
        <w:t xml:space="preserve"> bočica </w:t>
      </w:r>
      <w:r w:rsidR="00E87EE5" w:rsidRPr="00245390">
        <w:rPr>
          <w:sz w:val="22"/>
          <w:szCs w:val="22"/>
          <w:lang w:val="sr-Latn-ME"/>
        </w:rPr>
        <w:t xml:space="preserve">sa po 1000 mg praška za rastvor za injekciju/infuziju (10 x 1000 mg) </w:t>
      </w:r>
      <w:r w:rsidRPr="00245390">
        <w:rPr>
          <w:sz w:val="22"/>
          <w:szCs w:val="22"/>
          <w:lang w:val="sr-Latn-ME"/>
        </w:rPr>
        <w:t>i Uputstvo za l</w:t>
      </w:r>
      <w:r w:rsidR="00E87EE5" w:rsidRPr="00245390">
        <w:rPr>
          <w:sz w:val="22"/>
          <w:szCs w:val="22"/>
          <w:lang w:val="sr-Latn-ME"/>
        </w:rPr>
        <w:t>ij</w:t>
      </w:r>
      <w:r w:rsidRPr="00245390">
        <w:rPr>
          <w:sz w:val="22"/>
          <w:szCs w:val="22"/>
          <w:lang w:val="sr-Latn-ME"/>
        </w:rPr>
        <w:t>ek.</w:t>
      </w:r>
    </w:p>
    <w:bookmarkEnd w:id="15"/>
    <w:p w14:paraId="1FD9FABD" w14:textId="77777777" w:rsidR="007D25C1" w:rsidRPr="00245390" w:rsidRDefault="007D25C1" w:rsidP="0088617F">
      <w:pPr>
        <w:autoSpaceDE w:val="0"/>
        <w:autoSpaceDN w:val="0"/>
        <w:adjustRightInd w:val="0"/>
        <w:jc w:val="both"/>
        <w:rPr>
          <w:bCs/>
          <w:sz w:val="22"/>
          <w:szCs w:val="22"/>
          <w:lang w:val="sr-Latn-ME"/>
        </w:rPr>
      </w:pPr>
    </w:p>
    <w:p w14:paraId="3B4A5803" w14:textId="4C18B1AE" w:rsidR="002846DB"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6.6. </w:t>
      </w:r>
      <w:r w:rsidR="00480FB1" w:rsidRPr="00245390">
        <w:rPr>
          <w:b/>
          <w:bCs/>
          <w:sz w:val="22"/>
          <w:szCs w:val="22"/>
          <w:lang w:val="sr-Latn-ME"/>
        </w:rPr>
        <w:tab/>
      </w:r>
      <w:r w:rsidRPr="00245390">
        <w:rPr>
          <w:b/>
          <w:bCs/>
          <w:color w:val="000000"/>
          <w:sz w:val="22"/>
          <w:szCs w:val="22"/>
          <w:lang w:val="sr-Latn-ME"/>
        </w:rPr>
        <w:t>Posebne mjere opreza pri odlaganju materijala koji treba odbaciti nakon primjene lijeka</w:t>
      </w:r>
      <w:r w:rsidRPr="00245390">
        <w:rPr>
          <w:b/>
          <w:bCs/>
          <w:sz w:val="22"/>
          <w:szCs w:val="22"/>
          <w:lang w:val="sr-Latn-ME"/>
        </w:rPr>
        <w:t xml:space="preserve"> </w:t>
      </w:r>
      <w:r w:rsidR="00310F03" w:rsidRPr="00245390">
        <w:rPr>
          <w:b/>
          <w:bCs/>
          <w:sz w:val="22"/>
          <w:szCs w:val="22"/>
          <w:lang w:val="sr-Latn-ME"/>
        </w:rPr>
        <w:t>(i druga uputs</w:t>
      </w:r>
      <w:r w:rsidR="00245390">
        <w:rPr>
          <w:b/>
          <w:bCs/>
          <w:sz w:val="22"/>
          <w:szCs w:val="22"/>
          <w:lang w:val="sr-Latn-ME"/>
        </w:rPr>
        <w:t>t</w:t>
      </w:r>
      <w:r w:rsidR="00310F03" w:rsidRPr="00245390">
        <w:rPr>
          <w:b/>
          <w:bCs/>
          <w:sz w:val="22"/>
          <w:szCs w:val="22"/>
          <w:lang w:val="sr-Latn-ME"/>
        </w:rPr>
        <w:t xml:space="preserve">va za rukovanje lijekom) </w:t>
      </w:r>
    </w:p>
    <w:p w14:paraId="2E1F3FFC" w14:textId="77777777" w:rsidR="00B66A70" w:rsidRPr="00245390" w:rsidRDefault="00B66A70" w:rsidP="00480FB1">
      <w:pPr>
        <w:tabs>
          <w:tab w:val="left" w:pos="540"/>
          <w:tab w:val="left" w:pos="569"/>
        </w:tabs>
        <w:rPr>
          <w:b/>
          <w:bCs/>
          <w:sz w:val="22"/>
          <w:szCs w:val="22"/>
          <w:lang w:val="sr-Latn-ME"/>
        </w:rPr>
      </w:pPr>
    </w:p>
    <w:p w14:paraId="52D212C2" w14:textId="77777777" w:rsidR="00E87EE5" w:rsidRPr="00245390" w:rsidRDefault="00E87EE5" w:rsidP="00E87EE5">
      <w:pPr>
        <w:rPr>
          <w:bCs/>
          <w:sz w:val="22"/>
          <w:szCs w:val="22"/>
          <w:u w:val="single"/>
          <w:lang w:val="sr-Latn-ME"/>
        </w:rPr>
      </w:pPr>
      <w:bookmarkStart w:id="16" w:name="_Hlk38468116"/>
      <w:r w:rsidRPr="00245390">
        <w:rPr>
          <w:bCs/>
          <w:sz w:val="22"/>
          <w:szCs w:val="22"/>
          <w:u w:val="single"/>
          <w:lang w:val="sr-Latn-ME"/>
        </w:rPr>
        <w:t xml:space="preserve">Injekcija </w:t>
      </w:r>
    </w:p>
    <w:p w14:paraId="602678B6" w14:textId="16FA514C" w:rsidR="00E87EE5" w:rsidRPr="00245390" w:rsidRDefault="00E87EE5" w:rsidP="00EE5F09">
      <w:pPr>
        <w:jc w:val="both"/>
        <w:rPr>
          <w:bCs/>
          <w:sz w:val="22"/>
          <w:szCs w:val="22"/>
          <w:lang w:val="sr-Latn-ME"/>
        </w:rPr>
      </w:pPr>
      <w:r w:rsidRPr="00245390">
        <w:rPr>
          <w:bCs/>
          <w:sz w:val="22"/>
          <w:szCs w:val="22"/>
          <w:lang w:val="sr-Latn-ME"/>
        </w:rPr>
        <w:t>Meropenem koji se primjenjuje intravenskom bolus injekcijom treba rekonstituisati vodom za injekcije.</w:t>
      </w:r>
    </w:p>
    <w:p w14:paraId="3EF1CEF6" w14:textId="77777777" w:rsidR="00E87EE5" w:rsidRPr="00245390" w:rsidRDefault="00E87EE5" w:rsidP="00E87EE5">
      <w:pPr>
        <w:rPr>
          <w:bCs/>
          <w:sz w:val="22"/>
          <w:szCs w:val="22"/>
          <w:lang w:val="sr-Latn-ME"/>
        </w:rPr>
      </w:pPr>
    </w:p>
    <w:p w14:paraId="5D9D7BF9" w14:textId="77777777" w:rsidR="00E87EE5" w:rsidRPr="00245390" w:rsidRDefault="00E87EE5" w:rsidP="00E87EE5">
      <w:pPr>
        <w:rPr>
          <w:bCs/>
          <w:sz w:val="22"/>
          <w:szCs w:val="22"/>
          <w:u w:val="single"/>
          <w:lang w:val="sr-Latn-ME"/>
        </w:rPr>
      </w:pPr>
      <w:r w:rsidRPr="00245390">
        <w:rPr>
          <w:bCs/>
          <w:sz w:val="22"/>
          <w:szCs w:val="22"/>
          <w:u w:val="single"/>
          <w:lang w:val="sr-Latn-ME"/>
        </w:rPr>
        <w:t xml:space="preserve">Infuzija </w:t>
      </w:r>
    </w:p>
    <w:p w14:paraId="7DA9D9AB" w14:textId="43A8A16C" w:rsidR="00E87EE5" w:rsidRPr="00245390" w:rsidRDefault="00E87EE5" w:rsidP="00EE5F09">
      <w:pPr>
        <w:jc w:val="both"/>
        <w:rPr>
          <w:bCs/>
          <w:sz w:val="22"/>
          <w:szCs w:val="22"/>
          <w:lang w:val="sr-Latn-ME"/>
        </w:rPr>
      </w:pPr>
      <w:r w:rsidRPr="00245390">
        <w:rPr>
          <w:bCs/>
          <w:sz w:val="22"/>
          <w:szCs w:val="22"/>
          <w:lang w:val="sr-Latn-ME"/>
        </w:rPr>
        <w:t>Meropenem za intravensku infuziju može biti direktno rekonstituisan sa 0,9% rastvorom natrijum</w:t>
      </w:r>
      <w:r w:rsidR="0056783E" w:rsidRPr="00245390">
        <w:rPr>
          <w:bCs/>
          <w:sz w:val="22"/>
          <w:szCs w:val="22"/>
          <w:lang w:val="sr-Latn-ME"/>
        </w:rPr>
        <w:t xml:space="preserve"> </w:t>
      </w:r>
      <w:r w:rsidRPr="00245390">
        <w:rPr>
          <w:bCs/>
          <w:sz w:val="22"/>
          <w:szCs w:val="22"/>
          <w:lang w:val="sr-Latn-ME"/>
        </w:rPr>
        <w:t>hlorida ili 5% rastvorom glukoze</w:t>
      </w:r>
      <w:bookmarkEnd w:id="16"/>
      <w:r w:rsidRPr="00245390">
        <w:rPr>
          <w:bCs/>
          <w:sz w:val="22"/>
          <w:szCs w:val="22"/>
          <w:lang w:val="sr-Latn-ME"/>
        </w:rPr>
        <w:t>.</w:t>
      </w:r>
    </w:p>
    <w:p w14:paraId="3A5C9913" w14:textId="77777777" w:rsidR="007D25C1" w:rsidRPr="00245390" w:rsidRDefault="007D25C1">
      <w:pPr>
        <w:autoSpaceDE w:val="0"/>
        <w:autoSpaceDN w:val="0"/>
        <w:adjustRightInd w:val="0"/>
        <w:jc w:val="both"/>
        <w:rPr>
          <w:rFonts w:eastAsia="TimesNewRoman"/>
          <w:sz w:val="22"/>
          <w:szCs w:val="22"/>
          <w:lang w:val="sr-Latn-ME" w:eastAsia="sr-Latn-RS"/>
        </w:rPr>
      </w:pPr>
    </w:p>
    <w:p w14:paraId="0D693370" w14:textId="08CF9239" w:rsidR="007D25C1" w:rsidRPr="00245390" w:rsidRDefault="00E87EE5">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Tokom pripreme i prim</w:t>
      </w:r>
      <w:r w:rsidR="0056783E" w:rsidRPr="00245390">
        <w:rPr>
          <w:rFonts w:eastAsia="TimesNewRoman"/>
          <w:sz w:val="22"/>
          <w:szCs w:val="22"/>
          <w:lang w:val="sr-Latn-ME" w:eastAsia="sr-Latn-RS"/>
        </w:rPr>
        <w:t>j</w:t>
      </w:r>
      <w:r w:rsidRPr="00245390">
        <w:rPr>
          <w:rFonts w:eastAsia="TimesNewRoman"/>
          <w:sz w:val="22"/>
          <w:szCs w:val="22"/>
          <w:lang w:val="sr-Latn-ME" w:eastAsia="sr-Latn-RS"/>
        </w:rPr>
        <w:t>ene rastvora moraju se poštovati osnovni principi aseptičnog rada.</w:t>
      </w:r>
    </w:p>
    <w:p w14:paraId="3013E154" w14:textId="77777777" w:rsidR="00E87EE5" w:rsidRPr="00245390" w:rsidRDefault="00E87EE5">
      <w:pPr>
        <w:autoSpaceDE w:val="0"/>
        <w:autoSpaceDN w:val="0"/>
        <w:adjustRightInd w:val="0"/>
        <w:jc w:val="both"/>
        <w:rPr>
          <w:rFonts w:eastAsia="TimesNewRoman"/>
          <w:sz w:val="22"/>
          <w:szCs w:val="22"/>
          <w:lang w:val="sr-Latn-ME" w:eastAsia="sr-Latn-RS"/>
        </w:rPr>
      </w:pPr>
    </w:p>
    <w:p w14:paraId="17E718BF" w14:textId="52302DCA"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Pripremljen rastvor promućkati prije upotrebe.</w:t>
      </w:r>
    </w:p>
    <w:p w14:paraId="1D598C4E" w14:textId="77777777" w:rsidR="00E87EE5" w:rsidRPr="00245390" w:rsidRDefault="00E87EE5">
      <w:pPr>
        <w:autoSpaceDE w:val="0"/>
        <w:autoSpaceDN w:val="0"/>
        <w:adjustRightInd w:val="0"/>
        <w:jc w:val="both"/>
        <w:rPr>
          <w:rFonts w:eastAsia="TimesNewRoman"/>
          <w:sz w:val="22"/>
          <w:szCs w:val="22"/>
          <w:lang w:val="sr-Latn-ME" w:eastAsia="sr-Latn-RS"/>
        </w:rPr>
      </w:pPr>
    </w:p>
    <w:p w14:paraId="17AD0EB0" w14:textId="49E984F8" w:rsidR="007D25C1" w:rsidRPr="00245390" w:rsidRDefault="007D25C1">
      <w:pPr>
        <w:autoSpaceDE w:val="0"/>
        <w:autoSpaceDN w:val="0"/>
        <w:adjustRightInd w:val="0"/>
        <w:jc w:val="both"/>
        <w:rPr>
          <w:rFonts w:eastAsia="TimesNewRoman"/>
          <w:sz w:val="22"/>
          <w:szCs w:val="22"/>
          <w:lang w:val="sr-Latn-ME" w:eastAsia="sr-Latn-RS"/>
        </w:rPr>
      </w:pPr>
      <w:r w:rsidRPr="00245390">
        <w:rPr>
          <w:rFonts w:eastAsia="TimesNewRoman"/>
          <w:sz w:val="22"/>
          <w:szCs w:val="22"/>
          <w:lang w:val="sr-Latn-ME" w:eastAsia="sr-Latn-RS"/>
        </w:rPr>
        <w:t>Svaka bočica služi za jednokratnu upotrebu.</w:t>
      </w:r>
    </w:p>
    <w:p w14:paraId="1E9EEE7F" w14:textId="77777777" w:rsidR="00E87EE5" w:rsidRPr="00245390" w:rsidRDefault="00E87EE5">
      <w:pPr>
        <w:autoSpaceDE w:val="0"/>
        <w:autoSpaceDN w:val="0"/>
        <w:adjustRightInd w:val="0"/>
        <w:jc w:val="both"/>
        <w:rPr>
          <w:rFonts w:eastAsia="TimesNewRoman"/>
          <w:sz w:val="22"/>
          <w:szCs w:val="22"/>
          <w:lang w:val="sr-Latn-ME" w:eastAsia="sr-Latn-RS"/>
        </w:rPr>
      </w:pPr>
    </w:p>
    <w:p w14:paraId="7FE68421" w14:textId="005A4593" w:rsidR="0072020E" w:rsidRPr="00245390" w:rsidRDefault="007D25C1" w:rsidP="00EE5F09">
      <w:pPr>
        <w:tabs>
          <w:tab w:val="left" w:pos="540"/>
          <w:tab w:val="left" w:pos="569"/>
        </w:tabs>
        <w:jc w:val="both"/>
        <w:rPr>
          <w:rFonts w:eastAsia="TimesNewRoman"/>
          <w:sz w:val="22"/>
          <w:szCs w:val="22"/>
          <w:lang w:val="sr-Latn-ME" w:eastAsia="sr-Latn-RS"/>
        </w:rPr>
      </w:pPr>
      <w:r w:rsidRPr="00245390">
        <w:rPr>
          <w:rFonts w:eastAsia="TimesNewRoman"/>
          <w:sz w:val="22"/>
          <w:szCs w:val="22"/>
          <w:lang w:val="sr-Latn-ME" w:eastAsia="sr-Latn-RS"/>
        </w:rPr>
        <w:t>Svu neiskorišćenu količinu lijeka ili otpadnog materijala nakon njegove upotrebe treba ukloniti u skladu sa važećim propisima.</w:t>
      </w:r>
    </w:p>
    <w:p w14:paraId="222BC79C" w14:textId="5A3A3B9B" w:rsidR="007D25C1" w:rsidRPr="00245390" w:rsidRDefault="007D25C1" w:rsidP="007D25C1">
      <w:pPr>
        <w:tabs>
          <w:tab w:val="left" w:pos="540"/>
          <w:tab w:val="left" w:pos="569"/>
        </w:tabs>
        <w:rPr>
          <w:bCs/>
          <w:sz w:val="22"/>
          <w:szCs w:val="22"/>
          <w:lang w:val="sr-Latn-ME"/>
        </w:rPr>
      </w:pPr>
    </w:p>
    <w:p w14:paraId="070D833A" w14:textId="77777777" w:rsidR="0056783E" w:rsidRPr="00245390" w:rsidRDefault="0056783E" w:rsidP="007D25C1">
      <w:pPr>
        <w:tabs>
          <w:tab w:val="left" w:pos="540"/>
          <w:tab w:val="left" w:pos="569"/>
        </w:tabs>
        <w:rPr>
          <w:bCs/>
          <w:sz w:val="22"/>
          <w:szCs w:val="22"/>
          <w:lang w:val="sr-Latn-ME"/>
        </w:rPr>
      </w:pPr>
    </w:p>
    <w:p w14:paraId="4967E12C" w14:textId="77777777" w:rsidR="00F8570A"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7. </w:t>
      </w:r>
      <w:r w:rsidR="00480FB1" w:rsidRPr="00245390">
        <w:rPr>
          <w:b/>
          <w:bCs/>
          <w:sz w:val="22"/>
          <w:szCs w:val="22"/>
          <w:lang w:val="sr-Latn-ME"/>
        </w:rPr>
        <w:tab/>
      </w:r>
      <w:r w:rsidRPr="00245390">
        <w:rPr>
          <w:b/>
          <w:bCs/>
          <w:sz w:val="22"/>
          <w:szCs w:val="22"/>
          <w:lang w:val="sr-Latn-ME"/>
        </w:rPr>
        <w:t>NOSILAC DOZVOLE</w:t>
      </w:r>
      <w:r w:rsidR="00483928" w:rsidRPr="00245390">
        <w:rPr>
          <w:b/>
          <w:bCs/>
          <w:sz w:val="22"/>
          <w:szCs w:val="22"/>
          <w:lang w:val="sr-Latn-ME"/>
        </w:rPr>
        <w:t xml:space="preserve"> </w:t>
      </w:r>
    </w:p>
    <w:p w14:paraId="31362024" w14:textId="77777777" w:rsidR="00C61BE0" w:rsidRPr="00245390" w:rsidRDefault="00C61BE0" w:rsidP="00480FB1">
      <w:pPr>
        <w:tabs>
          <w:tab w:val="left" w:pos="540"/>
          <w:tab w:val="left" w:pos="569"/>
        </w:tabs>
        <w:rPr>
          <w:bCs/>
          <w:sz w:val="22"/>
          <w:szCs w:val="22"/>
          <w:lang w:val="sr-Latn-ME"/>
        </w:rPr>
      </w:pPr>
    </w:p>
    <w:p w14:paraId="77CEE970" w14:textId="7213BF55" w:rsidR="007D25C1" w:rsidRPr="00245390" w:rsidRDefault="007D25C1" w:rsidP="007D25C1">
      <w:pPr>
        <w:pStyle w:val="Header"/>
        <w:rPr>
          <w:sz w:val="22"/>
          <w:szCs w:val="22"/>
          <w:lang w:val="sr-Latn-ME"/>
        </w:rPr>
      </w:pPr>
      <w:r w:rsidRPr="00245390">
        <w:rPr>
          <w:sz w:val="22"/>
          <w:szCs w:val="22"/>
          <w:lang w:val="sr-Latn-ME"/>
        </w:rPr>
        <w:t>PharmaSwiss - Montenegro, PharmaSwiss doo Beograd, dio stranog društva u Podgorici</w:t>
      </w:r>
      <w:r w:rsidR="004E4240" w:rsidRPr="00245390">
        <w:rPr>
          <w:sz w:val="22"/>
          <w:szCs w:val="22"/>
          <w:lang w:val="sr-Latn-ME"/>
        </w:rPr>
        <w:t>,</w:t>
      </w:r>
    </w:p>
    <w:p w14:paraId="047BBFAD" w14:textId="0CA8E44E" w:rsidR="00C37FD7" w:rsidRPr="00245390" w:rsidRDefault="007D25C1" w:rsidP="007D25C1">
      <w:pPr>
        <w:tabs>
          <w:tab w:val="left" w:pos="540"/>
          <w:tab w:val="left" w:pos="569"/>
        </w:tabs>
        <w:rPr>
          <w:sz w:val="22"/>
          <w:szCs w:val="22"/>
          <w:lang w:val="sr-Latn-ME"/>
        </w:rPr>
      </w:pPr>
      <w:r w:rsidRPr="00245390">
        <w:rPr>
          <w:sz w:val="22"/>
          <w:szCs w:val="22"/>
          <w:lang w:val="sr-Latn-ME"/>
        </w:rPr>
        <w:t>Rimski trg br. 16, Podgorica, Crna Gora</w:t>
      </w:r>
    </w:p>
    <w:p w14:paraId="464B2C59" w14:textId="32E3372C" w:rsidR="007D25C1" w:rsidRPr="00245390" w:rsidRDefault="007D25C1" w:rsidP="007D25C1">
      <w:pPr>
        <w:tabs>
          <w:tab w:val="left" w:pos="540"/>
          <w:tab w:val="left" w:pos="569"/>
        </w:tabs>
        <w:rPr>
          <w:bCs/>
          <w:sz w:val="22"/>
          <w:szCs w:val="22"/>
          <w:lang w:val="sr-Latn-ME"/>
        </w:rPr>
      </w:pPr>
    </w:p>
    <w:p w14:paraId="51C86F98" w14:textId="77777777" w:rsidR="004E4240" w:rsidRPr="00245390" w:rsidRDefault="004E4240" w:rsidP="007D25C1">
      <w:pPr>
        <w:tabs>
          <w:tab w:val="left" w:pos="540"/>
          <w:tab w:val="left" w:pos="569"/>
        </w:tabs>
        <w:rPr>
          <w:bCs/>
          <w:sz w:val="22"/>
          <w:szCs w:val="22"/>
          <w:lang w:val="sr-Latn-ME"/>
        </w:rPr>
      </w:pPr>
    </w:p>
    <w:p w14:paraId="1A7504F9"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8. </w:t>
      </w:r>
      <w:r w:rsidR="00480FB1" w:rsidRPr="00245390">
        <w:rPr>
          <w:b/>
          <w:bCs/>
          <w:sz w:val="22"/>
          <w:szCs w:val="22"/>
          <w:lang w:val="sr-Latn-ME"/>
        </w:rPr>
        <w:tab/>
      </w:r>
      <w:r w:rsidRPr="00245390">
        <w:rPr>
          <w:b/>
          <w:bCs/>
          <w:sz w:val="22"/>
          <w:szCs w:val="22"/>
          <w:lang w:val="sr-Latn-ME"/>
        </w:rPr>
        <w:t>BROJ DOZVOLE</w:t>
      </w:r>
      <w:r w:rsidR="008A6D43" w:rsidRPr="00245390">
        <w:rPr>
          <w:b/>
          <w:bCs/>
          <w:sz w:val="22"/>
          <w:szCs w:val="22"/>
          <w:lang w:val="sr-Latn-ME"/>
        </w:rPr>
        <w:t xml:space="preserve"> ZA STAVLJANJE LIJEKA U PROMET</w:t>
      </w:r>
    </w:p>
    <w:p w14:paraId="164C95FB" w14:textId="0023F481" w:rsidR="0072020E" w:rsidRPr="00245390" w:rsidRDefault="0072020E" w:rsidP="00480FB1">
      <w:pPr>
        <w:tabs>
          <w:tab w:val="left" w:pos="540"/>
          <w:tab w:val="left" w:pos="569"/>
        </w:tabs>
        <w:rPr>
          <w:bCs/>
          <w:sz w:val="22"/>
          <w:szCs w:val="22"/>
          <w:lang w:val="sr-Latn-ME"/>
        </w:rPr>
      </w:pPr>
    </w:p>
    <w:p w14:paraId="76B79726" w14:textId="0F992087" w:rsidR="007D25C1" w:rsidRPr="00245390" w:rsidRDefault="0041585E" w:rsidP="00480FB1">
      <w:pPr>
        <w:tabs>
          <w:tab w:val="left" w:pos="540"/>
          <w:tab w:val="left" w:pos="569"/>
        </w:tabs>
        <w:rPr>
          <w:bCs/>
          <w:sz w:val="22"/>
          <w:szCs w:val="22"/>
          <w:lang w:val="sr-Latn-ME"/>
        </w:rPr>
      </w:pPr>
      <w:r>
        <w:rPr>
          <w:bCs/>
          <w:sz w:val="22"/>
          <w:szCs w:val="22"/>
          <w:lang w:val="sr-Latn-ME"/>
        </w:rPr>
        <w:t>2030/24/4746 - 2982</w:t>
      </w:r>
    </w:p>
    <w:p w14:paraId="6474E1E6" w14:textId="348D0573" w:rsidR="004E4240" w:rsidRDefault="004E4240" w:rsidP="00480FB1">
      <w:pPr>
        <w:tabs>
          <w:tab w:val="left" w:pos="540"/>
          <w:tab w:val="left" w:pos="569"/>
        </w:tabs>
        <w:rPr>
          <w:bCs/>
          <w:sz w:val="22"/>
          <w:szCs w:val="22"/>
          <w:lang w:val="sr-Latn-ME"/>
        </w:rPr>
      </w:pPr>
    </w:p>
    <w:p w14:paraId="2116E21F" w14:textId="77777777" w:rsidR="00004414" w:rsidRPr="00245390" w:rsidRDefault="00004414" w:rsidP="00480FB1">
      <w:pPr>
        <w:tabs>
          <w:tab w:val="left" w:pos="540"/>
          <w:tab w:val="left" w:pos="569"/>
        </w:tabs>
        <w:rPr>
          <w:bCs/>
          <w:sz w:val="22"/>
          <w:szCs w:val="22"/>
          <w:lang w:val="sr-Latn-ME"/>
        </w:rPr>
      </w:pPr>
    </w:p>
    <w:p w14:paraId="2F0708AF" w14:textId="77777777" w:rsidR="0072020E" w:rsidRPr="00245390" w:rsidRDefault="0072020E" w:rsidP="00480FB1">
      <w:pPr>
        <w:tabs>
          <w:tab w:val="left" w:pos="540"/>
          <w:tab w:val="left" w:pos="569"/>
        </w:tabs>
        <w:rPr>
          <w:b/>
          <w:bCs/>
          <w:sz w:val="22"/>
          <w:szCs w:val="22"/>
          <w:lang w:val="sr-Latn-ME"/>
        </w:rPr>
      </w:pPr>
      <w:r w:rsidRPr="00245390">
        <w:rPr>
          <w:b/>
          <w:bCs/>
          <w:sz w:val="22"/>
          <w:szCs w:val="22"/>
          <w:lang w:val="sr-Latn-ME"/>
        </w:rPr>
        <w:t xml:space="preserve">9. </w:t>
      </w:r>
      <w:r w:rsidR="00480FB1" w:rsidRPr="00245390">
        <w:rPr>
          <w:b/>
          <w:bCs/>
          <w:sz w:val="22"/>
          <w:szCs w:val="22"/>
          <w:lang w:val="sr-Latn-ME"/>
        </w:rPr>
        <w:tab/>
      </w:r>
      <w:r w:rsidRPr="00245390">
        <w:rPr>
          <w:b/>
          <w:bCs/>
          <w:sz w:val="22"/>
          <w:szCs w:val="22"/>
          <w:lang w:val="sr-Latn-ME"/>
        </w:rPr>
        <w:t xml:space="preserve">DATUM </w:t>
      </w:r>
      <w:r w:rsidR="00C05DF8" w:rsidRPr="00245390">
        <w:rPr>
          <w:b/>
          <w:bCs/>
          <w:sz w:val="22"/>
          <w:szCs w:val="22"/>
          <w:lang w:val="sr-Latn-ME"/>
        </w:rPr>
        <w:t xml:space="preserve">PRVE </w:t>
      </w:r>
      <w:r w:rsidR="008A6D43" w:rsidRPr="00245390">
        <w:rPr>
          <w:b/>
          <w:bCs/>
          <w:sz w:val="22"/>
          <w:szCs w:val="22"/>
          <w:lang w:val="sr-Latn-ME"/>
        </w:rPr>
        <w:t>DOZVOLE</w:t>
      </w:r>
      <w:r w:rsidR="00C05DF8" w:rsidRPr="00245390">
        <w:rPr>
          <w:b/>
          <w:bCs/>
          <w:sz w:val="22"/>
          <w:szCs w:val="22"/>
          <w:lang w:val="sr-Latn-ME"/>
        </w:rPr>
        <w:t>/OBNOVE DOZVOLE</w:t>
      </w:r>
      <w:r w:rsidR="008A6D43" w:rsidRPr="00245390">
        <w:rPr>
          <w:b/>
          <w:bCs/>
          <w:sz w:val="22"/>
          <w:szCs w:val="22"/>
          <w:lang w:val="sr-Latn-ME"/>
        </w:rPr>
        <w:t xml:space="preserve"> ZA STAVLJANJE LIJEKA U PROMET</w:t>
      </w:r>
    </w:p>
    <w:p w14:paraId="3BE4EC94" w14:textId="3AE1B699" w:rsidR="0072020E" w:rsidRPr="00245390" w:rsidRDefault="0072020E" w:rsidP="00480FB1">
      <w:pPr>
        <w:tabs>
          <w:tab w:val="left" w:pos="540"/>
          <w:tab w:val="left" w:pos="569"/>
        </w:tabs>
        <w:rPr>
          <w:bCs/>
          <w:sz w:val="22"/>
          <w:szCs w:val="22"/>
          <w:lang w:val="sr-Latn-ME"/>
        </w:rPr>
      </w:pPr>
    </w:p>
    <w:p w14:paraId="5854BCC9" w14:textId="05B8FEA5" w:rsidR="00836B35" w:rsidRPr="00245390" w:rsidRDefault="004E4240" w:rsidP="00480FB1">
      <w:pPr>
        <w:tabs>
          <w:tab w:val="left" w:pos="540"/>
          <w:tab w:val="left" w:pos="569"/>
        </w:tabs>
        <w:rPr>
          <w:rFonts w:cs="Arial"/>
          <w:sz w:val="22"/>
          <w:szCs w:val="22"/>
          <w:lang w:val="sr-Latn-ME"/>
        </w:rPr>
      </w:pPr>
      <w:r w:rsidRPr="00245390">
        <w:rPr>
          <w:bCs/>
          <w:sz w:val="22"/>
          <w:szCs w:val="22"/>
          <w:lang w:val="sr-Latn-ME"/>
        </w:rPr>
        <w:t>Datum prve dozvole</w:t>
      </w:r>
      <w:r w:rsidR="007D25C1" w:rsidRPr="00245390">
        <w:rPr>
          <w:bCs/>
          <w:sz w:val="22"/>
          <w:szCs w:val="22"/>
          <w:lang w:val="sr-Latn-ME"/>
        </w:rPr>
        <w:t>:</w:t>
      </w:r>
      <w:r w:rsidR="007D25C1" w:rsidRPr="00245390">
        <w:rPr>
          <w:b/>
          <w:bCs/>
          <w:sz w:val="22"/>
          <w:szCs w:val="22"/>
          <w:lang w:val="sr-Latn-ME"/>
        </w:rPr>
        <w:t xml:space="preserve"> </w:t>
      </w:r>
      <w:r w:rsidR="007D25C1" w:rsidRPr="00245390">
        <w:rPr>
          <w:rFonts w:cs="Arial"/>
          <w:sz w:val="22"/>
          <w:szCs w:val="22"/>
          <w:lang w:val="sr-Latn-ME"/>
        </w:rPr>
        <w:t>14.02.2014. godine</w:t>
      </w:r>
    </w:p>
    <w:p w14:paraId="12B060B8" w14:textId="7CCE27BE" w:rsidR="00325632" w:rsidRPr="00245390" w:rsidRDefault="004E4240" w:rsidP="00480FB1">
      <w:pPr>
        <w:tabs>
          <w:tab w:val="left" w:pos="540"/>
          <w:tab w:val="left" w:pos="569"/>
        </w:tabs>
        <w:rPr>
          <w:bCs/>
          <w:sz w:val="22"/>
          <w:szCs w:val="22"/>
          <w:lang w:val="sr-Latn-ME"/>
        </w:rPr>
      </w:pPr>
      <w:r w:rsidRPr="00245390">
        <w:rPr>
          <w:bCs/>
          <w:sz w:val="22"/>
          <w:szCs w:val="22"/>
          <w:lang w:val="sr-Latn-ME"/>
        </w:rPr>
        <w:t>Datum posljednje obnove dozvole:</w:t>
      </w:r>
      <w:r w:rsidR="0041585E">
        <w:rPr>
          <w:bCs/>
          <w:sz w:val="22"/>
          <w:szCs w:val="22"/>
          <w:lang w:val="sr-Latn-ME"/>
        </w:rPr>
        <w:t xml:space="preserve"> 20.09.2024. godine</w:t>
      </w:r>
    </w:p>
    <w:p w14:paraId="25A9DD7B" w14:textId="10FD3EF9" w:rsidR="004E4240" w:rsidRPr="00245390" w:rsidRDefault="004E4240" w:rsidP="00480FB1">
      <w:pPr>
        <w:tabs>
          <w:tab w:val="left" w:pos="540"/>
          <w:tab w:val="left" w:pos="569"/>
        </w:tabs>
        <w:rPr>
          <w:bCs/>
          <w:sz w:val="22"/>
          <w:szCs w:val="22"/>
          <w:lang w:val="sr-Latn-ME"/>
        </w:rPr>
      </w:pPr>
    </w:p>
    <w:p w14:paraId="5E659984" w14:textId="77777777" w:rsidR="004E4240" w:rsidRPr="00245390" w:rsidRDefault="004E4240" w:rsidP="00480FB1">
      <w:pPr>
        <w:tabs>
          <w:tab w:val="left" w:pos="540"/>
          <w:tab w:val="left" w:pos="569"/>
        </w:tabs>
        <w:rPr>
          <w:bCs/>
          <w:sz w:val="22"/>
          <w:szCs w:val="22"/>
          <w:lang w:val="sr-Latn-ME"/>
        </w:rPr>
      </w:pPr>
    </w:p>
    <w:p w14:paraId="45DB4EC0" w14:textId="77777777" w:rsidR="003F6A59" w:rsidRPr="00245390" w:rsidRDefault="0072020E" w:rsidP="00C05DF8">
      <w:pPr>
        <w:tabs>
          <w:tab w:val="left" w:pos="540"/>
          <w:tab w:val="left" w:pos="569"/>
        </w:tabs>
        <w:ind w:left="540" w:hanging="540"/>
        <w:rPr>
          <w:bCs/>
          <w:sz w:val="22"/>
          <w:szCs w:val="22"/>
          <w:lang w:val="sr-Latn-ME"/>
        </w:rPr>
      </w:pPr>
      <w:r w:rsidRPr="00245390">
        <w:rPr>
          <w:b/>
          <w:bCs/>
          <w:sz w:val="22"/>
          <w:szCs w:val="22"/>
          <w:lang w:val="sr-Latn-ME"/>
        </w:rPr>
        <w:t xml:space="preserve">10. </w:t>
      </w:r>
      <w:r w:rsidR="00480FB1" w:rsidRPr="00245390">
        <w:rPr>
          <w:b/>
          <w:bCs/>
          <w:sz w:val="22"/>
          <w:szCs w:val="22"/>
          <w:lang w:val="sr-Latn-ME"/>
        </w:rPr>
        <w:tab/>
      </w:r>
      <w:r w:rsidR="002846DB" w:rsidRPr="00245390">
        <w:rPr>
          <w:b/>
          <w:bCs/>
          <w:sz w:val="22"/>
          <w:szCs w:val="22"/>
          <w:lang w:val="sr-Latn-ME"/>
        </w:rPr>
        <w:t>D</w:t>
      </w:r>
      <w:r w:rsidR="00EC2532" w:rsidRPr="00245390">
        <w:rPr>
          <w:b/>
          <w:bCs/>
          <w:sz w:val="22"/>
          <w:szCs w:val="22"/>
          <w:lang w:val="sr-Latn-ME"/>
        </w:rPr>
        <w:t xml:space="preserve">ATUM REVIZIJE TEKSTA </w:t>
      </w:r>
    </w:p>
    <w:p w14:paraId="0968EC87" w14:textId="77777777" w:rsidR="003F6A59" w:rsidRPr="00245390" w:rsidRDefault="003F6A59" w:rsidP="00480FB1">
      <w:pPr>
        <w:tabs>
          <w:tab w:val="left" w:pos="540"/>
          <w:tab w:val="left" w:pos="569"/>
        </w:tabs>
        <w:rPr>
          <w:bCs/>
          <w:sz w:val="22"/>
          <w:szCs w:val="22"/>
          <w:lang w:val="sr-Latn-ME"/>
        </w:rPr>
      </w:pPr>
    </w:p>
    <w:p w14:paraId="1573A343" w14:textId="23052510" w:rsidR="003F6A59" w:rsidRPr="00245390" w:rsidRDefault="00004414" w:rsidP="00DE3F5C">
      <w:pPr>
        <w:rPr>
          <w:sz w:val="22"/>
          <w:szCs w:val="22"/>
          <w:lang w:val="sr-Latn-ME"/>
        </w:rPr>
      </w:pPr>
      <w:r>
        <w:rPr>
          <w:sz w:val="22"/>
          <w:szCs w:val="22"/>
          <w:lang w:val="sr-Latn-ME"/>
        </w:rPr>
        <w:t>Mart, 2025. godine</w:t>
      </w:r>
      <w:bookmarkStart w:id="17" w:name="_GoBack"/>
      <w:bookmarkEnd w:id="17"/>
    </w:p>
    <w:sectPr w:rsidR="003F6A59" w:rsidRPr="00245390"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738A" w14:textId="77777777" w:rsidR="00C65255" w:rsidRDefault="00C65255">
      <w:r>
        <w:separator/>
      </w:r>
    </w:p>
  </w:endnote>
  <w:endnote w:type="continuationSeparator" w:id="0">
    <w:p w14:paraId="1FE0B109" w14:textId="77777777" w:rsidR="00C65255" w:rsidRDefault="00C6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9F37" w14:textId="2CCC9590" w:rsidR="00C6235B" w:rsidRPr="00B23F69" w:rsidRDefault="00C6235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04414">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04414">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E9E6" w14:textId="77777777" w:rsidR="00C65255" w:rsidRDefault="00C65255">
      <w:r>
        <w:separator/>
      </w:r>
    </w:p>
  </w:footnote>
  <w:footnote w:type="continuationSeparator" w:id="0">
    <w:p w14:paraId="225326CD" w14:textId="77777777" w:rsidR="00C65255" w:rsidRDefault="00C6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7F1"/>
    <w:rsid w:val="00004414"/>
    <w:rsid w:val="0001555D"/>
    <w:rsid w:val="0001605D"/>
    <w:rsid w:val="000176CA"/>
    <w:rsid w:val="00030644"/>
    <w:rsid w:val="00036FA0"/>
    <w:rsid w:val="0003793F"/>
    <w:rsid w:val="00040851"/>
    <w:rsid w:val="00057E35"/>
    <w:rsid w:val="000640A4"/>
    <w:rsid w:val="00066CA6"/>
    <w:rsid w:val="00076726"/>
    <w:rsid w:val="00080303"/>
    <w:rsid w:val="00084D58"/>
    <w:rsid w:val="00086E08"/>
    <w:rsid w:val="00092681"/>
    <w:rsid w:val="000A3F58"/>
    <w:rsid w:val="000A5452"/>
    <w:rsid w:val="000D2343"/>
    <w:rsid w:val="000D3449"/>
    <w:rsid w:val="000D425A"/>
    <w:rsid w:val="000D60CC"/>
    <w:rsid w:val="000D745C"/>
    <w:rsid w:val="000E2084"/>
    <w:rsid w:val="000E6F55"/>
    <w:rsid w:val="000F77FA"/>
    <w:rsid w:val="00107BF7"/>
    <w:rsid w:val="00126F53"/>
    <w:rsid w:val="0014766D"/>
    <w:rsid w:val="001503D4"/>
    <w:rsid w:val="001536CC"/>
    <w:rsid w:val="001650B3"/>
    <w:rsid w:val="001778B4"/>
    <w:rsid w:val="00177D45"/>
    <w:rsid w:val="00192CB4"/>
    <w:rsid w:val="001A05BB"/>
    <w:rsid w:val="001A0EC0"/>
    <w:rsid w:val="001A1D51"/>
    <w:rsid w:val="001A3FBA"/>
    <w:rsid w:val="001A5518"/>
    <w:rsid w:val="001A65D3"/>
    <w:rsid w:val="001B1C6A"/>
    <w:rsid w:val="001C1263"/>
    <w:rsid w:val="001C1417"/>
    <w:rsid w:val="001C4461"/>
    <w:rsid w:val="001C662D"/>
    <w:rsid w:val="001E390B"/>
    <w:rsid w:val="001F42FB"/>
    <w:rsid w:val="001F719A"/>
    <w:rsid w:val="002031B3"/>
    <w:rsid w:val="002152B6"/>
    <w:rsid w:val="00215931"/>
    <w:rsid w:val="002220F5"/>
    <w:rsid w:val="0022303C"/>
    <w:rsid w:val="0022376E"/>
    <w:rsid w:val="00227BDB"/>
    <w:rsid w:val="00234CB1"/>
    <w:rsid w:val="002352F8"/>
    <w:rsid w:val="0023552E"/>
    <w:rsid w:val="00237F3D"/>
    <w:rsid w:val="00244F30"/>
    <w:rsid w:val="00245390"/>
    <w:rsid w:val="002510A5"/>
    <w:rsid w:val="00254A0A"/>
    <w:rsid w:val="00263103"/>
    <w:rsid w:val="002642EB"/>
    <w:rsid w:val="00266046"/>
    <w:rsid w:val="0028187C"/>
    <w:rsid w:val="00283AEC"/>
    <w:rsid w:val="002846DB"/>
    <w:rsid w:val="00284CCD"/>
    <w:rsid w:val="002A44EA"/>
    <w:rsid w:val="002B6559"/>
    <w:rsid w:val="002C6637"/>
    <w:rsid w:val="002E0135"/>
    <w:rsid w:val="002E37A5"/>
    <w:rsid w:val="002F29F0"/>
    <w:rsid w:val="002F3AB5"/>
    <w:rsid w:val="00300C2A"/>
    <w:rsid w:val="00310F03"/>
    <w:rsid w:val="003247D2"/>
    <w:rsid w:val="00325632"/>
    <w:rsid w:val="003445C1"/>
    <w:rsid w:val="00347043"/>
    <w:rsid w:val="003528D8"/>
    <w:rsid w:val="00355B61"/>
    <w:rsid w:val="00356EFB"/>
    <w:rsid w:val="0035770B"/>
    <w:rsid w:val="00362686"/>
    <w:rsid w:val="00371510"/>
    <w:rsid w:val="00392BF9"/>
    <w:rsid w:val="00396DFD"/>
    <w:rsid w:val="003A7059"/>
    <w:rsid w:val="003B7A36"/>
    <w:rsid w:val="003C17AB"/>
    <w:rsid w:val="003C61A4"/>
    <w:rsid w:val="003C7823"/>
    <w:rsid w:val="003D76D4"/>
    <w:rsid w:val="003E1DCC"/>
    <w:rsid w:val="003F6A59"/>
    <w:rsid w:val="003F7665"/>
    <w:rsid w:val="004065C8"/>
    <w:rsid w:val="00411B4B"/>
    <w:rsid w:val="0041585E"/>
    <w:rsid w:val="00415BEE"/>
    <w:rsid w:val="0042416A"/>
    <w:rsid w:val="004252B7"/>
    <w:rsid w:val="00427F85"/>
    <w:rsid w:val="00436F42"/>
    <w:rsid w:val="004378B4"/>
    <w:rsid w:val="004429B7"/>
    <w:rsid w:val="00451314"/>
    <w:rsid w:val="00452E9D"/>
    <w:rsid w:val="004534C7"/>
    <w:rsid w:val="0045509D"/>
    <w:rsid w:val="004671AA"/>
    <w:rsid w:val="00474AD0"/>
    <w:rsid w:val="00480FB1"/>
    <w:rsid w:val="00483928"/>
    <w:rsid w:val="004A0CA5"/>
    <w:rsid w:val="004B3827"/>
    <w:rsid w:val="004B60A1"/>
    <w:rsid w:val="004D482D"/>
    <w:rsid w:val="004D6103"/>
    <w:rsid w:val="004E3BCE"/>
    <w:rsid w:val="004E4240"/>
    <w:rsid w:val="004E7838"/>
    <w:rsid w:val="004F0E97"/>
    <w:rsid w:val="004F536D"/>
    <w:rsid w:val="00501DD1"/>
    <w:rsid w:val="00513009"/>
    <w:rsid w:val="00515C21"/>
    <w:rsid w:val="00530074"/>
    <w:rsid w:val="00530BD7"/>
    <w:rsid w:val="00545CD2"/>
    <w:rsid w:val="005476F3"/>
    <w:rsid w:val="0055447D"/>
    <w:rsid w:val="0056783E"/>
    <w:rsid w:val="00572527"/>
    <w:rsid w:val="00573E40"/>
    <w:rsid w:val="00575C5E"/>
    <w:rsid w:val="00576348"/>
    <w:rsid w:val="00580247"/>
    <w:rsid w:val="005A0B2E"/>
    <w:rsid w:val="005A23D2"/>
    <w:rsid w:val="005A36CB"/>
    <w:rsid w:val="005A73B3"/>
    <w:rsid w:val="005B49B8"/>
    <w:rsid w:val="005C0741"/>
    <w:rsid w:val="005C5EF4"/>
    <w:rsid w:val="005D3744"/>
    <w:rsid w:val="005E2E0B"/>
    <w:rsid w:val="005E7218"/>
    <w:rsid w:val="005E7A7D"/>
    <w:rsid w:val="005F4D18"/>
    <w:rsid w:val="005F5B0E"/>
    <w:rsid w:val="00607D96"/>
    <w:rsid w:val="00611440"/>
    <w:rsid w:val="00611ECF"/>
    <w:rsid w:val="00615105"/>
    <w:rsid w:val="006200FC"/>
    <w:rsid w:val="00644A82"/>
    <w:rsid w:val="00646BD1"/>
    <w:rsid w:val="006554B3"/>
    <w:rsid w:val="006561C2"/>
    <w:rsid w:val="006716CB"/>
    <w:rsid w:val="00671CB3"/>
    <w:rsid w:val="00674BAF"/>
    <w:rsid w:val="00682200"/>
    <w:rsid w:val="006838BD"/>
    <w:rsid w:val="00693C11"/>
    <w:rsid w:val="006A1497"/>
    <w:rsid w:val="006A6BA6"/>
    <w:rsid w:val="006A79F0"/>
    <w:rsid w:val="006B08E8"/>
    <w:rsid w:val="006B0BD1"/>
    <w:rsid w:val="006B66D3"/>
    <w:rsid w:val="006C4234"/>
    <w:rsid w:val="006D20A5"/>
    <w:rsid w:val="006D37BF"/>
    <w:rsid w:val="006E0765"/>
    <w:rsid w:val="006F22D0"/>
    <w:rsid w:val="00702E22"/>
    <w:rsid w:val="00712BF2"/>
    <w:rsid w:val="0072020E"/>
    <w:rsid w:val="00724620"/>
    <w:rsid w:val="007246FA"/>
    <w:rsid w:val="007336A8"/>
    <w:rsid w:val="007345A9"/>
    <w:rsid w:val="007412E2"/>
    <w:rsid w:val="0078266D"/>
    <w:rsid w:val="00782E39"/>
    <w:rsid w:val="00786071"/>
    <w:rsid w:val="007A38BC"/>
    <w:rsid w:val="007A3ECB"/>
    <w:rsid w:val="007A4EC6"/>
    <w:rsid w:val="007B1E4F"/>
    <w:rsid w:val="007D25C1"/>
    <w:rsid w:val="007F4977"/>
    <w:rsid w:val="00800241"/>
    <w:rsid w:val="00824AB9"/>
    <w:rsid w:val="00836B35"/>
    <w:rsid w:val="00837DF2"/>
    <w:rsid w:val="00842B39"/>
    <w:rsid w:val="00843BDE"/>
    <w:rsid w:val="00850761"/>
    <w:rsid w:val="008518C3"/>
    <w:rsid w:val="00861A28"/>
    <w:rsid w:val="00867E43"/>
    <w:rsid w:val="00880D1A"/>
    <w:rsid w:val="0088574B"/>
    <w:rsid w:val="0088598F"/>
    <w:rsid w:val="0088617F"/>
    <w:rsid w:val="0089705C"/>
    <w:rsid w:val="0089796C"/>
    <w:rsid w:val="008A6D43"/>
    <w:rsid w:val="008B0210"/>
    <w:rsid w:val="008B491E"/>
    <w:rsid w:val="008B57AE"/>
    <w:rsid w:val="008C1A28"/>
    <w:rsid w:val="008C2E98"/>
    <w:rsid w:val="008D4723"/>
    <w:rsid w:val="008E49BD"/>
    <w:rsid w:val="008E53E9"/>
    <w:rsid w:val="008E5771"/>
    <w:rsid w:val="00910EE4"/>
    <w:rsid w:val="00927109"/>
    <w:rsid w:val="0093059B"/>
    <w:rsid w:val="009308C5"/>
    <w:rsid w:val="00932427"/>
    <w:rsid w:val="00935A4F"/>
    <w:rsid w:val="00940B9B"/>
    <w:rsid w:val="0095676E"/>
    <w:rsid w:val="00956983"/>
    <w:rsid w:val="00963CF0"/>
    <w:rsid w:val="00964BB1"/>
    <w:rsid w:val="00975488"/>
    <w:rsid w:val="009775D9"/>
    <w:rsid w:val="00997175"/>
    <w:rsid w:val="009A1847"/>
    <w:rsid w:val="009A6029"/>
    <w:rsid w:val="009B062A"/>
    <w:rsid w:val="009E7A21"/>
    <w:rsid w:val="009E7C6F"/>
    <w:rsid w:val="009F0F24"/>
    <w:rsid w:val="009F1793"/>
    <w:rsid w:val="009F2D23"/>
    <w:rsid w:val="00A01D69"/>
    <w:rsid w:val="00A02335"/>
    <w:rsid w:val="00A07023"/>
    <w:rsid w:val="00A45485"/>
    <w:rsid w:val="00A46C9A"/>
    <w:rsid w:val="00A53C76"/>
    <w:rsid w:val="00A60E15"/>
    <w:rsid w:val="00A619F3"/>
    <w:rsid w:val="00A62A73"/>
    <w:rsid w:val="00A801ED"/>
    <w:rsid w:val="00A87FF6"/>
    <w:rsid w:val="00AA0A3B"/>
    <w:rsid w:val="00AA2763"/>
    <w:rsid w:val="00AA33B6"/>
    <w:rsid w:val="00AB50CA"/>
    <w:rsid w:val="00AB6D64"/>
    <w:rsid w:val="00AC53CE"/>
    <w:rsid w:val="00AD2193"/>
    <w:rsid w:val="00AD4721"/>
    <w:rsid w:val="00AE27E1"/>
    <w:rsid w:val="00AE5BF6"/>
    <w:rsid w:val="00AF2AC7"/>
    <w:rsid w:val="00AF74CE"/>
    <w:rsid w:val="00B001E1"/>
    <w:rsid w:val="00B125E1"/>
    <w:rsid w:val="00B208DB"/>
    <w:rsid w:val="00B23145"/>
    <w:rsid w:val="00B23F69"/>
    <w:rsid w:val="00B24149"/>
    <w:rsid w:val="00B4359E"/>
    <w:rsid w:val="00B552ED"/>
    <w:rsid w:val="00B60619"/>
    <w:rsid w:val="00B66A70"/>
    <w:rsid w:val="00B67366"/>
    <w:rsid w:val="00B80EE1"/>
    <w:rsid w:val="00B84135"/>
    <w:rsid w:val="00B922AE"/>
    <w:rsid w:val="00BE6C56"/>
    <w:rsid w:val="00C04D34"/>
    <w:rsid w:val="00C05DF8"/>
    <w:rsid w:val="00C06864"/>
    <w:rsid w:val="00C10F54"/>
    <w:rsid w:val="00C23D8D"/>
    <w:rsid w:val="00C314A1"/>
    <w:rsid w:val="00C37AA3"/>
    <w:rsid w:val="00C37FD7"/>
    <w:rsid w:val="00C43419"/>
    <w:rsid w:val="00C44CF3"/>
    <w:rsid w:val="00C61BE0"/>
    <w:rsid w:val="00C6235B"/>
    <w:rsid w:val="00C65255"/>
    <w:rsid w:val="00C70B0E"/>
    <w:rsid w:val="00C77082"/>
    <w:rsid w:val="00C773CA"/>
    <w:rsid w:val="00C83785"/>
    <w:rsid w:val="00C94C0D"/>
    <w:rsid w:val="00CA1FEB"/>
    <w:rsid w:val="00CB285B"/>
    <w:rsid w:val="00CC175F"/>
    <w:rsid w:val="00CD4F85"/>
    <w:rsid w:val="00CD6F02"/>
    <w:rsid w:val="00CE246D"/>
    <w:rsid w:val="00CF07A0"/>
    <w:rsid w:val="00CF155A"/>
    <w:rsid w:val="00CF3E03"/>
    <w:rsid w:val="00CF70CE"/>
    <w:rsid w:val="00D002A4"/>
    <w:rsid w:val="00D0082A"/>
    <w:rsid w:val="00D21455"/>
    <w:rsid w:val="00D40F46"/>
    <w:rsid w:val="00D47634"/>
    <w:rsid w:val="00D555FF"/>
    <w:rsid w:val="00D709B3"/>
    <w:rsid w:val="00DA2ED6"/>
    <w:rsid w:val="00DB76B8"/>
    <w:rsid w:val="00DC2EA1"/>
    <w:rsid w:val="00DC3920"/>
    <w:rsid w:val="00DD332A"/>
    <w:rsid w:val="00DD6AAF"/>
    <w:rsid w:val="00DE3F5C"/>
    <w:rsid w:val="00DF1D20"/>
    <w:rsid w:val="00DF4D00"/>
    <w:rsid w:val="00E15533"/>
    <w:rsid w:val="00E21324"/>
    <w:rsid w:val="00E23206"/>
    <w:rsid w:val="00E246B9"/>
    <w:rsid w:val="00E31FEA"/>
    <w:rsid w:val="00E4356C"/>
    <w:rsid w:val="00E45169"/>
    <w:rsid w:val="00E47787"/>
    <w:rsid w:val="00E5122D"/>
    <w:rsid w:val="00E51C30"/>
    <w:rsid w:val="00E64180"/>
    <w:rsid w:val="00E74AEE"/>
    <w:rsid w:val="00E868E5"/>
    <w:rsid w:val="00E87EE5"/>
    <w:rsid w:val="00E9237A"/>
    <w:rsid w:val="00E939FA"/>
    <w:rsid w:val="00EA5765"/>
    <w:rsid w:val="00EC065C"/>
    <w:rsid w:val="00EC2532"/>
    <w:rsid w:val="00EC6635"/>
    <w:rsid w:val="00ED7812"/>
    <w:rsid w:val="00EE5F09"/>
    <w:rsid w:val="00EF3B86"/>
    <w:rsid w:val="00F317E9"/>
    <w:rsid w:val="00F34554"/>
    <w:rsid w:val="00F45F77"/>
    <w:rsid w:val="00F5167F"/>
    <w:rsid w:val="00F52258"/>
    <w:rsid w:val="00F64AED"/>
    <w:rsid w:val="00F815F3"/>
    <w:rsid w:val="00F8570A"/>
    <w:rsid w:val="00F86979"/>
    <w:rsid w:val="00F91C7B"/>
    <w:rsid w:val="00FB295C"/>
    <w:rsid w:val="00FC3AE6"/>
    <w:rsid w:val="00FC7E6C"/>
    <w:rsid w:val="00FE4E8C"/>
    <w:rsid w:val="00FF5F82"/>
    <w:rsid w:val="00FF75C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45AC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7D25C1"/>
    <w:rPr>
      <w:sz w:val="24"/>
      <w:szCs w:val="24"/>
      <w:lang w:val="en-US" w:eastAsia="en-US"/>
    </w:rPr>
  </w:style>
  <w:style w:type="character" w:styleId="Hyperlink">
    <w:name w:val="Hyperlink"/>
    <w:basedOn w:val="DefaultParagraphFont"/>
    <w:rsid w:val="00867E43"/>
    <w:rPr>
      <w:color w:val="0563C1" w:themeColor="hyperlink"/>
      <w:u w:val="single"/>
    </w:rPr>
  </w:style>
  <w:style w:type="character" w:customStyle="1" w:styleId="UnresolvedMention1">
    <w:name w:val="Unresolved Mention1"/>
    <w:basedOn w:val="DefaultParagraphFont"/>
    <w:uiPriority w:val="99"/>
    <w:semiHidden/>
    <w:unhideWhenUsed/>
    <w:rsid w:val="00867E43"/>
    <w:rPr>
      <w:color w:val="605E5C"/>
      <w:shd w:val="clear" w:color="auto" w:fill="E1DFDD"/>
    </w:rPr>
  </w:style>
  <w:style w:type="paragraph" w:styleId="Revision">
    <w:name w:val="Revision"/>
    <w:hidden/>
    <w:uiPriority w:val="99"/>
    <w:semiHidden/>
    <w:rsid w:val="00325632"/>
    <w:rPr>
      <w:sz w:val="24"/>
      <w:szCs w:val="24"/>
      <w:lang w:val="en-US" w:eastAsia="en-US"/>
    </w:rPr>
  </w:style>
  <w:style w:type="paragraph" w:styleId="ListParagraph">
    <w:name w:val="List Paragraph"/>
    <w:basedOn w:val="Normal"/>
    <w:uiPriority w:val="34"/>
    <w:qFormat/>
    <w:rsid w:val="00D4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9EE3-D035-4443-A2E2-88E84A9E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33693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3</cp:revision>
  <dcterms:created xsi:type="dcterms:W3CDTF">2025-03-26T13:36:00Z</dcterms:created>
  <dcterms:modified xsi:type="dcterms:W3CDTF">2025-03-31T10:22:00Z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