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FD6B7" w14:textId="77777777" w:rsidR="002510A5" w:rsidRPr="00AF2694" w:rsidRDefault="002510A5" w:rsidP="002510A5">
      <w:pPr>
        <w:jc w:val="center"/>
        <w:rPr>
          <w:b/>
          <w:bCs/>
          <w:iCs/>
          <w:sz w:val="22"/>
          <w:szCs w:val="22"/>
          <w:u w:val="single"/>
          <w:lang w:val="sr-Latn-ME"/>
        </w:rPr>
      </w:pPr>
      <w:r w:rsidRPr="00AF2694">
        <w:rPr>
          <w:b/>
          <w:bCs/>
          <w:iCs/>
          <w:sz w:val="22"/>
          <w:szCs w:val="22"/>
          <w:u w:val="single"/>
          <w:lang w:val="sr-Latn-ME"/>
        </w:rPr>
        <w:t>SAŽETAK KARAKTERISTIKA LIJEKA</w:t>
      </w:r>
    </w:p>
    <w:p w14:paraId="3D90A750" w14:textId="77777777" w:rsidR="003C17AB" w:rsidRPr="00AF2694" w:rsidRDefault="003C17AB" w:rsidP="00CA1FEB">
      <w:pPr>
        <w:rPr>
          <w:sz w:val="22"/>
          <w:szCs w:val="22"/>
          <w:lang w:val="sr-Latn-ME"/>
        </w:rPr>
      </w:pPr>
    </w:p>
    <w:p w14:paraId="5F1C1DF9" w14:textId="6DDF00AD" w:rsidR="003C17AB" w:rsidRPr="00AF2694" w:rsidRDefault="005C5EF4" w:rsidP="004B3317">
      <w:pPr>
        <w:tabs>
          <w:tab w:val="left" w:pos="540"/>
          <w:tab w:val="left" w:pos="569"/>
        </w:tabs>
        <w:jc w:val="both"/>
        <w:rPr>
          <w:bCs/>
          <w:iCs/>
          <w:sz w:val="22"/>
          <w:szCs w:val="22"/>
          <w:lang w:val="sr-Latn-ME"/>
        </w:rPr>
      </w:pPr>
      <w:r w:rsidRPr="00AF2694">
        <w:rPr>
          <w:noProof/>
          <w:sz w:val="22"/>
          <w:szCs w:val="22"/>
        </w:rPr>
        <w:drawing>
          <wp:inline distT="0" distB="0" distL="0" distR="0" wp14:anchorId="60D4DCC6" wp14:editId="3596A5CB">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AF2694">
        <w:rPr>
          <w:sz w:val="22"/>
          <w:szCs w:val="22"/>
          <w:lang w:val="sr-Latn-ME"/>
        </w:rPr>
        <w:t xml:space="preserve"> Ovaj lijek je pod dodatnim praćenjem. Time se omogućava brzo otkrivanje novih bezbjednosnih informacija. Zdravstveni radnici treba da prijave svaku sumnju na neželjeno dejstvo ovog lijeka. Za način prijavljivanja neželjenih dejstava vidjeti </w:t>
      </w:r>
      <w:r w:rsidR="007A3ECB" w:rsidRPr="00AF2694">
        <w:rPr>
          <w:sz w:val="22"/>
          <w:szCs w:val="22"/>
          <w:lang w:val="sr-Latn-ME"/>
        </w:rPr>
        <w:t xml:space="preserve">dio </w:t>
      </w:r>
      <w:r w:rsidR="003C17AB" w:rsidRPr="00AF2694">
        <w:rPr>
          <w:sz w:val="22"/>
          <w:szCs w:val="22"/>
          <w:lang w:val="sr-Latn-ME"/>
        </w:rPr>
        <w:t>4.8.</w:t>
      </w:r>
      <w:r w:rsidR="00107BF7" w:rsidRPr="00AF2694">
        <w:rPr>
          <w:sz w:val="22"/>
          <w:szCs w:val="22"/>
          <w:lang w:val="sr-Latn-ME"/>
        </w:rPr>
        <w:t xml:space="preserve"> </w:t>
      </w:r>
    </w:p>
    <w:p w14:paraId="54B6D3F7" w14:textId="6EC5BD99" w:rsidR="00C37FD7" w:rsidRPr="00AF2694" w:rsidRDefault="00C37FD7" w:rsidP="00CF11D6">
      <w:pPr>
        <w:tabs>
          <w:tab w:val="left" w:pos="540"/>
          <w:tab w:val="left" w:pos="569"/>
        </w:tabs>
        <w:jc w:val="both"/>
        <w:rPr>
          <w:bCs/>
          <w:sz w:val="22"/>
          <w:szCs w:val="22"/>
          <w:lang w:val="sr-Latn-ME"/>
        </w:rPr>
      </w:pPr>
    </w:p>
    <w:p w14:paraId="3307961C" w14:textId="77777777" w:rsidR="00981B38" w:rsidRPr="00AF2694" w:rsidRDefault="00981B38" w:rsidP="00CF11D6">
      <w:pPr>
        <w:tabs>
          <w:tab w:val="left" w:pos="540"/>
          <w:tab w:val="left" w:pos="569"/>
        </w:tabs>
        <w:jc w:val="both"/>
        <w:rPr>
          <w:bCs/>
          <w:sz w:val="22"/>
          <w:szCs w:val="22"/>
          <w:lang w:val="sr-Latn-ME"/>
        </w:rPr>
      </w:pPr>
    </w:p>
    <w:p w14:paraId="04EE83E6" w14:textId="77777777" w:rsidR="00411B4B" w:rsidRPr="00AF2694" w:rsidRDefault="00411B4B" w:rsidP="00CF11D6">
      <w:pPr>
        <w:tabs>
          <w:tab w:val="left" w:pos="540"/>
          <w:tab w:val="left" w:pos="569"/>
        </w:tabs>
        <w:jc w:val="both"/>
        <w:rPr>
          <w:b/>
          <w:bCs/>
          <w:sz w:val="22"/>
          <w:szCs w:val="22"/>
          <w:lang w:val="sr-Latn-ME"/>
        </w:rPr>
      </w:pPr>
      <w:r w:rsidRPr="00AF2694">
        <w:rPr>
          <w:b/>
          <w:bCs/>
          <w:sz w:val="22"/>
          <w:szCs w:val="22"/>
          <w:lang w:val="sr-Latn-ME"/>
        </w:rPr>
        <w:t>1.</w:t>
      </w:r>
      <w:r w:rsidR="00F5167F" w:rsidRPr="00AF2694">
        <w:rPr>
          <w:b/>
          <w:bCs/>
          <w:sz w:val="22"/>
          <w:szCs w:val="22"/>
          <w:lang w:val="sr-Latn-ME"/>
        </w:rPr>
        <w:tab/>
      </w:r>
      <w:r w:rsidR="002846DB" w:rsidRPr="00AF2694">
        <w:rPr>
          <w:b/>
          <w:bCs/>
          <w:sz w:val="22"/>
          <w:szCs w:val="22"/>
          <w:lang w:val="sr-Latn-ME"/>
        </w:rPr>
        <w:t xml:space="preserve">NAZIV </w:t>
      </w:r>
      <w:r w:rsidRPr="00AF2694">
        <w:rPr>
          <w:b/>
          <w:bCs/>
          <w:sz w:val="22"/>
          <w:szCs w:val="22"/>
          <w:lang w:val="sr-Latn-ME"/>
        </w:rPr>
        <w:t>LIJEKA</w:t>
      </w:r>
    </w:p>
    <w:p w14:paraId="4D46C7E0" w14:textId="77777777" w:rsidR="00EC2532" w:rsidRPr="00AF2694" w:rsidRDefault="00EC2532" w:rsidP="00CF11D6">
      <w:pPr>
        <w:jc w:val="both"/>
        <w:rPr>
          <w:sz w:val="22"/>
          <w:szCs w:val="22"/>
          <w:lang w:val="sr-Latn-ME"/>
        </w:rPr>
      </w:pPr>
    </w:p>
    <w:p w14:paraId="450F10A0" w14:textId="371F52F8" w:rsidR="000D425A" w:rsidRPr="00AF2694" w:rsidRDefault="00251C3A" w:rsidP="00CF11D6">
      <w:pPr>
        <w:jc w:val="both"/>
        <w:rPr>
          <w:sz w:val="22"/>
          <w:szCs w:val="22"/>
          <w:lang w:val="sr-Latn-ME"/>
        </w:rPr>
      </w:pPr>
      <w:r w:rsidRPr="00AF2694">
        <w:rPr>
          <w:sz w:val="22"/>
          <w:szCs w:val="22"/>
          <w:lang w:val="sr-Latn-ME"/>
        </w:rPr>
        <w:t>KANUMA</w:t>
      </w:r>
      <w:r w:rsidR="0005679C" w:rsidRPr="00AF2694">
        <w:rPr>
          <w:sz w:val="22"/>
          <w:szCs w:val="22"/>
          <w:lang w:val="sr-Latn-ME"/>
        </w:rPr>
        <w:t>,</w:t>
      </w:r>
      <w:r w:rsidRPr="00AF2694">
        <w:rPr>
          <w:sz w:val="22"/>
          <w:szCs w:val="22"/>
          <w:lang w:val="sr-Latn-ME"/>
        </w:rPr>
        <w:t xml:space="preserve"> 2 mg/ml</w:t>
      </w:r>
      <w:r w:rsidR="0005679C" w:rsidRPr="00AF2694">
        <w:rPr>
          <w:sz w:val="22"/>
          <w:szCs w:val="22"/>
          <w:lang w:val="sr-Latn-ME"/>
        </w:rPr>
        <w:t>,</w:t>
      </w:r>
      <w:r w:rsidRPr="00AF2694">
        <w:rPr>
          <w:sz w:val="22"/>
          <w:szCs w:val="22"/>
          <w:lang w:val="sr-Latn-ME"/>
        </w:rPr>
        <w:t xml:space="preserve"> koncentrat za rastvor za infuziju</w:t>
      </w:r>
    </w:p>
    <w:p w14:paraId="4546B8FD" w14:textId="77777777" w:rsidR="00251C3A" w:rsidRPr="00AF2694" w:rsidRDefault="00251C3A" w:rsidP="00CF11D6">
      <w:pPr>
        <w:jc w:val="both"/>
        <w:rPr>
          <w:bCs/>
          <w:sz w:val="22"/>
          <w:szCs w:val="22"/>
          <w:lang w:val="sr-Latn-ME"/>
        </w:rPr>
      </w:pPr>
    </w:p>
    <w:p w14:paraId="6DFDB592" w14:textId="5F9C9E2C" w:rsidR="006D20A5" w:rsidRPr="00AF2694" w:rsidRDefault="006D20A5" w:rsidP="00CF11D6">
      <w:pPr>
        <w:jc w:val="both"/>
        <w:rPr>
          <w:sz w:val="22"/>
          <w:szCs w:val="22"/>
          <w:lang w:val="sr-Latn-ME"/>
        </w:rPr>
      </w:pPr>
      <w:r w:rsidRPr="00AF2694">
        <w:rPr>
          <w:sz w:val="22"/>
          <w:szCs w:val="22"/>
          <w:lang w:val="sr-Latn-ME"/>
        </w:rPr>
        <w:t>INN:</w:t>
      </w:r>
      <w:r w:rsidR="00135A14" w:rsidRPr="00AF2694">
        <w:rPr>
          <w:sz w:val="22"/>
          <w:szCs w:val="22"/>
          <w:lang w:val="sr-Latn-ME"/>
        </w:rPr>
        <w:t xml:space="preserve"> sebelipaza alfa</w:t>
      </w:r>
    </w:p>
    <w:p w14:paraId="56F3D930" w14:textId="6F2C6176" w:rsidR="00530BD7" w:rsidRPr="00AF2694" w:rsidRDefault="00530BD7" w:rsidP="00CF11D6">
      <w:pPr>
        <w:jc w:val="both"/>
        <w:rPr>
          <w:bCs/>
          <w:sz w:val="22"/>
          <w:szCs w:val="22"/>
          <w:lang w:val="sr-Latn-ME"/>
        </w:rPr>
      </w:pPr>
    </w:p>
    <w:p w14:paraId="14A3D1B3" w14:textId="77777777" w:rsidR="00981B38" w:rsidRPr="00AF2694" w:rsidRDefault="00981B38" w:rsidP="00CF11D6">
      <w:pPr>
        <w:jc w:val="both"/>
        <w:rPr>
          <w:bCs/>
          <w:sz w:val="22"/>
          <w:szCs w:val="22"/>
          <w:lang w:val="sr-Latn-ME"/>
        </w:rPr>
      </w:pPr>
    </w:p>
    <w:p w14:paraId="63DFE6F1" w14:textId="77777777" w:rsidR="00411B4B" w:rsidRPr="00AF2694" w:rsidRDefault="00411B4B" w:rsidP="00CF11D6">
      <w:pPr>
        <w:tabs>
          <w:tab w:val="left" w:pos="540"/>
          <w:tab w:val="left" w:pos="569"/>
        </w:tabs>
        <w:jc w:val="both"/>
        <w:rPr>
          <w:b/>
          <w:bCs/>
          <w:sz w:val="22"/>
          <w:szCs w:val="22"/>
          <w:lang w:val="sr-Latn-ME"/>
        </w:rPr>
      </w:pPr>
      <w:r w:rsidRPr="00AF2694">
        <w:rPr>
          <w:b/>
          <w:bCs/>
          <w:sz w:val="22"/>
          <w:szCs w:val="22"/>
          <w:lang w:val="sr-Latn-ME"/>
        </w:rPr>
        <w:t xml:space="preserve">2. </w:t>
      </w:r>
      <w:r w:rsidR="00F5167F" w:rsidRPr="00AF2694">
        <w:rPr>
          <w:b/>
          <w:bCs/>
          <w:sz w:val="22"/>
          <w:szCs w:val="22"/>
          <w:lang w:val="sr-Latn-ME"/>
        </w:rPr>
        <w:tab/>
      </w:r>
      <w:r w:rsidRPr="00AF2694">
        <w:rPr>
          <w:b/>
          <w:bCs/>
          <w:sz w:val="22"/>
          <w:szCs w:val="22"/>
          <w:lang w:val="sr-Latn-ME"/>
        </w:rPr>
        <w:t>KVALITATIVNI I KVANTITATIVNI SASTAV</w:t>
      </w:r>
    </w:p>
    <w:p w14:paraId="1FABA9F5" w14:textId="77777777" w:rsidR="005A0B2E" w:rsidRPr="00AF2694" w:rsidRDefault="005A0B2E" w:rsidP="00CF11D6">
      <w:pPr>
        <w:jc w:val="both"/>
        <w:rPr>
          <w:sz w:val="22"/>
          <w:szCs w:val="22"/>
          <w:lang w:val="sr-Latn-ME"/>
        </w:rPr>
      </w:pPr>
    </w:p>
    <w:p w14:paraId="4DBE6298" w14:textId="0B0E25E7" w:rsidR="00251C3A" w:rsidRPr="00AF2694" w:rsidRDefault="00981B38" w:rsidP="00CF11D6">
      <w:pPr>
        <w:jc w:val="both"/>
        <w:rPr>
          <w:sz w:val="22"/>
          <w:szCs w:val="22"/>
          <w:lang w:val="sr-Latn-ME"/>
        </w:rPr>
      </w:pPr>
      <w:r w:rsidRPr="00AF2694">
        <w:rPr>
          <w:sz w:val="22"/>
          <w:szCs w:val="22"/>
          <w:lang w:val="sr-Latn-ME"/>
        </w:rPr>
        <w:t xml:space="preserve">Jedan </w:t>
      </w:r>
      <w:r w:rsidR="00251C3A" w:rsidRPr="00AF2694">
        <w:rPr>
          <w:sz w:val="22"/>
          <w:szCs w:val="22"/>
          <w:lang w:val="sr-Latn-ME"/>
        </w:rPr>
        <w:t>ml koncentrata</w:t>
      </w:r>
      <w:r w:rsidRPr="00AF2694">
        <w:rPr>
          <w:sz w:val="22"/>
          <w:szCs w:val="22"/>
          <w:lang w:val="sr-Latn-ME"/>
        </w:rPr>
        <w:t xml:space="preserve"> za rastvor za infuziju</w:t>
      </w:r>
      <w:r w:rsidR="00251C3A" w:rsidRPr="00AF2694">
        <w:rPr>
          <w:sz w:val="22"/>
          <w:szCs w:val="22"/>
          <w:lang w:val="sr-Latn-ME"/>
        </w:rPr>
        <w:t xml:space="preserve"> sadrži 2 mg sebelipaze alfa*.</w:t>
      </w:r>
    </w:p>
    <w:p w14:paraId="1BD93DD5" w14:textId="4C23DAE3" w:rsidR="00251C3A" w:rsidRPr="00AF2694" w:rsidRDefault="00251C3A" w:rsidP="00CF11D6">
      <w:pPr>
        <w:jc w:val="both"/>
        <w:rPr>
          <w:sz w:val="22"/>
          <w:szCs w:val="22"/>
          <w:lang w:val="sr-Latn-ME"/>
        </w:rPr>
      </w:pPr>
    </w:p>
    <w:p w14:paraId="7825DB55" w14:textId="38D0D3A1" w:rsidR="00251C3A" w:rsidRPr="00AF2694" w:rsidRDefault="00251C3A" w:rsidP="00981B38">
      <w:pPr>
        <w:rPr>
          <w:sz w:val="22"/>
          <w:szCs w:val="22"/>
          <w:lang w:val="sr-Latn-ME"/>
        </w:rPr>
      </w:pPr>
      <w:r w:rsidRPr="00AF2694">
        <w:rPr>
          <w:sz w:val="22"/>
          <w:szCs w:val="22"/>
          <w:lang w:val="sr-Latn-ME"/>
        </w:rPr>
        <w:t>Jedna</w:t>
      </w:r>
      <w:r w:rsidR="00981B38" w:rsidRPr="00AF2694">
        <w:rPr>
          <w:sz w:val="22"/>
          <w:szCs w:val="22"/>
          <w:lang w:val="sr-Latn-ME"/>
        </w:rPr>
        <w:t xml:space="preserve"> </w:t>
      </w:r>
      <w:r w:rsidRPr="00AF2694">
        <w:rPr>
          <w:sz w:val="22"/>
          <w:szCs w:val="22"/>
          <w:lang w:val="sr-Latn-ME"/>
        </w:rPr>
        <w:t xml:space="preserve">bočica od 10 ml </w:t>
      </w:r>
      <w:r w:rsidR="00981B38" w:rsidRPr="00AF2694">
        <w:rPr>
          <w:sz w:val="22"/>
          <w:szCs w:val="22"/>
          <w:lang w:val="sr-Latn-ME"/>
        </w:rPr>
        <w:t xml:space="preserve">koncentrata za rastvor za infuziju </w:t>
      </w:r>
      <w:r w:rsidRPr="00AF2694">
        <w:rPr>
          <w:sz w:val="22"/>
          <w:szCs w:val="22"/>
          <w:lang w:val="sr-Latn-ME"/>
        </w:rPr>
        <w:t>sadrži 20 mg sebelipaze alfa.</w:t>
      </w:r>
    </w:p>
    <w:p w14:paraId="5F5C4C9B" w14:textId="77777777" w:rsidR="00251C3A" w:rsidRPr="00AF2694" w:rsidRDefault="00251C3A" w:rsidP="00CF11D6">
      <w:pPr>
        <w:jc w:val="both"/>
        <w:rPr>
          <w:bCs/>
          <w:sz w:val="22"/>
          <w:szCs w:val="22"/>
          <w:lang w:val="sr-Latn-ME"/>
        </w:rPr>
      </w:pPr>
    </w:p>
    <w:p w14:paraId="72F3B28B" w14:textId="75EEFE35" w:rsidR="00251C3A" w:rsidRPr="00AF2694" w:rsidRDefault="00251C3A" w:rsidP="00CF11D6">
      <w:pPr>
        <w:jc w:val="both"/>
        <w:rPr>
          <w:sz w:val="22"/>
          <w:szCs w:val="22"/>
          <w:lang w:val="sr-Latn-ME"/>
        </w:rPr>
      </w:pPr>
      <w:r w:rsidRPr="00AF2694">
        <w:rPr>
          <w:sz w:val="22"/>
          <w:szCs w:val="22"/>
          <w:lang w:val="sr-Latn-ME"/>
        </w:rPr>
        <w:t>* proizvedena u b</w:t>
      </w:r>
      <w:r w:rsidR="0005679C" w:rsidRPr="00AF2694">
        <w:rPr>
          <w:sz w:val="22"/>
          <w:szCs w:val="22"/>
          <w:lang w:val="sr-Latn-ME"/>
        </w:rPr>
        <w:t>j</w:t>
      </w:r>
      <w:r w:rsidRPr="00AF2694">
        <w:rPr>
          <w:sz w:val="22"/>
          <w:szCs w:val="22"/>
          <w:lang w:val="sr-Latn-ME"/>
        </w:rPr>
        <w:t xml:space="preserve">elancetu </w:t>
      </w:r>
      <w:r w:rsidR="00981B38" w:rsidRPr="00AF2694">
        <w:rPr>
          <w:sz w:val="22"/>
          <w:szCs w:val="22"/>
          <w:lang w:val="sr-Latn-ME"/>
        </w:rPr>
        <w:t xml:space="preserve">transgene kokoške (lat. </w:t>
      </w:r>
      <w:r w:rsidRPr="00AF2694">
        <w:rPr>
          <w:i/>
          <w:iCs/>
          <w:sz w:val="22"/>
          <w:szCs w:val="22"/>
          <w:lang w:val="sr-Latn-ME"/>
        </w:rPr>
        <w:t>Gallus</w:t>
      </w:r>
      <w:r w:rsidR="00981B38" w:rsidRPr="00AF2694">
        <w:rPr>
          <w:i/>
          <w:iCs/>
          <w:sz w:val="22"/>
          <w:szCs w:val="22"/>
          <w:lang w:val="sr-Latn-ME"/>
        </w:rPr>
        <w:t>)</w:t>
      </w:r>
      <w:r w:rsidRPr="00AF2694">
        <w:rPr>
          <w:i/>
          <w:iCs/>
          <w:sz w:val="22"/>
          <w:szCs w:val="22"/>
          <w:lang w:val="sr-Latn-ME"/>
        </w:rPr>
        <w:t xml:space="preserve"> </w:t>
      </w:r>
      <w:r w:rsidRPr="00AF2694">
        <w:rPr>
          <w:sz w:val="22"/>
          <w:szCs w:val="22"/>
          <w:lang w:val="sr-Latn-ME"/>
        </w:rPr>
        <w:t>prim</w:t>
      </w:r>
      <w:r w:rsidR="0005679C" w:rsidRPr="00AF2694">
        <w:rPr>
          <w:sz w:val="22"/>
          <w:szCs w:val="22"/>
          <w:lang w:val="sr-Latn-ME"/>
        </w:rPr>
        <w:t>j</w:t>
      </w:r>
      <w:r w:rsidRPr="00AF2694">
        <w:rPr>
          <w:sz w:val="22"/>
          <w:szCs w:val="22"/>
          <w:lang w:val="sr-Latn-ME"/>
        </w:rPr>
        <w:t xml:space="preserve">enom rekombinantne DNK </w:t>
      </w:r>
      <w:r w:rsidR="00981B38" w:rsidRPr="00AF2694">
        <w:rPr>
          <w:sz w:val="22"/>
          <w:szCs w:val="22"/>
          <w:lang w:val="sr-Latn-ME"/>
        </w:rPr>
        <w:t xml:space="preserve">tehnologije </w:t>
      </w:r>
      <w:r w:rsidRPr="00AF2694">
        <w:rPr>
          <w:sz w:val="22"/>
          <w:szCs w:val="22"/>
          <w:lang w:val="sr-Latn-ME"/>
        </w:rPr>
        <w:t>(rDNA).</w:t>
      </w:r>
    </w:p>
    <w:p w14:paraId="0A156F57" w14:textId="77777777" w:rsidR="00251C3A" w:rsidRPr="00AF2694" w:rsidRDefault="00251C3A" w:rsidP="00CF11D6">
      <w:pPr>
        <w:jc w:val="both"/>
        <w:rPr>
          <w:bCs/>
          <w:sz w:val="22"/>
          <w:szCs w:val="22"/>
          <w:u w:val="single"/>
          <w:lang w:val="sr-Latn-ME"/>
        </w:rPr>
      </w:pPr>
    </w:p>
    <w:p w14:paraId="735D255C" w14:textId="6C9B2505" w:rsidR="00251C3A" w:rsidRPr="00AF2694" w:rsidRDefault="00251C3A" w:rsidP="00CF11D6">
      <w:pPr>
        <w:jc w:val="both"/>
        <w:rPr>
          <w:bCs/>
          <w:sz w:val="22"/>
          <w:szCs w:val="22"/>
          <w:u w:val="single"/>
          <w:lang w:val="sr-Latn-ME"/>
        </w:rPr>
      </w:pPr>
      <w:r w:rsidRPr="00AF2694">
        <w:rPr>
          <w:sz w:val="22"/>
          <w:szCs w:val="22"/>
          <w:u w:val="single"/>
          <w:lang w:val="sr-Latn-ME"/>
        </w:rPr>
        <w:t xml:space="preserve">Pomoćna supstanca sa </w:t>
      </w:r>
      <w:r w:rsidR="00981B38" w:rsidRPr="00AF2694">
        <w:rPr>
          <w:sz w:val="22"/>
          <w:szCs w:val="22"/>
          <w:u w:val="single"/>
          <w:lang w:val="sr-Latn-ME"/>
        </w:rPr>
        <w:t xml:space="preserve">potvrđenim </w:t>
      </w:r>
      <w:r w:rsidRPr="00AF2694">
        <w:rPr>
          <w:sz w:val="22"/>
          <w:szCs w:val="22"/>
          <w:u w:val="single"/>
          <w:lang w:val="sr-Latn-ME"/>
        </w:rPr>
        <w:t>dejstvom</w:t>
      </w:r>
      <w:r w:rsidR="00981B38" w:rsidRPr="00AF2694">
        <w:rPr>
          <w:sz w:val="22"/>
          <w:szCs w:val="22"/>
          <w:u w:val="single"/>
          <w:lang w:val="sr-Latn-ME"/>
        </w:rPr>
        <w:t>:</w:t>
      </w:r>
      <w:r w:rsidRPr="00AF2694">
        <w:rPr>
          <w:sz w:val="22"/>
          <w:szCs w:val="22"/>
          <w:u w:val="single"/>
          <w:lang w:val="sr-Latn-ME"/>
        </w:rPr>
        <w:t xml:space="preserve"> </w:t>
      </w:r>
    </w:p>
    <w:p w14:paraId="3DDF9862" w14:textId="65B2A424" w:rsidR="00251C3A" w:rsidRPr="00AF2694" w:rsidRDefault="00251C3A" w:rsidP="00981B38">
      <w:pPr>
        <w:rPr>
          <w:sz w:val="22"/>
          <w:szCs w:val="22"/>
          <w:lang w:val="sr-Latn-ME"/>
        </w:rPr>
      </w:pPr>
      <w:r w:rsidRPr="00AF2694">
        <w:rPr>
          <w:sz w:val="22"/>
          <w:szCs w:val="22"/>
          <w:lang w:val="sr-Latn-ME"/>
        </w:rPr>
        <w:t xml:space="preserve">Jedna bočica </w:t>
      </w:r>
      <w:r w:rsidR="00981B38" w:rsidRPr="00AF2694">
        <w:rPr>
          <w:sz w:val="22"/>
          <w:szCs w:val="22"/>
          <w:lang w:val="sr-Latn-ME"/>
        </w:rPr>
        <w:t xml:space="preserve">od 10 ml koncentrata za rastvor za infuziju </w:t>
      </w:r>
      <w:r w:rsidRPr="00AF2694">
        <w:rPr>
          <w:sz w:val="22"/>
          <w:szCs w:val="22"/>
          <w:lang w:val="sr-Latn-ME"/>
        </w:rPr>
        <w:t>sadrži 33 mg natrijuma.</w:t>
      </w:r>
    </w:p>
    <w:p w14:paraId="1982E601" w14:textId="77777777" w:rsidR="00251C3A" w:rsidRPr="00AF2694" w:rsidRDefault="00251C3A" w:rsidP="00CF11D6">
      <w:pPr>
        <w:jc w:val="both"/>
        <w:rPr>
          <w:sz w:val="22"/>
          <w:szCs w:val="22"/>
          <w:lang w:val="sr-Latn-ME"/>
        </w:rPr>
      </w:pPr>
    </w:p>
    <w:p w14:paraId="17A3DFE4" w14:textId="45E5BCA5" w:rsidR="0003793F" w:rsidRPr="00AF2694" w:rsidRDefault="0003793F" w:rsidP="00CF11D6">
      <w:pPr>
        <w:jc w:val="both"/>
        <w:rPr>
          <w:sz w:val="22"/>
          <w:szCs w:val="22"/>
          <w:lang w:val="sr-Latn-ME"/>
        </w:rPr>
      </w:pPr>
      <w:r w:rsidRPr="00AF2694">
        <w:rPr>
          <w:sz w:val="22"/>
          <w:szCs w:val="22"/>
          <w:lang w:val="sr-Latn-ME"/>
        </w:rPr>
        <w:t>Za spisak svih ekscipijenasa, pogledati dio 6.1.</w:t>
      </w:r>
    </w:p>
    <w:p w14:paraId="5FA1D980" w14:textId="373911E8" w:rsidR="00C37FD7" w:rsidRPr="00AF2694" w:rsidRDefault="00C37FD7" w:rsidP="00CF11D6">
      <w:pPr>
        <w:jc w:val="both"/>
        <w:rPr>
          <w:sz w:val="22"/>
          <w:szCs w:val="22"/>
          <w:lang w:val="sr-Latn-ME"/>
        </w:rPr>
      </w:pPr>
    </w:p>
    <w:p w14:paraId="2370C61A" w14:textId="77777777" w:rsidR="00981B38" w:rsidRPr="00AF2694" w:rsidRDefault="00981B38" w:rsidP="00CF11D6">
      <w:pPr>
        <w:jc w:val="both"/>
        <w:rPr>
          <w:sz w:val="22"/>
          <w:szCs w:val="22"/>
          <w:lang w:val="sr-Latn-ME"/>
        </w:rPr>
      </w:pPr>
    </w:p>
    <w:p w14:paraId="5F21FD68" w14:textId="77777777" w:rsidR="00411B4B" w:rsidRPr="00AF2694" w:rsidRDefault="00411B4B" w:rsidP="00CF11D6">
      <w:pPr>
        <w:tabs>
          <w:tab w:val="left" w:pos="540"/>
          <w:tab w:val="left" w:pos="569"/>
        </w:tabs>
        <w:jc w:val="both"/>
        <w:rPr>
          <w:b/>
          <w:bCs/>
          <w:sz w:val="22"/>
          <w:szCs w:val="22"/>
          <w:lang w:val="sr-Latn-ME"/>
        </w:rPr>
      </w:pPr>
      <w:r w:rsidRPr="00AF2694">
        <w:rPr>
          <w:b/>
          <w:bCs/>
          <w:sz w:val="22"/>
          <w:szCs w:val="22"/>
          <w:lang w:val="sr-Latn-ME"/>
        </w:rPr>
        <w:t xml:space="preserve">3. </w:t>
      </w:r>
      <w:r w:rsidR="00F5167F" w:rsidRPr="00AF2694">
        <w:rPr>
          <w:b/>
          <w:bCs/>
          <w:sz w:val="22"/>
          <w:szCs w:val="22"/>
          <w:lang w:val="sr-Latn-ME"/>
        </w:rPr>
        <w:tab/>
      </w:r>
      <w:r w:rsidRPr="00AF2694">
        <w:rPr>
          <w:b/>
          <w:bCs/>
          <w:sz w:val="22"/>
          <w:szCs w:val="22"/>
          <w:lang w:val="sr-Latn-ME"/>
        </w:rPr>
        <w:t>FARMACEUTSKI OBLIK</w:t>
      </w:r>
      <w:r w:rsidR="009F2D23" w:rsidRPr="00AF2694">
        <w:rPr>
          <w:b/>
          <w:bCs/>
          <w:sz w:val="22"/>
          <w:szCs w:val="22"/>
          <w:lang w:val="sr-Latn-ME"/>
        </w:rPr>
        <w:t xml:space="preserve"> </w:t>
      </w:r>
    </w:p>
    <w:p w14:paraId="36036CED" w14:textId="77777777" w:rsidR="00411B4B" w:rsidRPr="00AF2694" w:rsidRDefault="00411B4B" w:rsidP="00CF11D6">
      <w:pPr>
        <w:jc w:val="both"/>
        <w:rPr>
          <w:bCs/>
          <w:sz w:val="22"/>
          <w:szCs w:val="22"/>
          <w:lang w:val="sr-Latn-ME"/>
        </w:rPr>
      </w:pPr>
    </w:p>
    <w:p w14:paraId="5A5F4A4D" w14:textId="77777777" w:rsidR="00251C3A" w:rsidRPr="00AF2694" w:rsidRDefault="00251C3A" w:rsidP="00CF11D6">
      <w:pPr>
        <w:jc w:val="both"/>
        <w:rPr>
          <w:bCs/>
          <w:sz w:val="22"/>
          <w:szCs w:val="22"/>
          <w:lang w:val="sr-Latn-ME"/>
        </w:rPr>
      </w:pPr>
      <w:r w:rsidRPr="00AF2694">
        <w:rPr>
          <w:bCs/>
          <w:sz w:val="22"/>
          <w:szCs w:val="22"/>
          <w:lang w:val="sr-Latn-ME"/>
        </w:rPr>
        <w:t>Koncentrat za rastvor za infuziju (sterilni koncentrat).</w:t>
      </w:r>
    </w:p>
    <w:p w14:paraId="14B2618A" w14:textId="77777777" w:rsidR="00251C3A" w:rsidRPr="00AF2694" w:rsidRDefault="00251C3A" w:rsidP="00CF11D6">
      <w:pPr>
        <w:jc w:val="both"/>
        <w:rPr>
          <w:bCs/>
          <w:sz w:val="22"/>
          <w:szCs w:val="22"/>
          <w:lang w:val="sr-Latn-ME"/>
        </w:rPr>
      </w:pPr>
    </w:p>
    <w:p w14:paraId="2A2B4E15" w14:textId="5B157E7C" w:rsidR="00251C3A" w:rsidRPr="00AF2694" w:rsidRDefault="00251C3A" w:rsidP="00CF11D6">
      <w:pPr>
        <w:jc w:val="both"/>
        <w:rPr>
          <w:bCs/>
          <w:sz w:val="22"/>
          <w:szCs w:val="22"/>
          <w:lang w:val="sr-Latn-ME"/>
        </w:rPr>
      </w:pPr>
      <w:r w:rsidRPr="00AF2694">
        <w:rPr>
          <w:bCs/>
          <w:sz w:val="22"/>
          <w:szCs w:val="22"/>
          <w:lang w:val="sr-Latn-ME"/>
        </w:rPr>
        <w:t>Bistra do blago opalescentna, bezbojna do blago obojena tečnost</w:t>
      </w:r>
      <w:r w:rsidR="00EC4D4F" w:rsidRPr="00AF2694">
        <w:rPr>
          <w:bCs/>
          <w:sz w:val="22"/>
          <w:szCs w:val="22"/>
          <w:lang w:val="sr-Latn-ME"/>
        </w:rPr>
        <w:t>, bez vidljivih stranih čestica</w:t>
      </w:r>
      <w:r w:rsidRPr="00AF2694">
        <w:rPr>
          <w:bCs/>
          <w:sz w:val="22"/>
          <w:szCs w:val="22"/>
          <w:lang w:val="sr-Latn-ME"/>
        </w:rPr>
        <w:t>.</w:t>
      </w:r>
      <w:r w:rsidR="00EC4D4F" w:rsidRPr="00AF2694">
        <w:rPr>
          <w:bCs/>
          <w:sz w:val="22"/>
          <w:szCs w:val="22"/>
          <w:lang w:val="sr-Latn-ME"/>
        </w:rPr>
        <w:t xml:space="preserve"> Povremeno se mogu uočiti prozirne proteinske čestice.</w:t>
      </w:r>
    </w:p>
    <w:p w14:paraId="3C769A63" w14:textId="6376A680" w:rsidR="00EC2532" w:rsidRPr="00AF2694" w:rsidRDefault="00EC2532" w:rsidP="00CF11D6">
      <w:pPr>
        <w:jc w:val="both"/>
        <w:rPr>
          <w:bCs/>
          <w:sz w:val="22"/>
          <w:szCs w:val="22"/>
          <w:lang w:val="sr-Latn-ME"/>
        </w:rPr>
      </w:pPr>
    </w:p>
    <w:p w14:paraId="59DE6D91" w14:textId="77777777" w:rsidR="00981B38" w:rsidRPr="00AF2694" w:rsidRDefault="00981B38" w:rsidP="00CF11D6">
      <w:pPr>
        <w:jc w:val="both"/>
        <w:rPr>
          <w:bCs/>
          <w:sz w:val="22"/>
          <w:szCs w:val="22"/>
          <w:lang w:val="sr-Latn-ME"/>
        </w:rPr>
      </w:pPr>
    </w:p>
    <w:p w14:paraId="2D0D9D16" w14:textId="77777777" w:rsidR="00411B4B" w:rsidRPr="00AF2694" w:rsidRDefault="00411B4B" w:rsidP="00CF11D6">
      <w:pPr>
        <w:tabs>
          <w:tab w:val="left" w:pos="540"/>
          <w:tab w:val="left" w:pos="569"/>
        </w:tabs>
        <w:jc w:val="both"/>
        <w:rPr>
          <w:b/>
          <w:bCs/>
          <w:sz w:val="22"/>
          <w:szCs w:val="22"/>
          <w:lang w:val="sr-Latn-ME"/>
        </w:rPr>
      </w:pPr>
      <w:r w:rsidRPr="00AF2694">
        <w:rPr>
          <w:b/>
          <w:bCs/>
          <w:sz w:val="22"/>
          <w:szCs w:val="22"/>
          <w:lang w:val="sr-Latn-ME"/>
        </w:rPr>
        <w:t xml:space="preserve">4. </w:t>
      </w:r>
      <w:r w:rsidR="00480FB1" w:rsidRPr="00AF2694">
        <w:rPr>
          <w:b/>
          <w:bCs/>
          <w:sz w:val="22"/>
          <w:szCs w:val="22"/>
          <w:lang w:val="sr-Latn-ME"/>
        </w:rPr>
        <w:tab/>
      </w:r>
      <w:r w:rsidRPr="00AF2694">
        <w:rPr>
          <w:b/>
          <w:bCs/>
          <w:sz w:val="22"/>
          <w:szCs w:val="22"/>
          <w:lang w:val="sr-Latn-ME"/>
        </w:rPr>
        <w:t>KLINIČKI PODACI</w:t>
      </w:r>
    </w:p>
    <w:p w14:paraId="7E5015A7" w14:textId="77777777" w:rsidR="00CD6F02" w:rsidRPr="00AF2694" w:rsidRDefault="00CD6F02" w:rsidP="00CF11D6">
      <w:pPr>
        <w:tabs>
          <w:tab w:val="left" w:pos="540"/>
          <w:tab w:val="left" w:pos="569"/>
        </w:tabs>
        <w:jc w:val="both"/>
        <w:rPr>
          <w:bCs/>
          <w:sz w:val="22"/>
          <w:szCs w:val="22"/>
          <w:lang w:val="sr-Latn-ME"/>
        </w:rPr>
      </w:pPr>
    </w:p>
    <w:p w14:paraId="615B9E81" w14:textId="77777777" w:rsidR="00411B4B" w:rsidRPr="00AF2694" w:rsidRDefault="00411B4B" w:rsidP="00CF11D6">
      <w:pPr>
        <w:tabs>
          <w:tab w:val="left" w:pos="540"/>
          <w:tab w:val="left" w:pos="569"/>
        </w:tabs>
        <w:jc w:val="both"/>
        <w:rPr>
          <w:b/>
          <w:bCs/>
          <w:sz w:val="22"/>
          <w:szCs w:val="22"/>
          <w:lang w:val="sr-Latn-ME"/>
        </w:rPr>
      </w:pPr>
      <w:r w:rsidRPr="00AF2694">
        <w:rPr>
          <w:b/>
          <w:bCs/>
          <w:sz w:val="22"/>
          <w:szCs w:val="22"/>
          <w:lang w:val="sr-Latn-ME"/>
        </w:rPr>
        <w:t xml:space="preserve">4.1. </w:t>
      </w:r>
      <w:r w:rsidR="00480FB1" w:rsidRPr="00AF2694">
        <w:rPr>
          <w:b/>
          <w:bCs/>
          <w:sz w:val="22"/>
          <w:szCs w:val="22"/>
          <w:lang w:val="sr-Latn-ME"/>
        </w:rPr>
        <w:tab/>
      </w:r>
      <w:r w:rsidRPr="00AF2694">
        <w:rPr>
          <w:b/>
          <w:bCs/>
          <w:sz w:val="22"/>
          <w:szCs w:val="22"/>
          <w:lang w:val="sr-Latn-ME"/>
        </w:rPr>
        <w:t>Terapijske indikacije</w:t>
      </w:r>
    </w:p>
    <w:p w14:paraId="12DC9801" w14:textId="77777777" w:rsidR="00411B4B" w:rsidRPr="00AF2694" w:rsidRDefault="00411B4B" w:rsidP="00CF11D6">
      <w:pPr>
        <w:tabs>
          <w:tab w:val="left" w:pos="540"/>
          <w:tab w:val="left" w:pos="569"/>
        </w:tabs>
        <w:jc w:val="both"/>
        <w:rPr>
          <w:bCs/>
          <w:sz w:val="22"/>
          <w:szCs w:val="22"/>
          <w:lang w:val="sr-Latn-ME"/>
        </w:rPr>
      </w:pPr>
    </w:p>
    <w:p w14:paraId="098656E5" w14:textId="72806D89" w:rsidR="00251C3A" w:rsidRPr="00AF2694" w:rsidRDefault="00251C3A" w:rsidP="00CF11D6">
      <w:pPr>
        <w:tabs>
          <w:tab w:val="left" w:pos="540"/>
          <w:tab w:val="left" w:pos="569"/>
        </w:tabs>
        <w:jc w:val="both"/>
        <w:rPr>
          <w:bCs/>
          <w:sz w:val="22"/>
          <w:szCs w:val="22"/>
          <w:lang w:val="sr-Latn-ME"/>
        </w:rPr>
      </w:pPr>
      <w:r w:rsidRPr="00AF2694">
        <w:rPr>
          <w:bCs/>
          <w:sz w:val="22"/>
          <w:szCs w:val="22"/>
          <w:lang w:val="sr-Latn-ME"/>
        </w:rPr>
        <w:t>L</w:t>
      </w:r>
      <w:r w:rsidR="0005679C" w:rsidRPr="00AF2694">
        <w:rPr>
          <w:bCs/>
          <w:sz w:val="22"/>
          <w:szCs w:val="22"/>
          <w:lang w:val="sr-Latn-ME"/>
        </w:rPr>
        <w:t>ij</w:t>
      </w:r>
      <w:r w:rsidRPr="00AF2694">
        <w:rPr>
          <w:bCs/>
          <w:sz w:val="22"/>
          <w:szCs w:val="22"/>
          <w:lang w:val="sr-Latn-ME"/>
        </w:rPr>
        <w:t xml:space="preserve">ek KANUMA je indikovan za dugotrajnu </w:t>
      </w:r>
      <w:r w:rsidR="004B3317" w:rsidRPr="00AF2694">
        <w:rPr>
          <w:bCs/>
          <w:sz w:val="22"/>
          <w:szCs w:val="22"/>
          <w:lang w:val="sr-Latn-ME"/>
        </w:rPr>
        <w:t>enzimsku supstitucionu terapiju</w:t>
      </w:r>
      <w:r w:rsidRPr="00AF2694">
        <w:rPr>
          <w:bCs/>
          <w:sz w:val="22"/>
          <w:szCs w:val="22"/>
          <w:lang w:val="sr-Latn-ME"/>
        </w:rPr>
        <w:t xml:space="preserve"> (</w:t>
      </w:r>
      <w:r w:rsidR="0027303E" w:rsidRPr="00AF2694">
        <w:rPr>
          <w:bCs/>
          <w:sz w:val="22"/>
          <w:szCs w:val="22"/>
          <w:lang w:val="sr-Latn-ME"/>
        </w:rPr>
        <w:t xml:space="preserve">engl. </w:t>
      </w:r>
      <w:r w:rsidR="0027303E" w:rsidRPr="00AF2694">
        <w:rPr>
          <w:bCs/>
          <w:i/>
          <w:sz w:val="22"/>
          <w:szCs w:val="22"/>
          <w:lang w:val="sr-Latn-ME"/>
        </w:rPr>
        <w:t>enzyme replacement therapy</w:t>
      </w:r>
      <w:r w:rsidR="0027303E" w:rsidRPr="00AF2694">
        <w:rPr>
          <w:bCs/>
          <w:sz w:val="22"/>
          <w:szCs w:val="22"/>
          <w:lang w:val="sr-Latn-ME"/>
        </w:rPr>
        <w:t xml:space="preserve">, </w:t>
      </w:r>
      <w:r w:rsidRPr="00AF2694">
        <w:rPr>
          <w:bCs/>
          <w:sz w:val="22"/>
          <w:szCs w:val="22"/>
          <w:lang w:val="sr-Latn-ME"/>
        </w:rPr>
        <w:t xml:space="preserve">ERT) kod pacijenata svih starosnih </w:t>
      </w:r>
      <w:r w:rsidR="004B3317" w:rsidRPr="00AF2694">
        <w:rPr>
          <w:bCs/>
          <w:sz w:val="22"/>
          <w:szCs w:val="22"/>
          <w:lang w:val="sr-Latn-ME"/>
        </w:rPr>
        <w:t xml:space="preserve">grupa </w:t>
      </w:r>
      <w:r w:rsidRPr="00AF2694">
        <w:rPr>
          <w:bCs/>
          <w:sz w:val="22"/>
          <w:szCs w:val="22"/>
          <w:lang w:val="sr-Latn-ME"/>
        </w:rPr>
        <w:t>sa deficijencijom lizozomalne kisele lipaze (LAL).</w:t>
      </w:r>
    </w:p>
    <w:p w14:paraId="4ADB287D" w14:textId="77777777" w:rsidR="00251C3A" w:rsidRPr="00AF2694" w:rsidRDefault="00251C3A" w:rsidP="00CF11D6">
      <w:pPr>
        <w:tabs>
          <w:tab w:val="left" w:pos="540"/>
          <w:tab w:val="left" w:pos="569"/>
        </w:tabs>
        <w:jc w:val="both"/>
        <w:rPr>
          <w:bCs/>
          <w:sz w:val="22"/>
          <w:szCs w:val="22"/>
          <w:lang w:val="sr-Latn-ME"/>
        </w:rPr>
      </w:pPr>
    </w:p>
    <w:p w14:paraId="33C00960" w14:textId="77777777" w:rsidR="00411B4B" w:rsidRPr="00AF2694" w:rsidRDefault="00411B4B" w:rsidP="00CF11D6">
      <w:pPr>
        <w:tabs>
          <w:tab w:val="left" w:pos="540"/>
          <w:tab w:val="left" w:pos="569"/>
        </w:tabs>
        <w:jc w:val="both"/>
        <w:rPr>
          <w:b/>
          <w:bCs/>
          <w:sz w:val="22"/>
          <w:szCs w:val="22"/>
          <w:lang w:val="sr-Latn-ME"/>
        </w:rPr>
      </w:pPr>
      <w:r w:rsidRPr="00AF2694">
        <w:rPr>
          <w:b/>
          <w:bCs/>
          <w:sz w:val="22"/>
          <w:szCs w:val="22"/>
          <w:lang w:val="sr-Latn-ME"/>
        </w:rPr>
        <w:t xml:space="preserve">4.2. </w:t>
      </w:r>
      <w:r w:rsidR="00480FB1" w:rsidRPr="00AF2694">
        <w:rPr>
          <w:b/>
          <w:bCs/>
          <w:sz w:val="22"/>
          <w:szCs w:val="22"/>
          <w:lang w:val="sr-Latn-ME"/>
        </w:rPr>
        <w:tab/>
      </w:r>
      <w:r w:rsidRPr="00AF2694">
        <w:rPr>
          <w:b/>
          <w:bCs/>
          <w:sz w:val="22"/>
          <w:szCs w:val="22"/>
          <w:lang w:val="sr-Latn-ME"/>
        </w:rPr>
        <w:t>Doziranje i način primjene</w:t>
      </w:r>
    </w:p>
    <w:p w14:paraId="69346564" w14:textId="77777777" w:rsidR="0072020E" w:rsidRPr="00AF2694" w:rsidRDefault="0072020E" w:rsidP="00CF11D6">
      <w:pPr>
        <w:tabs>
          <w:tab w:val="left" w:pos="540"/>
          <w:tab w:val="left" w:pos="569"/>
        </w:tabs>
        <w:jc w:val="both"/>
        <w:rPr>
          <w:bCs/>
          <w:sz w:val="22"/>
          <w:szCs w:val="22"/>
          <w:lang w:val="sr-Latn-ME"/>
        </w:rPr>
      </w:pPr>
    </w:p>
    <w:p w14:paraId="71A1CB93" w14:textId="2BB65BED" w:rsidR="00251C3A" w:rsidRPr="00AF2694" w:rsidRDefault="00251C3A" w:rsidP="00CF11D6">
      <w:pPr>
        <w:tabs>
          <w:tab w:val="left" w:pos="540"/>
          <w:tab w:val="left" w:pos="569"/>
        </w:tabs>
        <w:jc w:val="both"/>
        <w:rPr>
          <w:bCs/>
          <w:sz w:val="22"/>
          <w:szCs w:val="22"/>
          <w:lang w:val="sr-Latn-ME"/>
        </w:rPr>
      </w:pPr>
      <w:r w:rsidRPr="00AF2694">
        <w:rPr>
          <w:bCs/>
          <w:sz w:val="22"/>
          <w:szCs w:val="22"/>
          <w:lang w:val="sr-Latn-ME"/>
        </w:rPr>
        <w:t>L</w:t>
      </w:r>
      <w:r w:rsidR="0005679C" w:rsidRPr="00AF2694">
        <w:rPr>
          <w:bCs/>
          <w:sz w:val="22"/>
          <w:szCs w:val="22"/>
          <w:lang w:val="sr-Latn-ME"/>
        </w:rPr>
        <w:t>ij</w:t>
      </w:r>
      <w:r w:rsidRPr="00AF2694">
        <w:rPr>
          <w:bCs/>
          <w:sz w:val="22"/>
          <w:szCs w:val="22"/>
          <w:lang w:val="sr-Latn-ME"/>
        </w:rPr>
        <w:t>ečenje l</w:t>
      </w:r>
      <w:r w:rsidR="0005679C" w:rsidRPr="00AF2694">
        <w:rPr>
          <w:bCs/>
          <w:sz w:val="22"/>
          <w:szCs w:val="22"/>
          <w:lang w:val="sr-Latn-ME"/>
        </w:rPr>
        <w:t>ij</w:t>
      </w:r>
      <w:r w:rsidRPr="00AF2694">
        <w:rPr>
          <w:bCs/>
          <w:sz w:val="22"/>
          <w:szCs w:val="22"/>
          <w:lang w:val="sr-Latn-ME"/>
        </w:rPr>
        <w:t>ekom KANUMA treba da nadgleda zdravstveni radnik sa iskustvom u l</w:t>
      </w:r>
      <w:r w:rsidR="0005679C" w:rsidRPr="00AF2694">
        <w:rPr>
          <w:bCs/>
          <w:sz w:val="22"/>
          <w:szCs w:val="22"/>
          <w:lang w:val="sr-Latn-ME"/>
        </w:rPr>
        <w:t>ij</w:t>
      </w:r>
      <w:r w:rsidRPr="00AF2694">
        <w:rPr>
          <w:bCs/>
          <w:sz w:val="22"/>
          <w:szCs w:val="22"/>
          <w:lang w:val="sr-Latn-ME"/>
        </w:rPr>
        <w:t>ečenju pacijenata sa deficijencijom lizozomalne kisele lipaze, drugim metaboličkim poremećajima, ili hroničnim oboljenjima jetre. L</w:t>
      </w:r>
      <w:r w:rsidR="0005679C" w:rsidRPr="00AF2694">
        <w:rPr>
          <w:bCs/>
          <w:sz w:val="22"/>
          <w:szCs w:val="22"/>
          <w:lang w:val="sr-Latn-ME"/>
        </w:rPr>
        <w:t>ij</w:t>
      </w:r>
      <w:r w:rsidRPr="00AF2694">
        <w:rPr>
          <w:bCs/>
          <w:sz w:val="22"/>
          <w:szCs w:val="22"/>
          <w:lang w:val="sr-Latn-ME"/>
        </w:rPr>
        <w:t>ek KANUMA treba da prim</w:t>
      </w:r>
      <w:r w:rsidR="0005679C" w:rsidRPr="00AF2694">
        <w:rPr>
          <w:bCs/>
          <w:sz w:val="22"/>
          <w:szCs w:val="22"/>
          <w:lang w:val="sr-Latn-ME"/>
        </w:rPr>
        <w:t>ij</w:t>
      </w:r>
      <w:r w:rsidRPr="00AF2694">
        <w:rPr>
          <w:bCs/>
          <w:sz w:val="22"/>
          <w:szCs w:val="22"/>
          <w:lang w:val="sr-Latn-ME"/>
        </w:rPr>
        <w:t xml:space="preserve">eni obučeni zdravstveni radnik koji može da upravlja hitnim medicinskim slučajevima. </w:t>
      </w:r>
    </w:p>
    <w:p w14:paraId="4AE2EDA4" w14:textId="77777777" w:rsidR="00251C3A" w:rsidRPr="00AF2694" w:rsidRDefault="00251C3A" w:rsidP="00CF11D6">
      <w:pPr>
        <w:tabs>
          <w:tab w:val="left" w:pos="540"/>
          <w:tab w:val="left" w:pos="569"/>
        </w:tabs>
        <w:jc w:val="both"/>
        <w:rPr>
          <w:bCs/>
          <w:sz w:val="22"/>
          <w:szCs w:val="22"/>
          <w:lang w:val="sr-Latn-ME"/>
        </w:rPr>
      </w:pPr>
    </w:p>
    <w:p w14:paraId="1A228C0A" w14:textId="77777777" w:rsidR="00452E9D" w:rsidRPr="00AF2694" w:rsidRDefault="00452E9D" w:rsidP="00CF11D6">
      <w:pPr>
        <w:tabs>
          <w:tab w:val="left" w:pos="540"/>
          <w:tab w:val="left" w:pos="569"/>
        </w:tabs>
        <w:jc w:val="both"/>
        <w:rPr>
          <w:bCs/>
          <w:sz w:val="22"/>
          <w:szCs w:val="22"/>
          <w:u w:val="single"/>
          <w:lang w:val="sr-Latn-ME"/>
        </w:rPr>
      </w:pPr>
      <w:r w:rsidRPr="00AF2694">
        <w:rPr>
          <w:bCs/>
          <w:sz w:val="22"/>
          <w:szCs w:val="22"/>
          <w:u w:val="single"/>
          <w:lang w:val="sr-Latn-ME"/>
        </w:rPr>
        <w:t>Doziranje</w:t>
      </w:r>
    </w:p>
    <w:p w14:paraId="3A6325E3" w14:textId="77777777" w:rsidR="00452E9D" w:rsidRPr="00AF2694" w:rsidRDefault="00452E9D" w:rsidP="00CF11D6">
      <w:pPr>
        <w:tabs>
          <w:tab w:val="left" w:pos="540"/>
          <w:tab w:val="left" w:pos="569"/>
        </w:tabs>
        <w:jc w:val="both"/>
        <w:rPr>
          <w:bCs/>
          <w:sz w:val="22"/>
          <w:szCs w:val="22"/>
          <w:u w:val="single"/>
          <w:lang w:val="sr-Latn-ME"/>
        </w:rPr>
      </w:pPr>
    </w:p>
    <w:p w14:paraId="03A1381E" w14:textId="43F714E9"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Važno je započeti l</w:t>
      </w:r>
      <w:r w:rsidR="0005679C" w:rsidRPr="00AF2694">
        <w:rPr>
          <w:bCs/>
          <w:sz w:val="22"/>
          <w:szCs w:val="22"/>
          <w:lang w:val="sr-Latn-ME"/>
        </w:rPr>
        <w:t>ij</w:t>
      </w:r>
      <w:r w:rsidRPr="00AF2694">
        <w:rPr>
          <w:bCs/>
          <w:sz w:val="22"/>
          <w:szCs w:val="22"/>
          <w:lang w:val="sr-Latn-ME"/>
        </w:rPr>
        <w:t xml:space="preserve">ečenje što je </w:t>
      </w:r>
      <w:r w:rsidR="004B3317" w:rsidRPr="00AF2694">
        <w:rPr>
          <w:bCs/>
          <w:sz w:val="22"/>
          <w:szCs w:val="22"/>
          <w:lang w:val="sr-Latn-ME"/>
        </w:rPr>
        <w:t>prije moguće</w:t>
      </w:r>
      <w:r w:rsidRPr="00AF2694">
        <w:rPr>
          <w:bCs/>
          <w:sz w:val="22"/>
          <w:szCs w:val="22"/>
          <w:lang w:val="sr-Latn-ME"/>
        </w:rPr>
        <w:t xml:space="preserve"> nakon postavljanja dijagnoze deficijencije lizozomalne kisele lipaze.</w:t>
      </w:r>
    </w:p>
    <w:p w14:paraId="5AF2911E" w14:textId="77777777" w:rsidR="00251C3A" w:rsidRPr="00AF2694" w:rsidRDefault="00251C3A" w:rsidP="00CF11D6">
      <w:pPr>
        <w:tabs>
          <w:tab w:val="left" w:pos="540"/>
          <w:tab w:val="left" w:pos="567"/>
        </w:tabs>
        <w:jc w:val="both"/>
        <w:rPr>
          <w:bCs/>
          <w:sz w:val="22"/>
          <w:szCs w:val="22"/>
          <w:lang w:val="sr-Latn-ME"/>
        </w:rPr>
      </w:pPr>
    </w:p>
    <w:p w14:paraId="26B60AE9" w14:textId="78E9F719"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lastRenderedPageBreak/>
        <w:t>Za uputstva o preventivnim m</w:t>
      </w:r>
      <w:r w:rsidR="0005679C" w:rsidRPr="00AF2694">
        <w:rPr>
          <w:bCs/>
          <w:sz w:val="22"/>
          <w:szCs w:val="22"/>
          <w:lang w:val="sr-Latn-ME"/>
        </w:rPr>
        <w:t>j</w:t>
      </w:r>
      <w:r w:rsidRPr="00AF2694">
        <w:rPr>
          <w:bCs/>
          <w:sz w:val="22"/>
          <w:szCs w:val="22"/>
          <w:lang w:val="sr-Latn-ME"/>
        </w:rPr>
        <w:t>erama i praćenju reakcija preos</w:t>
      </w:r>
      <w:r w:rsidR="0005679C" w:rsidRPr="00AF2694">
        <w:rPr>
          <w:bCs/>
          <w:sz w:val="22"/>
          <w:szCs w:val="22"/>
          <w:lang w:val="sr-Latn-ME"/>
        </w:rPr>
        <w:t>j</w:t>
      </w:r>
      <w:r w:rsidRPr="00AF2694">
        <w:rPr>
          <w:bCs/>
          <w:sz w:val="22"/>
          <w:szCs w:val="22"/>
          <w:lang w:val="sr-Latn-ME"/>
        </w:rPr>
        <w:t>etljivosti, vid</w:t>
      </w:r>
      <w:r w:rsidR="0005679C" w:rsidRPr="00AF2694">
        <w:rPr>
          <w:bCs/>
          <w:sz w:val="22"/>
          <w:szCs w:val="22"/>
          <w:lang w:val="sr-Latn-ME"/>
        </w:rPr>
        <w:t>j</w:t>
      </w:r>
      <w:r w:rsidRPr="00AF2694">
        <w:rPr>
          <w:bCs/>
          <w:sz w:val="22"/>
          <w:szCs w:val="22"/>
          <w:lang w:val="sr-Latn-ME"/>
        </w:rPr>
        <w:t xml:space="preserve">eti </w:t>
      </w:r>
      <w:r w:rsidR="0005679C" w:rsidRPr="00AF2694">
        <w:rPr>
          <w:bCs/>
          <w:sz w:val="22"/>
          <w:szCs w:val="22"/>
          <w:lang w:val="sr-Latn-ME"/>
        </w:rPr>
        <w:t>dio</w:t>
      </w:r>
      <w:r w:rsidRPr="00AF2694">
        <w:rPr>
          <w:bCs/>
          <w:sz w:val="22"/>
          <w:szCs w:val="22"/>
          <w:lang w:val="sr-Latn-ME"/>
        </w:rPr>
        <w:t xml:space="preserve"> 4.4. Nakon pojave reakcije preos</w:t>
      </w:r>
      <w:r w:rsidR="0005679C" w:rsidRPr="00AF2694">
        <w:rPr>
          <w:bCs/>
          <w:sz w:val="22"/>
          <w:szCs w:val="22"/>
          <w:lang w:val="sr-Latn-ME"/>
        </w:rPr>
        <w:t>j</w:t>
      </w:r>
      <w:r w:rsidRPr="00AF2694">
        <w:rPr>
          <w:bCs/>
          <w:sz w:val="22"/>
          <w:szCs w:val="22"/>
          <w:lang w:val="sr-Latn-ME"/>
        </w:rPr>
        <w:t>etljivosti treba razmotriti odgovarajuć</w:t>
      </w:r>
      <w:r w:rsidR="004B3317" w:rsidRPr="00AF2694">
        <w:rPr>
          <w:bCs/>
          <w:sz w:val="22"/>
          <w:szCs w:val="22"/>
          <w:lang w:val="sr-Latn-ME"/>
        </w:rPr>
        <w:t xml:space="preserve">u premedikaciju </w:t>
      </w:r>
      <w:r w:rsidRPr="00AF2694">
        <w:rPr>
          <w:bCs/>
          <w:sz w:val="22"/>
          <w:szCs w:val="22"/>
          <w:lang w:val="sr-Latn-ME"/>
        </w:rPr>
        <w:t>u skladu sa standardom n</w:t>
      </w:r>
      <w:r w:rsidR="0005679C" w:rsidRPr="00AF2694">
        <w:rPr>
          <w:bCs/>
          <w:sz w:val="22"/>
          <w:szCs w:val="22"/>
          <w:lang w:val="sr-Latn-ME"/>
        </w:rPr>
        <w:t>j</w:t>
      </w:r>
      <w:r w:rsidRPr="00AF2694">
        <w:rPr>
          <w:bCs/>
          <w:sz w:val="22"/>
          <w:szCs w:val="22"/>
          <w:lang w:val="sr-Latn-ME"/>
        </w:rPr>
        <w:t>ege (vid</w:t>
      </w:r>
      <w:r w:rsidR="0005679C" w:rsidRPr="00AF2694">
        <w:rPr>
          <w:bCs/>
          <w:sz w:val="22"/>
          <w:szCs w:val="22"/>
          <w:lang w:val="sr-Latn-ME"/>
        </w:rPr>
        <w:t>j</w:t>
      </w:r>
      <w:r w:rsidRPr="00AF2694">
        <w:rPr>
          <w:bCs/>
          <w:sz w:val="22"/>
          <w:szCs w:val="22"/>
          <w:lang w:val="sr-Latn-ME"/>
        </w:rPr>
        <w:t xml:space="preserve">eti </w:t>
      </w:r>
      <w:r w:rsidR="0005679C" w:rsidRPr="00AF2694">
        <w:rPr>
          <w:bCs/>
          <w:sz w:val="22"/>
          <w:szCs w:val="22"/>
          <w:lang w:val="sr-Latn-ME"/>
        </w:rPr>
        <w:t>dio</w:t>
      </w:r>
      <w:r w:rsidRPr="00AF2694">
        <w:rPr>
          <w:bCs/>
          <w:sz w:val="22"/>
          <w:szCs w:val="22"/>
          <w:lang w:val="sr-Latn-ME"/>
        </w:rPr>
        <w:t xml:space="preserve"> 4.4).</w:t>
      </w:r>
    </w:p>
    <w:p w14:paraId="30CD4C69" w14:textId="77777777" w:rsidR="00251C3A" w:rsidRPr="00AF2694" w:rsidRDefault="00251C3A" w:rsidP="00CF11D6">
      <w:pPr>
        <w:tabs>
          <w:tab w:val="left" w:pos="540"/>
          <w:tab w:val="left" w:pos="567"/>
        </w:tabs>
        <w:jc w:val="both"/>
        <w:rPr>
          <w:bCs/>
          <w:sz w:val="22"/>
          <w:szCs w:val="22"/>
          <w:u w:val="single"/>
          <w:lang w:val="sr-Latn-ME"/>
        </w:rPr>
      </w:pPr>
    </w:p>
    <w:p w14:paraId="4EF921B9" w14:textId="5E8CCBBF" w:rsidR="00251C3A" w:rsidRPr="00AF2694" w:rsidRDefault="00251C3A" w:rsidP="00CF11D6">
      <w:pPr>
        <w:tabs>
          <w:tab w:val="left" w:pos="540"/>
          <w:tab w:val="left" w:pos="567"/>
        </w:tabs>
        <w:jc w:val="both"/>
        <w:rPr>
          <w:bCs/>
          <w:i/>
          <w:sz w:val="22"/>
          <w:szCs w:val="22"/>
          <w:lang w:val="sr-Latn-ME"/>
        </w:rPr>
      </w:pPr>
      <w:r w:rsidRPr="00AF2694">
        <w:rPr>
          <w:bCs/>
          <w:i/>
          <w:iCs/>
          <w:sz w:val="22"/>
          <w:szCs w:val="22"/>
          <w:lang w:val="sr-Latn-ME"/>
        </w:rPr>
        <w:t xml:space="preserve">Pacijenti sa </w:t>
      </w:r>
      <w:r w:rsidR="004B3317" w:rsidRPr="00AF2694">
        <w:rPr>
          <w:bCs/>
          <w:i/>
          <w:iCs/>
          <w:sz w:val="22"/>
          <w:szCs w:val="22"/>
          <w:lang w:val="sr-Latn-ME"/>
        </w:rPr>
        <w:t xml:space="preserve">kliničkom slikom </w:t>
      </w:r>
      <w:r w:rsidRPr="00AF2694">
        <w:rPr>
          <w:bCs/>
          <w:i/>
          <w:iCs/>
          <w:sz w:val="22"/>
          <w:szCs w:val="22"/>
          <w:lang w:val="sr-Latn-ME"/>
        </w:rPr>
        <w:t>brzo progresivn</w:t>
      </w:r>
      <w:r w:rsidR="004B3317" w:rsidRPr="00AF2694">
        <w:rPr>
          <w:bCs/>
          <w:i/>
          <w:iCs/>
          <w:sz w:val="22"/>
          <w:szCs w:val="22"/>
          <w:lang w:val="sr-Latn-ME"/>
        </w:rPr>
        <w:t>e</w:t>
      </w:r>
      <w:r w:rsidRPr="00AF2694">
        <w:rPr>
          <w:bCs/>
          <w:i/>
          <w:iCs/>
          <w:sz w:val="22"/>
          <w:szCs w:val="22"/>
          <w:lang w:val="sr-Latn-ME"/>
        </w:rPr>
        <w:t xml:space="preserve"> deficijencij</w:t>
      </w:r>
      <w:r w:rsidR="004B3317" w:rsidRPr="00AF2694">
        <w:rPr>
          <w:bCs/>
          <w:i/>
          <w:iCs/>
          <w:sz w:val="22"/>
          <w:szCs w:val="22"/>
          <w:lang w:val="sr-Latn-ME"/>
        </w:rPr>
        <w:t>e</w:t>
      </w:r>
      <w:r w:rsidRPr="00AF2694">
        <w:rPr>
          <w:bCs/>
          <w:i/>
          <w:iCs/>
          <w:sz w:val="22"/>
          <w:szCs w:val="22"/>
          <w:lang w:val="sr-Latn-ME"/>
        </w:rPr>
        <w:t xml:space="preserve"> lizozomalne kisele lipaze koja se javlja u prvih 6 m</w:t>
      </w:r>
      <w:r w:rsidR="0005679C" w:rsidRPr="00AF2694">
        <w:rPr>
          <w:bCs/>
          <w:i/>
          <w:iCs/>
          <w:sz w:val="22"/>
          <w:szCs w:val="22"/>
          <w:lang w:val="sr-Latn-ME"/>
        </w:rPr>
        <w:t>j</w:t>
      </w:r>
      <w:r w:rsidRPr="00AF2694">
        <w:rPr>
          <w:bCs/>
          <w:i/>
          <w:iCs/>
          <w:sz w:val="22"/>
          <w:szCs w:val="22"/>
          <w:lang w:val="sr-Latn-ME"/>
        </w:rPr>
        <w:t xml:space="preserve">eseci života </w:t>
      </w:r>
    </w:p>
    <w:p w14:paraId="468F9E48" w14:textId="4829B180"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Preporučena početna doza kod dojenčadi (&lt;6 m</w:t>
      </w:r>
      <w:r w:rsidR="0005679C" w:rsidRPr="00AF2694">
        <w:rPr>
          <w:bCs/>
          <w:sz w:val="22"/>
          <w:szCs w:val="22"/>
          <w:lang w:val="sr-Latn-ME"/>
        </w:rPr>
        <w:t>j</w:t>
      </w:r>
      <w:r w:rsidRPr="00AF2694">
        <w:rPr>
          <w:bCs/>
          <w:sz w:val="22"/>
          <w:szCs w:val="22"/>
          <w:lang w:val="sr-Latn-ME"/>
        </w:rPr>
        <w:t>eseci starosti) sa brzo progresivnom deficijencijom lizozomalne kisele lipaze je 1 mg/kg ili 3 mg/kg</w:t>
      </w:r>
      <w:r w:rsidR="004B3317" w:rsidRPr="00AF2694">
        <w:rPr>
          <w:bCs/>
          <w:sz w:val="22"/>
          <w:szCs w:val="22"/>
          <w:lang w:val="sr-Latn-ME"/>
        </w:rPr>
        <w:t>,</w:t>
      </w:r>
      <w:r w:rsidRPr="00AF2694">
        <w:rPr>
          <w:bCs/>
          <w:sz w:val="22"/>
          <w:szCs w:val="22"/>
          <w:lang w:val="sr-Latn-ME"/>
        </w:rPr>
        <w:t xml:space="preserve"> prim</w:t>
      </w:r>
      <w:r w:rsidR="0005679C" w:rsidRPr="00AF2694">
        <w:rPr>
          <w:bCs/>
          <w:sz w:val="22"/>
          <w:szCs w:val="22"/>
          <w:lang w:val="sr-Latn-ME"/>
        </w:rPr>
        <w:t>ij</w:t>
      </w:r>
      <w:r w:rsidRPr="00AF2694">
        <w:rPr>
          <w:bCs/>
          <w:sz w:val="22"/>
          <w:szCs w:val="22"/>
          <w:lang w:val="sr-Latn-ME"/>
        </w:rPr>
        <w:t>enjena kao intravenska infuzija jednom ned</w:t>
      </w:r>
      <w:r w:rsidR="0005679C" w:rsidRPr="00AF2694">
        <w:rPr>
          <w:bCs/>
          <w:sz w:val="22"/>
          <w:szCs w:val="22"/>
          <w:lang w:val="sr-Latn-ME"/>
        </w:rPr>
        <w:t>j</w:t>
      </w:r>
      <w:r w:rsidRPr="00AF2694">
        <w:rPr>
          <w:bCs/>
          <w:sz w:val="22"/>
          <w:szCs w:val="22"/>
          <w:lang w:val="sr-Latn-ME"/>
        </w:rPr>
        <w:t>eljno, u zavisnosti od kliničkog stanja pacijenta. Viša početna doza od 3 mg/kg treba da se razmotri u zavisnosti od ozbiljnosti bolesti i brzine njenog napredovanja.</w:t>
      </w:r>
    </w:p>
    <w:p w14:paraId="0EB81576" w14:textId="77777777" w:rsidR="00251C3A" w:rsidRPr="00AF2694" w:rsidRDefault="00251C3A" w:rsidP="00CF11D6">
      <w:pPr>
        <w:tabs>
          <w:tab w:val="left" w:pos="540"/>
          <w:tab w:val="left" w:pos="567"/>
        </w:tabs>
        <w:jc w:val="both"/>
        <w:rPr>
          <w:bCs/>
          <w:sz w:val="22"/>
          <w:szCs w:val="22"/>
          <w:lang w:val="sr-Latn-ME"/>
        </w:rPr>
      </w:pPr>
    </w:p>
    <w:p w14:paraId="471C1986" w14:textId="4918C61B" w:rsidR="00251C3A" w:rsidRPr="00AF2694" w:rsidRDefault="008E7F6A" w:rsidP="00CF11D6">
      <w:pPr>
        <w:tabs>
          <w:tab w:val="left" w:pos="540"/>
          <w:tab w:val="left" w:pos="567"/>
        </w:tabs>
        <w:jc w:val="both"/>
        <w:rPr>
          <w:bCs/>
          <w:sz w:val="22"/>
          <w:szCs w:val="22"/>
          <w:lang w:val="sr-Latn-ME"/>
        </w:rPr>
      </w:pPr>
      <w:r w:rsidRPr="00AF2694">
        <w:rPr>
          <w:bCs/>
          <w:sz w:val="22"/>
          <w:szCs w:val="22"/>
          <w:lang w:val="sr-Latn-ME"/>
        </w:rPr>
        <w:t xml:space="preserve">Povećanje </w:t>
      </w:r>
      <w:r w:rsidR="00251C3A" w:rsidRPr="00AF2694">
        <w:rPr>
          <w:bCs/>
          <w:sz w:val="22"/>
          <w:szCs w:val="22"/>
          <w:lang w:val="sr-Latn-ME"/>
        </w:rPr>
        <w:t>doze treba da se razmotri na osnovu suboptimalnog odgovora na kliničke i biohemijske kriterijume, uključujući, npr. slab rast (posebno obim nadlaktice), pogoršanje biohemijskih markera (npr. transaminaz</w:t>
      </w:r>
      <w:r w:rsidR="004B3317" w:rsidRPr="00AF2694">
        <w:rPr>
          <w:bCs/>
          <w:sz w:val="22"/>
          <w:szCs w:val="22"/>
          <w:lang w:val="sr-Latn-ME"/>
        </w:rPr>
        <w:t>a</w:t>
      </w:r>
      <w:r w:rsidR="00251C3A" w:rsidRPr="00AF2694">
        <w:rPr>
          <w:bCs/>
          <w:sz w:val="22"/>
          <w:szCs w:val="22"/>
          <w:lang w:val="sr-Latn-ME"/>
        </w:rPr>
        <w:t xml:space="preserve"> jetre, feritin, C-reaktivni protein i koagulacioni parametri), uporna organomegalija ili pogoršanje organomegalije, povećana učestalost međuprostornih infekcija i uporno pogoršanje drugih simptoma (npr. gastrointestinalnih simptoma):</w:t>
      </w:r>
    </w:p>
    <w:p w14:paraId="1C0BF25D" w14:textId="5674DDE9" w:rsidR="00251C3A" w:rsidRPr="00AF2694" w:rsidRDefault="008E7F6A" w:rsidP="00CF11D6">
      <w:pPr>
        <w:numPr>
          <w:ilvl w:val="0"/>
          <w:numId w:val="12"/>
        </w:numPr>
        <w:tabs>
          <w:tab w:val="left" w:pos="540"/>
          <w:tab w:val="left" w:pos="567"/>
        </w:tabs>
        <w:jc w:val="both"/>
        <w:rPr>
          <w:bCs/>
          <w:sz w:val="22"/>
          <w:szCs w:val="22"/>
          <w:lang w:val="sr-Latn-ME"/>
        </w:rPr>
      </w:pPr>
      <w:r w:rsidRPr="00AF2694">
        <w:rPr>
          <w:bCs/>
          <w:sz w:val="22"/>
          <w:szCs w:val="22"/>
          <w:lang w:val="sr-Latn-ME"/>
        </w:rPr>
        <w:t xml:space="preserve">povećanje </w:t>
      </w:r>
      <w:r w:rsidR="00251C3A" w:rsidRPr="00AF2694">
        <w:rPr>
          <w:bCs/>
          <w:sz w:val="22"/>
          <w:szCs w:val="22"/>
          <w:lang w:val="sr-Latn-ME"/>
        </w:rPr>
        <w:t>doze na 3 mg/kg treba da se razmotri u slučaju suboptimalnog kliničkog odgovora;</w:t>
      </w:r>
    </w:p>
    <w:p w14:paraId="115D949B" w14:textId="5C722742" w:rsidR="00251C3A" w:rsidRPr="00AF2694" w:rsidRDefault="008E7F6A" w:rsidP="00CF11D6">
      <w:pPr>
        <w:numPr>
          <w:ilvl w:val="0"/>
          <w:numId w:val="12"/>
        </w:numPr>
        <w:tabs>
          <w:tab w:val="left" w:pos="540"/>
          <w:tab w:val="left" w:pos="567"/>
        </w:tabs>
        <w:jc w:val="both"/>
        <w:rPr>
          <w:bCs/>
          <w:sz w:val="22"/>
          <w:szCs w:val="22"/>
          <w:lang w:val="sr-Latn-ME"/>
        </w:rPr>
      </w:pPr>
      <w:r w:rsidRPr="00AF2694">
        <w:rPr>
          <w:bCs/>
          <w:sz w:val="22"/>
          <w:szCs w:val="22"/>
          <w:lang w:val="sr-Latn-ME"/>
        </w:rPr>
        <w:t>dalje povećanje</w:t>
      </w:r>
      <w:r w:rsidR="00251C3A" w:rsidRPr="00AF2694">
        <w:rPr>
          <w:bCs/>
          <w:sz w:val="22"/>
          <w:szCs w:val="22"/>
          <w:lang w:val="sr-Latn-ME"/>
        </w:rPr>
        <w:t xml:space="preserve"> doze do 5 mg/kg treba da se razmotri u slučaju upornog suboptimalnog kliničkog odgovora.</w:t>
      </w:r>
    </w:p>
    <w:p w14:paraId="4E1AC856" w14:textId="2258F33C"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 xml:space="preserve">Dalja prilagođavanja doze, kao što su smanjenje doze ili produžetak intervala doziranja, mogu se izvršiti na individualnoj osnovi, u zavisnosti od postizanja i održavanja terapijskih ciljeva. </w:t>
      </w:r>
      <w:r w:rsidR="008E7F6A" w:rsidRPr="00AF2694">
        <w:rPr>
          <w:bCs/>
          <w:sz w:val="22"/>
          <w:szCs w:val="22"/>
          <w:lang w:val="sr-Latn-ME"/>
        </w:rPr>
        <w:t>U kliničkim studijama procijenjene su</w:t>
      </w:r>
      <w:r w:rsidRPr="00AF2694">
        <w:rPr>
          <w:bCs/>
          <w:sz w:val="22"/>
          <w:szCs w:val="22"/>
          <w:lang w:val="sr-Latn-ME"/>
        </w:rPr>
        <w:t xml:space="preserve"> doze u rasponu od 0,35 do 5 mg/kg jednom ned</w:t>
      </w:r>
      <w:r w:rsidR="0005679C" w:rsidRPr="00AF2694">
        <w:rPr>
          <w:bCs/>
          <w:sz w:val="22"/>
          <w:szCs w:val="22"/>
          <w:lang w:val="sr-Latn-ME"/>
        </w:rPr>
        <w:t>j</w:t>
      </w:r>
      <w:r w:rsidRPr="00AF2694">
        <w:rPr>
          <w:bCs/>
          <w:sz w:val="22"/>
          <w:szCs w:val="22"/>
          <w:lang w:val="sr-Latn-ME"/>
        </w:rPr>
        <w:t>eljno, s jednim pacijentom koji je primio višu dozu od 7,5 mg/kg jednom ned</w:t>
      </w:r>
      <w:r w:rsidR="0005679C" w:rsidRPr="00AF2694">
        <w:rPr>
          <w:bCs/>
          <w:sz w:val="22"/>
          <w:szCs w:val="22"/>
          <w:lang w:val="sr-Latn-ME"/>
        </w:rPr>
        <w:t>j</w:t>
      </w:r>
      <w:r w:rsidRPr="00AF2694">
        <w:rPr>
          <w:bCs/>
          <w:sz w:val="22"/>
          <w:szCs w:val="22"/>
          <w:lang w:val="sr-Latn-ME"/>
        </w:rPr>
        <w:t>eljno. Doze veće od 7,5 mg/kg ni</w:t>
      </w:r>
      <w:r w:rsidR="004B3317" w:rsidRPr="00AF2694">
        <w:rPr>
          <w:bCs/>
          <w:sz w:val="22"/>
          <w:szCs w:val="22"/>
          <w:lang w:val="sr-Latn-ME"/>
        </w:rPr>
        <w:t>je</w:t>
      </w:r>
      <w:r w:rsidRPr="00AF2694">
        <w:rPr>
          <w:bCs/>
          <w:sz w:val="22"/>
          <w:szCs w:val="22"/>
          <w:lang w:val="sr-Latn-ME"/>
        </w:rPr>
        <w:t xml:space="preserve">su proučavane. </w:t>
      </w:r>
    </w:p>
    <w:p w14:paraId="748476C3" w14:textId="77777777" w:rsidR="00251C3A" w:rsidRPr="00AF2694" w:rsidRDefault="00251C3A" w:rsidP="00CF11D6">
      <w:pPr>
        <w:tabs>
          <w:tab w:val="left" w:pos="540"/>
          <w:tab w:val="left" w:pos="567"/>
        </w:tabs>
        <w:jc w:val="both"/>
        <w:rPr>
          <w:bCs/>
          <w:sz w:val="22"/>
          <w:szCs w:val="22"/>
          <w:lang w:val="sr-Latn-ME"/>
        </w:rPr>
      </w:pPr>
    </w:p>
    <w:p w14:paraId="18CD09C8" w14:textId="77777777" w:rsidR="00251C3A" w:rsidRPr="00AF2694" w:rsidRDefault="00251C3A" w:rsidP="00CF11D6">
      <w:pPr>
        <w:tabs>
          <w:tab w:val="left" w:pos="540"/>
          <w:tab w:val="left" w:pos="567"/>
        </w:tabs>
        <w:jc w:val="both"/>
        <w:rPr>
          <w:bCs/>
          <w:i/>
          <w:sz w:val="22"/>
          <w:szCs w:val="22"/>
          <w:lang w:val="sr-Latn-ME"/>
        </w:rPr>
      </w:pPr>
      <w:r w:rsidRPr="00AF2694">
        <w:rPr>
          <w:bCs/>
          <w:i/>
          <w:iCs/>
          <w:sz w:val="22"/>
          <w:szCs w:val="22"/>
          <w:lang w:val="sr-Latn-ME"/>
        </w:rPr>
        <w:t>Pedijatrijski i odrasli pacijenti sa deficijencijom lizozomalne kisele lipaze</w:t>
      </w:r>
    </w:p>
    <w:p w14:paraId="0CFD09B6" w14:textId="4977F99F"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Preporučena doza kod d</w:t>
      </w:r>
      <w:r w:rsidR="0005679C" w:rsidRPr="00AF2694">
        <w:rPr>
          <w:bCs/>
          <w:sz w:val="22"/>
          <w:szCs w:val="22"/>
          <w:lang w:val="sr-Latn-ME"/>
        </w:rPr>
        <w:t>j</w:t>
      </w:r>
      <w:r w:rsidRPr="00AF2694">
        <w:rPr>
          <w:bCs/>
          <w:sz w:val="22"/>
          <w:szCs w:val="22"/>
          <w:lang w:val="sr-Latn-ME"/>
        </w:rPr>
        <w:t>ece i odraslih koji nemaju brzo progresivnu deficijenciju lizozomalne kisele lipaze pr</w:t>
      </w:r>
      <w:r w:rsidR="0005679C" w:rsidRPr="00AF2694">
        <w:rPr>
          <w:bCs/>
          <w:sz w:val="22"/>
          <w:szCs w:val="22"/>
          <w:lang w:val="sr-Latn-ME"/>
        </w:rPr>
        <w:t>ij</w:t>
      </w:r>
      <w:r w:rsidRPr="00AF2694">
        <w:rPr>
          <w:bCs/>
          <w:sz w:val="22"/>
          <w:szCs w:val="22"/>
          <w:lang w:val="sr-Latn-ME"/>
        </w:rPr>
        <w:t>e navršenih 6 m</w:t>
      </w:r>
      <w:r w:rsidR="0005679C" w:rsidRPr="00AF2694">
        <w:rPr>
          <w:bCs/>
          <w:sz w:val="22"/>
          <w:szCs w:val="22"/>
          <w:lang w:val="sr-Latn-ME"/>
        </w:rPr>
        <w:t>j</w:t>
      </w:r>
      <w:r w:rsidRPr="00AF2694">
        <w:rPr>
          <w:bCs/>
          <w:sz w:val="22"/>
          <w:szCs w:val="22"/>
          <w:lang w:val="sr-Latn-ME"/>
        </w:rPr>
        <w:t>eseci starosti jeste 1 mg/kg prim</w:t>
      </w:r>
      <w:r w:rsidR="0005679C" w:rsidRPr="00AF2694">
        <w:rPr>
          <w:bCs/>
          <w:sz w:val="22"/>
          <w:szCs w:val="22"/>
          <w:lang w:val="sr-Latn-ME"/>
        </w:rPr>
        <w:t>ij</w:t>
      </w:r>
      <w:r w:rsidRPr="00AF2694">
        <w:rPr>
          <w:bCs/>
          <w:sz w:val="22"/>
          <w:szCs w:val="22"/>
          <w:lang w:val="sr-Latn-ME"/>
        </w:rPr>
        <w:t>enjena kao intravenska infuzija jednom na svake dv</w:t>
      </w:r>
      <w:r w:rsidR="0005679C" w:rsidRPr="00AF2694">
        <w:rPr>
          <w:bCs/>
          <w:sz w:val="22"/>
          <w:szCs w:val="22"/>
          <w:lang w:val="sr-Latn-ME"/>
        </w:rPr>
        <w:t>ij</w:t>
      </w:r>
      <w:r w:rsidRPr="00AF2694">
        <w:rPr>
          <w:bCs/>
          <w:sz w:val="22"/>
          <w:szCs w:val="22"/>
          <w:lang w:val="sr-Latn-ME"/>
        </w:rPr>
        <w:t>e ned</w:t>
      </w:r>
      <w:r w:rsidR="0005679C" w:rsidRPr="00AF2694">
        <w:rPr>
          <w:bCs/>
          <w:sz w:val="22"/>
          <w:szCs w:val="22"/>
          <w:lang w:val="sr-Latn-ME"/>
        </w:rPr>
        <w:t>j</w:t>
      </w:r>
      <w:r w:rsidRPr="00AF2694">
        <w:rPr>
          <w:bCs/>
          <w:sz w:val="22"/>
          <w:szCs w:val="22"/>
          <w:lang w:val="sr-Latn-ME"/>
        </w:rPr>
        <w:t>elje. Eskalacija doze na 3 mg/kg jednom na svake dv</w:t>
      </w:r>
      <w:r w:rsidR="0005679C" w:rsidRPr="00AF2694">
        <w:rPr>
          <w:bCs/>
          <w:sz w:val="22"/>
          <w:szCs w:val="22"/>
          <w:lang w:val="sr-Latn-ME"/>
        </w:rPr>
        <w:t>ij</w:t>
      </w:r>
      <w:r w:rsidRPr="00AF2694">
        <w:rPr>
          <w:bCs/>
          <w:sz w:val="22"/>
          <w:szCs w:val="22"/>
          <w:lang w:val="sr-Latn-ME"/>
        </w:rPr>
        <w:t>e ned</w:t>
      </w:r>
      <w:r w:rsidR="0005679C" w:rsidRPr="00AF2694">
        <w:rPr>
          <w:bCs/>
          <w:sz w:val="22"/>
          <w:szCs w:val="22"/>
          <w:lang w:val="sr-Latn-ME"/>
        </w:rPr>
        <w:t>j</w:t>
      </w:r>
      <w:r w:rsidRPr="00AF2694">
        <w:rPr>
          <w:bCs/>
          <w:sz w:val="22"/>
          <w:szCs w:val="22"/>
          <w:lang w:val="sr-Latn-ME"/>
        </w:rPr>
        <w:t xml:space="preserve">elje treba da se razmotri na osnovu suboptimalnog odgovora na kliničke i biohemijske kriterijume, uključujući, npr. </w:t>
      </w:r>
      <w:r w:rsidR="008E7F6A" w:rsidRPr="00AF2694">
        <w:rPr>
          <w:bCs/>
          <w:sz w:val="22"/>
          <w:szCs w:val="22"/>
          <w:lang w:val="sr-Latn-ME"/>
        </w:rPr>
        <w:t>usporen</w:t>
      </w:r>
      <w:r w:rsidRPr="00AF2694">
        <w:rPr>
          <w:bCs/>
          <w:sz w:val="22"/>
          <w:szCs w:val="22"/>
          <w:lang w:val="sr-Latn-ME"/>
        </w:rPr>
        <w:t xml:space="preserve"> rast ili pogoršanje biohemijskih markera (npr. parametara oštećenja jetre [ALT, AST], parametara metabolizma lipida [TC, LDL-c, HDL-c, TG]), uporna organomegalija ili pogoršanje organomegalije i uporno pogoršanje drugih simptoma (npr. gastrointestinalnih simptoma). </w:t>
      </w:r>
    </w:p>
    <w:p w14:paraId="626A4C9A" w14:textId="77777777" w:rsidR="00251C3A" w:rsidRPr="00AF2694" w:rsidRDefault="00251C3A" w:rsidP="00CF11D6">
      <w:pPr>
        <w:tabs>
          <w:tab w:val="left" w:pos="540"/>
          <w:tab w:val="left" w:pos="567"/>
        </w:tabs>
        <w:jc w:val="both"/>
        <w:rPr>
          <w:bCs/>
          <w:sz w:val="22"/>
          <w:szCs w:val="22"/>
          <w:lang w:val="sr-Latn-ME"/>
        </w:rPr>
      </w:pPr>
    </w:p>
    <w:p w14:paraId="2309A6B5" w14:textId="77777777" w:rsidR="00251C3A" w:rsidRPr="00AF2694" w:rsidRDefault="00251C3A" w:rsidP="00CF11D6">
      <w:pPr>
        <w:tabs>
          <w:tab w:val="left" w:pos="540"/>
          <w:tab w:val="left" w:pos="567"/>
        </w:tabs>
        <w:jc w:val="both"/>
        <w:rPr>
          <w:bCs/>
          <w:i/>
          <w:iCs/>
          <w:sz w:val="22"/>
          <w:szCs w:val="22"/>
          <w:u w:val="single"/>
          <w:lang w:val="sr-Latn-ME"/>
        </w:rPr>
      </w:pPr>
      <w:r w:rsidRPr="00AF2694">
        <w:rPr>
          <w:bCs/>
          <w:i/>
          <w:iCs/>
          <w:sz w:val="22"/>
          <w:szCs w:val="22"/>
          <w:u w:val="single"/>
          <w:lang w:val="sr-Latn-ME"/>
        </w:rPr>
        <w:t>Posebne populacije</w:t>
      </w:r>
    </w:p>
    <w:p w14:paraId="444D43C6" w14:textId="77777777" w:rsidR="00251C3A" w:rsidRPr="00AF2694" w:rsidRDefault="00251C3A" w:rsidP="00CF11D6">
      <w:pPr>
        <w:tabs>
          <w:tab w:val="left" w:pos="540"/>
          <w:tab w:val="left" w:pos="567"/>
        </w:tabs>
        <w:jc w:val="both"/>
        <w:rPr>
          <w:bCs/>
          <w:sz w:val="22"/>
          <w:szCs w:val="22"/>
          <w:u w:val="single"/>
          <w:lang w:val="sr-Latn-ME"/>
        </w:rPr>
      </w:pPr>
    </w:p>
    <w:p w14:paraId="632DCA7C" w14:textId="77777777" w:rsidR="00251C3A" w:rsidRPr="00AF2694" w:rsidRDefault="00251C3A" w:rsidP="00CF11D6">
      <w:pPr>
        <w:tabs>
          <w:tab w:val="left" w:pos="540"/>
          <w:tab w:val="left" w:pos="567"/>
        </w:tabs>
        <w:jc w:val="both"/>
        <w:rPr>
          <w:bCs/>
          <w:i/>
          <w:sz w:val="22"/>
          <w:szCs w:val="22"/>
          <w:lang w:val="sr-Latn-ME"/>
        </w:rPr>
      </w:pPr>
      <w:r w:rsidRPr="00AF2694">
        <w:rPr>
          <w:bCs/>
          <w:i/>
          <w:iCs/>
          <w:sz w:val="22"/>
          <w:szCs w:val="22"/>
          <w:lang w:val="sr-Latn-ME"/>
        </w:rPr>
        <w:t>Oštećenje funkcije bubrega</w:t>
      </w:r>
    </w:p>
    <w:p w14:paraId="6EBDE2CB" w14:textId="4C2190C1"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Nije preporučeno prilagođavanje doze kod pacijenata sa oštećenjem bubrega na osnovu trenutnih saznanja o farmakokinetici i farmakodinamici sebelipaze alfa (vid</w:t>
      </w:r>
      <w:r w:rsidR="000D4385" w:rsidRPr="00AF2694">
        <w:rPr>
          <w:bCs/>
          <w:sz w:val="22"/>
          <w:szCs w:val="22"/>
          <w:lang w:val="sr-Latn-ME"/>
        </w:rPr>
        <w:t>j</w:t>
      </w:r>
      <w:r w:rsidRPr="00AF2694">
        <w:rPr>
          <w:bCs/>
          <w:sz w:val="22"/>
          <w:szCs w:val="22"/>
          <w:lang w:val="sr-Latn-ME"/>
        </w:rPr>
        <w:t xml:space="preserve">eti </w:t>
      </w:r>
      <w:r w:rsidR="000D4385" w:rsidRPr="00AF2694">
        <w:rPr>
          <w:bCs/>
          <w:sz w:val="22"/>
          <w:szCs w:val="22"/>
          <w:lang w:val="sr-Latn-ME"/>
        </w:rPr>
        <w:t>dio</w:t>
      </w:r>
      <w:r w:rsidRPr="00AF2694">
        <w:rPr>
          <w:bCs/>
          <w:sz w:val="22"/>
          <w:szCs w:val="22"/>
          <w:lang w:val="sr-Latn-ME"/>
        </w:rPr>
        <w:t xml:space="preserve"> 5.2).</w:t>
      </w:r>
    </w:p>
    <w:p w14:paraId="05B2673B" w14:textId="77777777" w:rsidR="00251C3A" w:rsidRPr="00AF2694" w:rsidRDefault="00251C3A" w:rsidP="00CF11D6">
      <w:pPr>
        <w:tabs>
          <w:tab w:val="left" w:pos="540"/>
          <w:tab w:val="left" w:pos="567"/>
        </w:tabs>
        <w:jc w:val="both"/>
        <w:rPr>
          <w:bCs/>
          <w:sz w:val="22"/>
          <w:szCs w:val="22"/>
          <w:lang w:val="sr-Latn-ME"/>
        </w:rPr>
      </w:pPr>
    </w:p>
    <w:p w14:paraId="282F020D" w14:textId="1AB024C7" w:rsidR="00251C3A" w:rsidRPr="00AF2694" w:rsidRDefault="008E7F6A" w:rsidP="00CF11D6">
      <w:pPr>
        <w:tabs>
          <w:tab w:val="left" w:pos="540"/>
          <w:tab w:val="left" w:pos="567"/>
        </w:tabs>
        <w:jc w:val="both"/>
        <w:rPr>
          <w:bCs/>
          <w:i/>
          <w:sz w:val="22"/>
          <w:szCs w:val="22"/>
          <w:lang w:val="sr-Latn-ME"/>
        </w:rPr>
      </w:pPr>
      <w:r w:rsidRPr="00AF2694">
        <w:rPr>
          <w:bCs/>
          <w:i/>
          <w:iCs/>
          <w:sz w:val="22"/>
          <w:szCs w:val="22"/>
          <w:lang w:val="sr-Latn-ME"/>
        </w:rPr>
        <w:t xml:space="preserve">Oštećenje </w:t>
      </w:r>
      <w:r w:rsidR="00251C3A" w:rsidRPr="00AF2694">
        <w:rPr>
          <w:bCs/>
          <w:i/>
          <w:iCs/>
          <w:sz w:val="22"/>
          <w:szCs w:val="22"/>
          <w:lang w:val="sr-Latn-ME"/>
        </w:rPr>
        <w:t>jetre</w:t>
      </w:r>
    </w:p>
    <w:p w14:paraId="2E6E685E" w14:textId="2824B851"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Nije preporučeno prilagođavanje doze kod pacijenata sa oštećenjem jetre na osnovu trenutnih saznanja o farmakokinetici i farmakodinamici sebelipaze alfa (vid</w:t>
      </w:r>
      <w:r w:rsidR="000D4385" w:rsidRPr="00AF2694">
        <w:rPr>
          <w:bCs/>
          <w:sz w:val="22"/>
          <w:szCs w:val="22"/>
          <w:lang w:val="sr-Latn-ME"/>
        </w:rPr>
        <w:t>j</w:t>
      </w:r>
      <w:r w:rsidRPr="00AF2694">
        <w:rPr>
          <w:bCs/>
          <w:sz w:val="22"/>
          <w:szCs w:val="22"/>
          <w:lang w:val="sr-Latn-ME"/>
        </w:rPr>
        <w:t xml:space="preserve">eti </w:t>
      </w:r>
      <w:r w:rsidR="000D4385" w:rsidRPr="00AF2694">
        <w:rPr>
          <w:bCs/>
          <w:sz w:val="22"/>
          <w:szCs w:val="22"/>
          <w:lang w:val="sr-Latn-ME"/>
        </w:rPr>
        <w:t>dio</w:t>
      </w:r>
      <w:r w:rsidRPr="00AF2694">
        <w:rPr>
          <w:bCs/>
          <w:sz w:val="22"/>
          <w:szCs w:val="22"/>
          <w:lang w:val="sr-Latn-ME"/>
        </w:rPr>
        <w:t xml:space="preserve"> 5.2).</w:t>
      </w:r>
    </w:p>
    <w:p w14:paraId="5CA6A81A" w14:textId="77777777" w:rsidR="00251C3A" w:rsidRPr="00AF2694" w:rsidRDefault="00251C3A" w:rsidP="00CF11D6">
      <w:pPr>
        <w:tabs>
          <w:tab w:val="left" w:pos="540"/>
          <w:tab w:val="left" w:pos="567"/>
        </w:tabs>
        <w:jc w:val="both"/>
        <w:rPr>
          <w:bCs/>
          <w:sz w:val="22"/>
          <w:szCs w:val="22"/>
          <w:lang w:val="sr-Latn-ME"/>
        </w:rPr>
      </w:pPr>
    </w:p>
    <w:p w14:paraId="008BD201" w14:textId="77777777" w:rsidR="00251C3A" w:rsidRPr="00AF2694" w:rsidRDefault="00251C3A" w:rsidP="00CF11D6">
      <w:pPr>
        <w:tabs>
          <w:tab w:val="left" w:pos="540"/>
          <w:tab w:val="left" w:pos="567"/>
        </w:tabs>
        <w:jc w:val="both"/>
        <w:rPr>
          <w:bCs/>
          <w:i/>
          <w:sz w:val="22"/>
          <w:szCs w:val="22"/>
          <w:lang w:val="sr-Latn-ME"/>
        </w:rPr>
      </w:pPr>
      <w:r w:rsidRPr="00AF2694">
        <w:rPr>
          <w:bCs/>
          <w:i/>
          <w:iCs/>
          <w:sz w:val="22"/>
          <w:szCs w:val="22"/>
          <w:lang w:val="sr-Latn-ME"/>
        </w:rPr>
        <w:t>Starija populacija (</w:t>
      </w:r>
      <w:r w:rsidRPr="00AF2694">
        <w:rPr>
          <w:bCs/>
          <w:sz w:val="22"/>
          <w:szCs w:val="22"/>
          <w:lang w:val="sr-Latn-ME"/>
        </w:rPr>
        <w:sym w:font="Symbol" w:char="F0B3"/>
      </w:r>
      <w:r w:rsidRPr="00AF2694">
        <w:rPr>
          <w:bCs/>
          <w:sz w:val="22"/>
          <w:szCs w:val="22"/>
          <w:lang w:val="sr-Latn-ME"/>
        </w:rPr>
        <w:t> </w:t>
      </w:r>
      <w:r w:rsidRPr="00AF2694">
        <w:rPr>
          <w:bCs/>
          <w:i/>
          <w:iCs/>
          <w:sz w:val="22"/>
          <w:szCs w:val="22"/>
          <w:lang w:val="sr-Latn-ME"/>
        </w:rPr>
        <w:t xml:space="preserve">65 godina) </w:t>
      </w:r>
    </w:p>
    <w:p w14:paraId="0F041AB3" w14:textId="727F9BDD"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Bezb</w:t>
      </w:r>
      <w:r w:rsidR="000D4385" w:rsidRPr="00AF2694">
        <w:rPr>
          <w:bCs/>
          <w:sz w:val="22"/>
          <w:szCs w:val="22"/>
          <w:lang w:val="sr-Latn-ME"/>
        </w:rPr>
        <w:t>j</w:t>
      </w:r>
      <w:r w:rsidRPr="00AF2694">
        <w:rPr>
          <w:bCs/>
          <w:sz w:val="22"/>
          <w:szCs w:val="22"/>
          <w:lang w:val="sr-Latn-ME"/>
        </w:rPr>
        <w:t>ednost i efikasnost sebelipaze alfa kod pacijenata starijih od 65 godina ni</w:t>
      </w:r>
      <w:r w:rsidR="008E7F6A" w:rsidRPr="00AF2694">
        <w:rPr>
          <w:bCs/>
          <w:sz w:val="22"/>
          <w:szCs w:val="22"/>
          <w:lang w:val="sr-Latn-ME"/>
        </w:rPr>
        <w:t>je</w:t>
      </w:r>
      <w:r w:rsidRPr="00AF2694">
        <w:rPr>
          <w:bCs/>
          <w:sz w:val="22"/>
          <w:szCs w:val="22"/>
          <w:lang w:val="sr-Latn-ME"/>
        </w:rPr>
        <w:t>su proc</w:t>
      </w:r>
      <w:r w:rsidR="000D4385" w:rsidRPr="00AF2694">
        <w:rPr>
          <w:bCs/>
          <w:sz w:val="22"/>
          <w:szCs w:val="22"/>
          <w:lang w:val="sr-Latn-ME"/>
        </w:rPr>
        <w:t>ij</w:t>
      </w:r>
      <w:r w:rsidRPr="00AF2694">
        <w:rPr>
          <w:bCs/>
          <w:sz w:val="22"/>
          <w:szCs w:val="22"/>
          <w:lang w:val="sr-Latn-ME"/>
        </w:rPr>
        <w:t>enjen</w:t>
      </w:r>
      <w:r w:rsidR="008E7F6A" w:rsidRPr="00AF2694">
        <w:rPr>
          <w:bCs/>
          <w:sz w:val="22"/>
          <w:szCs w:val="22"/>
          <w:lang w:val="sr-Latn-ME"/>
        </w:rPr>
        <w:t>i</w:t>
      </w:r>
      <w:r w:rsidRPr="00AF2694">
        <w:rPr>
          <w:bCs/>
          <w:sz w:val="22"/>
          <w:szCs w:val="22"/>
          <w:lang w:val="sr-Latn-ME"/>
        </w:rPr>
        <w:t xml:space="preserve"> i tim pacijentima se ne mogu preporučiti alternativni režimi doziranja (vid</w:t>
      </w:r>
      <w:r w:rsidR="000D4385" w:rsidRPr="00AF2694">
        <w:rPr>
          <w:bCs/>
          <w:sz w:val="22"/>
          <w:szCs w:val="22"/>
          <w:lang w:val="sr-Latn-ME"/>
        </w:rPr>
        <w:t>j</w:t>
      </w:r>
      <w:r w:rsidRPr="00AF2694">
        <w:rPr>
          <w:bCs/>
          <w:sz w:val="22"/>
          <w:szCs w:val="22"/>
          <w:lang w:val="sr-Latn-ME"/>
        </w:rPr>
        <w:t xml:space="preserve">eti </w:t>
      </w:r>
      <w:r w:rsidR="000D4385" w:rsidRPr="00AF2694">
        <w:rPr>
          <w:bCs/>
          <w:sz w:val="22"/>
          <w:szCs w:val="22"/>
          <w:lang w:val="sr-Latn-ME"/>
        </w:rPr>
        <w:t>dio</w:t>
      </w:r>
      <w:r w:rsidRPr="00AF2694">
        <w:rPr>
          <w:bCs/>
          <w:sz w:val="22"/>
          <w:szCs w:val="22"/>
          <w:lang w:val="sr-Latn-ME"/>
        </w:rPr>
        <w:t xml:space="preserve"> 5.1). </w:t>
      </w:r>
    </w:p>
    <w:p w14:paraId="2B81108F" w14:textId="77777777" w:rsidR="00251C3A" w:rsidRPr="00AF2694" w:rsidRDefault="00251C3A" w:rsidP="00CF11D6">
      <w:pPr>
        <w:tabs>
          <w:tab w:val="left" w:pos="540"/>
          <w:tab w:val="left" w:pos="567"/>
        </w:tabs>
        <w:jc w:val="both"/>
        <w:rPr>
          <w:bCs/>
          <w:sz w:val="22"/>
          <w:szCs w:val="22"/>
          <w:lang w:val="sr-Latn-ME"/>
        </w:rPr>
      </w:pPr>
    </w:p>
    <w:p w14:paraId="11650087" w14:textId="77777777" w:rsidR="00251C3A" w:rsidRPr="00AF2694" w:rsidRDefault="00251C3A" w:rsidP="00CF11D6">
      <w:pPr>
        <w:tabs>
          <w:tab w:val="left" w:pos="540"/>
          <w:tab w:val="left" w:pos="569"/>
        </w:tabs>
        <w:jc w:val="both"/>
        <w:rPr>
          <w:bCs/>
          <w:i/>
          <w:sz w:val="22"/>
          <w:szCs w:val="22"/>
          <w:lang w:val="sr-Latn-ME"/>
        </w:rPr>
      </w:pPr>
      <w:r w:rsidRPr="00AF2694">
        <w:rPr>
          <w:bCs/>
          <w:i/>
          <w:iCs/>
          <w:sz w:val="22"/>
          <w:szCs w:val="22"/>
          <w:lang w:val="sr-Latn-ME"/>
        </w:rPr>
        <w:t xml:space="preserve">Gojazni pacijenti </w:t>
      </w:r>
    </w:p>
    <w:p w14:paraId="6AD1EA35" w14:textId="248B689E" w:rsidR="00251C3A" w:rsidRPr="00AF2694" w:rsidRDefault="00251C3A" w:rsidP="00CF11D6">
      <w:pPr>
        <w:tabs>
          <w:tab w:val="left" w:pos="540"/>
          <w:tab w:val="left" w:pos="569"/>
        </w:tabs>
        <w:jc w:val="both"/>
        <w:rPr>
          <w:bCs/>
          <w:sz w:val="22"/>
          <w:szCs w:val="22"/>
          <w:lang w:val="sr-Latn-ME"/>
        </w:rPr>
      </w:pPr>
      <w:r w:rsidRPr="00AF2694">
        <w:rPr>
          <w:bCs/>
          <w:sz w:val="22"/>
          <w:szCs w:val="22"/>
          <w:lang w:val="sr-Latn-ME"/>
        </w:rPr>
        <w:t>Bezb</w:t>
      </w:r>
      <w:r w:rsidR="000D4385" w:rsidRPr="00AF2694">
        <w:rPr>
          <w:bCs/>
          <w:sz w:val="22"/>
          <w:szCs w:val="22"/>
          <w:lang w:val="sr-Latn-ME"/>
        </w:rPr>
        <w:t>j</w:t>
      </w:r>
      <w:r w:rsidRPr="00AF2694">
        <w:rPr>
          <w:bCs/>
          <w:sz w:val="22"/>
          <w:szCs w:val="22"/>
          <w:lang w:val="sr-Latn-ME"/>
        </w:rPr>
        <w:t>ednost i efikasnost sebelipaze alfa kod gojaznih pacijenata ni</w:t>
      </w:r>
      <w:r w:rsidR="008E7F6A" w:rsidRPr="00AF2694">
        <w:rPr>
          <w:bCs/>
          <w:sz w:val="22"/>
          <w:szCs w:val="22"/>
          <w:lang w:val="sr-Latn-ME"/>
        </w:rPr>
        <w:t>je</w:t>
      </w:r>
      <w:r w:rsidRPr="00AF2694">
        <w:rPr>
          <w:bCs/>
          <w:sz w:val="22"/>
          <w:szCs w:val="22"/>
          <w:lang w:val="sr-Latn-ME"/>
        </w:rPr>
        <w:t>su temeljno proc</w:t>
      </w:r>
      <w:r w:rsidR="000D4385" w:rsidRPr="00AF2694">
        <w:rPr>
          <w:bCs/>
          <w:sz w:val="22"/>
          <w:szCs w:val="22"/>
          <w:lang w:val="sr-Latn-ME"/>
        </w:rPr>
        <w:t>ij</w:t>
      </w:r>
      <w:r w:rsidRPr="00AF2694">
        <w:rPr>
          <w:bCs/>
          <w:sz w:val="22"/>
          <w:szCs w:val="22"/>
          <w:lang w:val="sr-Latn-ME"/>
        </w:rPr>
        <w:t>enjen</w:t>
      </w:r>
      <w:r w:rsidR="008E7F6A" w:rsidRPr="00AF2694">
        <w:rPr>
          <w:bCs/>
          <w:sz w:val="22"/>
          <w:szCs w:val="22"/>
          <w:lang w:val="sr-Latn-ME"/>
        </w:rPr>
        <w:t>i</w:t>
      </w:r>
      <w:r w:rsidRPr="00AF2694">
        <w:rPr>
          <w:bCs/>
          <w:sz w:val="22"/>
          <w:szCs w:val="22"/>
          <w:lang w:val="sr-Latn-ME"/>
        </w:rPr>
        <w:t>, i stoga se ovim pacijentima trenutno ne mogu preporučiti alternativni režimi doziranja.</w:t>
      </w:r>
    </w:p>
    <w:p w14:paraId="1212ED6D" w14:textId="77777777" w:rsidR="00251C3A" w:rsidRPr="00AF2694" w:rsidRDefault="00251C3A" w:rsidP="00CF11D6">
      <w:pPr>
        <w:tabs>
          <w:tab w:val="left" w:pos="540"/>
          <w:tab w:val="left" w:pos="569"/>
        </w:tabs>
        <w:jc w:val="both"/>
        <w:rPr>
          <w:bCs/>
          <w:sz w:val="22"/>
          <w:szCs w:val="22"/>
          <w:lang w:val="sr-Latn-ME"/>
        </w:rPr>
      </w:pPr>
    </w:p>
    <w:p w14:paraId="7B2B3BB2" w14:textId="77777777" w:rsidR="00251C3A" w:rsidRPr="00AF2694" w:rsidRDefault="00251C3A" w:rsidP="00CF11D6">
      <w:pPr>
        <w:tabs>
          <w:tab w:val="left" w:pos="540"/>
          <w:tab w:val="left" w:pos="567"/>
        </w:tabs>
        <w:jc w:val="both"/>
        <w:rPr>
          <w:bCs/>
          <w:i/>
          <w:sz w:val="22"/>
          <w:szCs w:val="22"/>
          <w:lang w:val="sr-Latn-ME"/>
        </w:rPr>
      </w:pPr>
      <w:r w:rsidRPr="00AF2694">
        <w:rPr>
          <w:bCs/>
          <w:i/>
          <w:iCs/>
          <w:sz w:val="22"/>
          <w:szCs w:val="22"/>
          <w:lang w:val="sr-Latn-ME"/>
        </w:rPr>
        <w:t>Pedijatrijska populacija</w:t>
      </w:r>
    </w:p>
    <w:p w14:paraId="5B30D5EE" w14:textId="54DF053A" w:rsidR="00251C3A" w:rsidRPr="00AF2694" w:rsidRDefault="008E7F6A" w:rsidP="00CF11D6">
      <w:pPr>
        <w:tabs>
          <w:tab w:val="left" w:pos="540"/>
          <w:tab w:val="left" w:pos="569"/>
        </w:tabs>
        <w:jc w:val="both"/>
        <w:rPr>
          <w:bCs/>
          <w:sz w:val="22"/>
          <w:szCs w:val="22"/>
          <w:lang w:val="sr-Latn-ME"/>
        </w:rPr>
      </w:pPr>
      <w:r w:rsidRPr="00AF2694">
        <w:rPr>
          <w:bCs/>
          <w:sz w:val="22"/>
          <w:szCs w:val="22"/>
          <w:lang w:val="sr-Latn-ME"/>
        </w:rPr>
        <w:t xml:space="preserve">Odluku o primjeni </w:t>
      </w:r>
      <w:r w:rsidR="00251C3A" w:rsidRPr="00AF2694">
        <w:rPr>
          <w:bCs/>
          <w:sz w:val="22"/>
          <w:szCs w:val="22"/>
          <w:lang w:val="sr-Latn-ME"/>
        </w:rPr>
        <w:t xml:space="preserve">sebelipaze alfa kod dojenčadi sa potvrđenim višestrukim otkazivanjem organa treba da </w:t>
      </w:r>
      <w:r w:rsidRPr="00AF2694">
        <w:rPr>
          <w:bCs/>
          <w:sz w:val="22"/>
          <w:szCs w:val="22"/>
          <w:lang w:val="sr-Latn-ME"/>
        </w:rPr>
        <w:t>donese odgovorni ljekar.</w:t>
      </w:r>
    </w:p>
    <w:p w14:paraId="448EC29D" w14:textId="77777777" w:rsidR="00251C3A" w:rsidRPr="00AF2694" w:rsidRDefault="00251C3A" w:rsidP="00CF11D6">
      <w:pPr>
        <w:tabs>
          <w:tab w:val="left" w:pos="540"/>
          <w:tab w:val="left" w:pos="569"/>
        </w:tabs>
        <w:jc w:val="both"/>
        <w:rPr>
          <w:bCs/>
          <w:sz w:val="22"/>
          <w:szCs w:val="22"/>
          <w:u w:val="single"/>
          <w:lang w:val="sr-Latn-ME"/>
        </w:rPr>
      </w:pPr>
    </w:p>
    <w:p w14:paraId="08B14F88" w14:textId="77777777" w:rsidR="00452E9D" w:rsidRPr="00AF2694" w:rsidRDefault="00452E9D" w:rsidP="00CF11D6">
      <w:pPr>
        <w:tabs>
          <w:tab w:val="left" w:pos="540"/>
          <w:tab w:val="left" w:pos="569"/>
        </w:tabs>
        <w:jc w:val="both"/>
        <w:rPr>
          <w:bCs/>
          <w:sz w:val="22"/>
          <w:szCs w:val="22"/>
          <w:u w:val="single"/>
          <w:lang w:val="sr-Latn-ME"/>
        </w:rPr>
      </w:pPr>
      <w:r w:rsidRPr="00AF2694">
        <w:rPr>
          <w:bCs/>
          <w:sz w:val="22"/>
          <w:szCs w:val="22"/>
          <w:u w:val="single"/>
          <w:lang w:val="sr-Latn-ME"/>
        </w:rPr>
        <w:t>Način primjene</w:t>
      </w:r>
    </w:p>
    <w:p w14:paraId="1544D49F" w14:textId="77777777" w:rsidR="00452E9D" w:rsidRPr="00AF2694" w:rsidRDefault="00452E9D" w:rsidP="00CF11D6">
      <w:pPr>
        <w:tabs>
          <w:tab w:val="left" w:pos="540"/>
          <w:tab w:val="left" w:pos="569"/>
        </w:tabs>
        <w:jc w:val="both"/>
        <w:rPr>
          <w:bCs/>
          <w:sz w:val="22"/>
          <w:szCs w:val="22"/>
          <w:lang w:val="sr-Latn-ME"/>
        </w:rPr>
      </w:pPr>
    </w:p>
    <w:p w14:paraId="63599E9E" w14:textId="075870B1" w:rsidR="00251C3A" w:rsidRPr="00AF2694" w:rsidRDefault="008E7F6A" w:rsidP="00CF11D6">
      <w:pPr>
        <w:tabs>
          <w:tab w:val="left" w:pos="540"/>
          <w:tab w:val="left" w:pos="567"/>
        </w:tabs>
        <w:jc w:val="both"/>
        <w:rPr>
          <w:bCs/>
          <w:sz w:val="22"/>
          <w:szCs w:val="22"/>
          <w:lang w:val="sr-Latn-ME"/>
        </w:rPr>
      </w:pPr>
      <w:r w:rsidRPr="00AF2694">
        <w:rPr>
          <w:bCs/>
          <w:sz w:val="22"/>
          <w:szCs w:val="22"/>
          <w:lang w:val="sr-Latn-ME"/>
        </w:rPr>
        <w:lastRenderedPageBreak/>
        <w:t xml:space="preserve">Lijek </w:t>
      </w:r>
      <w:r w:rsidR="00251C3A" w:rsidRPr="00AF2694">
        <w:rPr>
          <w:bCs/>
          <w:sz w:val="22"/>
          <w:szCs w:val="22"/>
          <w:lang w:val="sr-Latn-ME"/>
        </w:rPr>
        <w:t xml:space="preserve">KANUMA je </w:t>
      </w:r>
      <w:r w:rsidRPr="00AF2694">
        <w:rPr>
          <w:bCs/>
          <w:sz w:val="22"/>
          <w:szCs w:val="22"/>
          <w:lang w:val="sr-Latn-ME"/>
        </w:rPr>
        <w:t xml:space="preserve">namijenjen </w:t>
      </w:r>
      <w:r w:rsidR="00251C3A" w:rsidRPr="00AF2694">
        <w:rPr>
          <w:bCs/>
          <w:sz w:val="22"/>
          <w:szCs w:val="22"/>
          <w:lang w:val="sr-Latn-ME"/>
        </w:rPr>
        <w:t>samo za intravensku (IV) prim</w:t>
      </w:r>
      <w:r w:rsidR="000D4385" w:rsidRPr="00AF2694">
        <w:rPr>
          <w:bCs/>
          <w:sz w:val="22"/>
          <w:szCs w:val="22"/>
          <w:lang w:val="sr-Latn-ME"/>
        </w:rPr>
        <w:t>j</w:t>
      </w:r>
      <w:r w:rsidR="00251C3A" w:rsidRPr="00AF2694">
        <w:rPr>
          <w:bCs/>
          <w:sz w:val="22"/>
          <w:szCs w:val="22"/>
          <w:lang w:val="sr-Latn-ME"/>
        </w:rPr>
        <w:t xml:space="preserve">enu. </w:t>
      </w:r>
    </w:p>
    <w:p w14:paraId="0026F09D" w14:textId="77777777" w:rsidR="00251C3A" w:rsidRPr="00AF2694" w:rsidRDefault="00251C3A" w:rsidP="00CF11D6">
      <w:pPr>
        <w:tabs>
          <w:tab w:val="left" w:pos="540"/>
          <w:tab w:val="left" w:pos="567"/>
        </w:tabs>
        <w:jc w:val="both"/>
        <w:rPr>
          <w:bCs/>
          <w:sz w:val="22"/>
          <w:szCs w:val="22"/>
          <w:lang w:val="sr-Latn-ME"/>
        </w:rPr>
      </w:pPr>
    </w:p>
    <w:p w14:paraId="70E96902" w14:textId="63A6D9A8"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Ukupna zapremina infuzije treba da se prim</w:t>
      </w:r>
      <w:r w:rsidR="000D4385" w:rsidRPr="00AF2694">
        <w:rPr>
          <w:bCs/>
          <w:sz w:val="22"/>
          <w:szCs w:val="22"/>
          <w:lang w:val="sr-Latn-ME"/>
        </w:rPr>
        <w:t>ij</w:t>
      </w:r>
      <w:r w:rsidRPr="00AF2694">
        <w:rPr>
          <w:bCs/>
          <w:sz w:val="22"/>
          <w:szCs w:val="22"/>
          <w:lang w:val="sr-Latn-ME"/>
        </w:rPr>
        <w:t>eni tokom približno 2 sata. Infuzija u trajanju od 1 sat može se razmotriti kod pacijenata koji primaju dozu od 1 mg/kg nakon što se utvrdi podnošljivost pacijenta</w:t>
      </w:r>
      <w:r w:rsidR="008E7F6A" w:rsidRPr="00AF2694">
        <w:rPr>
          <w:bCs/>
          <w:sz w:val="22"/>
          <w:szCs w:val="22"/>
          <w:lang w:val="sr-Latn-ME"/>
        </w:rPr>
        <w:t xml:space="preserve"> </w:t>
      </w:r>
      <w:r w:rsidRPr="00AF2694">
        <w:rPr>
          <w:bCs/>
          <w:sz w:val="22"/>
          <w:szCs w:val="22"/>
          <w:lang w:val="sr-Latn-ME"/>
        </w:rPr>
        <w:t>(</w:t>
      </w:r>
      <w:r w:rsidR="008E7F6A" w:rsidRPr="00AF2694">
        <w:rPr>
          <w:bCs/>
          <w:sz w:val="22"/>
          <w:szCs w:val="22"/>
          <w:lang w:val="sr-Latn-ME"/>
        </w:rPr>
        <w:t>z</w:t>
      </w:r>
      <w:r w:rsidRPr="00AF2694">
        <w:rPr>
          <w:bCs/>
          <w:sz w:val="22"/>
          <w:szCs w:val="22"/>
          <w:lang w:val="sr-Latn-ME"/>
        </w:rPr>
        <w:t>a preporučene zapremine infuzije vid</w:t>
      </w:r>
      <w:r w:rsidR="000D4385" w:rsidRPr="00AF2694">
        <w:rPr>
          <w:bCs/>
          <w:sz w:val="22"/>
          <w:szCs w:val="22"/>
          <w:lang w:val="sr-Latn-ME"/>
        </w:rPr>
        <w:t>j</w:t>
      </w:r>
      <w:r w:rsidRPr="00AF2694">
        <w:rPr>
          <w:bCs/>
          <w:sz w:val="22"/>
          <w:szCs w:val="22"/>
          <w:lang w:val="sr-Latn-ME"/>
        </w:rPr>
        <w:t xml:space="preserve">eti </w:t>
      </w:r>
      <w:r w:rsidR="000D4385" w:rsidRPr="00AF2694">
        <w:rPr>
          <w:bCs/>
          <w:sz w:val="22"/>
          <w:szCs w:val="22"/>
          <w:lang w:val="sr-Latn-ME"/>
        </w:rPr>
        <w:t>dio</w:t>
      </w:r>
      <w:r w:rsidRPr="00AF2694">
        <w:rPr>
          <w:bCs/>
          <w:sz w:val="22"/>
          <w:szCs w:val="22"/>
          <w:lang w:val="sr-Latn-ME"/>
        </w:rPr>
        <w:t xml:space="preserve"> 6.6.) </w:t>
      </w:r>
      <w:r w:rsidR="008E7F6A" w:rsidRPr="00AF2694">
        <w:rPr>
          <w:bCs/>
          <w:sz w:val="22"/>
          <w:szCs w:val="22"/>
          <w:lang w:val="sr-Latn-ME"/>
        </w:rPr>
        <w:t xml:space="preserve">Trajanje </w:t>
      </w:r>
      <w:r w:rsidRPr="00AF2694">
        <w:rPr>
          <w:bCs/>
          <w:sz w:val="22"/>
          <w:szCs w:val="22"/>
          <w:lang w:val="sr-Latn-ME"/>
        </w:rPr>
        <w:t>infuzije može biti produžen</w:t>
      </w:r>
      <w:r w:rsidR="008E7F6A" w:rsidRPr="00AF2694">
        <w:rPr>
          <w:bCs/>
          <w:sz w:val="22"/>
          <w:szCs w:val="22"/>
          <w:lang w:val="sr-Latn-ME"/>
        </w:rPr>
        <w:t>o</w:t>
      </w:r>
      <w:r w:rsidRPr="00AF2694">
        <w:rPr>
          <w:bCs/>
          <w:sz w:val="22"/>
          <w:szCs w:val="22"/>
          <w:lang w:val="sr-Latn-ME"/>
        </w:rPr>
        <w:t xml:space="preserve"> u slučaju </w:t>
      </w:r>
      <w:r w:rsidR="008E7F6A" w:rsidRPr="00AF2694">
        <w:rPr>
          <w:bCs/>
          <w:sz w:val="22"/>
          <w:szCs w:val="22"/>
          <w:lang w:val="sr-Latn-ME"/>
        </w:rPr>
        <w:t xml:space="preserve">povećanja </w:t>
      </w:r>
      <w:r w:rsidRPr="00AF2694">
        <w:rPr>
          <w:bCs/>
          <w:sz w:val="22"/>
          <w:szCs w:val="22"/>
          <w:lang w:val="sr-Latn-ME"/>
        </w:rPr>
        <w:t>doze.</w:t>
      </w:r>
    </w:p>
    <w:p w14:paraId="456E77DA" w14:textId="77777777" w:rsidR="00251C3A" w:rsidRPr="00AF2694" w:rsidRDefault="00251C3A" w:rsidP="00CF11D6">
      <w:pPr>
        <w:tabs>
          <w:tab w:val="left" w:pos="540"/>
          <w:tab w:val="left" w:pos="567"/>
        </w:tabs>
        <w:jc w:val="both"/>
        <w:rPr>
          <w:bCs/>
          <w:sz w:val="22"/>
          <w:szCs w:val="22"/>
          <w:lang w:val="sr-Latn-ME"/>
        </w:rPr>
      </w:pPr>
    </w:p>
    <w:p w14:paraId="39F8AD4E" w14:textId="1A35C82A" w:rsidR="00251C3A" w:rsidRPr="00AF2694" w:rsidRDefault="008E7F6A" w:rsidP="00CF11D6">
      <w:pPr>
        <w:tabs>
          <w:tab w:val="left" w:pos="540"/>
          <w:tab w:val="left" w:pos="567"/>
        </w:tabs>
        <w:jc w:val="both"/>
        <w:rPr>
          <w:bCs/>
          <w:sz w:val="22"/>
          <w:szCs w:val="22"/>
          <w:lang w:val="sr-Latn-ME"/>
        </w:rPr>
      </w:pPr>
      <w:r w:rsidRPr="00AF2694">
        <w:rPr>
          <w:bCs/>
          <w:sz w:val="22"/>
          <w:szCs w:val="22"/>
          <w:lang w:val="sr-Latn-ME"/>
        </w:rPr>
        <w:t xml:space="preserve">Lijek </w:t>
      </w:r>
      <w:r w:rsidR="00251C3A" w:rsidRPr="00AF2694">
        <w:rPr>
          <w:bCs/>
          <w:sz w:val="22"/>
          <w:szCs w:val="22"/>
          <w:lang w:val="sr-Latn-ME"/>
        </w:rPr>
        <w:t>KANUMA treba da se prim</w:t>
      </w:r>
      <w:r w:rsidR="000D4385" w:rsidRPr="00AF2694">
        <w:rPr>
          <w:bCs/>
          <w:sz w:val="22"/>
          <w:szCs w:val="22"/>
          <w:lang w:val="sr-Latn-ME"/>
        </w:rPr>
        <w:t>ij</w:t>
      </w:r>
      <w:r w:rsidR="00251C3A" w:rsidRPr="00AF2694">
        <w:rPr>
          <w:bCs/>
          <w:sz w:val="22"/>
          <w:szCs w:val="22"/>
          <w:lang w:val="sr-Latn-ME"/>
        </w:rPr>
        <w:t>eni kroz filter od 0,2 μm (vid</w:t>
      </w:r>
      <w:r w:rsidR="000D4385" w:rsidRPr="00AF2694">
        <w:rPr>
          <w:bCs/>
          <w:sz w:val="22"/>
          <w:szCs w:val="22"/>
          <w:lang w:val="sr-Latn-ME"/>
        </w:rPr>
        <w:t>j</w:t>
      </w:r>
      <w:r w:rsidR="00251C3A" w:rsidRPr="00AF2694">
        <w:rPr>
          <w:bCs/>
          <w:sz w:val="22"/>
          <w:szCs w:val="22"/>
          <w:lang w:val="sr-Latn-ME"/>
        </w:rPr>
        <w:t xml:space="preserve">eti </w:t>
      </w:r>
      <w:r w:rsidR="000D4385" w:rsidRPr="00AF2694">
        <w:rPr>
          <w:bCs/>
          <w:sz w:val="22"/>
          <w:szCs w:val="22"/>
          <w:lang w:val="sr-Latn-ME"/>
        </w:rPr>
        <w:t>dio</w:t>
      </w:r>
      <w:r w:rsidR="00251C3A" w:rsidRPr="00AF2694">
        <w:rPr>
          <w:bCs/>
          <w:sz w:val="22"/>
          <w:szCs w:val="22"/>
          <w:lang w:val="sr-Latn-ME"/>
        </w:rPr>
        <w:t xml:space="preserve"> 6.6).</w:t>
      </w:r>
    </w:p>
    <w:p w14:paraId="141D4B47" w14:textId="77777777" w:rsidR="00251C3A" w:rsidRPr="00AF2694" w:rsidRDefault="00251C3A" w:rsidP="00CF11D6">
      <w:pPr>
        <w:tabs>
          <w:tab w:val="left" w:pos="540"/>
          <w:tab w:val="left" w:pos="567"/>
        </w:tabs>
        <w:jc w:val="both"/>
        <w:rPr>
          <w:bCs/>
          <w:sz w:val="22"/>
          <w:szCs w:val="22"/>
          <w:lang w:val="sr-Latn-ME"/>
        </w:rPr>
      </w:pPr>
    </w:p>
    <w:p w14:paraId="42DD9046" w14:textId="18E1E1B2"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Uputstva o razblaživanju l</w:t>
      </w:r>
      <w:r w:rsidR="000D4385" w:rsidRPr="00AF2694">
        <w:rPr>
          <w:bCs/>
          <w:sz w:val="22"/>
          <w:szCs w:val="22"/>
          <w:lang w:val="sr-Latn-ME"/>
        </w:rPr>
        <w:t>ij</w:t>
      </w:r>
      <w:r w:rsidRPr="00AF2694">
        <w:rPr>
          <w:bCs/>
          <w:sz w:val="22"/>
          <w:szCs w:val="22"/>
          <w:lang w:val="sr-Latn-ME"/>
        </w:rPr>
        <w:t>eka pr</w:t>
      </w:r>
      <w:r w:rsidR="000D4385" w:rsidRPr="00AF2694">
        <w:rPr>
          <w:bCs/>
          <w:sz w:val="22"/>
          <w:szCs w:val="22"/>
          <w:lang w:val="sr-Latn-ME"/>
        </w:rPr>
        <w:t>ij</w:t>
      </w:r>
      <w:r w:rsidRPr="00AF2694">
        <w:rPr>
          <w:bCs/>
          <w:sz w:val="22"/>
          <w:szCs w:val="22"/>
          <w:lang w:val="sr-Latn-ME"/>
        </w:rPr>
        <w:t>e prim</w:t>
      </w:r>
      <w:r w:rsidR="000D4385" w:rsidRPr="00AF2694">
        <w:rPr>
          <w:bCs/>
          <w:sz w:val="22"/>
          <w:szCs w:val="22"/>
          <w:lang w:val="sr-Latn-ME"/>
        </w:rPr>
        <w:t>j</w:t>
      </w:r>
      <w:r w:rsidRPr="00AF2694">
        <w:rPr>
          <w:bCs/>
          <w:sz w:val="22"/>
          <w:szCs w:val="22"/>
          <w:lang w:val="sr-Latn-ME"/>
        </w:rPr>
        <w:t xml:space="preserve">ene pogledajte u </w:t>
      </w:r>
      <w:r w:rsidR="000D4385" w:rsidRPr="00AF2694">
        <w:rPr>
          <w:bCs/>
          <w:sz w:val="22"/>
          <w:szCs w:val="22"/>
          <w:lang w:val="sr-Latn-ME"/>
        </w:rPr>
        <w:t>dijelu</w:t>
      </w:r>
      <w:r w:rsidRPr="00AF2694">
        <w:rPr>
          <w:bCs/>
          <w:sz w:val="22"/>
          <w:szCs w:val="22"/>
          <w:lang w:val="sr-Latn-ME"/>
        </w:rPr>
        <w:t xml:space="preserve"> 6.6.</w:t>
      </w:r>
    </w:p>
    <w:p w14:paraId="167A0D36" w14:textId="77777777" w:rsidR="00251C3A" w:rsidRPr="00AF2694" w:rsidRDefault="00251C3A" w:rsidP="00CF11D6">
      <w:pPr>
        <w:tabs>
          <w:tab w:val="left" w:pos="540"/>
          <w:tab w:val="left" w:pos="569"/>
        </w:tabs>
        <w:jc w:val="both"/>
        <w:rPr>
          <w:bCs/>
          <w:sz w:val="22"/>
          <w:szCs w:val="22"/>
          <w:lang w:val="sr-Latn-ME"/>
        </w:rPr>
      </w:pPr>
    </w:p>
    <w:p w14:paraId="0C9DA4CB" w14:textId="77777777" w:rsidR="00411B4B" w:rsidRPr="00AF2694" w:rsidRDefault="00411B4B" w:rsidP="00CF11D6">
      <w:pPr>
        <w:tabs>
          <w:tab w:val="left" w:pos="540"/>
          <w:tab w:val="left" w:pos="569"/>
        </w:tabs>
        <w:jc w:val="both"/>
        <w:rPr>
          <w:b/>
          <w:bCs/>
          <w:sz w:val="22"/>
          <w:szCs w:val="22"/>
          <w:lang w:val="sr-Latn-ME"/>
        </w:rPr>
      </w:pPr>
      <w:r w:rsidRPr="00AF2694">
        <w:rPr>
          <w:b/>
          <w:bCs/>
          <w:sz w:val="22"/>
          <w:szCs w:val="22"/>
          <w:lang w:val="sr-Latn-ME"/>
        </w:rPr>
        <w:t xml:space="preserve">4.3. </w:t>
      </w:r>
      <w:r w:rsidR="00480FB1" w:rsidRPr="00AF2694">
        <w:rPr>
          <w:b/>
          <w:bCs/>
          <w:sz w:val="22"/>
          <w:szCs w:val="22"/>
          <w:lang w:val="sr-Latn-ME"/>
        </w:rPr>
        <w:tab/>
      </w:r>
      <w:r w:rsidRPr="00AF2694">
        <w:rPr>
          <w:b/>
          <w:bCs/>
          <w:sz w:val="22"/>
          <w:szCs w:val="22"/>
          <w:lang w:val="sr-Latn-ME"/>
        </w:rPr>
        <w:t>Kontraindikacije</w:t>
      </w:r>
    </w:p>
    <w:p w14:paraId="16C7A8BC" w14:textId="77777777" w:rsidR="0072020E" w:rsidRPr="00AF2694" w:rsidRDefault="0072020E" w:rsidP="00CF11D6">
      <w:pPr>
        <w:tabs>
          <w:tab w:val="left" w:pos="540"/>
          <w:tab w:val="left" w:pos="569"/>
        </w:tabs>
        <w:jc w:val="both"/>
        <w:rPr>
          <w:bCs/>
          <w:sz w:val="22"/>
          <w:szCs w:val="22"/>
          <w:lang w:val="sr-Latn-ME"/>
        </w:rPr>
      </w:pPr>
    </w:p>
    <w:p w14:paraId="0D127C63" w14:textId="360C64A3" w:rsidR="00251C3A" w:rsidRPr="00AF2694" w:rsidRDefault="00251C3A" w:rsidP="00CF11D6">
      <w:pPr>
        <w:tabs>
          <w:tab w:val="left" w:pos="540"/>
          <w:tab w:val="left" w:pos="569"/>
        </w:tabs>
        <w:jc w:val="both"/>
        <w:rPr>
          <w:bCs/>
          <w:sz w:val="22"/>
          <w:szCs w:val="22"/>
          <w:lang w:val="sr-Latn-ME"/>
        </w:rPr>
      </w:pPr>
      <w:r w:rsidRPr="00AF2694">
        <w:rPr>
          <w:bCs/>
          <w:sz w:val="22"/>
          <w:szCs w:val="22"/>
          <w:lang w:val="sr-Latn-ME"/>
        </w:rPr>
        <w:t>Opasna po život reakcija preos</w:t>
      </w:r>
      <w:r w:rsidR="000D4385" w:rsidRPr="00AF2694">
        <w:rPr>
          <w:bCs/>
          <w:sz w:val="22"/>
          <w:szCs w:val="22"/>
          <w:lang w:val="sr-Latn-ME"/>
        </w:rPr>
        <w:t>j</w:t>
      </w:r>
      <w:r w:rsidRPr="00AF2694">
        <w:rPr>
          <w:bCs/>
          <w:sz w:val="22"/>
          <w:szCs w:val="22"/>
          <w:lang w:val="sr-Latn-ME"/>
        </w:rPr>
        <w:t>etljivosti (anafilaktička reakcija) na aktivnu supstancu kada su pokušaji ponovne prim</w:t>
      </w:r>
      <w:r w:rsidR="000D4385" w:rsidRPr="00AF2694">
        <w:rPr>
          <w:bCs/>
          <w:sz w:val="22"/>
          <w:szCs w:val="22"/>
          <w:lang w:val="sr-Latn-ME"/>
        </w:rPr>
        <w:t>j</w:t>
      </w:r>
      <w:r w:rsidRPr="00AF2694">
        <w:rPr>
          <w:bCs/>
          <w:sz w:val="22"/>
          <w:szCs w:val="22"/>
          <w:lang w:val="sr-Latn-ME"/>
        </w:rPr>
        <w:t xml:space="preserve">ene </w:t>
      </w:r>
      <w:r w:rsidR="00CC523E" w:rsidRPr="00AF2694">
        <w:rPr>
          <w:bCs/>
          <w:sz w:val="22"/>
          <w:szCs w:val="22"/>
          <w:lang w:val="sr-Latn-ME"/>
        </w:rPr>
        <w:t xml:space="preserve">lijeka bili </w:t>
      </w:r>
      <w:r w:rsidRPr="00AF2694">
        <w:rPr>
          <w:bCs/>
          <w:sz w:val="22"/>
          <w:szCs w:val="22"/>
          <w:lang w:val="sr-Latn-ME"/>
        </w:rPr>
        <w:t>bez usp</w:t>
      </w:r>
      <w:r w:rsidR="000D4385" w:rsidRPr="00AF2694">
        <w:rPr>
          <w:bCs/>
          <w:sz w:val="22"/>
          <w:szCs w:val="22"/>
          <w:lang w:val="sr-Latn-ME"/>
        </w:rPr>
        <w:t>j</w:t>
      </w:r>
      <w:r w:rsidRPr="00AF2694">
        <w:rPr>
          <w:bCs/>
          <w:sz w:val="22"/>
          <w:szCs w:val="22"/>
          <w:lang w:val="sr-Latn-ME"/>
        </w:rPr>
        <w:t xml:space="preserve">eha, ili </w:t>
      </w:r>
      <w:r w:rsidR="00CC523E" w:rsidRPr="00AF2694">
        <w:rPr>
          <w:bCs/>
          <w:sz w:val="22"/>
          <w:szCs w:val="22"/>
          <w:lang w:val="sr-Latn-ME"/>
        </w:rPr>
        <w:t xml:space="preserve">preosjetljivost </w:t>
      </w:r>
      <w:r w:rsidRPr="00AF2694">
        <w:rPr>
          <w:bCs/>
          <w:sz w:val="22"/>
          <w:szCs w:val="22"/>
          <w:lang w:val="sr-Latn-ME"/>
        </w:rPr>
        <w:t xml:space="preserve">na jaja ili bilo koju od pomoćnih supstanci navedenih u </w:t>
      </w:r>
      <w:r w:rsidR="000D4385" w:rsidRPr="00AF2694">
        <w:rPr>
          <w:bCs/>
          <w:sz w:val="22"/>
          <w:szCs w:val="22"/>
          <w:lang w:val="sr-Latn-ME"/>
        </w:rPr>
        <w:t>dijelu</w:t>
      </w:r>
      <w:r w:rsidRPr="00AF2694">
        <w:rPr>
          <w:bCs/>
          <w:sz w:val="22"/>
          <w:szCs w:val="22"/>
          <w:lang w:val="sr-Latn-ME"/>
        </w:rPr>
        <w:t xml:space="preserve"> 6.1 (vid</w:t>
      </w:r>
      <w:r w:rsidR="000D4385" w:rsidRPr="00AF2694">
        <w:rPr>
          <w:bCs/>
          <w:sz w:val="22"/>
          <w:szCs w:val="22"/>
          <w:lang w:val="sr-Latn-ME"/>
        </w:rPr>
        <w:t>j</w:t>
      </w:r>
      <w:r w:rsidRPr="00AF2694">
        <w:rPr>
          <w:bCs/>
          <w:sz w:val="22"/>
          <w:szCs w:val="22"/>
          <w:lang w:val="sr-Latn-ME"/>
        </w:rPr>
        <w:t xml:space="preserve">eti </w:t>
      </w:r>
      <w:r w:rsidR="000D4385" w:rsidRPr="00AF2694">
        <w:rPr>
          <w:bCs/>
          <w:sz w:val="22"/>
          <w:szCs w:val="22"/>
          <w:lang w:val="sr-Latn-ME"/>
        </w:rPr>
        <w:t>dio</w:t>
      </w:r>
      <w:r w:rsidRPr="00AF2694">
        <w:rPr>
          <w:bCs/>
          <w:sz w:val="22"/>
          <w:szCs w:val="22"/>
          <w:lang w:val="sr-Latn-ME"/>
        </w:rPr>
        <w:t xml:space="preserve"> 4.4).</w:t>
      </w:r>
    </w:p>
    <w:p w14:paraId="791C0F5B" w14:textId="77777777" w:rsidR="00251C3A" w:rsidRPr="00AF2694" w:rsidRDefault="00251C3A" w:rsidP="00CF11D6">
      <w:pPr>
        <w:tabs>
          <w:tab w:val="left" w:pos="540"/>
          <w:tab w:val="left" w:pos="569"/>
        </w:tabs>
        <w:jc w:val="both"/>
        <w:rPr>
          <w:bCs/>
          <w:sz w:val="22"/>
          <w:szCs w:val="22"/>
          <w:lang w:val="sr-Latn-ME"/>
        </w:rPr>
      </w:pPr>
    </w:p>
    <w:p w14:paraId="04A0F57D" w14:textId="77777777" w:rsidR="00411B4B" w:rsidRPr="00AF2694" w:rsidRDefault="00411B4B" w:rsidP="00CF11D6">
      <w:pPr>
        <w:tabs>
          <w:tab w:val="left" w:pos="540"/>
          <w:tab w:val="left" w:pos="569"/>
        </w:tabs>
        <w:jc w:val="both"/>
        <w:rPr>
          <w:b/>
          <w:bCs/>
          <w:sz w:val="22"/>
          <w:szCs w:val="22"/>
          <w:lang w:val="sr-Latn-ME"/>
        </w:rPr>
      </w:pPr>
      <w:r w:rsidRPr="00AF2694">
        <w:rPr>
          <w:b/>
          <w:bCs/>
          <w:sz w:val="22"/>
          <w:szCs w:val="22"/>
          <w:lang w:val="sr-Latn-ME"/>
        </w:rPr>
        <w:t xml:space="preserve">4.4. </w:t>
      </w:r>
      <w:r w:rsidR="00480FB1" w:rsidRPr="00AF2694">
        <w:rPr>
          <w:b/>
          <w:bCs/>
          <w:sz w:val="22"/>
          <w:szCs w:val="22"/>
          <w:lang w:val="sr-Latn-ME"/>
        </w:rPr>
        <w:tab/>
      </w:r>
      <w:r w:rsidRPr="00AF2694">
        <w:rPr>
          <w:b/>
          <w:bCs/>
          <w:sz w:val="22"/>
          <w:szCs w:val="22"/>
          <w:lang w:val="sr-Latn-ME"/>
        </w:rPr>
        <w:t>Posebna upozorenja i mjere opreza pri upotrebi lijeka</w:t>
      </w:r>
    </w:p>
    <w:p w14:paraId="2DF670F0" w14:textId="77777777" w:rsidR="0072020E" w:rsidRPr="00AF2694" w:rsidRDefault="0072020E" w:rsidP="00CF11D6">
      <w:pPr>
        <w:tabs>
          <w:tab w:val="left" w:pos="540"/>
          <w:tab w:val="left" w:pos="569"/>
        </w:tabs>
        <w:jc w:val="both"/>
        <w:rPr>
          <w:bCs/>
          <w:sz w:val="22"/>
          <w:szCs w:val="22"/>
          <w:lang w:val="sr-Latn-ME"/>
        </w:rPr>
      </w:pPr>
    </w:p>
    <w:p w14:paraId="6EE0AF9B" w14:textId="381DD7EC" w:rsidR="00251C3A" w:rsidRPr="00AF2694" w:rsidRDefault="00251C3A" w:rsidP="00CF11D6">
      <w:pPr>
        <w:tabs>
          <w:tab w:val="left" w:pos="540"/>
          <w:tab w:val="left" w:pos="567"/>
        </w:tabs>
        <w:jc w:val="both"/>
        <w:rPr>
          <w:bCs/>
          <w:sz w:val="22"/>
          <w:szCs w:val="22"/>
          <w:u w:val="single"/>
          <w:lang w:val="sr-Latn-ME"/>
        </w:rPr>
      </w:pPr>
      <w:r w:rsidRPr="00AF2694">
        <w:rPr>
          <w:bCs/>
          <w:sz w:val="22"/>
          <w:szCs w:val="22"/>
          <w:u w:val="single"/>
          <w:lang w:val="sr-Latn-ME"/>
        </w:rPr>
        <w:t>Sl</w:t>
      </w:r>
      <w:r w:rsidR="009F0572" w:rsidRPr="00AF2694">
        <w:rPr>
          <w:bCs/>
          <w:sz w:val="22"/>
          <w:szCs w:val="22"/>
          <w:u w:val="single"/>
          <w:lang w:val="sr-Latn-ME"/>
        </w:rPr>
        <w:t>ij</w:t>
      </w:r>
      <w:r w:rsidRPr="00AF2694">
        <w:rPr>
          <w:bCs/>
          <w:sz w:val="22"/>
          <w:szCs w:val="22"/>
          <w:u w:val="single"/>
          <w:lang w:val="sr-Latn-ME"/>
        </w:rPr>
        <w:t>edljivost</w:t>
      </w:r>
    </w:p>
    <w:p w14:paraId="3CBDCDA9" w14:textId="77777777" w:rsidR="00251C3A" w:rsidRPr="00AF2694" w:rsidRDefault="00251C3A" w:rsidP="00CF11D6">
      <w:pPr>
        <w:tabs>
          <w:tab w:val="left" w:pos="540"/>
          <w:tab w:val="left" w:pos="567"/>
        </w:tabs>
        <w:jc w:val="both"/>
        <w:rPr>
          <w:bCs/>
          <w:sz w:val="22"/>
          <w:szCs w:val="22"/>
          <w:u w:val="single"/>
          <w:lang w:val="sr-Latn-ME"/>
        </w:rPr>
      </w:pPr>
    </w:p>
    <w:p w14:paraId="5887AC14" w14:textId="39F03249"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Kako bi se poboljšala sl</w:t>
      </w:r>
      <w:r w:rsidR="009F0572" w:rsidRPr="00AF2694">
        <w:rPr>
          <w:bCs/>
          <w:sz w:val="22"/>
          <w:szCs w:val="22"/>
          <w:lang w:val="sr-Latn-ME"/>
        </w:rPr>
        <w:t>ij</w:t>
      </w:r>
      <w:r w:rsidRPr="00AF2694">
        <w:rPr>
          <w:bCs/>
          <w:sz w:val="22"/>
          <w:szCs w:val="22"/>
          <w:lang w:val="sr-Latn-ME"/>
        </w:rPr>
        <w:t>edljivost bioloških l</w:t>
      </w:r>
      <w:r w:rsidR="000D4385" w:rsidRPr="00AF2694">
        <w:rPr>
          <w:bCs/>
          <w:sz w:val="22"/>
          <w:szCs w:val="22"/>
          <w:lang w:val="sr-Latn-ME"/>
        </w:rPr>
        <w:t>j</w:t>
      </w:r>
      <w:r w:rsidRPr="00AF2694">
        <w:rPr>
          <w:bCs/>
          <w:sz w:val="22"/>
          <w:szCs w:val="22"/>
          <w:lang w:val="sr-Latn-ME"/>
        </w:rPr>
        <w:t>ekova, naziv i broj serije prim</w:t>
      </w:r>
      <w:r w:rsidR="000D4385" w:rsidRPr="00AF2694">
        <w:rPr>
          <w:bCs/>
          <w:sz w:val="22"/>
          <w:szCs w:val="22"/>
          <w:lang w:val="sr-Latn-ME"/>
        </w:rPr>
        <w:t>ij</w:t>
      </w:r>
      <w:r w:rsidRPr="00AF2694">
        <w:rPr>
          <w:bCs/>
          <w:sz w:val="22"/>
          <w:szCs w:val="22"/>
          <w:lang w:val="sr-Latn-ME"/>
        </w:rPr>
        <w:t>enjenog proizvoda treba jasno zab</w:t>
      </w:r>
      <w:r w:rsidR="000D4385" w:rsidRPr="00AF2694">
        <w:rPr>
          <w:bCs/>
          <w:sz w:val="22"/>
          <w:szCs w:val="22"/>
          <w:lang w:val="sr-Latn-ME"/>
        </w:rPr>
        <w:t>ilj</w:t>
      </w:r>
      <w:r w:rsidRPr="00AF2694">
        <w:rPr>
          <w:bCs/>
          <w:sz w:val="22"/>
          <w:szCs w:val="22"/>
          <w:lang w:val="sr-Latn-ME"/>
        </w:rPr>
        <w:t>ežiti.</w:t>
      </w:r>
    </w:p>
    <w:p w14:paraId="67E15361" w14:textId="77777777" w:rsidR="00251C3A" w:rsidRPr="00AF2694" w:rsidRDefault="00251C3A" w:rsidP="00CF11D6">
      <w:pPr>
        <w:tabs>
          <w:tab w:val="left" w:pos="540"/>
          <w:tab w:val="left" w:pos="567"/>
        </w:tabs>
        <w:jc w:val="both"/>
        <w:rPr>
          <w:bCs/>
          <w:sz w:val="22"/>
          <w:szCs w:val="22"/>
          <w:lang w:val="sr-Latn-ME"/>
        </w:rPr>
      </w:pPr>
    </w:p>
    <w:p w14:paraId="4A48A174" w14:textId="27A35A46" w:rsidR="00251C3A" w:rsidRPr="00AF2694" w:rsidRDefault="00251C3A" w:rsidP="00CF11D6">
      <w:pPr>
        <w:tabs>
          <w:tab w:val="left" w:pos="540"/>
          <w:tab w:val="left" w:pos="567"/>
        </w:tabs>
        <w:jc w:val="both"/>
        <w:rPr>
          <w:bCs/>
          <w:sz w:val="22"/>
          <w:szCs w:val="22"/>
          <w:u w:val="single"/>
          <w:lang w:val="sr-Latn-ME"/>
        </w:rPr>
      </w:pPr>
      <w:r w:rsidRPr="00AF2694">
        <w:rPr>
          <w:bCs/>
          <w:sz w:val="22"/>
          <w:szCs w:val="22"/>
          <w:u w:val="single"/>
          <w:lang w:val="sr-Latn-ME"/>
        </w:rPr>
        <w:t>Reakcije preos</w:t>
      </w:r>
      <w:r w:rsidR="000D4385" w:rsidRPr="00AF2694">
        <w:rPr>
          <w:bCs/>
          <w:sz w:val="22"/>
          <w:szCs w:val="22"/>
          <w:u w:val="single"/>
          <w:lang w:val="sr-Latn-ME"/>
        </w:rPr>
        <w:t>j</w:t>
      </w:r>
      <w:r w:rsidRPr="00AF2694">
        <w:rPr>
          <w:bCs/>
          <w:sz w:val="22"/>
          <w:szCs w:val="22"/>
          <w:u w:val="single"/>
          <w:lang w:val="sr-Latn-ME"/>
        </w:rPr>
        <w:t xml:space="preserve">etljivosti uključujući anafilaksiju </w:t>
      </w:r>
    </w:p>
    <w:p w14:paraId="5F66CA96" w14:textId="77777777" w:rsidR="00251C3A" w:rsidRPr="00AF2694" w:rsidRDefault="00251C3A" w:rsidP="00CF11D6">
      <w:pPr>
        <w:tabs>
          <w:tab w:val="left" w:pos="540"/>
          <w:tab w:val="left" w:pos="567"/>
        </w:tabs>
        <w:jc w:val="both"/>
        <w:rPr>
          <w:bCs/>
          <w:sz w:val="22"/>
          <w:szCs w:val="22"/>
          <w:u w:val="single"/>
          <w:lang w:val="sr-Latn-ME"/>
        </w:rPr>
      </w:pPr>
    </w:p>
    <w:p w14:paraId="0576C878" w14:textId="5B28B5CA"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Reakcije preos</w:t>
      </w:r>
      <w:r w:rsidR="000D4385" w:rsidRPr="00AF2694">
        <w:rPr>
          <w:bCs/>
          <w:sz w:val="22"/>
          <w:szCs w:val="22"/>
          <w:lang w:val="sr-Latn-ME"/>
        </w:rPr>
        <w:t>j</w:t>
      </w:r>
      <w:r w:rsidRPr="00AF2694">
        <w:rPr>
          <w:bCs/>
          <w:sz w:val="22"/>
          <w:szCs w:val="22"/>
          <w:lang w:val="sr-Latn-ME"/>
        </w:rPr>
        <w:t>etljivosti, uključujući anafilaksiju, prijavljene su kod pacijenata koji su l</w:t>
      </w:r>
      <w:r w:rsidR="000D4385" w:rsidRPr="00AF2694">
        <w:rPr>
          <w:bCs/>
          <w:sz w:val="22"/>
          <w:szCs w:val="22"/>
          <w:lang w:val="sr-Latn-ME"/>
        </w:rPr>
        <w:t>ij</w:t>
      </w:r>
      <w:r w:rsidRPr="00AF2694">
        <w:rPr>
          <w:bCs/>
          <w:sz w:val="22"/>
          <w:szCs w:val="22"/>
          <w:lang w:val="sr-Latn-ME"/>
        </w:rPr>
        <w:t>ečeni sebelipazom alfa; vid</w:t>
      </w:r>
      <w:r w:rsidR="000D4385" w:rsidRPr="00AF2694">
        <w:rPr>
          <w:bCs/>
          <w:sz w:val="22"/>
          <w:szCs w:val="22"/>
          <w:lang w:val="sr-Latn-ME"/>
        </w:rPr>
        <w:t>j</w:t>
      </w:r>
      <w:r w:rsidRPr="00AF2694">
        <w:rPr>
          <w:bCs/>
          <w:sz w:val="22"/>
          <w:szCs w:val="22"/>
          <w:lang w:val="sr-Latn-ME"/>
        </w:rPr>
        <w:t xml:space="preserve">eti </w:t>
      </w:r>
      <w:r w:rsidR="000D4385" w:rsidRPr="00AF2694">
        <w:rPr>
          <w:bCs/>
          <w:sz w:val="22"/>
          <w:szCs w:val="22"/>
          <w:lang w:val="sr-Latn-ME"/>
        </w:rPr>
        <w:t>dio</w:t>
      </w:r>
      <w:r w:rsidRPr="00AF2694">
        <w:rPr>
          <w:bCs/>
          <w:sz w:val="22"/>
          <w:szCs w:val="22"/>
          <w:lang w:val="sr-Latn-ME"/>
        </w:rPr>
        <w:t xml:space="preserve"> 4.8. Zbog toga, odgovarajuća medicinska podrška mora biti odmah dostupna prilikom prim</w:t>
      </w:r>
      <w:r w:rsidR="000D4385" w:rsidRPr="00AF2694">
        <w:rPr>
          <w:bCs/>
          <w:sz w:val="22"/>
          <w:szCs w:val="22"/>
          <w:lang w:val="sr-Latn-ME"/>
        </w:rPr>
        <w:t>j</w:t>
      </w:r>
      <w:r w:rsidRPr="00AF2694">
        <w:rPr>
          <w:bCs/>
          <w:sz w:val="22"/>
          <w:szCs w:val="22"/>
          <w:lang w:val="sr-Latn-ME"/>
        </w:rPr>
        <w:t>ene sebelipaze alfa. Ako dođe do teških reakcija, infuzija sebelipaze alfa treba odmah da se zaustavi i treba započeti odgovarajuće medicinsko l</w:t>
      </w:r>
      <w:r w:rsidR="000D4385" w:rsidRPr="00AF2694">
        <w:rPr>
          <w:bCs/>
          <w:sz w:val="22"/>
          <w:szCs w:val="22"/>
          <w:lang w:val="sr-Latn-ME"/>
        </w:rPr>
        <w:t>ij</w:t>
      </w:r>
      <w:r w:rsidRPr="00AF2694">
        <w:rPr>
          <w:bCs/>
          <w:sz w:val="22"/>
          <w:szCs w:val="22"/>
          <w:lang w:val="sr-Latn-ME"/>
        </w:rPr>
        <w:t>ečenje.</w:t>
      </w:r>
      <w:r w:rsidRPr="00AF2694">
        <w:rPr>
          <w:bCs/>
          <w:i/>
          <w:iCs/>
          <w:sz w:val="22"/>
          <w:szCs w:val="22"/>
          <w:lang w:val="sr-Latn-ME"/>
        </w:rPr>
        <w:t xml:space="preserve"> </w:t>
      </w:r>
      <w:r w:rsidRPr="00AF2694">
        <w:rPr>
          <w:bCs/>
          <w:sz w:val="22"/>
          <w:szCs w:val="22"/>
          <w:lang w:val="sr-Latn-ME"/>
        </w:rPr>
        <w:t>Rizici i koristi ponovne prim</w:t>
      </w:r>
      <w:r w:rsidR="000D4385" w:rsidRPr="00AF2694">
        <w:rPr>
          <w:bCs/>
          <w:sz w:val="22"/>
          <w:szCs w:val="22"/>
          <w:lang w:val="sr-Latn-ME"/>
        </w:rPr>
        <w:t>j</w:t>
      </w:r>
      <w:r w:rsidRPr="00AF2694">
        <w:rPr>
          <w:bCs/>
          <w:sz w:val="22"/>
          <w:szCs w:val="22"/>
          <w:lang w:val="sr-Latn-ME"/>
        </w:rPr>
        <w:t>ene sebelipaze alfa nakon teške reakcije treba da se razmotre.</w:t>
      </w:r>
    </w:p>
    <w:p w14:paraId="38F54D41" w14:textId="77777777" w:rsidR="00251C3A" w:rsidRPr="00AF2694" w:rsidRDefault="00251C3A" w:rsidP="00CF11D6">
      <w:pPr>
        <w:tabs>
          <w:tab w:val="left" w:pos="540"/>
          <w:tab w:val="left" w:pos="567"/>
        </w:tabs>
        <w:jc w:val="both"/>
        <w:rPr>
          <w:bCs/>
          <w:sz w:val="22"/>
          <w:szCs w:val="22"/>
          <w:lang w:val="sr-Latn-ME"/>
        </w:rPr>
      </w:pPr>
    </w:p>
    <w:p w14:paraId="35A19027" w14:textId="43D2F7C0"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Nakon prve infuzije sebelipaze alfa, uključujući prvu infuziju nakon eskalacije doze, pacijenti treba da budu pod nadzorom 1 sat kako bi se pratili znaci ili simptomi anafilaksije ili teške reakcije preos</w:t>
      </w:r>
      <w:r w:rsidR="000D4385" w:rsidRPr="00AF2694">
        <w:rPr>
          <w:bCs/>
          <w:sz w:val="22"/>
          <w:szCs w:val="22"/>
          <w:lang w:val="sr-Latn-ME"/>
        </w:rPr>
        <w:t>j</w:t>
      </w:r>
      <w:r w:rsidRPr="00AF2694">
        <w:rPr>
          <w:bCs/>
          <w:sz w:val="22"/>
          <w:szCs w:val="22"/>
          <w:lang w:val="sr-Latn-ME"/>
        </w:rPr>
        <w:t>etljivosti.</w:t>
      </w:r>
    </w:p>
    <w:p w14:paraId="12240455" w14:textId="77777777" w:rsidR="00251C3A" w:rsidRPr="00AF2694" w:rsidRDefault="00251C3A" w:rsidP="00CF11D6">
      <w:pPr>
        <w:tabs>
          <w:tab w:val="left" w:pos="540"/>
          <w:tab w:val="left" w:pos="567"/>
        </w:tabs>
        <w:jc w:val="both"/>
        <w:rPr>
          <w:bCs/>
          <w:sz w:val="22"/>
          <w:szCs w:val="22"/>
          <w:lang w:val="sr-Latn-ME"/>
        </w:rPr>
      </w:pPr>
    </w:p>
    <w:p w14:paraId="0AC6F465" w14:textId="12F8E9CF"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Upravljanje reakcijama preos</w:t>
      </w:r>
      <w:r w:rsidR="000D4385" w:rsidRPr="00AF2694">
        <w:rPr>
          <w:bCs/>
          <w:sz w:val="22"/>
          <w:szCs w:val="22"/>
          <w:lang w:val="sr-Latn-ME"/>
        </w:rPr>
        <w:t>j</w:t>
      </w:r>
      <w:r w:rsidRPr="00AF2694">
        <w:rPr>
          <w:bCs/>
          <w:sz w:val="22"/>
          <w:szCs w:val="22"/>
          <w:lang w:val="sr-Latn-ME"/>
        </w:rPr>
        <w:t xml:space="preserve">etljivosti može uključivati privremeni prekid infuzije, </w:t>
      </w:r>
      <w:r w:rsidR="00CC523E" w:rsidRPr="00AF2694">
        <w:rPr>
          <w:bCs/>
          <w:sz w:val="22"/>
          <w:szCs w:val="22"/>
          <w:lang w:val="sr-Latn-ME"/>
        </w:rPr>
        <w:t xml:space="preserve">smanjenje </w:t>
      </w:r>
      <w:r w:rsidRPr="00AF2694">
        <w:rPr>
          <w:bCs/>
          <w:sz w:val="22"/>
          <w:szCs w:val="22"/>
          <w:lang w:val="sr-Latn-ME"/>
        </w:rPr>
        <w:t>brzine infuzije i/ili l</w:t>
      </w:r>
      <w:r w:rsidR="00963CE3" w:rsidRPr="00AF2694">
        <w:rPr>
          <w:bCs/>
          <w:sz w:val="22"/>
          <w:szCs w:val="22"/>
          <w:lang w:val="sr-Latn-ME"/>
        </w:rPr>
        <w:t>ij</w:t>
      </w:r>
      <w:r w:rsidRPr="00AF2694">
        <w:rPr>
          <w:bCs/>
          <w:sz w:val="22"/>
          <w:szCs w:val="22"/>
          <w:lang w:val="sr-Latn-ME"/>
        </w:rPr>
        <w:t xml:space="preserve">ečenje antihistaminicima, antipireticima i/ili kortikosteroidima. </w:t>
      </w:r>
    </w:p>
    <w:p w14:paraId="0D9A6D0F" w14:textId="330F04BF"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Kod pacijenata koji su imali alergijske reakcije tokom infuzije treba biti oprezan pri ponovnoj prim</w:t>
      </w:r>
      <w:r w:rsidR="00963CE3" w:rsidRPr="00AF2694">
        <w:rPr>
          <w:bCs/>
          <w:sz w:val="22"/>
          <w:szCs w:val="22"/>
          <w:lang w:val="sr-Latn-ME"/>
        </w:rPr>
        <w:t>j</w:t>
      </w:r>
      <w:r w:rsidRPr="00AF2694">
        <w:rPr>
          <w:bCs/>
          <w:sz w:val="22"/>
          <w:szCs w:val="22"/>
          <w:lang w:val="sr-Latn-ME"/>
        </w:rPr>
        <w:t xml:space="preserve">eni. Ako je infuzija prekinuta, može se nastaviti </w:t>
      </w:r>
      <w:r w:rsidR="00CC523E" w:rsidRPr="00AF2694">
        <w:rPr>
          <w:bCs/>
          <w:sz w:val="22"/>
          <w:szCs w:val="22"/>
          <w:lang w:val="sr-Latn-ME"/>
        </w:rPr>
        <w:t xml:space="preserve">manjom </w:t>
      </w:r>
      <w:r w:rsidRPr="00AF2694">
        <w:rPr>
          <w:bCs/>
          <w:sz w:val="22"/>
          <w:szCs w:val="22"/>
          <w:lang w:val="sr-Latn-ME"/>
        </w:rPr>
        <w:t xml:space="preserve">brzinom </w:t>
      </w:r>
      <w:r w:rsidR="00CC523E" w:rsidRPr="00AF2694">
        <w:rPr>
          <w:bCs/>
          <w:sz w:val="22"/>
          <w:szCs w:val="22"/>
          <w:lang w:val="sr-Latn-ME"/>
        </w:rPr>
        <w:t>i ubrzati zavisno od podnošljivosti</w:t>
      </w:r>
      <w:r w:rsidRPr="00AF2694">
        <w:rPr>
          <w:bCs/>
          <w:sz w:val="22"/>
          <w:szCs w:val="22"/>
          <w:lang w:val="sr-Latn-ME"/>
        </w:rPr>
        <w:t xml:space="preserve">. </w:t>
      </w:r>
      <w:r w:rsidR="00CC523E" w:rsidRPr="00AF2694">
        <w:rPr>
          <w:bCs/>
          <w:sz w:val="22"/>
          <w:szCs w:val="22"/>
          <w:lang w:val="sr-Latn-ME"/>
        </w:rPr>
        <w:t xml:space="preserve">Premedikacija </w:t>
      </w:r>
      <w:r w:rsidRPr="00AF2694">
        <w:rPr>
          <w:bCs/>
          <w:sz w:val="22"/>
          <w:szCs w:val="22"/>
          <w:lang w:val="sr-Latn-ME"/>
        </w:rPr>
        <w:t>sa antipireticima i/ili antihistaminicima može spr</w:t>
      </w:r>
      <w:r w:rsidR="00963CE3" w:rsidRPr="00AF2694">
        <w:rPr>
          <w:bCs/>
          <w:sz w:val="22"/>
          <w:szCs w:val="22"/>
          <w:lang w:val="sr-Latn-ME"/>
        </w:rPr>
        <w:t>ij</w:t>
      </w:r>
      <w:r w:rsidRPr="00AF2694">
        <w:rPr>
          <w:bCs/>
          <w:sz w:val="22"/>
          <w:szCs w:val="22"/>
          <w:lang w:val="sr-Latn-ME"/>
        </w:rPr>
        <w:t>ečiti naredne reakcije u slučajevima gd</w:t>
      </w:r>
      <w:r w:rsidR="009F0572" w:rsidRPr="00AF2694">
        <w:rPr>
          <w:bCs/>
          <w:sz w:val="22"/>
          <w:szCs w:val="22"/>
          <w:lang w:val="sr-Latn-ME"/>
        </w:rPr>
        <w:t>j</w:t>
      </w:r>
      <w:r w:rsidRPr="00AF2694">
        <w:rPr>
          <w:bCs/>
          <w:sz w:val="22"/>
          <w:szCs w:val="22"/>
          <w:lang w:val="sr-Latn-ME"/>
        </w:rPr>
        <w:t xml:space="preserve">e je bila potrebna simptomatska terapija. </w:t>
      </w:r>
    </w:p>
    <w:p w14:paraId="78568BEC" w14:textId="77777777" w:rsidR="00251C3A" w:rsidRPr="00AF2694" w:rsidRDefault="00251C3A" w:rsidP="00CF11D6">
      <w:pPr>
        <w:tabs>
          <w:tab w:val="left" w:pos="540"/>
          <w:tab w:val="left" w:pos="567"/>
        </w:tabs>
        <w:jc w:val="both"/>
        <w:rPr>
          <w:bCs/>
          <w:sz w:val="22"/>
          <w:szCs w:val="22"/>
          <w:lang w:val="sr-Latn-ME"/>
        </w:rPr>
      </w:pPr>
    </w:p>
    <w:p w14:paraId="2B42D4C5" w14:textId="6235E355"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 xml:space="preserve">U slučajevima teških reakcija </w:t>
      </w:r>
      <w:r w:rsidR="00CC523E" w:rsidRPr="00AF2694">
        <w:rPr>
          <w:bCs/>
          <w:sz w:val="22"/>
          <w:szCs w:val="22"/>
          <w:lang w:val="sr-Latn-ME"/>
        </w:rPr>
        <w:t>na infuziju</w:t>
      </w:r>
      <w:r w:rsidRPr="00AF2694">
        <w:rPr>
          <w:bCs/>
          <w:sz w:val="22"/>
          <w:szCs w:val="22"/>
          <w:lang w:val="sr-Latn-ME"/>
        </w:rPr>
        <w:t xml:space="preserve"> i u slučajevima izostanka ili gubitka efekta, pacijenti treba da budu testirani na prisustvo antit</w:t>
      </w:r>
      <w:r w:rsidR="00963CE3" w:rsidRPr="00AF2694">
        <w:rPr>
          <w:bCs/>
          <w:sz w:val="22"/>
          <w:szCs w:val="22"/>
          <w:lang w:val="sr-Latn-ME"/>
        </w:rPr>
        <w:t>ij</w:t>
      </w:r>
      <w:r w:rsidRPr="00AF2694">
        <w:rPr>
          <w:bCs/>
          <w:sz w:val="22"/>
          <w:szCs w:val="22"/>
          <w:lang w:val="sr-Latn-ME"/>
        </w:rPr>
        <w:t>ela.</w:t>
      </w:r>
    </w:p>
    <w:p w14:paraId="3DE9631B" w14:textId="77777777" w:rsidR="00251C3A" w:rsidRPr="00AF2694" w:rsidRDefault="00251C3A" w:rsidP="00CF11D6">
      <w:pPr>
        <w:tabs>
          <w:tab w:val="left" w:pos="540"/>
          <w:tab w:val="left" w:pos="567"/>
        </w:tabs>
        <w:jc w:val="both"/>
        <w:rPr>
          <w:bCs/>
          <w:sz w:val="22"/>
          <w:szCs w:val="22"/>
          <w:lang w:val="sr-Latn-ME"/>
        </w:rPr>
      </w:pPr>
    </w:p>
    <w:p w14:paraId="3D8BDEF9" w14:textId="0289D5B0"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Ovaj l</w:t>
      </w:r>
      <w:r w:rsidR="00963CE3" w:rsidRPr="00AF2694">
        <w:rPr>
          <w:bCs/>
          <w:sz w:val="22"/>
          <w:szCs w:val="22"/>
          <w:lang w:val="sr-Latn-ME"/>
        </w:rPr>
        <w:t>ij</w:t>
      </w:r>
      <w:r w:rsidRPr="00AF2694">
        <w:rPr>
          <w:bCs/>
          <w:sz w:val="22"/>
          <w:szCs w:val="22"/>
          <w:lang w:val="sr-Latn-ME"/>
        </w:rPr>
        <w:t>ek može sadržati tragove proteina jajeta. Pacijenti sa poznatom alergijom na jaja bili su isključeni iz kliničkih studija (vid</w:t>
      </w:r>
      <w:r w:rsidR="00963CE3" w:rsidRPr="00AF2694">
        <w:rPr>
          <w:bCs/>
          <w:sz w:val="22"/>
          <w:szCs w:val="22"/>
          <w:lang w:val="sr-Latn-ME"/>
        </w:rPr>
        <w:t>j</w:t>
      </w:r>
      <w:r w:rsidRPr="00AF2694">
        <w:rPr>
          <w:bCs/>
          <w:sz w:val="22"/>
          <w:szCs w:val="22"/>
          <w:lang w:val="sr-Latn-ME"/>
        </w:rPr>
        <w:t xml:space="preserve">eti </w:t>
      </w:r>
      <w:r w:rsidR="00963CE3" w:rsidRPr="00AF2694">
        <w:rPr>
          <w:bCs/>
          <w:sz w:val="22"/>
          <w:szCs w:val="22"/>
          <w:lang w:val="sr-Latn-ME"/>
        </w:rPr>
        <w:t>dio</w:t>
      </w:r>
      <w:r w:rsidRPr="00AF2694">
        <w:rPr>
          <w:bCs/>
          <w:sz w:val="22"/>
          <w:szCs w:val="22"/>
          <w:lang w:val="sr-Latn-ME"/>
        </w:rPr>
        <w:t xml:space="preserve"> 4.3). </w:t>
      </w:r>
    </w:p>
    <w:p w14:paraId="39F5B9F8" w14:textId="77777777" w:rsidR="00251C3A" w:rsidRPr="00AF2694" w:rsidRDefault="00251C3A" w:rsidP="00CF11D6">
      <w:pPr>
        <w:tabs>
          <w:tab w:val="left" w:pos="540"/>
          <w:tab w:val="left" w:pos="567"/>
        </w:tabs>
        <w:jc w:val="both"/>
        <w:rPr>
          <w:bCs/>
          <w:sz w:val="22"/>
          <w:szCs w:val="22"/>
          <w:u w:val="single"/>
          <w:lang w:val="sr-Latn-ME"/>
        </w:rPr>
      </w:pPr>
    </w:p>
    <w:p w14:paraId="22EC2BD3" w14:textId="77777777" w:rsidR="00251C3A" w:rsidRPr="00AF2694" w:rsidRDefault="00251C3A" w:rsidP="00CF11D6">
      <w:pPr>
        <w:tabs>
          <w:tab w:val="left" w:pos="540"/>
          <w:tab w:val="left" w:pos="567"/>
        </w:tabs>
        <w:jc w:val="both"/>
        <w:rPr>
          <w:bCs/>
          <w:sz w:val="22"/>
          <w:szCs w:val="22"/>
          <w:u w:val="single"/>
          <w:lang w:val="sr-Latn-ME"/>
        </w:rPr>
      </w:pPr>
      <w:bookmarkStart w:id="0" w:name="_Hlk47521673"/>
      <w:r w:rsidRPr="00AF2694">
        <w:rPr>
          <w:bCs/>
          <w:sz w:val="22"/>
          <w:szCs w:val="22"/>
          <w:u w:val="single"/>
          <w:lang w:val="sr-Latn-ME"/>
        </w:rPr>
        <w:t>Imunogenost</w:t>
      </w:r>
    </w:p>
    <w:p w14:paraId="5959F120" w14:textId="77777777" w:rsidR="00251C3A" w:rsidRPr="00AF2694" w:rsidRDefault="00251C3A" w:rsidP="00CF11D6">
      <w:pPr>
        <w:tabs>
          <w:tab w:val="left" w:pos="540"/>
          <w:tab w:val="left" w:pos="567"/>
        </w:tabs>
        <w:jc w:val="both"/>
        <w:rPr>
          <w:bCs/>
          <w:sz w:val="22"/>
          <w:szCs w:val="22"/>
          <w:u w:val="single"/>
          <w:lang w:val="sr-Latn-ME"/>
        </w:rPr>
      </w:pPr>
    </w:p>
    <w:p w14:paraId="6A8450A8" w14:textId="6E04D2F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Kao i kod svih terapijskih proteina, postoji potencijal za imunogenost. U kliničkom programu sebelipaze alfa, pacijenti su rutinski testirani na anti-sebelipaze alfa anti-l</w:t>
      </w:r>
      <w:r w:rsidR="00963CE3" w:rsidRPr="00AF2694">
        <w:rPr>
          <w:bCs/>
          <w:sz w:val="22"/>
          <w:szCs w:val="22"/>
          <w:lang w:val="sr-Latn-ME"/>
        </w:rPr>
        <w:t>ij</w:t>
      </w:r>
      <w:r w:rsidRPr="00AF2694">
        <w:rPr>
          <w:bCs/>
          <w:sz w:val="22"/>
          <w:szCs w:val="22"/>
          <w:lang w:val="sr-Latn-ME"/>
        </w:rPr>
        <w:t>ek antit</w:t>
      </w:r>
      <w:r w:rsidR="00963CE3" w:rsidRPr="00AF2694">
        <w:rPr>
          <w:bCs/>
          <w:sz w:val="22"/>
          <w:szCs w:val="22"/>
          <w:lang w:val="sr-Latn-ME"/>
        </w:rPr>
        <w:t>ij</w:t>
      </w:r>
      <w:r w:rsidRPr="00AF2694">
        <w:rPr>
          <w:bCs/>
          <w:sz w:val="22"/>
          <w:szCs w:val="22"/>
          <w:lang w:val="sr-Latn-ME"/>
        </w:rPr>
        <w:t>ela (</w:t>
      </w:r>
      <w:r w:rsidR="00CC523E" w:rsidRPr="00AF2694">
        <w:rPr>
          <w:bCs/>
          <w:sz w:val="22"/>
          <w:szCs w:val="22"/>
          <w:lang w:val="sr-Latn-ME"/>
        </w:rPr>
        <w:t xml:space="preserve">engl. </w:t>
      </w:r>
      <w:r w:rsidR="00CC523E" w:rsidRPr="00AF2694">
        <w:rPr>
          <w:bCs/>
          <w:i/>
          <w:sz w:val="22"/>
          <w:szCs w:val="22"/>
          <w:lang w:val="sr-Latn-ME"/>
        </w:rPr>
        <w:t>anti-drug antibodies</w:t>
      </w:r>
      <w:r w:rsidR="00CC523E" w:rsidRPr="00AF2694">
        <w:rPr>
          <w:bCs/>
          <w:sz w:val="22"/>
          <w:szCs w:val="22"/>
          <w:lang w:val="sr-Latn-ME"/>
        </w:rPr>
        <w:t xml:space="preserve">, </w:t>
      </w:r>
      <w:r w:rsidRPr="00AF2694">
        <w:rPr>
          <w:bCs/>
          <w:sz w:val="22"/>
          <w:szCs w:val="22"/>
          <w:lang w:val="sr-Latn-ME"/>
        </w:rPr>
        <w:t>ADAs) kako bi se odredio potencijal imunogenosti sebelipaze alfa. Pacijenti koji su bili pozitivni na anti-l</w:t>
      </w:r>
      <w:r w:rsidR="00963CE3" w:rsidRPr="00AF2694">
        <w:rPr>
          <w:bCs/>
          <w:sz w:val="22"/>
          <w:szCs w:val="22"/>
          <w:lang w:val="sr-Latn-ME"/>
        </w:rPr>
        <w:t>ij</w:t>
      </w:r>
      <w:r w:rsidRPr="00AF2694">
        <w:rPr>
          <w:bCs/>
          <w:sz w:val="22"/>
          <w:szCs w:val="22"/>
          <w:lang w:val="sr-Latn-ME"/>
        </w:rPr>
        <w:t>ek antit</w:t>
      </w:r>
      <w:r w:rsidR="00963CE3" w:rsidRPr="00AF2694">
        <w:rPr>
          <w:bCs/>
          <w:sz w:val="22"/>
          <w:szCs w:val="22"/>
          <w:lang w:val="sr-Latn-ME"/>
        </w:rPr>
        <w:t>ij</w:t>
      </w:r>
      <w:r w:rsidRPr="00AF2694">
        <w:rPr>
          <w:bCs/>
          <w:sz w:val="22"/>
          <w:szCs w:val="22"/>
          <w:lang w:val="sr-Latn-ME"/>
        </w:rPr>
        <w:t>ela takođe su testirani na inhibitornu aktivnost antit</w:t>
      </w:r>
      <w:r w:rsidR="00963CE3" w:rsidRPr="00AF2694">
        <w:rPr>
          <w:bCs/>
          <w:sz w:val="22"/>
          <w:szCs w:val="22"/>
          <w:lang w:val="sr-Latn-ME"/>
        </w:rPr>
        <w:t>ij</w:t>
      </w:r>
      <w:r w:rsidRPr="00AF2694">
        <w:rPr>
          <w:bCs/>
          <w:sz w:val="22"/>
          <w:szCs w:val="22"/>
          <w:lang w:val="sr-Latn-ME"/>
        </w:rPr>
        <w:t>ela. Prisustvo inhibitorne aktivnosti detektovano je u nekim vremenskim tačkama u kliničkim studijama nakon početne vr</w:t>
      </w:r>
      <w:r w:rsidR="00963CE3" w:rsidRPr="00AF2694">
        <w:rPr>
          <w:bCs/>
          <w:sz w:val="22"/>
          <w:szCs w:val="22"/>
          <w:lang w:val="sr-Latn-ME"/>
        </w:rPr>
        <w:t>ij</w:t>
      </w:r>
      <w:r w:rsidRPr="00AF2694">
        <w:rPr>
          <w:bCs/>
          <w:sz w:val="22"/>
          <w:szCs w:val="22"/>
          <w:lang w:val="sr-Latn-ME"/>
        </w:rPr>
        <w:t>ednosti (vid</w:t>
      </w:r>
      <w:r w:rsidR="00963CE3" w:rsidRPr="00AF2694">
        <w:rPr>
          <w:bCs/>
          <w:sz w:val="22"/>
          <w:szCs w:val="22"/>
          <w:lang w:val="sr-Latn-ME"/>
        </w:rPr>
        <w:t>j</w:t>
      </w:r>
      <w:r w:rsidRPr="00AF2694">
        <w:rPr>
          <w:bCs/>
          <w:sz w:val="22"/>
          <w:szCs w:val="22"/>
          <w:lang w:val="sr-Latn-ME"/>
        </w:rPr>
        <w:t xml:space="preserve">eti </w:t>
      </w:r>
      <w:r w:rsidR="00963CE3" w:rsidRPr="00AF2694">
        <w:rPr>
          <w:bCs/>
          <w:sz w:val="22"/>
          <w:szCs w:val="22"/>
          <w:lang w:val="sr-Latn-ME"/>
        </w:rPr>
        <w:t>dio</w:t>
      </w:r>
      <w:r w:rsidRPr="00AF2694">
        <w:rPr>
          <w:bCs/>
          <w:sz w:val="22"/>
          <w:szCs w:val="22"/>
          <w:lang w:val="sr-Latn-ME"/>
        </w:rPr>
        <w:t xml:space="preserve"> 4.8). Generalno, ne može se izvesti zaključak o vezi između </w:t>
      </w:r>
      <w:r w:rsidR="00CC523E" w:rsidRPr="00AF2694">
        <w:rPr>
          <w:bCs/>
          <w:sz w:val="22"/>
          <w:szCs w:val="22"/>
          <w:lang w:val="sr-Latn-ME"/>
        </w:rPr>
        <w:t xml:space="preserve">nastanka anti-lijek antitijela </w:t>
      </w:r>
      <w:r w:rsidR="00511C47" w:rsidRPr="00AF2694">
        <w:rPr>
          <w:bCs/>
          <w:sz w:val="22"/>
          <w:szCs w:val="22"/>
          <w:lang w:val="sr-Latn-ME"/>
        </w:rPr>
        <w:t>i</w:t>
      </w:r>
      <w:r w:rsidR="00CC523E" w:rsidRPr="00AF2694">
        <w:rPr>
          <w:bCs/>
          <w:sz w:val="22"/>
          <w:szCs w:val="22"/>
          <w:lang w:val="sr-Latn-ME"/>
        </w:rPr>
        <w:t xml:space="preserve"> </w:t>
      </w:r>
      <w:r w:rsidR="00CC523E" w:rsidRPr="00AF2694">
        <w:rPr>
          <w:bCs/>
          <w:sz w:val="22"/>
          <w:szCs w:val="22"/>
          <w:lang w:val="sr-Latn-ME"/>
        </w:rPr>
        <w:lastRenderedPageBreak/>
        <w:t>neutrali</w:t>
      </w:r>
      <w:r w:rsidR="009F0572" w:rsidRPr="00AF2694">
        <w:rPr>
          <w:bCs/>
          <w:sz w:val="22"/>
          <w:szCs w:val="22"/>
          <w:lang w:val="sr-Latn-ME"/>
        </w:rPr>
        <w:t>š</w:t>
      </w:r>
      <w:r w:rsidR="00CC523E" w:rsidRPr="00AF2694">
        <w:rPr>
          <w:bCs/>
          <w:sz w:val="22"/>
          <w:szCs w:val="22"/>
          <w:lang w:val="sr-Latn-ME"/>
        </w:rPr>
        <w:t>ućih antitijela (</w:t>
      </w:r>
      <w:r w:rsidRPr="00AF2694">
        <w:rPr>
          <w:bCs/>
          <w:sz w:val="22"/>
          <w:szCs w:val="22"/>
          <w:lang w:val="sr-Latn-ME"/>
        </w:rPr>
        <w:t>ADAs/N</w:t>
      </w:r>
      <w:r w:rsidR="00CC523E" w:rsidRPr="00AF2694">
        <w:rPr>
          <w:bCs/>
          <w:sz w:val="22"/>
          <w:szCs w:val="22"/>
          <w:lang w:val="sr-Latn-ME"/>
        </w:rPr>
        <w:t>a</w:t>
      </w:r>
      <w:r w:rsidRPr="00AF2694">
        <w:rPr>
          <w:bCs/>
          <w:sz w:val="22"/>
          <w:szCs w:val="22"/>
          <w:lang w:val="sr-Latn-ME"/>
        </w:rPr>
        <w:t>bs</w:t>
      </w:r>
      <w:r w:rsidR="00CC523E" w:rsidRPr="00AF2694">
        <w:rPr>
          <w:bCs/>
          <w:sz w:val="22"/>
          <w:szCs w:val="22"/>
          <w:lang w:val="sr-Latn-ME"/>
        </w:rPr>
        <w:t>)</w:t>
      </w:r>
      <w:r w:rsidRPr="00AF2694">
        <w:rPr>
          <w:bCs/>
          <w:sz w:val="22"/>
          <w:szCs w:val="22"/>
          <w:lang w:val="sr-Latn-ME"/>
        </w:rPr>
        <w:t xml:space="preserve"> i </w:t>
      </w:r>
      <w:r w:rsidR="00511C47" w:rsidRPr="00AF2694">
        <w:rPr>
          <w:bCs/>
          <w:sz w:val="22"/>
          <w:szCs w:val="22"/>
          <w:lang w:val="sr-Latn-ME"/>
        </w:rPr>
        <w:t xml:space="preserve">sa njima </w:t>
      </w:r>
      <w:r w:rsidRPr="00AF2694">
        <w:rPr>
          <w:bCs/>
          <w:sz w:val="22"/>
          <w:szCs w:val="22"/>
          <w:lang w:val="sr-Latn-ME"/>
        </w:rPr>
        <w:t>povezanih reakcija preos</w:t>
      </w:r>
      <w:r w:rsidR="00963CE3" w:rsidRPr="00AF2694">
        <w:rPr>
          <w:bCs/>
          <w:sz w:val="22"/>
          <w:szCs w:val="22"/>
          <w:lang w:val="sr-Latn-ME"/>
        </w:rPr>
        <w:t>j</w:t>
      </w:r>
      <w:r w:rsidRPr="00AF2694">
        <w:rPr>
          <w:bCs/>
          <w:sz w:val="22"/>
          <w:szCs w:val="22"/>
          <w:lang w:val="sr-Latn-ME"/>
        </w:rPr>
        <w:t>etljivosti ili suboptimalnog kliničkog odgovora.</w:t>
      </w:r>
    </w:p>
    <w:p w14:paraId="71173CC8" w14:textId="30226A8E"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 xml:space="preserve">U kliničkim studijama, 3 pacijenta </w:t>
      </w:r>
      <w:r w:rsidR="00511C47" w:rsidRPr="00AF2694">
        <w:rPr>
          <w:bCs/>
          <w:sz w:val="22"/>
          <w:szCs w:val="22"/>
          <w:lang w:val="sr-Latn-ME"/>
        </w:rPr>
        <w:t xml:space="preserve">koji su bili homozigoti </w:t>
      </w:r>
      <w:r w:rsidRPr="00AF2694">
        <w:rPr>
          <w:bCs/>
          <w:sz w:val="22"/>
          <w:szCs w:val="22"/>
          <w:lang w:val="sr-Latn-ME"/>
        </w:rPr>
        <w:t xml:space="preserve">za deleciju koja pogađa oba alela gena </w:t>
      </w:r>
      <w:r w:rsidR="00511C47" w:rsidRPr="00AF2694">
        <w:rPr>
          <w:bCs/>
          <w:sz w:val="22"/>
          <w:szCs w:val="22"/>
          <w:lang w:val="sr-Latn-ME"/>
        </w:rPr>
        <w:t>za l</w:t>
      </w:r>
      <w:r w:rsidRPr="00AF2694">
        <w:rPr>
          <w:bCs/>
          <w:sz w:val="22"/>
          <w:szCs w:val="22"/>
          <w:lang w:val="sr-Latn-ME"/>
        </w:rPr>
        <w:t>ipaza A, lizozomsk</w:t>
      </w:r>
      <w:r w:rsidR="00511C47" w:rsidRPr="00AF2694">
        <w:rPr>
          <w:bCs/>
          <w:sz w:val="22"/>
          <w:szCs w:val="22"/>
          <w:lang w:val="sr-Latn-ME"/>
        </w:rPr>
        <w:t>u</w:t>
      </w:r>
      <w:r w:rsidRPr="00AF2694">
        <w:rPr>
          <w:bCs/>
          <w:sz w:val="22"/>
          <w:szCs w:val="22"/>
          <w:lang w:val="sr-Latn-ME"/>
        </w:rPr>
        <w:t xml:space="preserve"> kiselin</w:t>
      </w:r>
      <w:r w:rsidR="00511C47" w:rsidRPr="00AF2694">
        <w:rPr>
          <w:bCs/>
          <w:sz w:val="22"/>
          <w:szCs w:val="22"/>
          <w:lang w:val="sr-Latn-ME"/>
        </w:rPr>
        <w:t>u</w:t>
      </w:r>
      <w:r w:rsidRPr="00AF2694">
        <w:rPr>
          <w:bCs/>
          <w:sz w:val="22"/>
          <w:szCs w:val="22"/>
          <w:lang w:val="sr-Latn-ME"/>
        </w:rPr>
        <w:t xml:space="preserve"> </w:t>
      </w:r>
      <w:r w:rsidR="00511C47" w:rsidRPr="00AF2694">
        <w:rPr>
          <w:bCs/>
          <w:sz w:val="22"/>
          <w:szCs w:val="22"/>
          <w:lang w:val="sr-Latn-ME"/>
        </w:rPr>
        <w:t xml:space="preserve">(engl. </w:t>
      </w:r>
      <w:r w:rsidR="00511C47" w:rsidRPr="00AF2694">
        <w:rPr>
          <w:bCs/>
          <w:i/>
          <w:sz w:val="22"/>
          <w:szCs w:val="22"/>
          <w:lang w:val="sr-Latn-ME"/>
        </w:rPr>
        <w:t>lysosomal acid</w:t>
      </w:r>
      <w:r w:rsidR="00511C47" w:rsidRPr="00AF2694">
        <w:rPr>
          <w:bCs/>
          <w:sz w:val="22"/>
          <w:szCs w:val="22"/>
          <w:lang w:val="sr-Latn-ME"/>
        </w:rPr>
        <w:t xml:space="preserve">, </w:t>
      </w:r>
      <w:r w:rsidRPr="00AF2694">
        <w:rPr>
          <w:bCs/>
          <w:sz w:val="22"/>
          <w:szCs w:val="22"/>
          <w:lang w:val="sr-Latn-ME"/>
        </w:rPr>
        <w:t>LIPA</w:t>
      </w:r>
      <w:r w:rsidR="00511C47" w:rsidRPr="00AF2694">
        <w:rPr>
          <w:bCs/>
          <w:sz w:val="22"/>
          <w:szCs w:val="22"/>
          <w:lang w:val="sr-Latn-ME"/>
        </w:rPr>
        <w:t>)</w:t>
      </w:r>
      <w:r w:rsidRPr="00AF2694">
        <w:rPr>
          <w:bCs/>
          <w:sz w:val="22"/>
          <w:szCs w:val="22"/>
          <w:lang w:val="sr-Latn-ME"/>
        </w:rPr>
        <w:t xml:space="preserve"> i </w:t>
      </w:r>
      <w:r w:rsidR="00511C47" w:rsidRPr="00AF2694">
        <w:rPr>
          <w:bCs/>
          <w:sz w:val="22"/>
          <w:szCs w:val="22"/>
          <w:lang w:val="sr-Latn-ME"/>
        </w:rPr>
        <w:t>h</w:t>
      </w:r>
      <w:r w:rsidRPr="00AF2694">
        <w:rPr>
          <w:bCs/>
          <w:sz w:val="22"/>
          <w:szCs w:val="22"/>
          <w:lang w:val="sr-Latn-ME"/>
        </w:rPr>
        <w:t>olesterol 25</w:t>
      </w:r>
      <w:r w:rsidR="00511C47" w:rsidRPr="00AF2694">
        <w:rPr>
          <w:bCs/>
          <w:sz w:val="22"/>
          <w:szCs w:val="22"/>
          <w:lang w:val="sr-Latn-ME"/>
        </w:rPr>
        <w:t>-h</w:t>
      </w:r>
      <w:r w:rsidRPr="00AF2694">
        <w:rPr>
          <w:bCs/>
          <w:sz w:val="22"/>
          <w:szCs w:val="22"/>
          <w:lang w:val="sr-Latn-ME"/>
        </w:rPr>
        <w:t>idroksilaz</w:t>
      </w:r>
      <w:r w:rsidR="00511C47" w:rsidRPr="00AF2694">
        <w:rPr>
          <w:bCs/>
          <w:sz w:val="22"/>
          <w:szCs w:val="22"/>
          <w:lang w:val="sr-Latn-ME"/>
        </w:rPr>
        <w:t>u,</w:t>
      </w:r>
      <w:r w:rsidRPr="00AF2694">
        <w:rPr>
          <w:bCs/>
          <w:sz w:val="22"/>
          <w:szCs w:val="22"/>
          <w:lang w:val="sr-Latn-ME"/>
        </w:rPr>
        <w:t xml:space="preserve"> razvila su inhibitorne aktivnosti antit</w:t>
      </w:r>
      <w:r w:rsidR="00963CE3" w:rsidRPr="00AF2694">
        <w:rPr>
          <w:bCs/>
          <w:sz w:val="22"/>
          <w:szCs w:val="22"/>
          <w:lang w:val="sr-Latn-ME"/>
        </w:rPr>
        <w:t>ij</w:t>
      </w:r>
      <w:r w:rsidRPr="00AF2694">
        <w:rPr>
          <w:bCs/>
          <w:sz w:val="22"/>
          <w:szCs w:val="22"/>
          <w:lang w:val="sr-Latn-ME"/>
        </w:rPr>
        <w:t>ela povezan</w:t>
      </w:r>
      <w:r w:rsidR="00511C47" w:rsidRPr="00AF2694">
        <w:rPr>
          <w:bCs/>
          <w:sz w:val="22"/>
          <w:szCs w:val="22"/>
          <w:lang w:val="sr-Latn-ME"/>
        </w:rPr>
        <w:t>e</w:t>
      </w:r>
      <w:r w:rsidRPr="00AF2694">
        <w:rPr>
          <w:bCs/>
          <w:sz w:val="22"/>
          <w:szCs w:val="22"/>
          <w:lang w:val="sr-Latn-ME"/>
        </w:rPr>
        <w:t xml:space="preserve"> sa suboptimalnim kliničkim odgovorom.  Ovi pacijenti su podvrgnuti ili </w:t>
      </w:r>
      <w:r w:rsidR="00511C47" w:rsidRPr="00AF2694">
        <w:rPr>
          <w:bCs/>
          <w:sz w:val="22"/>
          <w:szCs w:val="22"/>
          <w:lang w:val="sr-Latn-ME"/>
        </w:rPr>
        <w:t xml:space="preserve">samo </w:t>
      </w:r>
      <w:r w:rsidRPr="00AF2694">
        <w:rPr>
          <w:bCs/>
          <w:sz w:val="22"/>
          <w:szCs w:val="22"/>
          <w:lang w:val="sr-Latn-ME"/>
        </w:rPr>
        <w:t>imunomodulatornoj terapiji</w:t>
      </w:r>
      <w:r w:rsidR="00511C47" w:rsidRPr="00AF2694">
        <w:rPr>
          <w:bCs/>
          <w:sz w:val="22"/>
          <w:szCs w:val="22"/>
          <w:lang w:val="sr-Latn-ME"/>
        </w:rPr>
        <w:t xml:space="preserve"> </w:t>
      </w:r>
      <w:r w:rsidRPr="00AF2694">
        <w:rPr>
          <w:bCs/>
          <w:sz w:val="22"/>
          <w:szCs w:val="22"/>
          <w:lang w:val="sr-Latn-ME"/>
        </w:rPr>
        <w:t xml:space="preserve">ili </w:t>
      </w:r>
      <w:r w:rsidR="00511C47" w:rsidRPr="00AF2694">
        <w:rPr>
          <w:bCs/>
          <w:sz w:val="22"/>
          <w:szCs w:val="22"/>
          <w:lang w:val="sr-Latn-ME"/>
        </w:rPr>
        <w:t xml:space="preserve">toj terapiji </w:t>
      </w:r>
      <w:r w:rsidRPr="00AF2694">
        <w:rPr>
          <w:bCs/>
          <w:sz w:val="22"/>
          <w:szCs w:val="22"/>
          <w:lang w:val="sr-Latn-ME"/>
        </w:rPr>
        <w:t>u kombinaciji sa transplantacijom hematopoetskih matičnih ćelija (HSCT) ili transplantacijom koštane srži (BMT), što je rezultiralo poboljšanim kliničkim odgovorom na sebelipazu alfa</w:t>
      </w:r>
      <w:bookmarkStart w:id="1" w:name="OLE_LINK8"/>
      <w:bookmarkStart w:id="2" w:name="_Hlk45876275"/>
      <w:r w:rsidRPr="00AF2694">
        <w:rPr>
          <w:bCs/>
          <w:sz w:val="22"/>
          <w:szCs w:val="22"/>
          <w:lang w:val="sr-Latn-ME"/>
        </w:rPr>
        <w:t>.</w:t>
      </w:r>
      <w:bookmarkEnd w:id="1"/>
      <w:bookmarkEnd w:id="2"/>
    </w:p>
    <w:bookmarkEnd w:id="0"/>
    <w:p w14:paraId="2383B93F" w14:textId="77777777" w:rsidR="00251C3A" w:rsidRPr="00AF2694" w:rsidRDefault="00251C3A" w:rsidP="00CF11D6">
      <w:pPr>
        <w:tabs>
          <w:tab w:val="left" w:pos="540"/>
          <w:tab w:val="left" w:pos="567"/>
        </w:tabs>
        <w:jc w:val="both"/>
        <w:rPr>
          <w:bCs/>
          <w:sz w:val="22"/>
          <w:szCs w:val="22"/>
          <w:u w:val="single"/>
          <w:lang w:val="sr-Latn-ME"/>
        </w:rPr>
      </w:pPr>
    </w:p>
    <w:p w14:paraId="0F6671A4" w14:textId="77777777" w:rsidR="00251C3A" w:rsidRPr="00AF2694" w:rsidRDefault="00251C3A" w:rsidP="00CF11D6">
      <w:pPr>
        <w:tabs>
          <w:tab w:val="left" w:pos="540"/>
          <w:tab w:val="left" w:pos="567"/>
        </w:tabs>
        <w:jc w:val="both"/>
        <w:rPr>
          <w:bCs/>
          <w:sz w:val="22"/>
          <w:szCs w:val="22"/>
          <w:u w:val="single"/>
          <w:lang w:val="sr-Latn-ME"/>
        </w:rPr>
      </w:pPr>
      <w:r w:rsidRPr="00AF2694">
        <w:rPr>
          <w:bCs/>
          <w:sz w:val="22"/>
          <w:szCs w:val="22"/>
          <w:u w:val="single"/>
          <w:lang w:val="sr-Latn-ME"/>
        </w:rPr>
        <w:t>Pomoćne supstance</w:t>
      </w:r>
    </w:p>
    <w:p w14:paraId="68226C8E" w14:textId="77777777" w:rsidR="00251C3A" w:rsidRPr="00AF2694" w:rsidRDefault="00251C3A" w:rsidP="00CF11D6">
      <w:pPr>
        <w:tabs>
          <w:tab w:val="left" w:pos="540"/>
          <w:tab w:val="left" w:pos="567"/>
        </w:tabs>
        <w:jc w:val="both"/>
        <w:rPr>
          <w:bCs/>
          <w:sz w:val="22"/>
          <w:szCs w:val="22"/>
          <w:u w:val="single"/>
          <w:lang w:val="sr-Latn-ME"/>
        </w:rPr>
      </w:pPr>
    </w:p>
    <w:p w14:paraId="0BAB6479" w14:textId="3A1DCE90"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Ovaj l</w:t>
      </w:r>
      <w:r w:rsidR="00963CE3" w:rsidRPr="00AF2694">
        <w:rPr>
          <w:bCs/>
          <w:sz w:val="22"/>
          <w:szCs w:val="22"/>
          <w:lang w:val="sr-Latn-ME"/>
        </w:rPr>
        <w:t>ij</w:t>
      </w:r>
      <w:r w:rsidRPr="00AF2694">
        <w:rPr>
          <w:bCs/>
          <w:sz w:val="22"/>
          <w:szCs w:val="22"/>
          <w:lang w:val="sr-Latn-ME"/>
        </w:rPr>
        <w:t>ek sadrži 33 mg natrijuma po bočici, što je ekvivalentno 1,7% preporučenog maksimalnog dnevnog unosa natrijuma</w:t>
      </w:r>
      <w:r w:rsidR="00511C47" w:rsidRPr="00AF2694">
        <w:rPr>
          <w:bCs/>
          <w:sz w:val="22"/>
          <w:szCs w:val="22"/>
          <w:lang w:val="sr-Latn-ME"/>
        </w:rPr>
        <w:t xml:space="preserve">, prema preporukama </w:t>
      </w:r>
      <w:r w:rsidRPr="00AF2694">
        <w:rPr>
          <w:bCs/>
          <w:sz w:val="22"/>
          <w:szCs w:val="22"/>
          <w:lang w:val="sr-Latn-ME"/>
        </w:rPr>
        <w:t>SZO za odrasl</w:t>
      </w:r>
      <w:r w:rsidR="00511C47" w:rsidRPr="00AF2694">
        <w:rPr>
          <w:bCs/>
          <w:sz w:val="22"/>
          <w:szCs w:val="22"/>
          <w:lang w:val="sr-Latn-ME"/>
        </w:rPr>
        <w:t>u osobu</w:t>
      </w:r>
      <w:r w:rsidRPr="00AF2694">
        <w:rPr>
          <w:bCs/>
          <w:sz w:val="22"/>
          <w:szCs w:val="22"/>
          <w:lang w:val="sr-Latn-ME"/>
        </w:rPr>
        <w:t>. Prim</w:t>
      </w:r>
      <w:r w:rsidR="00963CE3" w:rsidRPr="00AF2694">
        <w:rPr>
          <w:bCs/>
          <w:sz w:val="22"/>
          <w:szCs w:val="22"/>
          <w:lang w:val="sr-Latn-ME"/>
        </w:rPr>
        <w:t>j</w:t>
      </w:r>
      <w:r w:rsidRPr="00AF2694">
        <w:rPr>
          <w:bCs/>
          <w:sz w:val="22"/>
          <w:szCs w:val="22"/>
          <w:lang w:val="sr-Latn-ME"/>
        </w:rPr>
        <w:t>ena se vrši u rastvoru natrijum hlorida 9 mg/ml (0,9%) za infuziju (vid</w:t>
      </w:r>
      <w:r w:rsidR="00963CE3" w:rsidRPr="00AF2694">
        <w:rPr>
          <w:bCs/>
          <w:sz w:val="22"/>
          <w:szCs w:val="22"/>
          <w:lang w:val="sr-Latn-ME"/>
        </w:rPr>
        <w:t>j</w:t>
      </w:r>
      <w:r w:rsidRPr="00AF2694">
        <w:rPr>
          <w:bCs/>
          <w:sz w:val="22"/>
          <w:szCs w:val="22"/>
          <w:lang w:val="sr-Latn-ME"/>
        </w:rPr>
        <w:t xml:space="preserve">eti </w:t>
      </w:r>
      <w:r w:rsidR="00963CE3" w:rsidRPr="00AF2694">
        <w:rPr>
          <w:bCs/>
          <w:sz w:val="22"/>
          <w:szCs w:val="22"/>
          <w:lang w:val="sr-Latn-ME"/>
        </w:rPr>
        <w:t>dio</w:t>
      </w:r>
      <w:r w:rsidRPr="00AF2694">
        <w:rPr>
          <w:bCs/>
          <w:sz w:val="22"/>
          <w:szCs w:val="22"/>
          <w:lang w:val="sr-Latn-ME"/>
        </w:rPr>
        <w:t xml:space="preserve"> 6.6). Ovo treba uzeti u obzir kod pacijenata na dijeti sa ograničenim unosom natrijuma.</w:t>
      </w:r>
    </w:p>
    <w:p w14:paraId="4E23C793" w14:textId="77777777" w:rsidR="00057E35" w:rsidRPr="00AF2694" w:rsidRDefault="00057E35" w:rsidP="00CF11D6">
      <w:pPr>
        <w:tabs>
          <w:tab w:val="left" w:pos="540"/>
          <w:tab w:val="left" w:pos="569"/>
        </w:tabs>
        <w:jc w:val="both"/>
        <w:rPr>
          <w:bCs/>
          <w:sz w:val="22"/>
          <w:szCs w:val="22"/>
          <w:lang w:val="sr-Latn-ME"/>
        </w:rPr>
      </w:pPr>
    </w:p>
    <w:p w14:paraId="4DAC25DF" w14:textId="77777777" w:rsidR="00411B4B" w:rsidRPr="00AF2694" w:rsidRDefault="00411B4B" w:rsidP="00CF11D6">
      <w:pPr>
        <w:tabs>
          <w:tab w:val="left" w:pos="540"/>
          <w:tab w:val="left" w:pos="569"/>
        </w:tabs>
        <w:jc w:val="both"/>
        <w:rPr>
          <w:b/>
          <w:bCs/>
          <w:sz w:val="22"/>
          <w:szCs w:val="22"/>
          <w:lang w:val="sr-Latn-ME"/>
        </w:rPr>
      </w:pPr>
      <w:r w:rsidRPr="00AF2694">
        <w:rPr>
          <w:b/>
          <w:bCs/>
          <w:sz w:val="22"/>
          <w:szCs w:val="22"/>
          <w:lang w:val="sr-Latn-ME"/>
        </w:rPr>
        <w:t>4.5.</w:t>
      </w:r>
      <w:r w:rsidR="000D60CC" w:rsidRPr="00AF2694">
        <w:rPr>
          <w:b/>
          <w:bCs/>
          <w:sz w:val="22"/>
          <w:szCs w:val="22"/>
          <w:lang w:val="sr-Latn-ME"/>
        </w:rPr>
        <w:tab/>
      </w:r>
      <w:r w:rsidRPr="00AF2694">
        <w:rPr>
          <w:b/>
          <w:bCs/>
          <w:sz w:val="22"/>
          <w:szCs w:val="22"/>
          <w:lang w:val="sr-Latn-ME"/>
        </w:rPr>
        <w:t>Interakcije sa drugim ljekovima i druge vrste interakcija</w:t>
      </w:r>
    </w:p>
    <w:p w14:paraId="6035C330" w14:textId="77777777" w:rsidR="0072020E" w:rsidRPr="00AF2694" w:rsidRDefault="0072020E" w:rsidP="00CF11D6">
      <w:pPr>
        <w:tabs>
          <w:tab w:val="left" w:pos="540"/>
          <w:tab w:val="left" w:pos="569"/>
        </w:tabs>
        <w:jc w:val="both"/>
        <w:rPr>
          <w:bCs/>
          <w:sz w:val="22"/>
          <w:szCs w:val="22"/>
          <w:lang w:val="sr-Latn-ME"/>
        </w:rPr>
      </w:pPr>
    </w:p>
    <w:p w14:paraId="6D3BC28F" w14:textId="248A2FC6"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Studije interakcij</w:t>
      </w:r>
      <w:r w:rsidR="00511C47" w:rsidRPr="00AF2694">
        <w:rPr>
          <w:bCs/>
          <w:sz w:val="22"/>
          <w:szCs w:val="22"/>
          <w:lang w:val="sr-Latn-ME"/>
        </w:rPr>
        <w:t>a</w:t>
      </w:r>
      <w:r w:rsidRPr="00AF2694">
        <w:rPr>
          <w:bCs/>
          <w:sz w:val="22"/>
          <w:szCs w:val="22"/>
          <w:lang w:val="sr-Latn-ME"/>
        </w:rPr>
        <w:t xml:space="preserve"> sa drugim l</w:t>
      </w:r>
      <w:r w:rsidR="00963CE3" w:rsidRPr="00AF2694">
        <w:rPr>
          <w:bCs/>
          <w:sz w:val="22"/>
          <w:szCs w:val="22"/>
          <w:lang w:val="sr-Latn-ME"/>
        </w:rPr>
        <w:t>j</w:t>
      </w:r>
      <w:r w:rsidRPr="00AF2694">
        <w:rPr>
          <w:bCs/>
          <w:sz w:val="22"/>
          <w:szCs w:val="22"/>
          <w:lang w:val="sr-Latn-ME"/>
        </w:rPr>
        <w:t>ekovima ni</w:t>
      </w:r>
      <w:r w:rsidR="00511C47" w:rsidRPr="00AF2694">
        <w:rPr>
          <w:bCs/>
          <w:sz w:val="22"/>
          <w:szCs w:val="22"/>
          <w:lang w:val="sr-Latn-ME"/>
        </w:rPr>
        <w:t>je</w:t>
      </w:r>
      <w:r w:rsidRPr="00AF2694">
        <w:rPr>
          <w:bCs/>
          <w:sz w:val="22"/>
          <w:szCs w:val="22"/>
          <w:lang w:val="sr-Latn-ME"/>
        </w:rPr>
        <w:t>su sprovedene.</w:t>
      </w:r>
    </w:p>
    <w:p w14:paraId="28A3D532" w14:textId="77777777" w:rsidR="00251C3A" w:rsidRPr="00AF2694" w:rsidRDefault="00251C3A" w:rsidP="00CF11D6">
      <w:pPr>
        <w:tabs>
          <w:tab w:val="left" w:pos="540"/>
          <w:tab w:val="left" w:pos="567"/>
        </w:tabs>
        <w:jc w:val="both"/>
        <w:rPr>
          <w:bCs/>
          <w:sz w:val="22"/>
          <w:szCs w:val="22"/>
          <w:lang w:val="sr-Latn-ME"/>
        </w:rPr>
      </w:pPr>
    </w:p>
    <w:p w14:paraId="08CAC330" w14:textId="77777777" w:rsidR="00511C47" w:rsidRPr="00AF2694" w:rsidRDefault="00511C47" w:rsidP="00CF11D6">
      <w:pPr>
        <w:tabs>
          <w:tab w:val="left" w:pos="540"/>
          <w:tab w:val="left" w:pos="569"/>
        </w:tabs>
        <w:jc w:val="both"/>
        <w:rPr>
          <w:bCs/>
          <w:sz w:val="22"/>
          <w:szCs w:val="22"/>
          <w:lang w:val="sr-Latn-ME"/>
        </w:rPr>
      </w:pPr>
      <w:r w:rsidRPr="00AF2694">
        <w:rPr>
          <w:bCs/>
          <w:sz w:val="22"/>
          <w:szCs w:val="22"/>
          <w:lang w:val="sr-Latn-ME"/>
        </w:rPr>
        <w:t>Budući da je sebelipaza alfa rekombinantni ljudski protein, učešće u interakcijama posredovanim citohromom P450 ili u drugim interakcijama među ljekovima nije vjerovatno.</w:t>
      </w:r>
    </w:p>
    <w:p w14:paraId="63CDE7A0" w14:textId="77777777" w:rsidR="00251C3A" w:rsidRPr="00AF2694" w:rsidRDefault="00251C3A" w:rsidP="00CF11D6">
      <w:pPr>
        <w:tabs>
          <w:tab w:val="left" w:pos="540"/>
          <w:tab w:val="left" w:pos="569"/>
        </w:tabs>
        <w:jc w:val="both"/>
        <w:rPr>
          <w:bCs/>
          <w:sz w:val="22"/>
          <w:szCs w:val="22"/>
          <w:lang w:val="sr-Latn-ME"/>
        </w:rPr>
      </w:pPr>
    </w:p>
    <w:p w14:paraId="098DE6DA" w14:textId="77777777" w:rsidR="0072020E" w:rsidRPr="00AF2694" w:rsidRDefault="0072020E" w:rsidP="00CF11D6">
      <w:pPr>
        <w:tabs>
          <w:tab w:val="left" w:pos="540"/>
          <w:tab w:val="left" w:pos="569"/>
        </w:tabs>
        <w:jc w:val="both"/>
        <w:rPr>
          <w:b/>
          <w:sz w:val="22"/>
          <w:szCs w:val="22"/>
          <w:lang w:val="sr-Latn-ME"/>
        </w:rPr>
      </w:pPr>
      <w:r w:rsidRPr="00AF2694">
        <w:rPr>
          <w:b/>
          <w:bCs/>
          <w:sz w:val="22"/>
          <w:szCs w:val="22"/>
          <w:lang w:val="sr-Latn-ME"/>
        </w:rPr>
        <w:t xml:space="preserve">4.6. </w:t>
      </w:r>
      <w:r w:rsidR="00480FB1" w:rsidRPr="00AF2694">
        <w:rPr>
          <w:b/>
          <w:bCs/>
          <w:sz w:val="22"/>
          <w:szCs w:val="22"/>
          <w:lang w:val="sr-Latn-ME"/>
        </w:rPr>
        <w:tab/>
      </w:r>
      <w:r w:rsidR="006D20A5" w:rsidRPr="00AF2694">
        <w:rPr>
          <w:b/>
          <w:sz w:val="22"/>
          <w:szCs w:val="22"/>
          <w:lang w:val="sr-Latn-ME"/>
        </w:rPr>
        <w:t>Plodnost, trudnoća i dojenje</w:t>
      </w:r>
    </w:p>
    <w:p w14:paraId="23DDE794" w14:textId="77777777" w:rsidR="002031B3" w:rsidRPr="00AF2694" w:rsidRDefault="002031B3" w:rsidP="00CF11D6">
      <w:pPr>
        <w:tabs>
          <w:tab w:val="left" w:pos="540"/>
          <w:tab w:val="left" w:pos="569"/>
        </w:tabs>
        <w:jc w:val="both"/>
        <w:rPr>
          <w:sz w:val="22"/>
          <w:szCs w:val="22"/>
          <w:u w:val="single"/>
          <w:lang w:val="sr-Latn-ME"/>
        </w:rPr>
      </w:pPr>
    </w:p>
    <w:p w14:paraId="1309DCF4" w14:textId="20D08A11" w:rsidR="002031B3" w:rsidRDefault="002031B3" w:rsidP="00CF11D6">
      <w:pPr>
        <w:tabs>
          <w:tab w:val="left" w:pos="540"/>
          <w:tab w:val="left" w:pos="569"/>
        </w:tabs>
        <w:jc w:val="both"/>
        <w:rPr>
          <w:sz w:val="22"/>
          <w:szCs w:val="22"/>
          <w:u w:val="single"/>
          <w:lang w:val="sr-Latn-ME"/>
        </w:rPr>
      </w:pPr>
      <w:r w:rsidRPr="00AF2694">
        <w:rPr>
          <w:sz w:val="22"/>
          <w:szCs w:val="22"/>
          <w:u w:val="single"/>
          <w:lang w:val="sr-Latn-ME"/>
        </w:rPr>
        <w:t>Plodnost</w:t>
      </w:r>
    </w:p>
    <w:p w14:paraId="7B4D835E" w14:textId="77777777" w:rsidR="00AF2694" w:rsidRPr="00AF2694" w:rsidRDefault="00AF2694" w:rsidP="00CF11D6">
      <w:pPr>
        <w:tabs>
          <w:tab w:val="left" w:pos="540"/>
          <w:tab w:val="left" w:pos="569"/>
        </w:tabs>
        <w:jc w:val="both"/>
        <w:rPr>
          <w:sz w:val="22"/>
          <w:szCs w:val="22"/>
          <w:u w:val="single"/>
          <w:lang w:val="sr-Latn-ME"/>
        </w:rPr>
      </w:pPr>
    </w:p>
    <w:p w14:paraId="4A12A4E6" w14:textId="4AEA360B" w:rsidR="00251C3A" w:rsidRPr="00AF2694" w:rsidRDefault="00251C3A" w:rsidP="00CF11D6">
      <w:pPr>
        <w:tabs>
          <w:tab w:val="left" w:pos="540"/>
          <w:tab w:val="left" w:pos="567"/>
        </w:tabs>
        <w:jc w:val="both"/>
        <w:rPr>
          <w:sz w:val="22"/>
          <w:szCs w:val="22"/>
          <w:lang w:val="sr-Latn-ME"/>
        </w:rPr>
      </w:pPr>
      <w:r w:rsidRPr="00AF2694">
        <w:rPr>
          <w:sz w:val="22"/>
          <w:szCs w:val="22"/>
          <w:lang w:val="sr-Latn-ME"/>
        </w:rPr>
        <w:t xml:space="preserve">Nema kliničkih podataka o uticaju sebelipaze alfa na plodnost. </w:t>
      </w:r>
      <w:r w:rsidR="00B460FA" w:rsidRPr="00AF2694">
        <w:rPr>
          <w:sz w:val="22"/>
          <w:szCs w:val="22"/>
          <w:lang w:val="sr-Latn-ME"/>
        </w:rPr>
        <w:t>Ispitivanja na životinjama nijesu pokazala štetan efekat na plodnost</w:t>
      </w:r>
      <w:r w:rsidRPr="00AF2694">
        <w:rPr>
          <w:sz w:val="22"/>
          <w:szCs w:val="22"/>
          <w:lang w:val="sr-Latn-ME"/>
        </w:rPr>
        <w:t xml:space="preserve"> (vid</w:t>
      </w:r>
      <w:r w:rsidR="00963CE3" w:rsidRPr="00AF2694">
        <w:rPr>
          <w:sz w:val="22"/>
          <w:szCs w:val="22"/>
          <w:lang w:val="sr-Latn-ME"/>
        </w:rPr>
        <w:t>j</w:t>
      </w:r>
      <w:r w:rsidRPr="00AF2694">
        <w:rPr>
          <w:sz w:val="22"/>
          <w:szCs w:val="22"/>
          <w:lang w:val="sr-Latn-ME"/>
        </w:rPr>
        <w:t xml:space="preserve">eti </w:t>
      </w:r>
      <w:r w:rsidR="00963CE3" w:rsidRPr="00AF2694">
        <w:rPr>
          <w:sz w:val="22"/>
          <w:szCs w:val="22"/>
          <w:lang w:val="sr-Latn-ME"/>
        </w:rPr>
        <w:t>dio</w:t>
      </w:r>
      <w:r w:rsidRPr="00AF2694">
        <w:rPr>
          <w:sz w:val="22"/>
          <w:szCs w:val="22"/>
          <w:lang w:val="sr-Latn-ME"/>
        </w:rPr>
        <w:t xml:space="preserve"> 5.3).</w:t>
      </w:r>
    </w:p>
    <w:p w14:paraId="123359B2" w14:textId="77777777" w:rsidR="00251C3A" w:rsidRPr="00AF2694" w:rsidRDefault="00251C3A" w:rsidP="00CF11D6">
      <w:pPr>
        <w:tabs>
          <w:tab w:val="left" w:pos="540"/>
          <w:tab w:val="left" w:pos="569"/>
        </w:tabs>
        <w:jc w:val="both"/>
        <w:rPr>
          <w:sz w:val="22"/>
          <w:szCs w:val="22"/>
          <w:u w:val="single"/>
          <w:lang w:val="sr-Latn-ME"/>
        </w:rPr>
      </w:pPr>
    </w:p>
    <w:p w14:paraId="2BE7ED2C" w14:textId="7A2D5D27" w:rsidR="007A3ECB" w:rsidRDefault="007A3ECB" w:rsidP="00CF11D6">
      <w:pPr>
        <w:tabs>
          <w:tab w:val="left" w:pos="540"/>
          <w:tab w:val="left" w:pos="569"/>
        </w:tabs>
        <w:jc w:val="both"/>
        <w:rPr>
          <w:sz w:val="22"/>
          <w:szCs w:val="22"/>
          <w:u w:val="single"/>
          <w:lang w:val="sr-Latn-ME"/>
        </w:rPr>
      </w:pPr>
      <w:r w:rsidRPr="00AF2694">
        <w:rPr>
          <w:sz w:val="22"/>
          <w:szCs w:val="22"/>
          <w:u w:val="single"/>
          <w:lang w:val="sr-Latn-ME"/>
        </w:rPr>
        <w:t>Trudnoća</w:t>
      </w:r>
    </w:p>
    <w:p w14:paraId="395B9635" w14:textId="77777777" w:rsidR="00AF2694" w:rsidRPr="00AF2694" w:rsidRDefault="00AF2694" w:rsidP="00CF11D6">
      <w:pPr>
        <w:tabs>
          <w:tab w:val="left" w:pos="540"/>
          <w:tab w:val="left" w:pos="569"/>
        </w:tabs>
        <w:jc w:val="both"/>
        <w:rPr>
          <w:sz w:val="22"/>
          <w:szCs w:val="22"/>
          <w:u w:val="single"/>
          <w:lang w:val="sr-Latn-ME"/>
        </w:rPr>
      </w:pPr>
    </w:p>
    <w:p w14:paraId="63F76AAA" w14:textId="2D3B993B" w:rsidR="00251C3A" w:rsidRPr="00AF2694" w:rsidRDefault="00251C3A" w:rsidP="00CF11D6">
      <w:pPr>
        <w:tabs>
          <w:tab w:val="left" w:pos="540"/>
          <w:tab w:val="left" w:pos="567"/>
        </w:tabs>
        <w:jc w:val="both"/>
        <w:rPr>
          <w:sz w:val="22"/>
          <w:szCs w:val="22"/>
          <w:lang w:val="sr-Latn-ME"/>
        </w:rPr>
      </w:pPr>
      <w:r w:rsidRPr="00AF2694">
        <w:rPr>
          <w:sz w:val="22"/>
          <w:szCs w:val="22"/>
          <w:lang w:val="sr-Latn-ME"/>
        </w:rPr>
        <w:t>Nema podataka ili su podaci ograničeni kada je u pitanju prim</w:t>
      </w:r>
      <w:r w:rsidR="00963CE3" w:rsidRPr="00AF2694">
        <w:rPr>
          <w:sz w:val="22"/>
          <w:szCs w:val="22"/>
          <w:lang w:val="sr-Latn-ME"/>
        </w:rPr>
        <w:t>j</w:t>
      </w:r>
      <w:r w:rsidRPr="00AF2694">
        <w:rPr>
          <w:sz w:val="22"/>
          <w:szCs w:val="22"/>
          <w:lang w:val="sr-Latn-ME"/>
        </w:rPr>
        <w:t xml:space="preserve">ena sebelipaze alfa kod trudnica. Studije sprovedene na životinjama ne ukazuju na direktna ili indirektna štetna dejstva u smislu reproduktivne toksičnosti (pogledati </w:t>
      </w:r>
      <w:r w:rsidR="00963CE3" w:rsidRPr="00AF2694">
        <w:rPr>
          <w:sz w:val="22"/>
          <w:szCs w:val="22"/>
          <w:lang w:val="sr-Latn-ME"/>
        </w:rPr>
        <w:t>dio</w:t>
      </w:r>
      <w:r w:rsidRPr="00AF2694">
        <w:rPr>
          <w:sz w:val="22"/>
          <w:szCs w:val="22"/>
          <w:lang w:val="sr-Latn-ME"/>
        </w:rPr>
        <w:t xml:space="preserve"> 5.3.). Kao m</w:t>
      </w:r>
      <w:r w:rsidR="00963CE3" w:rsidRPr="00AF2694">
        <w:rPr>
          <w:sz w:val="22"/>
          <w:szCs w:val="22"/>
          <w:lang w:val="sr-Latn-ME"/>
        </w:rPr>
        <w:t>j</w:t>
      </w:r>
      <w:r w:rsidRPr="00AF2694">
        <w:rPr>
          <w:sz w:val="22"/>
          <w:szCs w:val="22"/>
          <w:lang w:val="sr-Latn-ME"/>
        </w:rPr>
        <w:t>era opreza, preporučuje se izb</w:t>
      </w:r>
      <w:r w:rsidR="00963CE3" w:rsidRPr="00AF2694">
        <w:rPr>
          <w:sz w:val="22"/>
          <w:szCs w:val="22"/>
          <w:lang w:val="sr-Latn-ME"/>
        </w:rPr>
        <w:t>j</w:t>
      </w:r>
      <w:r w:rsidRPr="00AF2694">
        <w:rPr>
          <w:sz w:val="22"/>
          <w:szCs w:val="22"/>
          <w:lang w:val="sr-Latn-ME"/>
        </w:rPr>
        <w:t>egavanje prim</w:t>
      </w:r>
      <w:r w:rsidR="00963CE3" w:rsidRPr="00AF2694">
        <w:rPr>
          <w:sz w:val="22"/>
          <w:szCs w:val="22"/>
          <w:lang w:val="sr-Latn-ME"/>
        </w:rPr>
        <w:t>j</w:t>
      </w:r>
      <w:r w:rsidRPr="00AF2694">
        <w:rPr>
          <w:sz w:val="22"/>
          <w:szCs w:val="22"/>
          <w:lang w:val="sr-Latn-ME"/>
        </w:rPr>
        <w:t>ene sebelipaze alfa tokom trudnoće.</w:t>
      </w:r>
    </w:p>
    <w:p w14:paraId="63F25D70" w14:textId="77777777" w:rsidR="00251C3A" w:rsidRPr="00AF2694" w:rsidRDefault="00251C3A" w:rsidP="00CF11D6">
      <w:pPr>
        <w:tabs>
          <w:tab w:val="left" w:pos="540"/>
          <w:tab w:val="left" w:pos="569"/>
        </w:tabs>
        <w:jc w:val="both"/>
        <w:rPr>
          <w:sz w:val="22"/>
          <w:szCs w:val="22"/>
          <w:u w:val="single"/>
          <w:lang w:val="sr-Latn-ME"/>
        </w:rPr>
      </w:pPr>
    </w:p>
    <w:p w14:paraId="22EE2D5E" w14:textId="7604D86F" w:rsidR="00963CE3" w:rsidRDefault="007A3ECB" w:rsidP="00CF11D6">
      <w:pPr>
        <w:tabs>
          <w:tab w:val="left" w:pos="540"/>
          <w:tab w:val="left" w:pos="569"/>
        </w:tabs>
        <w:jc w:val="both"/>
        <w:rPr>
          <w:sz w:val="22"/>
          <w:szCs w:val="22"/>
          <w:u w:val="single"/>
          <w:lang w:val="sr-Latn-ME"/>
        </w:rPr>
      </w:pPr>
      <w:r w:rsidRPr="00AF2694">
        <w:rPr>
          <w:sz w:val="22"/>
          <w:szCs w:val="22"/>
          <w:u w:val="single"/>
          <w:lang w:val="sr-Latn-ME"/>
        </w:rPr>
        <w:t xml:space="preserve">Dojenje </w:t>
      </w:r>
    </w:p>
    <w:p w14:paraId="32F00386" w14:textId="77777777" w:rsidR="00AF2694" w:rsidRPr="00AF2694" w:rsidRDefault="00AF2694" w:rsidP="00CF11D6">
      <w:pPr>
        <w:tabs>
          <w:tab w:val="left" w:pos="540"/>
          <w:tab w:val="left" w:pos="569"/>
        </w:tabs>
        <w:jc w:val="both"/>
        <w:rPr>
          <w:b/>
          <w:bCs/>
          <w:sz w:val="22"/>
          <w:szCs w:val="22"/>
          <w:lang w:val="sr-Latn-ME"/>
        </w:rPr>
      </w:pPr>
      <w:bookmarkStart w:id="3" w:name="_GoBack"/>
      <w:bookmarkEnd w:id="3"/>
    </w:p>
    <w:p w14:paraId="50A3DAB0" w14:textId="2FBA5D41" w:rsidR="00227BDB" w:rsidRPr="00AF2694" w:rsidRDefault="00251C3A" w:rsidP="00CF11D6">
      <w:pPr>
        <w:tabs>
          <w:tab w:val="left" w:pos="540"/>
          <w:tab w:val="left" w:pos="569"/>
        </w:tabs>
        <w:jc w:val="both"/>
        <w:rPr>
          <w:sz w:val="22"/>
          <w:szCs w:val="22"/>
          <w:lang w:val="sr-Latn-ME"/>
        </w:rPr>
      </w:pPr>
      <w:r w:rsidRPr="00AF2694">
        <w:rPr>
          <w:sz w:val="22"/>
          <w:szCs w:val="22"/>
          <w:lang w:val="sr-Latn-ME"/>
        </w:rPr>
        <w:t>Nema podataka iz studija o prim</w:t>
      </w:r>
      <w:r w:rsidR="00963CE3" w:rsidRPr="00AF2694">
        <w:rPr>
          <w:sz w:val="22"/>
          <w:szCs w:val="22"/>
          <w:lang w:val="sr-Latn-ME"/>
        </w:rPr>
        <w:t>j</w:t>
      </w:r>
      <w:r w:rsidRPr="00AF2694">
        <w:rPr>
          <w:sz w:val="22"/>
          <w:szCs w:val="22"/>
          <w:lang w:val="sr-Latn-ME"/>
        </w:rPr>
        <w:t>eni kod dojilja. Nije poznato da li se sebelipaza alfa izlučuje u</w:t>
      </w:r>
      <w:r w:rsidR="00963CE3" w:rsidRPr="00AF2694">
        <w:rPr>
          <w:sz w:val="22"/>
          <w:szCs w:val="22"/>
          <w:lang w:val="sr-Latn-ME"/>
        </w:rPr>
        <w:t xml:space="preserve"> </w:t>
      </w:r>
      <w:r w:rsidRPr="00AF2694">
        <w:rPr>
          <w:sz w:val="22"/>
          <w:szCs w:val="22"/>
          <w:lang w:val="sr-Latn-ME"/>
        </w:rPr>
        <w:t>majčino ml</w:t>
      </w:r>
      <w:r w:rsidR="00963CE3" w:rsidRPr="00AF2694">
        <w:rPr>
          <w:sz w:val="22"/>
          <w:szCs w:val="22"/>
          <w:lang w:val="sr-Latn-ME"/>
        </w:rPr>
        <w:t>ij</w:t>
      </w:r>
      <w:r w:rsidRPr="00AF2694">
        <w:rPr>
          <w:sz w:val="22"/>
          <w:szCs w:val="22"/>
          <w:lang w:val="sr-Latn-ME"/>
        </w:rPr>
        <w:t xml:space="preserve">eko kod ljudi. </w:t>
      </w:r>
      <w:r w:rsidR="00B460FA" w:rsidRPr="00AF2694">
        <w:rPr>
          <w:sz w:val="22"/>
          <w:szCs w:val="22"/>
          <w:lang w:val="sr-Latn-ME"/>
        </w:rPr>
        <w:t>Potrebno je odlučiti da li prekinuti dojenje ili prekinuti liječenje/suzdržati se od liječenja lijekom sebelipaza alfa uzimajući u obzir korist dojenja za dijete i korist liječenja za ženu.</w:t>
      </w:r>
    </w:p>
    <w:p w14:paraId="08C51F27" w14:textId="77777777" w:rsidR="00251C3A" w:rsidRPr="00AF2694" w:rsidRDefault="00251C3A" w:rsidP="00CF11D6">
      <w:pPr>
        <w:tabs>
          <w:tab w:val="left" w:pos="540"/>
          <w:tab w:val="left" w:pos="569"/>
        </w:tabs>
        <w:ind w:left="540" w:hanging="540"/>
        <w:jc w:val="both"/>
        <w:rPr>
          <w:b/>
          <w:bCs/>
          <w:sz w:val="22"/>
          <w:szCs w:val="22"/>
          <w:lang w:val="sr-Latn-ME"/>
        </w:rPr>
      </w:pPr>
    </w:p>
    <w:p w14:paraId="39097C7C" w14:textId="77777777" w:rsidR="0072020E" w:rsidRPr="00AF2694" w:rsidRDefault="0072020E" w:rsidP="00CF11D6">
      <w:pPr>
        <w:tabs>
          <w:tab w:val="left" w:pos="540"/>
          <w:tab w:val="left" w:pos="569"/>
        </w:tabs>
        <w:ind w:left="540" w:hanging="540"/>
        <w:jc w:val="both"/>
        <w:rPr>
          <w:b/>
          <w:bCs/>
          <w:sz w:val="22"/>
          <w:szCs w:val="22"/>
          <w:lang w:val="sr-Latn-ME"/>
        </w:rPr>
      </w:pPr>
      <w:r w:rsidRPr="00AF2694">
        <w:rPr>
          <w:b/>
          <w:bCs/>
          <w:sz w:val="22"/>
          <w:szCs w:val="22"/>
          <w:lang w:val="sr-Latn-ME"/>
        </w:rPr>
        <w:t xml:space="preserve">4.7. </w:t>
      </w:r>
      <w:r w:rsidR="00480FB1" w:rsidRPr="00AF2694">
        <w:rPr>
          <w:b/>
          <w:bCs/>
          <w:sz w:val="22"/>
          <w:szCs w:val="22"/>
          <w:lang w:val="sr-Latn-ME"/>
        </w:rPr>
        <w:tab/>
      </w:r>
      <w:r w:rsidRPr="00AF2694">
        <w:rPr>
          <w:b/>
          <w:bCs/>
          <w:sz w:val="22"/>
          <w:szCs w:val="22"/>
          <w:lang w:val="sr-Latn-ME"/>
        </w:rPr>
        <w:t xml:space="preserve">Uticaj na </w:t>
      </w:r>
      <w:r w:rsidR="002031B3" w:rsidRPr="00AF2694">
        <w:rPr>
          <w:b/>
          <w:bCs/>
          <w:sz w:val="22"/>
          <w:szCs w:val="22"/>
          <w:lang w:val="sr-Latn-ME"/>
        </w:rPr>
        <w:t xml:space="preserve">sposobnost </w:t>
      </w:r>
      <w:r w:rsidR="00F34554" w:rsidRPr="00AF2694">
        <w:rPr>
          <w:b/>
          <w:bCs/>
          <w:sz w:val="22"/>
          <w:szCs w:val="22"/>
          <w:lang w:val="sr-Latn-ME"/>
        </w:rPr>
        <w:t>upravljanja vozili</w:t>
      </w:r>
      <w:r w:rsidRPr="00AF2694">
        <w:rPr>
          <w:b/>
          <w:bCs/>
          <w:sz w:val="22"/>
          <w:szCs w:val="22"/>
          <w:lang w:val="sr-Latn-ME"/>
        </w:rPr>
        <w:t>m</w:t>
      </w:r>
      <w:r w:rsidR="00F34554" w:rsidRPr="00AF2694">
        <w:rPr>
          <w:b/>
          <w:bCs/>
          <w:sz w:val="22"/>
          <w:szCs w:val="22"/>
          <w:lang w:val="sr-Latn-ME"/>
        </w:rPr>
        <w:t>a</w:t>
      </w:r>
      <w:r w:rsidRPr="00AF2694">
        <w:rPr>
          <w:b/>
          <w:bCs/>
          <w:sz w:val="22"/>
          <w:szCs w:val="22"/>
          <w:lang w:val="sr-Latn-ME"/>
        </w:rPr>
        <w:t xml:space="preserve"> i </w:t>
      </w:r>
      <w:r w:rsidR="000D3449" w:rsidRPr="00AF2694">
        <w:rPr>
          <w:b/>
          <w:bCs/>
          <w:sz w:val="22"/>
          <w:szCs w:val="22"/>
          <w:lang w:val="sr-Latn-ME"/>
        </w:rPr>
        <w:t xml:space="preserve">rukovanje </w:t>
      </w:r>
      <w:r w:rsidRPr="00AF2694">
        <w:rPr>
          <w:b/>
          <w:bCs/>
          <w:sz w:val="22"/>
          <w:szCs w:val="22"/>
          <w:lang w:val="sr-Latn-ME"/>
        </w:rPr>
        <w:t>mašinama</w:t>
      </w:r>
    </w:p>
    <w:p w14:paraId="47664D28" w14:textId="77777777" w:rsidR="00251C3A" w:rsidRPr="00AF2694" w:rsidRDefault="00251C3A" w:rsidP="00CF11D6">
      <w:pPr>
        <w:tabs>
          <w:tab w:val="left" w:pos="540"/>
          <w:tab w:val="left" w:pos="569"/>
        </w:tabs>
        <w:jc w:val="both"/>
        <w:rPr>
          <w:b/>
          <w:bCs/>
          <w:sz w:val="22"/>
          <w:szCs w:val="22"/>
          <w:lang w:val="sr-Latn-ME"/>
        </w:rPr>
      </w:pPr>
    </w:p>
    <w:p w14:paraId="43C2171E" w14:textId="39E4C036" w:rsidR="00251C3A" w:rsidRPr="00AF2694" w:rsidRDefault="00B460FA" w:rsidP="00CF11D6">
      <w:pPr>
        <w:tabs>
          <w:tab w:val="left" w:pos="540"/>
          <w:tab w:val="left" w:pos="569"/>
        </w:tabs>
        <w:jc w:val="both"/>
        <w:rPr>
          <w:sz w:val="22"/>
          <w:szCs w:val="22"/>
          <w:lang w:val="sr-Latn-ME"/>
        </w:rPr>
      </w:pPr>
      <w:r w:rsidRPr="00AF2694">
        <w:rPr>
          <w:sz w:val="22"/>
          <w:szCs w:val="22"/>
          <w:lang w:val="sr-Latn-ME"/>
        </w:rPr>
        <w:t xml:space="preserve">Lijek </w:t>
      </w:r>
      <w:r w:rsidR="00251C3A" w:rsidRPr="00AF2694">
        <w:rPr>
          <w:sz w:val="22"/>
          <w:szCs w:val="22"/>
          <w:lang w:val="sr-Latn-ME"/>
        </w:rPr>
        <w:t>KANUMA ima mali uticaj na sposobnost upravljanja motornim vozilima i rukovanja mašinama. Neželjeni događaji kao što je vrtoglavica prijavljeni su tokom prim</w:t>
      </w:r>
      <w:r w:rsidR="00963CE3" w:rsidRPr="00AF2694">
        <w:rPr>
          <w:sz w:val="22"/>
          <w:szCs w:val="22"/>
          <w:lang w:val="sr-Latn-ME"/>
        </w:rPr>
        <w:t>j</w:t>
      </w:r>
      <w:r w:rsidR="00251C3A" w:rsidRPr="00AF2694">
        <w:rPr>
          <w:sz w:val="22"/>
          <w:szCs w:val="22"/>
          <w:lang w:val="sr-Latn-ME"/>
        </w:rPr>
        <w:t>ene sebelipaze alfa, što može uticati na sposobnost upravljanja vozilima ili rukovanja mašinama (vid</w:t>
      </w:r>
      <w:r w:rsidR="00963CE3" w:rsidRPr="00AF2694">
        <w:rPr>
          <w:sz w:val="22"/>
          <w:szCs w:val="22"/>
          <w:lang w:val="sr-Latn-ME"/>
        </w:rPr>
        <w:t>j</w:t>
      </w:r>
      <w:r w:rsidR="00251C3A" w:rsidRPr="00AF2694">
        <w:rPr>
          <w:sz w:val="22"/>
          <w:szCs w:val="22"/>
          <w:lang w:val="sr-Latn-ME"/>
        </w:rPr>
        <w:t xml:space="preserve">eti </w:t>
      </w:r>
      <w:r w:rsidR="00963CE3" w:rsidRPr="00AF2694">
        <w:rPr>
          <w:sz w:val="22"/>
          <w:szCs w:val="22"/>
          <w:lang w:val="sr-Latn-ME"/>
        </w:rPr>
        <w:t>dio</w:t>
      </w:r>
      <w:r w:rsidR="00251C3A" w:rsidRPr="00AF2694">
        <w:rPr>
          <w:sz w:val="22"/>
          <w:szCs w:val="22"/>
          <w:lang w:val="sr-Latn-ME"/>
        </w:rPr>
        <w:t xml:space="preserve"> 4.8).</w:t>
      </w:r>
    </w:p>
    <w:p w14:paraId="2BFEDEA9" w14:textId="77777777" w:rsidR="00251C3A" w:rsidRPr="00AF2694" w:rsidRDefault="00251C3A" w:rsidP="00CF11D6">
      <w:pPr>
        <w:tabs>
          <w:tab w:val="left" w:pos="540"/>
          <w:tab w:val="left" w:pos="569"/>
        </w:tabs>
        <w:jc w:val="both"/>
        <w:rPr>
          <w:b/>
          <w:bCs/>
          <w:sz w:val="22"/>
          <w:szCs w:val="22"/>
          <w:lang w:val="sr-Latn-ME"/>
        </w:rPr>
      </w:pPr>
    </w:p>
    <w:p w14:paraId="6E9B54BC" w14:textId="07FDBB16" w:rsidR="0072020E" w:rsidRPr="00AF2694" w:rsidRDefault="0072020E" w:rsidP="00CF11D6">
      <w:pPr>
        <w:tabs>
          <w:tab w:val="left" w:pos="540"/>
          <w:tab w:val="left" w:pos="569"/>
        </w:tabs>
        <w:jc w:val="both"/>
        <w:rPr>
          <w:b/>
          <w:bCs/>
          <w:sz w:val="22"/>
          <w:szCs w:val="22"/>
          <w:lang w:val="sr-Latn-ME"/>
        </w:rPr>
      </w:pPr>
      <w:r w:rsidRPr="00AF2694">
        <w:rPr>
          <w:b/>
          <w:bCs/>
          <w:sz w:val="22"/>
          <w:szCs w:val="22"/>
          <w:lang w:val="sr-Latn-ME"/>
        </w:rPr>
        <w:t xml:space="preserve">4.8. </w:t>
      </w:r>
      <w:r w:rsidR="00480FB1" w:rsidRPr="00AF2694">
        <w:rPr>
          <w:b/>
          <w:bCs/>
          <w:sz w:val="22"/>
          <w:szCs w:val="22"/>
          <w:lang w:val="sr-Latn-ME"/>
        </w:rPr>
        <w:tab/>
      </w:r>
      <w:r w:rsidRPr="00AF2694">
        <w:rPr>
          <w:b/>
          <w:bCs/>
          <w:sz w:val="22"/>
          <w:szCs w:val="22"/>
          <w:lang w:val="sr-Latn-ME"/>
        </w:rPr>
        <w:t>Neželjena dejstva</w:t>
      </w:r>
    </w:p>
    <w:p w14:paraId="580EABB4" w14:textId="77777777" w:rsidR="004E70AD" w:rsidRPr="00AF2694" w:rsidRDefault="004E70AD" w:rsidP="00CF11D6">
      <w:pPr>
        <w:tabs>
          <w:tab w:val="left" w:pos="540"/>
          <w:tab w:val="left" w:pos="569"/>
        </w:tabs>
        <w:jc w:val="both"/>
        <w:rPr>
          <w:b/>
          <w:bCs/>
          <w:sz w:val="22"/>
          <w:szCs w:val="22"/>
          <w:lang w:val="sr-Latn-ME"/>
        </w:rPr>
      </w:pPr>
    </w:p>
    <w:p w14:paraId="5BF08B3A" w14:textId="767EA8E9" w:rsidR="00251C3A" w:rsidRPr="00AF2694" w:rsidRDefault="00251C3A" w:rsidP="00CF11D6">
      <w:pPr>
        <w:tabs>
          <w:tab w:val="left" w:pos="540"/>
          <w:tab w:val="left" w:pos="567"/>
        </w:tabs>
        <w:jc w:val="both"/>
        <w:rPr>
          <w:bCs/>
          <w:sz w:val="22"/>
          <w:szCs w:val="22"/>
          <w:u w:val="single"/>
          <w:lang w:val="sr-Latn-ME"/>
        </w:rPr>
      </w:pPr>
      <w:r w:rsidRPr="00AF2694">
        <w:rPr>
          <w:sz w:val="22"/>
          <w:szCs w:val="22"/>
          <w:u w:val="single"/>
          <w:lang w:val="sr-Latn-ME"/>
        </w:rPr>
        <w:t>Sažetak bezb</w:t>
      </w:r>
      <w:r w:rsidR="00963CE3" w:rsidRPr="00AF2694">
        <w:rPr>
          <w:sz w:val="22"/>
          <w:szCs w:val="22"/>
          <w:u w:val="single"/>
          <w:lang w:val="sr-Latn-ME"/>
        </w:rPr>
        <w:t>j</w:t>
      </w:r>
      <w:r w:rsidRPr="00AF2694">
        <w:rPr>
          <w:sz w:val="22"/>
          <w:szCs w:val="22"/>
          <w:u w:val="single"/>
          <w:lang w:val="sr-Latn-ME"/>
        </w:rPr>
        <w:t>ednosnog profila</w:t>
      </w:r>
    </w:p>
    <w:p w14:paraId="361A0A96" w14:textId="77777777" w:rsidR="00251C3A" w:rsidRPr="00AF2694" w:rsidRDefault="00251C3A" w:rsidP="00CF11D6">
      <w:pPr>
        <w:tabs>
          <w:tab w:val="left" w:pos="540"/>
          <w:tab w:val="left" w:pos="567"/>
        </w:tabs>
        <w:jc w:val="both"/>
        <w:rPr>
          <w:bCs/>
          <w:sz w:val="22"/>
          <w:szCs w:val="22"/>
          <w:u w:val="single"/>
          <w:lang w:val="sr-Latn-ME"/>
        </w:rPr>
      </w:pPr>
    </w:p>
    <w:p w14:paraId="2014E028" w14:textId="4FF14322" w:rsidR="00251C3A" w:rsidRPr="00AF2694" w:rsidRDefault="00251C3A" w:rsidP="00CF11D6">
      <w:pPr>
        <w:tabs>
          <w:tab w:val="left" w:pos="540"/>
          <w:tab w:val="left" w:pos="567"/>
        </w:tabs>
        <w:jc w:val="both"/>
        <w:rPr>
          <w:sz w:val="22"/>
          <w:szCs w:val="22"/>
          <w:lang w:val="sr-Latn-ME"/>
        </w:rPr>
      </w:pPr>
      <w:r w:rsidRPr="00AF2694">
        <w:rPr>
          <w:sz w:val="22"/>
          <w:szCs w:val="22"/>
          <w:lang w:val="sr-Latn-ME"/>
        </w:rPr>
        <w:t>Podaci opisani u nastavku odražavaju izloženost sebelipazi alfa kod 125 pacijenata u dozama od 0,35 mg/kg jednom svake druge ned</w:t>
      </w:r>
      <w:r w:rsidR="00963CE3" w:rsidRPr="00AF2694">
        <w:rPr>
          <w:sz w:val="22"/>
          <w:szCs w:val="22"/>
          <w:lang w:val="sr-Latn-ME"/>
        </w:rPr>
        <w:t>j</w:t>
      </w:r>
      <w:r w:rsidRPr="00AF2694">
        <w:rPr>
          <w:sz w:val="22"/>
          <w:szCs w:val="22"/>
          <w:lang w:val="sr-Latn-ME"/>
        </w:rPr>
        <w:t>elje do 7,5 mg/kg jednom ned</w:t>
      </w:r>
      <w:r w:rsidR="00963CE3" w:rsidRPr="00AF2694">
        <w:rPr>
          <w:sz w:val="22"/>
          <w:szCs w:val="22"/>
          <w:lang w:val="sr-Latn-ME"/>
        </w:rPr>
        <w:t>j</w:t>
      </w:r>
      <w:r w:rsidRPr="00AF2694">
        <w:rPr>
          <w:sz w:val="22"/>
          <w:szCs w:val="22"/>
          <w:lang w:val="sr-Latn-ME"/>
        </w:rPr>
        <w:t>eljno u kliničkim studijama (vid</w:t>
      </w:r>
      <w:r w:rsidR="00963CE3" w:rsidRPr="00AF2694">
        <w:rPr>
          <w:sz w:val="22"/>
          <w:szCs w:val="22"/>
          <w:lang w:val="sr-Latn-ME"/>
        </w:rPr>
        <w:t>j</w:t>
      </w:r>
      <w:r w:rsidRPr="00AF2694">
        <w:rPr>
          <w:sz w:val="22"/>
          <w:szCs w:val="22"/>
          <w:lang w:val="sr-Latn-ME"/>
        </w:rPr>
        <w:t xml:space="preserve">eti </w:t>
      </w:r>
      <w:r w:rsidR="00963CE3" w:rsidRPr="00AF2694">
        <w:rPr>
          <w:sz w:val="22"/>
          <w:szCs w:val="22"/>
          <w:lang w:val="sr-Latn-ME"/>
        </w:rPr>
        <w:t>dio</w:t>
      </w:r>
      <w:r w:rsidRPr="00AF2694">
        <w:rPr>
          <w:sz w:val="22"/>
          <w:szCs w:val="22"/>
          <w:lang w:val="sr-Latn-ME"/>
        </w:rPr>
        <w:t xml:space="preserve"> 5.1), sa trajanjem l</w:t>
      </w:r>
      <w:r w:rsidR="00963CE3" w:rsidRPr="00AF2694">
        <w:rPr>
          <w:sz w:val="22"/>
          <w:szCs w:val="22"/>
          <w:lang w:val="sr-Latn-ME"/>
        </w:rPr>
        <w:t>ij</w:t>
      </w:r>
      <w:r w:rsidRPr="00AF2694">
        <w:rPr>
          <w:sz w:val="22"/>
          <w:szCs w:val="22"/>
          <w:lang w:val="sr-Latn-ME"/>
        </w:rPr>
        <w:t>ečenja u rasponu od 1 dana do 60,5 m</w:t>
      </w:r>
      <w:r w:rsidR="00963CE3" w:rsidRPr="00AF2694">
        <w:rPr>
          <w:sz w:val="22"/>
          <w:szCs w:val="22"/>
          <w:lang w:val="sr-Latn-ME"/>
        </w:rPr>
        <w:t>j</w:t>
      </w:r>
      <w:r w:rsidRPr="00AF2694">
        <w:rPr>
          <w:sz w:val="22"/>
          <w:szCs w:val="22"/>
          <w:lang w:val="sr-Latn-ME"/>
        </w:rPr>
        <w:t>eseci (5 godina).</w:t>
      </w:r>
    </w:p>
    <w:p w14:paraId="5BE812D4" w14:textId="77777777" w:rsidR="00251C3A" w:rsidRPr="00AF2694" w:rsidRDefault="00251C3A" w:rsidP="00CF11D6">
      <w:pPr>
        <w:tabs>
          <w:tab w:val="left" w:pos="540"/>
          <w:tab w:val="left" w:pos="567"/>
        </w:tabs>
        <w:jc w:val="both"/>
        <w:rPr>
          <w:sz w:val="22"/>
          <w:szCs w:val="22"/>
          <w:lang w:val="sr-Latn-ME"/>
        </w:rPr>
      </w:pPr>
    </w:p>
    <w:p w14:paraId="712746F9" w14:textId="50CCFE8E" w:rsidR="00251C3A" w:rsidRPr="00AF2694" w:rsidRDefault="00251C3A" w:rsidP="00CF11D6">
      <w:pPr>
        <w:tabs>
          <w:tab w:val="left" w:pos="540"/>
          <w:tab w:val="left" w:pos="567"/>
        </w:tabs>
        <w:jc w:val="both"/>
        <w:rPr>
          <w:sz w:val="22"/>
          <w:szCs w:val="22"/>
          <w:lang w:val="sr-Latn-ME"/>
        </w:rPr>
      </w:pPr>
      <w:r w:rsidRPr="00AF2694">
        <w:rPr>
          <w:sz w:val="22"/>
          <w:szCs w:val="22"/>
          <w:lang w:val="sr-Latn-ME"/>
        </w:rPr>
        <w:lastRenderedPageBreak/>
        <w:t xml:space="preserve">Od 106 </w:t>
      </w:r>
      <w:r w:rsidR="00B20684" w:rsidRPr="00AF2694">
        <w:rPr>
          <w:sz w:val="22"/>
          <w:szCs w:val="22"/>
          <w:lang w:val="sr-Latn-ME"/>
        </w:rPr>
        <w:t xml:space="preserve">pacijenata, </w:t>
      </w:r>
      <w:r w:rsidRPr="00AF2694">
        <w:rPr>
          <w:sz w:val="22"/>
          <w:szCs w:val="22"/>
          <w:lang w:val="sr-Latn-ME"/>
        </w:rPr>
        <w:t>d</w:t>
      </w:r>
      <w:r w:rsidR="00963CE3" w:rsidRPr="00AF2694">
        <w:rPr>
          <w:sz w:val="22"/>
          <w:szCs w:val="22"/>
          <w:lang w:val="sr-Latn-ME"/>
        </w:rPr>
        <w:t>j</w:t>
      </w:r>
      <w:r w:rsidRPr="00AF2694">
        <w:rPr>
          <w:sz w:val="22"/>
          <w:szCs w:val="22"/>
          <w:lang w:val="sr-Latn-ME"/>
        </w:rPr>
        <w:t xml:space="preserve">ece i odraslih uključenih u kliničke studije, 102 (96,2%) </w:t>
      </w:r>
      <w:r w:rsidR="00B20684" w:rsidRPr="00AF2694">
        <w:rPr>
          <w:sz w:val="22"/>
          <w:szCs w:val="22"/>
          <w:lang w:val="sr-Latn-ME"/>
        </w:rPr>
        <w:t xml:space="preserve">pacijenta </w:t>
      </w:r>
      <w:r w:rsidRPr="00AF2694">
        <w:rPr>
          <w:sz w:val="22"/>
          <w:szCs w:val="22"/>
          <w:lang w:val="sr-Latn-ME"/>
        </w:rPr>
        <w:t>su primali sebelipazu alfa u režimu doziranja od 1 mg/kg jednom svake druge ned</w:t>
      </w:r>
      <w:r w:rsidR="00963CE3" w:rsidRPr="00AF2694">
        <w:rPr>
          <w:sz w:val="22"/>
          <w:szCs w:val="22"/>
          <w:lang w:val="sr-Latn-ME"/>
        </w:rPr>
        <w:t>j</w:t>
      </w:r>
      <w:r w:rsidRPr="00AF2694">
        <w:rPr>
          <w:sz w:val="22"/>
          <w:szCs w:val="22"/>
          <w:lang w:val="sr-Latn-ME"/>
        </w:rPr>
        <w:t>elje, sa srednjom izloženosti od 33 m</w:t>
      </w:r>
      <w:r w:rsidR="00963CE3" w:rsidRPr="00AF2694">
        <w:rPr>
          <w:sz w:val="22"/>
          <w:szCs w:val="22"/>
          <w:lang w:val="sr-Latn-ME"/>
        </w:rPr>
        <w:t>j</w:t>
      </w:r>
      <w:r w:rsidRPr="00AF2694">
        <w:rPr>
          <w:sz w:val="22"/>
          <w:szCs w:val="22"/>
          <w:lang w:val="sr-Latn-ME"/>
        </w:rPr>
        <w:t>eseca (6, 59 m</w:t>
      </w:r>
      <w:r w:rsidR="00963CE3" w:rsidRPr="00AF2694">
        <w:rPr>
          <w:sz w:val="22"/>
          <w:szCs w:val="22"/>
          <w:lang w:val="sr-Latn-ME"/>
        </w:rPr>
        <w:t>j</w:t>
      </w:r>
      <w:r w:rsidRPr="00AF2694">
        <w:rPr>
          <w:sz w:val="22"/>
          <w:szCs w:val="22"/>
          <w:lang w:val="sr-Latn-ME"/>
        </w:rPr>
        <w:t>eseci). Srednja izloženost kod 19 dojenčadi uključenih u kliničke studije bila je 35,5 m</w:t>
      </w:r>
      <w:r w:rsidR="00963CE3" w:rsidRPr="00AF2694">
        <w:rPr>
          <w:sz w:val="22"/>
          <w:szCs w:val="22"/>
          <w:lang w:val="sr-Latn-ME"/>
        </w:rPr>
        <w:t>j</w:t>
      </w:r>
      <w:r w:rsidRPr="00AF2694">
        <w:rPr>
          <w:sz w:val="22"/>
          <w:szCs w:val="22"/>
          <w:lang w:val="sr-Latn-ME"/>
        </w:rPr>
        <w:t>eseci (</w:t>
      </w:r>
      <w:r w:rsidR="00B20684" w:rsidRPr="00AF2694">
        <w:rPr>
          <w:sz w:val="22"/>
          <w:szCs w:val="22"/>
          <w:lang w:val="sr-Latn-ME"/>
        </w:rPr>
        <w:t xml:space="preserve">od </w:t>
      </w:r>
      <w:r w:rsidRPr="00AF2694">
        <w:rPr>
          <w:sz w:val="22"/>
          <w:szCs w:val="22"/>
          <w:lang w:val="sr-Latn-ME"/>
        </w:rPr>
        <w:t>1 dan</w:t>
      </w:r>
      <w:r w:rsidR="00B20684" w:rsidRPr="00AF2694">
        <w:rPr>
          <w:sz w:val="22"/>
          <w:szCs w:val="22"/>
          <w:lang w:val="sr-Latn-ME"/>
        </w:rPr>
        <w:t>a</w:t>
      </w:r>
      <w:r w:rsidRPr="00AF2694">
        <w:rPr>
          <w:sz w:val="22"/>
          <w:szCs w:val="22"/>
          <w:lang w:val="sr-Latn-ME"/>
        </w:rPr>
        <w:t xml:space="preserve"> do 60 m</w:t>
      </w:r>
      <w:r w:rsidR="00963CE3" w:rsidRPr="00AF2694">
        <w:rPr>
          <w:sz w:val="22"/>
          <w:szCs w:val="22"/>
          <w:lang w:val="sr-Latn-ME"/>
        </w:rPr>
        <w:t>j</w:t>
      </w:r>
      <w:r w:rsidRPr="00AF2694">
        <w:rPr>
          <w:sz w:val="22"/>
          <w:szCs w:val="22"/>
          <w:lang w:val="sr-Latn-ME"/>
        </w:rPr>
        <w:t>eseci).</w:t>
      </w:r>
    </w:p>
    <w:p w14:paraId="0ADAB73F" w14:textId="77777777" w:rsidR="00251C3A" w:rsidRPr="00AF2694" w:rsidRDefault="00251C3A" w:rsidP="00CF11D6">
      <w:pPr>
        <w:tabs>
          <w:tab w:val="left" w:pos="540"/>
          <w:tab w:val="left" w:pos="567"/>
        </w:tabs>
        <w:jc w:val="both"/>
        <w:rPr>
          <w:sz w:val="22"/>
          <w:szCs w:val="22"/>
          <w:lang w:val="sr-Latn-ME"/>
        </w:rPr>
      </w:pPr>
    </w:p>
    <w:p w14:paraId="03B497E0" w14:textId="390DB688" w:rsidR="00251C3A" w:rsidRPr="00AF2694" w:rsidRDefault="00251C3A" w:rsidP="00CF11D6">
      <w:pPr>
        <w:tabs>
          <w:tab w:val="left" w:pos="540"/>
          <w:tab w:val="left" w:pos="567"/>
        </w:tabs>
        <w:jc w:val="both"/>
        <w:rPr>
          <w:sz w:val="22"/>
          <w:szCs w:val="22"/>
          <w:lang w:val="sr-Latn-ME"/>
        </w:rPr>
      </w:pPr>
      <w:r w:rsidRPr="00AF2694">
        <w:rPr>
          <w:sz w:val="22"/>
          <w:szCs w:val="22"/>
          <w:lang w:val="sr-Latn-ME"/>
        </w:rPr>
        <w:t>Najozbiljnije neželjene reakcije doživ</w:t>
      </w:r>
      <w:r w:rsidR="00963CE3" w:rsidRPr="00AF2694">
        <w:rPr>
          <w:sz w:val="22"/>
          <w:szCs w:val="22"/>
          <w:lang w:val="sr-Latn-ME"/>
        </w:rPr>
        <w:t>j</w:t>
      </w:r>
      <w:r w:rsidRPr="00AF2694">
        <w:rPr>
          <w:sz w:val="22"/>
          <w:szCs w:val="22"/>
          <w:lang w:val="sr-Latn-ME"/>
        </w:rPr>
        <w:t xml:space="preserve">elo je 4% pacijenata u kliničkim studijama, a bile su u skladu sa simptomima anafilaksije. </w:t>
      </w:r>
      <w:bookmarkStart w:id="4" w:name="_Hlk30173243"/>
      <w:r w:rsidRPr="00AF2694">
        <w:rPr>
          <w:sz w:val="22"/>
          <w:szCs w:val="22"/>
          <w:lang w:val="sr-Latn-ME"/>
        </w:rPr>
        <w:t xml:space="preserve">Simptomi i znaci uključivali su: nelagodnost u grudima, konjunktivalnu hiperemiju, dispneju, hiperemiju, edem kapaka, rinoreju, </w:t>
      </w:r>
      <w:r w:rsidR="00B20684" w:rsidRPr="00AF2694">
        <w:rPr>
          <w:sz w:val="22"/>
          <w:szCs w:val="22"/>
          <w:lang w:val="sr-Latn-ME"/>
        </w:rPr>
        <w:t xml:space="preserve">težak </w:t>
      </w:r>
      <w:r w:rsidRPr="00AF2694">
        <w:rPr>
          <w:sz w:val="22"/>
          <w:szCs w:val="22"/>
          <w:lang w:val="sr-Latn-ME"/>
        </w:rPr>
        <w:t xml:space="preserve">respiratorni distres, tahikardiju, tahipneju, razdražljivost, </w:t>
      </w:r>
      <w:r w:rsidR="00B20684" w:rsidRPr="00AF2694">
        <w:rPr>
          <w:sz w:val="22"/>
          <w:szCs w:val="22"/>
          <w:lang w:val="sr-Latn-ME"/>
        </w:rPr>
        <w:t xml:space="preserve">nalete </w:t>
      </w:r>
      <w:r w:rsidRPr="00AF2694">
        <w:rPr>
          <w:sz w:val="22"/>
          <w:szCs w:val="22"/>
          <w:lang w:val="sr-Latn-ME"/>
        </w:rPr>
        <w:t>crvenil</w:t>
      </w:r>
      <w:r w:rsidR="00B20684" w:rsidRPr="00AF2694">
        <w:rPr>
          <w:sz w:val="22"/>
          <w:szCs w:val="22"/>
          <w:lang w:val="sr-Latn-ME"/>
        </w:rPr>
        <w:t>a</w:t>
      </w:r>
      <w:r w:rsidRPr="00AF2694">
        <w:rPr>
          <w:sz w:val="22"/>
          <w:szCs w:val="22"/>
          <w:lang w:val="sr-Latn-ME"/>
        </w:rPr>
        <w:t>, svrab, urtikariju, stridor, hipoksiju, bl</w:t>
      </w:r>
      <w:r w:rsidR="00963CE3" w:rsidRPr="00AF2694">
        <w:rPr>
          <w:sz w:val="22"/>
          <w:szCs w:val="22"/>
          <w:lang w:val="sr-Latn-ME"/>
        </w:rPr>
        <w:t>j</w:t>
      </w:r>
      <w:r w:rsidRPr="00AF2694">
        <w:rPr>
          <w:sz w:val="22"/>
          <w:szCs w:val="22"/>
          <w:lang w:val="sr-Latn-ME"/>
        </w:rPr>
        <w:t>edilo i dijareju.</w:t>
      </w:r>
      <w:bookmarkEnd w:id="4"/>
      <w:r w:rsidRPr="00AF2694">
        <w:rPr>
          <w:sz w:val="22"/>
          <w:szCs w:val="22"/>
          <w:lang w:val="sr-Latn-ME"/>
        </w:rPr>
        <w:t xml:space="preserve"> </w:t>
      </w:r>
    </w:p>
    <w:p w14:paraId="42331164" w14:textId="77777777" w:rsidR="00251C3A" w:rsidRPr="00AF2694" w:rsidRDefault="00251C3A" w:rsidP="00CF11D6">
      <w:pPr>
        <w:tabs>
          <w:tab w:val="left" w:pos="540"/>
          <w:tab w:val="left" w:pos="567"/>
        </w:tabs>
        <w:jc w:val="both"/>
        <w:rPr>
          <w:sz w:val="22"/>
          <w:szCs w:val="22"/>
          <w:lang w:val="sr-Latn-ME"/>
        </w:rPr>
      </w:pPr>
    </w:p>
    <w:p w14:paraId="3C2EF8D4" w14:textId="77777777" w:rsidR="00251C3A" w:rsidRPr="00AF2694" w:rsidRDefault="00251C3A" w:rsidP="00CF11D6">
      <w:pPr>
        <w:tabs>
          <w:tab w:val="left" w:pos="540"/>
          <w:tab w:val="left" w:pos="567"/>
        </w:tabs>
        <w:jc w:val="both"/>
        <w:rPr>
          <w:sz w:val="22"/>
          <w:szCs w:val="22"/>
          <w:u w:val="single"/>
          <w:lang w:val="sr-Latn-ME"/>
        </w:rPr>
      </w:pPr>
      <w:r w:rsidRPr="00AF2694">
        <w:rPr>
          <w:sz w:val="22"/>
          <w:szCs w:val="22"/>
          <w:u w:val="single"/>
          <w:lang w:val="sr-Latn-ME"/>
        </w:rPr>
        <w:t>Tabelarni prikaz neželjenih reakcija</w:t>
      </w:r>
    </w:p>
    <w:p w14:paraId="710CAC23" w14:textId="77777777" w:rsidR="00251C3A" w:rsidRPr="00AF2694" w:rsidRDefault="00251C3A" w:rsidP="00CF11D6">
      <w:pPr>
        <w:tabs>
          <w:tab w:val="left" w:pos="540"/>
          <w:tab w:val="left" w:pos="567"/>
        </w:tabs>
        <w:jc w:val="both"/>
        <w:rPr>
          <w:sz w:val="22"/>
          <w:szCs w:val="22"/>
          <w:u w:val="single"/>
          <w:lang w:val="sr-Latn-ME"/>
        </w:rPr>
      </w:pPr>
    </w:p>
    <w:p w14:paraId="0E34B3BA" w14:textId="3152E8A2" w:rsidR="00251C3A" w:rsidRPr="00AF2694" w:rsidRDefault="00251C3A" w:rsidP="00CF11D6">
      <w:pPr>
        <w:tabs>
          <w:tab w:val="left" w:pos="540"/>
          <w:tab w:val="left" w:pos="567"/>
        </w:tabs>
        <w:jc w:val="both"/>
        <w:rPr>
          <w:sz w:val="22"/>
          <w:szCs w:val="22"/>
          <w:lang w:val="sr-Latn-ME"/>
        </w:rPr>
      </w:pPr>
      <w:r w:rsidRPr="00AF2694">
        <w:rPr>
          <w:sz w:val="22"/>
          <w:szCs w:val="22"/>
          <w:lang w:val="sr-Latn-ME"/>
        </w:rPr>
        <w:t>Podaci u Tabeli 1 opisuju neželjene reakcije prijavljene kod dojenčadi koja su primala sebelipazu alfa u kliničkim studijama. Podaci u Tabeli 2 opisuju neželjene reakcije prijavljene kod d</w:t>
      </w:r>
      <w:r w:rsidR="00963CE3" w:rsidRPr="00AF2694">
        <w:rPr>
          <w:sz w:val="22"/>
          <w:szCs w:val="22"/>
          <w:lang w:val="sr-Latn-ME"/>
        </w:rPr>
        <w:t>j</w:t>
      </w:r>
      <w:r w:rsidRPr="00AF2694">
        <w:rPr>
          <w:sz w:val="22"/>
          <w:szCs w:val="22"/>
          <w:lang w:val="sr-Latn-ME"/>
        </w:rPr>
        <w:t xml:space="preserve">ece i odraslih koji su primali sebelipazu alfa u kliničkim studijama. </w:t>
      </w:r>
    </w:p>
    <w:p w14:paraId="16DFA789" w14:textId="77777777" w:rsidR="00251C3A" w:rsidRPr="00AF2694" w:rsidRDefault="00251C3A" w:rsidP="00CF11D6">
      <w:pPr>
        <w:tabs>
          <w:tab w:val="left" w:pos="540"/>
          <w:tab w:val="left" w:pos="567"/>
        </w:tabs>
        <w:jc w:val="both"/>
        <w:rPr>
          <w:sz w:val="22"/>
          <w:szCs w:val="22"/>
          <w:lang w:val="sr-Latn-ME"/>
        </w:rPr>
      </w:pPr>
    </w:p>
    <w:p w14:paraId="1D2AF8C1" w14:textId="3EB5C2A3" w:rsidR="00251C3A" w:rsidRPr="00AF2694" w:rsidRDefault="00251C3A" w:rsidP="00CF11D6">
      <w:pPr>
        <w:tabs>
          <w:tab w:val="left" w:pos="540"/>
          <w:tab w:val="left" w:pos="567"/>
        </w:tabs>
        <w:jc w:val="both"/>
        <w:rPr>
          <w:sz w:val="22"/>
          <w:szCs w:val="22"/>
          <w:lang w:val="sr-Latn-ME"/>
        </w:rPr>
      </w:pPr>
      <w:r w:rsidRPr="00AF2694">
        <w:rPr>
          <w:sz w:val="22"/>
          <w:szCs w:val="22"/>
          <w:lang w:val="sr-Latn-ME"/>
        </w:rPr>
        <w:t>Neželjene reakcije su navedene prema klasifikaciji sistema organa (SOC) i učestalosti. Učestalosti su definisane prema sl</w:t>
      </w:r>
      <w:r w:rsidR="00963CE3" w:rsidRPr="00AF2694">
        <w:rPr>
          <w:sz w:val="22"/>
          <w:szCs w:val="22"/>
          <w:lang w:val="sr-Latn-ME"/>
        </w:rPr>
        <w:t>j</w:t>
      </w:r>
      <w:r w:rsidRPr="00AF2694">
        <w:rPr>
          <w:sz w:val="22"/>
          <w:szCs w:val="22"/>
          <w:lang w:val="sr-Latn-ME"/>
        </w:rPr>
        <w:t>edećoj konvenciji: veoma često (</w:t>
      </w:r>
      <w:r w:rsidRPr="00AF2694">
        <w:rPr>
          <w:sz w:val="22"/>
          <w:szCs w:val="22"/>
          <w:lang w:val="sr-Latn-ME"/>
        </w:rPr>
        <w:sym w:font="Symbol" w:char="F0B3"/>
      </w:r>
      <w:r w:rsidRPr="00AF2694">
        <w:rPr>
          <w:sz w:val="22"/>
          <w:szCs w:val="22"/>
          <w:lang w:val="sr-Latn-ME"/>
        </w:rPr>
        <w:t> 1/10); često (</w:t>
      </w:r>
      <w:r w:rsidRPr="00AF2694">
        <w:rPr>
          <w:sz w:val="22"/>
          <w:szCs w:val="22"/>
          <w:lang w:val="sr-Latn-ME"/>
        </w:rPr>
        <w:sym w:font="Symbol" w:char="F0B3"/>
      </w:r>
      <w:r w:rsidRPr="00AF2694">
        <w:rPr>
          <w:sz w:val="22"/>
          <w:szCs w:val="22"/>
          <w:lang w:val="sr-Latn-ME"/>
        </w:rPr>
        <w:t> 1/100 do &lt; 1/10), r</w:t>
      </w:r>
      <w:r w:rsidR="00963CE3" w:rsidRPr="00AF2694">
        <w:rPr>
          <w:sz w:val="22"/>
          <w:szCs w:val="22"/>
          <w:lang w:val="sr-Latn-ME"/>
        </w:rPr>
        <w:t>ij</w:t>
      </w:r>
      <w:r w:rsidRPr="00AF2694">
        <w:rPr>
          <w:sz w:val="22"/>
          <w:szCs w:val="22"/>
          <w:lang w:val="sr-Latn-ME"/>
        </w:rPr>
        <w:t>etko (</w:t>
      </w:r>
      <w:r w:rsidRPr="00AF2694">
        <w:rPr>
          <w:sz w:val="22"/>
          <w:szCs w:val="22"/>
          <w:lang w:val="sr-Latn-ME"/>
        </w:rPr>
        <w:sym w:font="Symbol" w:char="F0B3"/>
      </w:r>
      <w:r w:rsidRPr="00AF2694">
        <w:rPr>
          <w:sz w:val="22"/>
          <w:szCs w:val="22"/>
          <w:lang w:val="sr-Latn-ME"/>
        </w:rPr>
        <w:t> 1/1,000 do &lt; 1/100), vrlo r</w:t>
      </w:r>
      <w:r w:rsidR="00963CE3" w:rsidRPr="00AF2694">
        <w:rPr>
          <w:sz w:val="22"/>
          <w:szCs w:val="22"/>
          <w:lang w:val="sr-Latn-ME"/>
        </w:rPr>
        <w:t>ij</w:t>
      </w:r>
      <w:r w:rsidRPr="00AF2694">
        <w:rPr>
          <w:sz w:val="22"/>
          <w:szCs w:val="22"/>
          <w:lang w:val="sr-Latn-ME"/>
        </w:rPr>
        <w:t>etko (</w:t>
      </w:r>
      <w:r w:rsidRPr="00AF2694">
        <w:rPr>
          <w:sz w:val="22"/>
          <w:szCs w:val="22"/>
          <w:lang w:val="sr-Latn-ME"/>
        </w:rPr>
        <w:sym w:font="Symbol" w:char="F0B3"/>
      </w:r>
      <w:r w:rsidRPr="00AF2694">
        <w:rPr>
          <w:sz w:val="22"/>
          <w:szCs w:val="22"/>
          <w:lang w:val="sr-Latn-ME"/>
        </w:rPr>
        <w:t> 1/10,000 do &lt; 1/1,000), veoma r</w:t>
      </w:r>
      <w:r w:rsidR="00963CE3" w:rsidRPr="00AF2694">
        <w:rPr>
          <w:sz w:val="22"/>
          <w:szCs w:val="22"/>
          <w:lang w:val="sr-Latn-ME"/>
        </w:rPr>
        <w:t>ij</w:t>
      </w:r>
      <w:r w:rsidRPr="00AF2694">
        <w:rPr>
          <w:sz w:val="22"/>
          <w:szCs w:val="22"/>
          <w:lang w:val="sr-Latn-ME"/>
        </w:rPr>
        <w:t>etko (&lt; 1/10,000) i nepoznato (ne može se proc</w:t>
      </w:r>
      <w:r w:rsidR="00963CE3" w:rsidRPr="00AF2694">
        <w:rPr>
          <w:sz w:val="22"/>
          <w:szCs w:val="22"/>
          <w:lang w:val="sr-Latn-ME"/>
        </w:rPr>
        <w:t>ij</w:t>
      </w:r>
      <w:r w:rsidRPr="00AF2694">
        <w:rPr>
          <w:sz w:val="22"/>
          <w:szCs w:val="22"/>
          <w:lang w:val="sr-Latn-ME"/>
        </w:rPr>
        <w:t>eniti iz dostupnih podataka).</w:t>
      </w:r>
    </w:p>
    <w:p w14:paraId="1495D09E" w14:textId="77777777" w:rsidR="00251C3A" w:rsidRPr="00AF2694" w:rsidRDefault="00251C3A" w:rsidP="00CF11D6">
      <w:pPr>
        <w:tabs>
          <w:tab w:val="left" w:pos="540"/>
          <w:tab w:val="left" w:pos="567"/>
        </w:tabs>
        <w:jc w:val="both"/>
        <w:rPr>
          <w:sz w:val="22"/>
          <w:szCs w:val="22"/>
          <w:lang w:val="sr-Latn-ME"/>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17"/>
        <w:gridCol w:w="3621"/>
        <w:gridCol w:w="1591"/>
      </w:tblGrid>
      <w:tr w:rsidR="00251C3A" w:rsidRPr="00AF2694" w14:paraId="547354EA" w14:textId="77777777" w:rsidTr="004B3317">
        <w:trPr>
          <w:cantSplit/>
          <w:trHeight w:val="340"/>
        </w:trPr>
        <w:tc>
          <w:tcPr>
            <w:tcW w:w="5000" w:type="pct"/>
            <w:gridSpan w:val="3"/>
            <w:tcBorders>
              <w:top w:val="nil"/>
              <w:left w:val="nil"/>
              <w:right w:val="nil"/>
            </w:tcBorders>
            <w:vAlign w:val="center"/>
          </w:tcPr>
          <w:p w14:paraId="52710255" w14:textId="77777777" w:rsidR="00251C3A" w:rsidRPr="00AF2694" w:rsidRDefault="00251C3A" w:rsidP="00CF11D6">
            <w:pPr>
              <w:tabs>
                <w:tab w:val="left" w:pos="540"/>
                <w:tab w:val="left" w:pos="567"/>
              </w:tabs>
              <w:jc w:val="both"/>
              <w:rPr>
                <w:b/>
                <w:sz w:val="22"/>
                <w:szCs w:val="22"/>
                <w:lang w:val="sr-Latn-ME"/>
              </w:rPr>
            </w:pPr>
            <w:r w:rsidRPr="00AF2694">
              <w:rPr>
                <w:b/>
                <w:bCs/>
                <w:sz w:val="22"/>
                <w:szCs w:val="22"/>
                <w:lang w:val="sr-Latn-ME"/>
              </w:rPr>
              <w:t>Tabela 1: Neželjene reakcije prijavljene kod dojenčadi koja primaju sebelipazu alfa (N = 19 pacijenata)</w:t>
            </w:r>
          </w:p>
        </w:tc>
      </w:tr>
      <w:tr w:rsidR="00251C3A" w:rsidRPr="00AF2694" w14:paraId="1E225995" w14:textId="77777777" w:rsidTr="004B3317">
        <w:trPr>
          <w:cantSplit/>
          <w:trHeight w:val="340"/>
        </w:trPr>
        <w:tc>
          <w:tcPr>
            <w:tcW w:w="2114" w:type="pct"/>
            <w:vAlign w:val="center"/>
          </w:tcPr>
          <w:p w14:paraId="678D6D45" w14:textId="77777777" w:rsidR="00251C3A" w:rsidRPr="00AF2694" w:rsidRDefault="00251C3A" w:rsidP="00CF11D6">
            <w:pPr>
              <w:tabs>
                <w:tab w:val="left" w:pos="540"/>
                <w:tab w:val="left" w:pos="569"/>
              </w:tabs>
              <w:jc w:val="both"/>
              <w:rPr>
                <w:b/>
                <w:sz w:val="22"/>
                <w:szCs w:val="22"/>
                <w:lang w:val="sr-Latn-ME"/>
              </w:rPr>
            </w:pPr>
            <w:r w:rsidRPr="00AF2694">
              <w:rPr>
                <w:b/>
                <w:bCs/>
                <w:sz w:val="22"/>
                <w:szCs w:val="22"/>
                <w:lang w:val="sr-Latn-ME"/>
              </w:rPr>
              <w:t>Klasa sistema organa MedDRA</w:t>
            </w:r>
          </w:p>
        </w:tc>
        <w:tc>
          <w:tcPr>
            <w:tcW w:w="2005" w:type="pct"/>
            <w:vAlign w:val="center"/>
          </w:tcPr>
          <w:p w14:paraId="37A5EF38" w14:textId="77777777" w:rsidR="00251C3A" w:rsidRPr="00AF2694" w:rsidRDefault="00251C3A" w:rsidP="00CF11D6">
            <w:pPr>
              <w:tabs>
                <w:tab w:val="left" w:pos="540"/>
                <w:tab w:val="left" w:pos="569"/>
              </w:tabs>
              <w:jc w:val="both"/>
              <w:rPr>
                <w:b/>
                <w:sz w:val="22"/>
                <w:szCs w:val="22"/>
                <w:lang w:val="sr-Latn-ME"/>
              </w:rPr>
            </w:pPr>
            <w:r w:rsidRPr="00AF2694">
              <w:rPr>
                <w:b/>
                <w:bCs/>
                <w:sz w:val="22"/>
                <w:szCs w:val="22"/>
                <w:lang w:val="sr-Latn-ME"/>
              </w:rPr>
              <w:t>MedDRA preferirani termin</w:t>
            </w:r>
          </w:p>
        </w:tc>
        <w:tc>
          <w:tcPr>
            <w:tcW w:w="881" w:type="pct"/>
          </w:tcPr>
          <w:p w14:paraId="73D71A8C" w14:textId="77777777" w:rsidR="00251C3A" w:rsidRPr="00AF2694" w:rsidRDefault="00251C3A" w:rsidP="00CF11D6">
            <w:pPr>
              <w:tabs>
                <w:tab w:val="left" w:pos="540"/>
                <w:tab w:val="left" w:pos="569"/>
              </w:tabs>
              <w:jc w:val="both"/>
              <w:rPr>
                <w:b/>
                <w:sz w:val="22"/>
                <w:szCs w:val="22"/>
                <w:lang w:val="sr-Latn-ME"/>
              </w:rPr>
            </w:pPr>
            <w:r w:rsidRPr="00AF2694">
              <w:rPr>
                <w:b/>
                <w:bCs/>
                <w:sz w:val="22"/>
                <w:szCs w:val="22"/>
                <w:lang w:val="sr-Latn-ME"/>
              </w:rPr>
              <w:t>Učestalost</w:t>
            </w:r>
          </w:p>
        </w:tc>
      </w:tr>
      <w:tr w:rsidR="00251C3A" w:rsidRPr="00AF2694" w14:paraId="3AF79083" w14:textId="77777777" w:rsidTr="004B3317">
        <w:trPr>
          <w:cantSplit/>
          <w:trHeight w:val="340"/>
        </w:trPr>
        <w:tc>
          <w:tcPr>
            <w:tcW w:w="2114" w:type="pct"/>
            <w:vAlign w:val="center"/>
          </w:tcPr>
          <w:p w14:paraId="26D37230"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Poremećaji imunskog sistema</w:t>
            </w:r>
          </w:p>
        </w:tc>
        <w:tc>
          <w:tcPr>
            <w:tcW w:w="2005" w:type="pct"/>
            <w:vAlign w:val="center"/>
          </w:tcPr>
          <w:p w14:paraId="18D052BD" w14:textId="5DF8CE9D" w:rsidR="00251C3A" w:rsidRPr="00AF2694" w:rsidRDefault="00251C3A" w:rsidP="00CF11D6">
            <w:pPr>
              <w:tabs>
                <w:tab w:val="left" w:pos="540"/>
                <w:tab w:val="left" w:pos="569"/>
              </w:tabs>
              <w:jc w:val="both"/>
              <w:rPr>
                <w:sz w:val="22"/>
                <w:szCs w:val="22"/>
                <w:vertAlign w:val="superscript"/>
                <w:lang w:val="sr-Latn-ME"/>
              </w:rPr>
            </w:pPr>
            <w:r w:rsidRPr="00AF2694">
              <w:rPr>
                <w:sz w:val="22"/>
                <w:szCs w:val="22"/>
                <w:lang w:val="sr-Latn-ME"/>
              </w:rPr>
              <w:t>Preos</w:t>
            </w:r>
            <w:r w:rsidR="00963CE3" w:rsidRPr="00AF2694">
              <w:rPr>
                <w:sz w:val="22"/>
                <w:szCs w:val="22"/>
                <w:lang w:val="sr-Latn-ME"/>
              </w:rPr>
              <w:t>j</w:t>
            </w:r>
            <w:r w:rsidRPr="00AF2694">
              <w:rPr>
                <w:sz w:val="22"/>
                <w:szCs w:val="22"/>
                <w:lang w:val="sr-Latn-ME"/>
              </w:rPr>
              <w:t>etljivost*</w:t>
            </w:r>
          </w:p>
          <w:p w14:paraId="0B02D216"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Anafilaktička reakcija</w:t>
            </w:r>
            <w:r w:rsidRPr="00AF2694">
              <w:rPr>
                <w:sz w:val="22"/>
                <w:szCs w:val="22"/>
                <w:vertAlign w:val="superscript"/>
                <w:lang w:val="sr-Latn-ME"/>
              </w:rPr>
              <w:t>b</w:t>
            </w:r>
          </w:p>
        </w:tc>
        <w:tc>
          <w:tcPr>
            <w:tcW w:w="881" w:type="pct"/>
          </w:tcPr>
          <w:p w14:paraId="06425D07"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Veoma često</w:t>
            </w:r>
          </w:p>
        </w:tc>
      </w:tr>
      <w:tr w:rsidR="00251C3A" w:rsidRPr="00AF2694" w14:paraId="0E804FAF" w14:textId="77777777" w:rsidTr="004B3317">
        <w:trPr>
          <w:cantSplit/>
          <w:trHeight w:val="340"/>
        </w:trPr>
        <w:tc>
          <w:tcPr>
            <w:tcW w:w="2114" w:type="pct"/>
            <w:vAlign w:val="center"/>
          </w:tcPr>
          <w:p w14:paraId="466FC98E"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Poremećaji oka</w:t>
            </w:r>
          </w:p>
        </w:tc>
        <w:tc>
          <w:tcPr>
            <w:tcW w:w="2005" w:type="pct"/>
            <w:vAlign w:val="center"/>
          </w:tcPr>
          <w:p w14:paraId="49942FDE"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Otok (edem) kapaka</w:t>
            </w:r>
          </w:p>
        </w:tc>
        <w:tc>
          <w:tcPr>
            <w:tcW w:w="881" w:type="pct"/>
          </w:tcPr>
          <w:p w14:paraId="54FD24F9"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Veoma često</w:t>
            </w:r>
          </w:p>
        </w:tc>
      </w:tr>
      <w:tr w:rsidR="00251C3A" w:rsidRPr="00AF2694" w14:paraId="215DCC39" w14:textId="77777777" w:rsidTr="004B3317">
        <w:trPr>
          <w:cantSplit/>
          <w:trHeight w:val="340"/>
        </w:trPr>
        <w:tc>
          <w:tcPr>
            <w:tcW w:w="2114" w:type="pct"/>
            <w:vAlign w:val="center"/>
          </w:tcPr>
          <w:p w14:paraId="6B7D9D46"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Srčani poremećaji</w:t>
            </w:r>
          </w:p>
        </w:tc>
        <w:tc>
          <w:tcPr>
            <w:tcW w:w="2005" w:type="pct"/>
            <w:vAlign w:val="center"/>
          </w:tcPr>
          <w:p w14:paraId="4D07892E"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Tahikardija</w:t>
            </w:r>
          </w:p>
        </w:tc>
        <w:tc>
          <w:tcPr>
            <w:tcW w:w="881" w:type="pct"/>
          </w:tcPr>
          <w:p w14:paraId="35268234"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Veoma često</w:t>
            </w:r>
          </w:p>
        </w:tc>
      </w:tr>
      <w:tr w:rsidR="00251C3A" w:rsidRPr="00AF2694" w14:paraId="7A449638" w14:textId="77777777" w:rsidTr="004B3317">
        <w:trPr>
          <w:cantSplit/>
          <w:trHeight w:val="340"/>
        </w:trPr>
        <w:tc>
          <w:tcPr>
            <w:tcW w:w="2114" w:type="pct"/>
            <w:vAlign w:val="center"/>
          </w:tcPr>
          <w:p w14:paraId="26707D8D"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Poremećaji respiratornog sistema, toraksa i medijastinuma</w:t>
            </w:r>
          </w:p>
        </w:tc>
        <w:tc>
          <w:tcPr>
            <w:tcW w:w="2005" w:type="pct"/>
            <w:vAlign w:val="center"/>
          </w:tcPr>
          <w:p w14:paraId="448D51B4"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Respiratorni distres</w:t>
            </w:r>
          </w:p>
        </w:tc>
        <w:tc>
          <w:tcPr>
            <w:tcW w:w="881" w:type="pct"/>
          </w:tcPr>
          <w:p w14:paraId="7C844B2A"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Veoma često</w:t>
            </w:r>
          </w:p>
        </w:tc>
      </w:tr>
      <w:tr w:rsidR="00251C3A" w:rsidRPr="00AF2694" w14:paraId="60B624D6" w14:textId="77777777" w:rsidTr="004B3317">
        <w:trPr>
          <w:cantSplit/>
          <w:trHeight w:val="340"/>
        </w:trPr>
        <w:tc>
          <w:tcPr>
            <w:tcW w:w="2114" w:type="pct"/>
            <w:vAlign w:val="center"/>
          </w:tcPr>
          <w:p w14:paraId="3443EE3C"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Gastrointestinalni poremećaji</w:t>
            </w:r>
          </w:p>
        </w:tc>
        <w:tc>
          <w:tcPr>
            <w:tcW w:w="2005" w:type="pct"/>
            <w:vAlign w:val="center"/>
          </w:tcPr>
          <w:p w14:paraId="2D17526F"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Povraćanje</w:t>
            </w:r>
          </w:p>
          <w:p w14:paraId="72C22F9B"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Dijareja </w:t>
            </w:r>
          </w:p>
        </w:tc>
        <w:tc>
          <w:tcPr>
            <w:tcW w:w="881" w:type="pct"/>
          </w:tcPr>
          <w:p w14:paraId="1EA951DC"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Veoma često</w:t>
            </w:r>
          </w:p>
        </w:tc>
      </w:tr>
      <w:tr w:rsidR="00251C3A" w:rsidRPr="00AF2694" w14:paraId="0D7ED5E8" w14:textId="77777777" w:rsidTr="004B3317">
        <w:trPr>
          <w:cantSplit/>
          <w:trHeight w:val="340"/>
        </w:trPr>
        <w:tc>
          <w:tcPr>
            <w:tcW w:w="2114" w:type="pct"/>
            <w:vAlign w:val="center"/>
          </w:tcPr>
          <w:p w14:paraId="46AFFD42"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Poremećaji kože i potkožnog tkiva</w:t>
            </w:r>
          </w:p>
        </w:tc>
        <w:tc>
          <w:tcPr>
            <w:tcW w:w="2005" w:type="pct"/>
            <w:vAlign w:val="center"/>
          </w:tcPr>
          <w:p w14:paraId="6893ACCF"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Osip </w:t>
            </w:r>
          </w:p>
          <w:p w14:paraId="04596741"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Makulopapulozni osip</w:t>
            </w:r>
          </w:p>
        </w:tc>
        <w:tc>
          <w:tcPr>
            <w:tcW w:w="881" w:type="pct"/>
          </w:tcPr>
          <w:p w14:paraId="74DAEB39"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Veoma često</w:t>
            </w:r>
          </w:p>
        </w:tc>
      </w:tr>
      <w:tr w:rsidR="00251C3A" w:rsidRPr="00AF2694" w14:paraId="3257D5B1" w14:textId="77777777" w:rsidTr="004B3317">
        <w:trPr>
          <w:cantSplit/>
          <w:trHeight w:val="340"/>
        </w:trPr>
        <w:tc>
          <w:tcPr>
            <w:tcW w:w="2114" w:type="pct"/>
            <w:vAlign w:val="center"/>
          </w:tcPr>
          <w:p w14:paraId="55E0E3D8" w14:textId="5E20477C"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Opšti poremećaji i </w:t>
            </w:r>
            <w:r w:rsidR="001A69B7" w:rsidRPr="00AF2694">
              <w:rPr>
                <w:sz w:val="22"/>
                <w:szCs w:val="22"/>
                <w:lang w:val="sr-Latn-ME"/>
              </w:rPr>
              <w:t>reakcije</w:t>
            </w:r>
            <w:r w:rsidRPr="00AF2694">
              <w:rPr>
                <w:sz w:val="22"/>
                <w:szCs w:val="22"/>
                <w:lang w:val="sr-Latn-ME"/>
              </w:rPr>
              <w:t xml:space="preserve"> na m</w:t>
            </w:r>
            <w:r w:rsidR="009E739D" w:rsidRPr="00AF2694">
              <w:rPr>
                <w:sz w:val="22"/>
                <w:szCs w:val="22"/>
                <w:lang w:val="sr-Latn-ME"/>
              </w:rPr>
              <w:t>j</w:t>
            </w:r>
            <w:r w:rsidRPr="00AF2694">
              <w:rPr>
                <w:sz w:val="22"/>
                <w:szCs w:val="22"/>
                <w:lang w:val="sr-Latn-ME"/>
              </w:rPr>
              <w:t>estu prim</w:t>
            </w:r>
            <w:r w:rsidR="009E739D" w:rsidRPr="00AF2694">
              <w:rPr>
                <w:sz w:val="22"/>
                <w:szCs w:val="22"/>
                <w:lang w:val="sr-Latn-ME"/>
              </w:rPr>
              <w:t>j</w:t>
            </w:r>
            <w:r w:rsidRPr="00AF2694">
              <w:rPr>
                <w:sz w:val="22"/>
                <w:szCs w:val="22"/>
                <w:lang w:val="sr-Latn-ME"/>
              </w:rPr>
              <w:t>ene</w:t>
            </w:r>
          </w:p>
        </w:tc>
        <w:tc>
          <w:tcPr>
            <w:tcW w:w="2005" w:type="pct"/>
            <w:vAlign w:val="center"/>
          </w:tcPr>
          <w:p w14:paraId="2F91C902" w14:textId="77777777" w:rsidR="00251C3A" w:rsidRPr="00AF2694" w:rsidRDefault="00251C3A" w:rsidP="00CF11D6">
            <w:pPr>
              <w:tabs>
                <w:tab w:val="left" w:pos="540"/>
                <w:tab w:val="left" w:pos="569"/>
              </w:tabs>
              <w:jc w:val="both"/>
              <w:rPr>
                <w:bCs/>
                <w:sz w:val="22"/>
                <w:szCs w:val="22"/>
                <w:lang w:val="sr-Latn-ME"/>
              </w:rPr>
            </w:pPr>
            <w:r w:rsidRPr="00AF2694">
              <w:rPr>
                <w:sz w:val="22"/>
                <w:szCs w:val="22"/>
                <w:lang w:val="sr-Latn-ME"/>
              </w:rPr>
              <w:t>Pireksija</w:t>
            </w:r>
          </w:p>
          <w:p w14:paraId="06D92F04"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Hipertermija </w:t>
            </w:r>
          </w:p>
        </w:tc>
        <w:tc>
          <w:tcPr>
            <w:tcW w:w="881" w:type="pct"/>
          </w:tcPr>
          <w:p w14:paraId="54ED6566" w14:textId="77777777" w:rsidR="00251C3A" w:rsidRPr="00AF2694" w:rsidRDefault="00251C3A" w:rsidP="00CF11D6">
            <w:pPr>
              <w:tabs>
                <w:tab w:val="left" w:pos="540"/>
                <w:tab w:val="left" w:pos="569"/>
              </w:tabs>
              <w:jc w:val="both"/>
              <w:rPr>
                <w:bCs/>
                <w:sz w:val="22"/>
                <w:szCs w:val="22"/>
                <w:lang w:val="sr-Latn-ME"/>
              </w:rPr>
            </w:pPr>
            <w:r w:rsidRPr="00AF2694">
              <w:rPr>
                <w:sz w:val="22"/>
                <w:szCs w:val="22"/>
                <w:lang w:val="sr-Latn-ME"/>
              </w:rPr>
              <w:t>Veoma često</w:t>
            </w:r>
          </w:p>
        </w:tc>
      </w:tr>
      <w:tr w:rsidR="00251C3A" w:rsidRPr="00AF2694" w14:paraId="4417AF0E" w14:textId="77777777" w:rsidTr="004B3317">
        <w:trPr>
          <w:cantSplit/>
          <w:trHeight w:val="340"/>
        </w:trPr>
        <w:tc>
          <w:tcPr>
            <w:tcW w:w="2114" w:type="pct"/>
            <w:vAlign w:val="center"/>
          </w:tcPr>
          <w:p w14:paraId="6EADC6C2"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Ispitivanja</w:t>
            </w:r>
          </w:p>
        </w:tc>
        <w:tc>
          <w:tcPr>
            <w:tcW w:w="2005" w:type="pct"/>
            <w:vAlign w:val="center"/>
          </w:tcPr>
          <w:p w14:paraId="1BAEEA0E" w14:textId="1A93D438" w:rsidR="00251C3A" w:rsidRPr="00AF2694" w:rsidRDefault="00251C3A" w:rsidP="00CF11D6">
            <w:pPr>
              <w:tabs>
                <w:tab w:val="left" w:pos="540"/>
                <w:tab w:val="left" w:pos="569"/>
              </w:tabs>
              <w:jc w:val="both"/>
              <w:rPr>
                <w:sz w:val="22"/>
                <w:szCs w:val="22"/>
                <w:lang w:val="sr-Latn-ME"/>
              </w:rPr>
            </w:pPr>
            <w:r w:rsidRPr="00AF2694">
              <w:rPr>
                <w:sz w:val="22"/>
                <w:szCs w:val="22"/>
                <w:lang w:val="sr-Latn-ME"/>
              </w:rPr>
              <w:t>Prisustvo specifičnih antit</w:t>
            </w:r>
            <w:r w:rsidR="009E739D" w:rsidRPr="00AF2694">
              <w:rPr>
                <w:sz w:val="22"/>
                <w:szCs w:val="22"/>
                <w:lang w:val="sr-Latn-ME"/>
              </w:rPr>
              <w:t>ij</w:t>
            </w:r>
            <w:r w:rsidRPr="00AF2694">
              <w:rPr>
                <w:sz w:val="22"/>
                <w:szCs w:val="22"/>
                <w:lang w:val="sr-Latn-ME"/>
              </w:rPr>
              <w:t>ela</w:t>
            </w:r>
          </w:p>
          <w:p w14:paraId="2055CC04" w14:textId="34412D6E" w:rsidR="00251C3A" w:rsidRPr="00AF2694" w:rsidRDefault="00251C3A" w:rsidP="00CF11D6">
            <w:pPr>
              <w:tabs>
                <w:tab w:val="left" w:pos="540"/>
                <w:tab w:val="left" w:pos="569"/>
              </w:tabs>
              <w:jc w:val="both"/>
              <w:rPr>
                <w:sz w:val="22"/>
                <w:szCs w:val="22"/>
                <w:lang w:val="sr-Latn-ME"/>
              </w:rPr>
            </w:pPr>
            <w:r w:rsidRPr="00AF2694">
              <w:rPr>
                <w:sz w:val="22"/>
                <w:szCs w:val="22"/>
                <w:lang w:val="sr-Latn-ME"/>
              </w:rPr>
              <w:t>Povišena t</w:t>
            </w:r>
            <w:r w:rsidR="009E739D" w:rsidRPr="00AF2694">
              <w:rPr>
                <w:sz w:val="22"/>
                <w:szCs w:val="22"/>
                <w:lang w:val="sr-Latn-ME"/>
              </w:rPr>
              <w:t>j</w:t>
            </w:r>
            <w:r w:rsidRPr="00AF2694">
              <w:rPr>
                <w:sz w:val="22"/>
                <w:szCs w:val="22"/>
                <w:lang w:val="sr-Latn-ME"/>
              </w:rPr>
              <w:t xml:space="preserve">elesna temperatura </w:t>
            </w:r>
          </w:p>
          <w:p w14:paraId="16808062"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Smanjena saturacija kiseonikom </w:t>
            </w:r>
          </w:p>
          <w:p w14:paraId="5AC9FBA7"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Povišen krvni pritisak </w:t>
            </w:r>
          </w:p>
          <w:p w14:paraId="11C81D86"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Povećan puls </w:t>
            </w:r>
          </w:p>
          <w:p w14:paraId="452147B7"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Povećana respiratorna frekvencija </w:t>
            </w:r>
          </w:p>
        </w:tc>
        <w:tc>
          <w:tcPr>
            <w:tcW w:w="881" w:type="pct"/>
          </w:tcPr>
          <w:p w14:paraId="28C90D80"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Veoma često</w:t>
            </w:r>
          </w:p>
        </w:tc>
      </w:tr>
    </w:tbl>
    <w:p w14:paraId="5BA397D5" w14:textId="17635636" w:rsidR="00251C3A" w:rsidRPr="00AF2694" w:rsidRDefault="00251C3A" w:rsidP="00CF11D6">
      <w:pPr>
        <w:tabs>
          <w:tab w:val="left" w:pos="540"/>
          <w:tab w:val="left" w:pos="567"/>
        </w:tabs>
        <w:jc w:val="both"/>
        <w:rPr>
          <w:sz w:val="22"/>
          <w:szCs w:val="22"/>
          <w:lang w:val="sr-Latn-ME"/>
        </w:rPr>
      </w:pPr>
      <w:r w:rsidRPr="00AF2694">
        <w:rPr>
          <w:sz w:val="22"/>
          <w:szCs w:val="22"/>
          <w:vertAlign w:val="superscript"/>
          <w:lang w:val="sr-Latn-ME"/>
        </w:rPr>
        <w:t>a</w:t>
      </w:r>
      <w:r w:rsidRPr="00AF2694">
        <w:rPr>
          <w:sz w:val="22"/>
          <w:szCs w:val="22"/>
          <w:lang w:val="sr-Latn-ME"/>
        </w:rPr>
        <w:t xml:space="preserve"> Može uključivati: razdražljivost, uznemirenost, povraćanje, urtikariju, ekcem, svrab, bl</w:t>
      </w:r>
      <w:r w:rsidR="009E739D" w:rsidRPr="00AF2694">
        <w:rPr>
          <w:sz w:val="22"/>
          <w:szCs w:val="22"/>
          <w:lang w:val="sr-Latn-ME"/>
        </w:rPr>
        <w:t>j</w:t>
      </w:r>
      <w:r w:rsidRPr="00AF2694">
        <w:rPr>
          <w:sz w:val="22"/>
          <w:szCs w:val="22"/>
          <w:lang w:val="sr-Latn-ME"/>
        </w:rPr>
        <w:t>edilo i preos</w:t>
      </w:r>
      <w:r w:rsidR="009E739D" w:rsidRPr="00AF2694">
        <w:rPr>
          <w:sz w:val="22"/>
          <w:szCs w:val="22"/>
          <w:lang w:val="sr-Latn-ME"/>
        </w:rPr>
        <w:t>j</w:t>
      </w:r>
      <w:r w:rsidRPr="00AF2694">
        <w:rPr>
          <w:sz w:val="22"/>
          <w:szCs w:val="22"/>
          <w:lang w:val="sr-Latn-ME"/>
        </w:rPr>
        <w:t>etljivost na l</w:t>
      </w:r>
      <w:r w:rsidR="009E739D" w:rsidRPr="00AF2694">
        <w:rPr>
          <w:sz w:val="22"/>
          <w:szCs w:val="22"/>
          <w:lang w:val="sr-Latn-ME"/>
        </w:rPr>
        <w:t>ij</w:t>
      </w:r>
      <w:r w:rsidRPr="00AF2694">
        <w:rPr>
          <w:sz w:val="22"/>
          <w:szCs w:val="22"/>
          <w:lang w:val="sr-Latn-ME"/>
        </w:rPr>
        <w:t>ek</w:t>
      </w:r>
      <w:r w:rsidR="001A69B7" w:rsidRPr="00AF2694">
        <w:rPr>
          <w:sz w:val="22"/>
          <w:szCs w:val="22"/>
          <w:lang w:val="sr-Latn-ME"/>
        </w:rPr>
        <w:t>.</w:t>
      </w:r>
    </w:p>
    <w:p w14:paraId="2E04A7DD" w14:textId="4F727FBA" w:rsidR="00251C3A" w:rsidRPr="00AF2694" w:rsidRDefault="00251C3A" w:rsidP="00CF11D6">
      <w:pPr>
        <w:tabs>
          <w:tab w:val="left" w:pos="540"/>
          <w:tab w:val="left" w:pos="567"/>
        </w:tabs>
        <w:jc w:val="both"/>
        <w:rPr>
          <w:sz w:val="22"/>
          <w:szCs w:val="22"/>
          <w:lang w:val="sr-Latn-ME"/>
        </w:rPr>
      </w:pPr>
      <w:r w:rsidRPr="00AF2694">
        <w:rPr>
          <w:sz w:val="22"/>
          <w:szCs w:val="22"/>
          <w:vertAlign w:val="superscript"/>
          <w:lang w:val="sr-Latn-ME"/>
        </w:rPr>
        <w:t>b</w:t>
      </w:r>
      <w:r w:rsidRPr="00AF2694">
        <w:rPr>
          <w:sz w:val="22"/>
          <w:szCs w:val="22"/>
          <w:lang w:val="sr-Latn-ME"/>
        </w:rPr>
        <w:t xml:space="preserve"> Pojavilo se kod 3 dojenčadi koja su bila l</w:t>
      </w:r>
      <w:r w:rsidR="009E739D" w:rsidRPr="00AF2694">
        <w:rPr>
          <w:sz w:val="22"/>
          <w:szCs w:val="22"/>
          <w:lang w:val="sr-Latn-ME"/>
        </w:rPr>
        <w:t>ij</w:t>
      </w:r>
      <w:r w:rsidRPr="00AF2694">
        <w:rPr>
          <w:sz w:val="22"/>
          <w:szCs w:val="22"/>
          <w:lang w:val="sr-Latn-ME"/>
        </w:rPr>
        <w:t>ečena u kliničkim studijama. Zasnovano na preferiranom terminu „anafilaktička reakcija” i prim</w:t>
      </w:r>
      <w:r w:rsidR="009E739D" w:rsidRPr="00AF2694">
        <w:rPr>
          <w:sz w:val="22"/>
          <w:szCs w:val="22"/>
          <w:lang w:val="sr-Latn-ME"/>
        </w:rPr>
        <w:t>j</w:t>
      </w:r>
      <w:r w:rsidRPr="00AF2694">
        <w:rPr>
          <w:sz w:val="22"/>
          <w:szCs w:val="22"/>
          <w:lang w:val="sr-Latn-ME"/>
        </w:rPr>
        <w:t>eni Sampsonovih kriterijuma za identifikaciju znakova/simptoma koji su u skladu sa anafilaksijom.</w:t>
      </w:r>
    </w:p>
    <w:p w14:paraId="03A888D4" w14:textId="77777777" w:rsidR="00251C3A" w:rsidRPr="00AF2694" w:rsidRDefault="00251C3A" w:rsidP="00CF11D6">
      <w:pPr>
        <w:tabs>
          <w:tab w:val="left" w:pos="540"/>
          <w:tab w:val="left" w:pos="567"/>
        </w:tabs>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3"/>
        <w:gridCol w:w="3614"/>
        <w:gridCol w:w="1646"/>
      </w:tblGrid>
      <w:tr w:rsidR="00251C3A" w:rsidRPr="00AF2694" w14:paraId="58001160" w14:textId="77777777" w:rsidTr="004B3317">
        <w:trPr>
          <w:cantSplit/>
          <w:trHeight w:val="340"/>
        </w:trPr>
        <w:tc>
          <w:tcPr>
            <w:tcW w:w="9242" w:type="dxa"/>
            <w:gridSpan w:val="3"/>
            <w:tcBorders>
              <w:top w:val="nil"/>
              <w:left w:val="nil"/>
              <w:right w:val="nil"/>
            </w:tcBorders>
            <w:vAlign w:val="center"/>
          </w:tcPr>
          <w:p w14:paraId="7395E1B0" w14:textId="769AF415" w:rsidR="00251C3A" w:rsidRPr="00AF2694" w:rsidRDefault="00251C3A" w:rsidP="00CF11D6">
            <w:pPr>
              <w:tabs>
                <w:tab w:val="left" w:pos="540"/>
                <w:tab w:val="left" w:pos="569"/>
              </w:tabs>
              <w:jc w:val="both"/>
              <w:rPr>
                <w:b/>
                <w:sz w:val="22"/>
                <w:szCs w:val="22"/>
                <w:lang w:val="sr-Latn-ME"/>
              </w:rPr>
            </w:pPr>
            <w:r w:rsidRPr="00AF2694">
              <w:rPr>
                <w:b/>
                <w:bCs/>
                <w:sz w:val="22"/>
                <w:szCs w:val="22"/>
                <w:lang w:val="sr-Latn-ME"/>
              </w:rPr>
              <w:t>Tabela 2: Neželjene reakcije prijavljene kod d</w:t>
            </w:r>
            <w:r w:rsidR="009E739D" w:rsidRPr="00AF2694">
              <w:rPr>
                <w:b/>
                <w:bCs/>
                <w:sz w:val="22"/>
                <w:szCs w:val="22"/>
                <w:lang w:val="sr-Latn-ME"/>
              </w:rPr>
              <w:t>j</w:t>
            </w:r>
            <w:r w:rsidRPr="00AF2694">
              <w:rPr>
                <w:b/>
                <w:bCs/>
                <w:sz w:val="22"/>
                <w:szCs w:val="22"/>
                <w:lang w:val="sr-Latn-ME"/>
              </w:rPr>
              <w:t>ece i odraslih koji primaju sebelipazu alfa (N = 106 pacijenata)</w:t>
            </w:r>
          </w:p>
        </w:tc>
      </w:tr>
      <w:tr w:rsidR="00251C3A" w:rsidRPr="00AF2694" w14:paraId="109A2091" w14:textId="77777777" w:rsidTr="004B3317">
        <w:trPr>
          <w:cantSplit/>
          <w:trHeight w:val="340"/>
        </w:trPr>
        <w:tc>
          <w:tcPr>
            <w:tcW w:w="3888" w:type="dxa"/>
            <w:vAlign w:val="center"/>
          </w:tcPr>
          <w:p w14:paraId="15A77435" w14:textId="77777777" w:rsidR="00251C3A" w:rsidRPr="00AF2694" w:rsidRDefault="00251C3A" w:rsidP="00CF11D6">
            <w:pPr>
              <w:tabs>
                <w:tab w:val="left" w:pos="540"/>
                <w:tab w:val="left" w:pos="569"/>
              </w:tabs>
              <w:jc w:val="both"/>
              <w:rPr>
                <w:b/>
                <w:sz w:val="22"/>
                <w:szCs w:val="22"/>
                <w:lang w:val="sr-Latn-ME"/>
              </w:rPr>
            </w:pPr>
            <w:r w:rsidRPr="00AF2694">
              <w:rPr>
                <w:b/>
                <w:bCs/>
                <w:sz w:val="22"/>
                <w:szCs w:val="22"/>
                <w:lang w:val="sr-Latn-ME"/>
              </w:rPr>
              <w:t>Klasa sistema organa MedDRA</w:t>
            </w:r>
          </w:p>
        </w:tc>
        <w:tc>
          <w:tcPr>
            <w:tcW w:w="3690" w:type="dxa"/>
            <w:vAlign w:val="center"/>
          </w:tcPr>
          <w:p w14:paraId="5421D10C" w14:textId="77777777" w:rsidR="00251C3A" w:rsidRPr="00AF2694" w:rsidRDefault="00251C3A" w:rsidP="00CF11D6">
            <w:pPr>
              <w:tabs>
                <w:tab w:val="left" w:pos="540"/>
                <w:tab w:val="left" w:pos="569"/>
              </w:tabs>
              <w:jc w:val="both"/>
              <w:rPr>
                <w:b/>
                <w:sz w:val="22"/>
                <w:szCs w:val="22"/>
                <w:lang w:val="sr-Latn-ME"/>
              </w:rPr>
            </w:pPr>
            <w:r w:rsidRPr="00AF2694">
              <w:rPr>
                <w:b/>
                <w:bCs/>
                <w:sz w:val="22"/>
                <w:szCs w:val="22"/>
                <w:lang w:val="sr-Latn-ME"/>
              </w:rPr>
              <w:t>MedDRA poželjni termin</w:t>
            </w:r>
          </w:p>
        </w:tc>
        <w:tc>
          <w:tcPr>
            <w:tcW w:w="1664" w:type="dxa"/>
          </w:tcPr>
          <w:p w14:paraId="305D9140" w14:textId="77777777" w:rsidR="00251C3A" w:rsidRPr="00AF2694" w:rsidRDefault="00251C3A" w:rsidP="00CF11D6">
            <w:pPr>
              <w:tabs>
                <w:tab w:val="left" w:pos="540"/>
                <w:tab w:val="left" w:pos="569"/>
              </w:tabs>
              <w:jc w:val="both"/>
              <w:rPr>
                <w:b/>
                <w:sz w:val="22"/>
                <w:szCs w:val="22"/>
                <w:lang w:val="sr-Latn-ME"/>
              </w:rPr>
            </w:pPr>
            <w:r w:rsidRPr="00AF2694">
              <w:rPr>
                <w:b/>
                <w:bCs/>
                <w:sz w:val="22"/>
                <w:szCs w:val="22"/>
                <w:lang w:val="sr-Latn-ME"/>
              </w:rPr>
              <w:t>Učestalost</w:t>
            </w:r>
          </w:p>
        </w:tc>
      </w:tr>
      <w:tr w:rsidR="00251C3A" w:rsidRPr="00AF2694" w14:paraId="015DE3A8" w14:textId="77777777" w:rsidTr="004B3317">
        <w:trPr>
          <w:cantSplit/>
          <w:trHeight w:val="340"/>
        </w:trPr>
        <w:tc>
          <w:tcPr>
            <w:tcW w:w="3888" w:type="dxa"/>
            <w:vMerge w:val="restart"/>
            <w:vAlign w:val="center"/>
          </w:tcPr>
          <w:p w14:paraId="03E005C3"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Poremećaji imunskog sistema</w:t>
            </w:r>
          </w:p>
        </w:tc>
        <w:tc>
          <w:tcPr>
            <w:tcW w:w="3690" w:type="dxa"/>
            <w:vAlign w:val="center"/>
          </w:tcPr>
          <w:p w14:paraId="4449CE53" w14:textId="3192D0F3" w:rsidR="00251C3A" w:rsidRPr="00AF2694" w:rsidRDefault="00251C3A" w:rsidP="00CF11D6">
            <w:pPr>
              <w:tabs>
                <w:tab w:val="left" w:pos="540"/>
                <w:tab w:val="left" w:pos="569"/>
              </w:tabs>
              <w:jc w:val="both"/>
              <w:rPr>
                <w:sz w:val="22"/>
                <w:szCs w:val="22"/>
                <w:lang w:val="sr-Latn-ME"/>
              </w:rPr>
            </w:pPr>
            <w:r w:rsidRPr="00AF2694">
              <w:rPr>
                <w:sz w:val="22"/>
                <w:szCs w:val="22"/>
                <w:lang w:val="sr-Latn-ME"/>
              </w:rPr>
              <w:t>Preos</w:t>
            </w:r>
            <w:r w:rsidR="009E739D" w:rsidRPr="00AF2694">
              <w:rPr>
                <w:sz w:val="22"/>
                <w:szCs w:val="22"/>
                <w:lang w:val="sr-Latn-ME"/>
              </w:rPr>
              <w:t>j</w:t>
            </w:r>
            <w:r w:rsidRPr="00AF2694">
              <w:rPr>
                <w:sz w:val="22"/>
                <w:szCs w:val="22"/>
                <w:lang w:val="sr-Latn-ME"/>
              </w:rPr>
              <w:t>etljivost</w:t>
            </w:r>
            <w:r w:rsidRPr="00AF2694">
              <w:rPr>
                <w:sz w:val="22"/>
                <w:szCs w:val="22"/>
                <w:vertAlign w:val="superscript"/>
                <w:lang w:val="sr-Latn-ME"/>
              </w:rPr>
              <w:t>b</w:t>
            </w:r>
          </w:p>
        </w:tc>
        <w:tc>
          <w:tcPr>
            <w:tcW w:w="1664" w:type="dxa"/>
            <w:vAlign w:val="center"/>
          </w:tcPr>
          <w:p w14:paraId="5E7D20BD"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Veoma često</w:t>
            </w:r>
          </w:p>
        </w:tc>
      </w:tr>
      <w:tr w:rsidR="00251C3A" w:rsidRPr="00AF2694" w14:paraId="4D0CF467" w14:textId="77777777" w:rsidTr="004B3317">
        <w:trPr>
          <w:cantSplit/>
          <w:trHeight w:val="340"/>
        </w:trPr>
        <w:tc>
          <w:tcPr>
            <w:tcW w:w="3888" w:type="dxa"/>
            <w:vMerge/>
            <w:vAlign w:val="center"/>
          </w:tcPr>
          <w:p w14:paraId="09F35437" w14:textId="77777777" w:rsidR="00251C3A" w:rsidRPr="00AF2694" w:rsidRDefault="00251C3A" w:rsidP="00CF11D6">
            <w:pPr>
              <w:tabs>
                <w:tab w:val="left" w:pos="540"/>
                <w:tab w:val="left" w:pos="569"/>
              </w:tabs>
              <w:jc w:val="both"/>
              <w:rPr>
                <w:sz w:val="22"/>
                <w:szCs w:val="22"/>
                <w:lang w:val="sr-Latn-ME"/>
              </w:rPr>
            </w:pPr>
          </w:p>
        </w:tc>
        <w:tc>
          <w:tcPr>
            <w:tcW w:w="3690" w:type="dxa"/>
            <w:vAlign w:val="center"/>
          </w:tcPr>
          <w:p w14:paraId="56F26D97"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Anafilaktička reakcija</w:t>
            </w:r>
            <w:r w:rsidRPr="00AF2694">
              <w:rPr>
                <w:sz w:val="22"/>
                <w:szCs w:val="22"/>
                <w:vertAlign w:val="superscript"/>
                <w:lang w:val="sr-Latn-ME"/>
              </w:rPr>
              <w:t>a</w:t>
            </w:r>
            <w:r w:rsidRPr="00AF2694">
              <w:rPr>
                <w:sz w:val="22"/>
                <w:szCs w:val="22"/>
                <w:lang w:val="sr-Latn-ME"/>
              </w:rPr>
              <w:t xml:space="preserve">  </w:t>
            </w:r>
          </w:p>
        </w:tc>
        <w:tc>
          <w:tcPr>
            <w:tcW w:w="1664" w:type="dxa"/>
            <w:vAlign w:val="center"/>
          </w:tcPr>
          <w:p w14:paraId="2D631442"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Često</w:t>
            </w:r>
          </w:p>
        </w:tc>
      </w:tr>
      <w:tr w:rsidR="00251C3A" w:rsidRPr="00AF2694" w14:paraId="5BD74A46" w14:textId="77777777" w:rsidTr="004B3317">
        <w:trPr>
          <w:cantSplit/>
          <w:trHeight w:val="340"/>
        </w:trPr>
        <w:tc>
          <w:tcPr>
            <w:tcW w:w="3888" w:type="dxa"/>
            <w:vAlign w:val="center"/>
          </w:tcPr>
          <w:p w14:paraId="0508F7C0"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Poremećaji nervnog sistema</w:t>
            </w:r>
          </w:p>
        </w:tc>
        <w:tc>
          <w:tcPr>
            <w:tcW w:w="3690" w:type="dxa"/>
            <w:vAlign w:val="center"/>
          </w:tcPr>
          <w:p w14:paraId="44153C8B" w14:textId="77777777" w:rsidR="00251C3A" w:rsidRPr="00AF2694" w:rsidRDefault="00251C3A" w:rsidP="00CF11D6">
            <w:pPr>
              <w:tabs>
                <w:tab w:val="left" w:pos="540"/>
                <w:tab w:val="left" w:pos="569"/>
              </w:tabs>
              <w:jc w:val="both"/>
              <w:rPr>
                <w:sz w:val="22"/>
                <w:szCs w:val="22"/>
                <w:vertAlign w:val="superscript"/>
                <w:lang w:val="sr-Latn-ME"/>
              </w:rPr>
            </w:pPr>
            <w:r w:rsidRPr="00AF2694">
              <w:rPr>
                <w:sz w:val="22"/>
                <w:szCs w:val="22"/>
                <w:lang w:val="sr-Latn-ME"/>
              </w:rPr>
              <w:t>Vrtoglavica</w:t>
            </w:r>
          </w:p>
        </w:tc>
        <w:tc>
          <w:tcPr>
            <w:tcW w:w="1664" w:type="dxa"/>
            <w:vAlign w:val="center"/>
          </w:tcPr>
          <w:p w14:paraId="7DC07862"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Veoma često</w:t>
            </w:r>
          </w:p>
        </w:tc>
      </w:tr>
      <w:tr w:rsidR="00251C3A" w:rsidRPr="00AF2694" w14:paraId="447B52CC" w14:textId="77777777" w:rsidTr="004B3317">
        <w:trPr>
          <w:cantSplit/>
          <w:trHeight w:val="340"/>
        </w:trPr>
        <w:tc>
          <w:tcPr>
            <w:tcW w:w="3888" w:type="dxa"/>
            <w:vAlign w:val="center"/>
          </w:tcPr>
          <w:p w14:paraId="6D49573D"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lastRenderedPageBreak/>
              <w:t>Srčani poremećaji</w:t>
            </w:r>
          </w:p>
        </w:tc>
        <w:tc>
          <w:tcPr>
            <w:tcW w:w="3690" w:type="dxa"/>
            <w:vAlign w:val="center"/>
          </w:tcPr>
          <w:p w14:paraId="31A4AA02"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Tahikardija </w:t>
            </w:r>
          </w:p>
        </w:tc>
        <w:tc>
          <w:tcPr>
            <w:tcW w:w="1664" w:type="dxa"/>
            <w:vAlign w:val="center"/>
          </w:tcPr>
          <w:p w14:paraId="151AE978"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Često</w:t>
            </w:r>
          </w:p>
        </w:tc>
      </w:tr>
      <w:tr w:rsidR="00251C3A" w:rsidRPr="00AF2694" w14:paraId="3CB79069" w14:textId="77777777" w:rsidTr="004B3317">
        <w:trPr>
          <w:cantSplit/>
          <w:trHeight w:val="340"/>
        </w:trPr>
        <w:tc>
          <w:tcPr>
            <w:tcW w:w="3888" w:type="dxa"/>
            <w:vAlign w:val="center"/>
          </w:tcPr>
          <w:p w14:paraId="4A242A69"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Vaskularni poremećaji</w:t>
            </w:r>
          </w:p>
        </w:tc>
        <w:tc>
          <w:tcPr>
            <w:tcW w:w="3690" w:type="dxa"/>
            <w:vAlign w:val="center"/>
          </w:tcPr>
          <w:p w14:paraId="687BD0DD" w14:textId="77777777" w:rsidR="00251C3A" w:rsidRPr="00AF2694" w:rsidRDefault="00251C3A" w:rsidP="00CF11D6">
            <w:pPr>
              <w:tabs>
                <w:tab w:val="left" w:pos="540"/>
                <w:tab w:val="left" w:pos="569"/>
              </w:tabs>
              <w:jc w:val="both"/>
              <w:rPr>
                <w:bCs/>
                <w:sz w:val="22"/>
                <w:szCs w:val="22"/>
                <w:lang w:val="sr-Latn-ME"/>
              </w:rPr>
            </w:pPr>
            <w:r w:rsidRPr="00AF2694">
              <w:rPr>
                <w:sz w:val="22"/>
                <w:szCs w:val="22"/>
                <w:lang w:val="sr-Latn-ME"/>
              </w:rPr>
              <w:t xml:space="preserve">Hiperemija </w:t>
            </w:r>
          </w:p>
          <w:p w14:paraId="71089C81" w14:textId="77777777" w:rsidR="00251C3A" w:rsidRPr="00AF2694" w:rsidRDefault="00251C3A" w:rsidP="00CF11D6">
            <w:pPr>
              <w:tabs>
                <w:tab w:val="left" w:pos="540"/>
                <w:tab w:val="left" w:pos="569"/>
              </w:tabs>
              <w:jc w:val="both"/>
              <w:rPr>
                <w:sz w:val="22"/>
                <w:szCs w:val="22"/>
                <w:vertAlign w:val="superscript"/>
                <w:lang w:val="sr-Latn-ME"/>
              </w:rPr>
            </w:pPr>
            <w:r w:rsidRPr="00AF2694">
              <w:rPr>
                <w:sz w:val="22"/>
                <w:szCs w:val="22"/>
                <w:lang w:val="sr-Latn-ME"/>
              </w:rPr>
              <w:t>Hipotenzija</w:t>
            </w:r>
          </w:p>
        </w:tc>
        <w:tc>
          <w:tcPr>
            <w:tcW w:w="1664" w:type="dxa"/>
            <w:vAlign w:val="center"/>
          </w:tcPr>
          <w:p w14:paraId="7268E21E" w14:textId="77777777" w:rsidR="00251C3A" w:rsidRPr="00AF2694" w:rsidRDefault="00251C3A" w:rsidP="00CF11D6">
            <w:pPr>
              <w:tabs>
                <w:tab w:val="left" w:pos="540"/>
                <w:tab w:val="left" w:pos="569"/>
              </w:tabs>
              <w:jc w:val="both"/>
              <w:rPr>
                <w:bCs/>
                <w:sz w:val="22"/>
                <w:szCs w:val="22"/>
                <w:lang w:val="sr-Latn-ME"/>
              </w:rPr>
            </w:pPr>
            <w:r w:rsidRPr="00AF2694">
              <w:rPr>
                <w:sz w:val="22"/>
                <w:szCs w:val="22"/>
                <w:lang w:val="sr-Latn-ME"/>
              </w:rPr>
              <w:t>Često</w:t>
            </w:r>
          </w:p>
        </w:tc>
      </w:tr>
      <w:tr w:rsidR="00251C3A" w:rsidRPr="00AF2694" w14:paraId="337C7C53" w14:textId="77777777" w:rsidTr="004B3317">
        <w:trPr>
          <w:cantSplit/>
          <w:trHeight w:val="340"/>
        </w:trPr>
        <w:tc>
          <w:tcPr>
            <w:tcW w:w="3888" w:type="dxa"/>
            <w:vAlign w:val="center"/>
          </w:tcPr>
          <w:p w14:paraId="692BDB31"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Poremećaji respiratornog sistema, toraksa i medijastinuma</w:t>
            </w:r>
          </w:p>
        </w:tc>
        <w:tc>
          <w:tcPr>
            <w:tcW w:w="3690" w:type="dxa"/>
            <w:vAlign w:val="center"/>
          </w:tcPr>
          <w:p w14:paraId="5284D8D7"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Dispneja </w:t>
            </w:r>
          </w:p>
        </w:tc>
        <w:tc>
          <w:tcPr>
            <w:tcW w:w="1664" w:type="dxa"/>
            <w:vAlign w:val="center"/>
          </w:tcPr>
          <w:p w14:paraId="4D7F9B7A"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Često</w:t>
            </w:r>
          </w:p>
        </w:tc>
      </w:tr>
      <w:tr w:rsidR="00251C3A" w:rsidRPr="00AF2694" w14:paraId="610DC505" w14:textId="77777777" w:rsidTr="004B3317">
        <w:trPr>
          <w:cantSplit/>
          <w:trHeight w:val="340"/>
        </w:trPr>
        <w:tc>
          <w:tcPr>
            <w:tcW w:w="3888" w:type="dxa"/>
            <w:vMerge w:val="restart"/>
            <w:vAlign w:val="center"/>
          </w:tcPr>
          <w:p w14:paraId="49BA504C"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Gastrointestinalni poremećaji</w:t>
            </w:r>
          </w:p>
        </w:tc>
        <w:tc>
          <w:tcPr>
            <w:tcW w:w="3690" w:type="dxa"/>
            <w:vAlign w:val="center"/>
          </w:tcPr>
          <w:p w14:paraId="0BA74CC7"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Bol u stomaku </w:t>
            </w:r>
          </w:p>
          <w:p w14:paraId="2C39279D"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Dijareja</w:t>
            </w:r>
          </w:p>
        </w:tc>
        <w:tc>
          <w:tcPr>
            <w:tcW w:w="1664" w:type="dxa"/>
            <w:vAlign w:val="center"/>
          </w:tcPr>
          <w:p w14:paraId="27B18A27"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Veoma često</w:t>
            </w:r>
          </w:p>
        </w:tc>
      </w:tr>
      <w:tr w:rsidR="00251C3A" w:rsidRPr="00AF2694" w14:paraId="7082F087" w14:textId="77777777" w:rsidTr="004B3317">
        <w:trPr>
          <w:cantSplit/>
          <w:trHeight w:val="340"/>
        </w:trPr>
        <w:tc>
          <w:tcPr>
            <w:tcW w:w="3888" w:type="dxa"/>
            <w:vMerge/>
            <w:vAlign w:val="center"/>
          </w:tcPr>
          <w:p w14:paraId="684C3C43" w14:textId="77777777" w:rsidR="00251C3A" w:rsidRPr="00AF2694" w:rsidRDefault="00251C3A" w:rsidP="00CF11D6">
            <w:pPr>
              <w:tabs>
                <w:tab w:val="left" w:pos="540"/>
                <w:tab w:val="left" w:pos="569"/>
              </w:tabs>
              <w:jc w:val="both"/>
              <w:rPr>
                <w:sz w:val="22"/>
                <w:szCs w:val="22"/>
                <w:lang w:val="sr-Latn-ME"/>
              </w:rPr>
            </w:pPr>
          </w:p>
        </w:tc>
        <w:tc>
          <w:tcPr>
            <w:tcW w:w="3690" w:type="dxa"/>
            <w:vAlign w:val="center"/>
          </w:tcPr>
          <w:p w14:paraId="4FB0C250"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Abdominalna distenzija</w:t>
            </w:r>
          </w:p>
        </w:tc>
        <w:tc>
          <w:tcPr>
            <w:tcW w:w="1664" w:type="dxa"/>
            <w:vAlign w:val="center"/>
          </w:tcPr>
          <w:p w14:paraId="4B1B4716"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Često</w:t>
            </w:r>
          </w:p>
        </w:tc>
      </w:tr>
      <w:tr w:rsidR="00251C3A" w:rsidRPr="00AF2694" w14:paraId="5A3CAAB7" w14:textId="77777777" w:rsidTr="004B3317">
        <w:trPr>
          <w:cantSplit/>
          <w:trHeight w:val="340"/>
        </w:trPr>
        <w:tc>
          <w:tcPr>
            <w:tcW w:w="3888" w:type="dxa"/>
            <w:vAlign w:val="center"/>
          </w:tcPr>
          <w:p w14:paraId="6A526D91"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Poremećaji kože i potkožnog tkiva</w:t>
            </w:r>
          </w:p>
        </w:tc>
        <w:tc>
          <w:tcPr>
            <w:tcW w:w="3690" w:type="dxa"/>
            <w:vAlign w:val="center"/>
          </w:tcPr>
          <w:p w14:paraId="77423DB2" w14:textId="77777777" w:rsidR="00251C3A" w:rsidRPr="00AF2694" w:rsidRDefault="00251C3A" w:rsidP="00CF11D6">
            <w:pPr>
              <w:tabs>
                <w:tab w:val="left" w:pos="540"/>
                <w:tab w:val="left" w:pos="569"/>
              </w:tabs>
              <w:jc w:val="both"/>
              <w:rPr>
                <w:bCs/>
                <w:sz w:val="22"/>
                <w:szCs w:val="22"/>
                <w:lang w:val="sr-Latn-ME"/>
              </w:rPr>
            </w:pPr>
            <w:r w:rsidRPr="00AF2694">
              <w:rPr>
                <w:sz w:val="22"/>
                <w:szCs w:val="22"/>
                <w:lang w:val="sr-Latn-ME"/>
              </w:rPr>
              <w:t xml:space="preserve">Osip </w:t>
            </w:r>
          </w:p>
          <w:p w14:paraId="4345D6B1"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Papulozni osip </w:t>
            </w:r>
          </w:p>
        </w:tc>
        <w:tc>
          <w:tcPr>
            <w:tcW w:w="1664" w:type="dxa"/>
          </w:tcPr>
          <w:p w14:paraId="694A160C"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Često</w:t>
            </w:r>
          </w:p>
        </w:tc>
      </w:tr>
      <w:tr w:rsidR="00251C3A" w:rsidRPr="00AF2694" w14:paraId="188308F4" w14:textId="77777777" w:rsidTr="004B3317">
        <w:trPr>
          <w:cantSplit/>
          <w:trHeight w:val="340"/>
        </w:trPr>
        <w:tc>
          <w:tcPr>
            <w:tcW w:w="3888" w:type="dxa"/>
            <w:vMerge w:val="restart"/>
            <w:vAlign w:val="center"/>
          </w:tcPr>
          <w:p w14:paraId="646E1EF2" w14:textId="58EF1A40" w:rsidR="00251C3A" w:rsidRPr="00AF2694" w:rsidRDefault="00251C3A" w:rsidP="00CF11D6">
            <w:pPr>
              <w:tabs>
                <w:tab w:val="left" w:pos="540"/>
                <w:tab w:val="left" w:pos="567"/>
              </w:tabs>
              <w:jc w:val="both"/>
              <w:rPr>
                <w:sz w:val="22"/>
                <w:szCs w:val="22"/>
                <w:lang w:val="sr-Latn-ME"/>
              </w:rPr>
            </w:pPr>
            <w:r w:rsidRPr="00AF2694">
              <w:rPr>
                <w:sz w:val="22"/>
                <w:szCs w:val="22"/>
                <w:lang w:val="sr-Latn-ME"/>
              </w:rPr>
              <w:t xml:space="preserve">Opšti poremećaji i </w:t>
            </w:r>
            <w:r w:rsidR="001A69B7" w:rsidRPr="00AF2694">
              <w:rPr>
                <w:sz w:val="22"/>
                <w:szCs w:val="22"/>
                <w:lang w:val="sr-Latn-ME"/>
              </w:rPr>
              <w:t>reakcije</w:t>
            </w:r>
            <w:r w:rsidRPr="00AF2694">
              <w:rPr>
                <w:sz w:val="22"/>
                <w:szCs w:val="22"/>
                <w:lang w:val="sr-Latn-ME"/>
              </w:rPr>
              <w:t xml:space="preserve"> na m</w:t>
            </w:r>
            <w:r w:rsidR="009E739D" w:rsidRPr="00AF2694">
              <w:rPr>
                <w:sz w:val="22"/>
                <w:szCs w:val="22"/>
                <w:lang w:val="sr-Latn-ME"/>
              </w:rPr>
              <w:t>j</w:t>
            </w:r>
            <w:r w:rsidRPr="00AF2694">
              <w:rPr>
                <w:sz w:val="22"/>
                <w:szCs w:val="22"/>
                <w:lang w:val="sr-Latn-ME"/>
              </w:rPr>
              <w:t>estu prim</w:t>
            </w:r>
            <w:r w:rsidR="009E739D" w:rsidRPr="00AF2694">
              <w:rPr>
                <w:sz w:val="22"/>
                <w:szCs w:val="22"/>
                <w:lang w:val="sr-Latn-ME"/>
              </w:rPr>
              <w:t>j</w:t>
            </w:r>
            <w:r w:rsidRPr="00AF2694">
              <w:rPr>
                <w:sz w:val="22"/>
                <w:szCs w:val="22"/>
                <w:lang w:val="sr-Latn-ME"/>
              </w:rPr>
              <w:t>ene</w:t>
            </w:r>
          </w:p>
        </w:tc>
        <w:tc>
          <w:tcPr>
            <w:tcW w:w="3690" w:type="dxa"/>
            <w:vAlign w:val="center"/>
          </w:tcPr>
          <w:p w14:paraId="6FA61C67"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Umor </w:t>
            </w:r>
          </w:p>
          <w:p w14:paraId="529C8A3C"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Pireksija</w:t>
            </w:r>
          </w:p>
        </w:tc>
        <w:tc>
          <w:tcPr>
            <w:tcW w:w="1664" w:type="dxa"/>
            <w:vAlign w:val="center"/>
          </w:tcPr>
          <w:p w14:paraId="5A701283"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Veoma često</w:t>
            </w:r>
          </w:p>
        </w:tc>
      </w:tr>
      <w:tr w:rsidR="00251C3A" w:rsidRPr="00AF2694" w14:paraId="302F0C72" w14:textId="77777777" w:rsidTr="004B3317">
        <w:trPr>
          <w:cantSplit/>
          <w:trHeight w:val="340"/>
        </w:trPr>
        <w:tc>
          <w:tcPr>
            <w:tcW w:w="3888" w:type="dxa"/>
            <w:vMerge/>
            <w:vAlign w:val="center"/>
          </w:tcPr>
          <w:p w14:paraId="75FB388D" w14:textId="77777777" w:rsidR="00251C3A" w:rsidRPr="00AF2694" w:rsidRDefault="00251C3A" w:rsidP="00CF11D6">
            <w:pPr>
              <w:tabs>
                <w:tab w:val="left" w:pos="540"/>
                <w:tab w:val="left" w:pos="569"/>
              </w:tabs>
              <w:jc w:val="both"/>
              <w:rPr>
                <w:sz w:val="22"/>
                <w:szCs w:val="22"/>
                <w:lang w:val="sr-Latn-ME"/>
              </w:rPr>
            </w:pPr>
          </w:p>
        </w:tc>
        <w:tc>
          <w:tcPr>
            <w:tcW w:w="3690" w:type="dxa"/>
            <w:vAlign w:val="center"/>
          </w:tcPr>
          <w:p w14:paraId="41B5771A"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 xml:space="preserve">Nelagodnost u grudima </w:t>
            </w:r>
          </w:p>
          <w:p w14:paraId="69A70047" w14:textId="41C8550D" w:rsidR="00251C3A" w:rsidRPr="00AF2694" w:rsidRDefault="00251C3A" w:rsidP="00CF11D6">
            <w:pPr>
              <w:tabs>
                <w:tab w:val="left" w:pos="540"/>
                <w:tab w:val="left" w:pos="569"/>
              </w:tabs>
              <w:jc w:val="both"/>
              <w:rPr>
                <w:sz w:val="22"/>
                <w:szCs w:val="22"/>
                <w:lang w:val="sr-Latn-ME"/>
              </w:rPr>
            </w:pPr>
            <w:r w:rsidRPr="00AF2694">
              <w:rPr>
                <w:sz w:val="22"/>
                <w:szCs w:val="22"/>
                <w:lang w:val="sr-Latn-ME"/>
              </w:rPr>
              <w:t>Reakcije na m</w:t>
            </w:r>
            <w:r w:rsidR="009E739D" w:rsidRPr="00AF2694">
              <w:rPr>
                <w:sz w:val="22"/>
                <w:szCs w:val="22"/>
                <w:lang w:val="sr-Latn-ME"/>
              </w:rPr>
              <w:t>j</w:t>
            </w:r>
            <w:r w:rsidRPr="00AF2694">
              <w:rPr>
                <w:sz w:val="22"/>
                <w:szCs w:val="22"/>
                <w:lang w:val="sr-Latn-ME"/>
              </w:rPr>
              <w:t>estu prim</w:t>
            </w:r>
            <w:r w:rsidR="009E739D" w:rsidRPr="00AF2694">
              <w:rPr>
                <w:sz w:val="22"/>
                <w:szCs w:val="22"/>
                <w:lang w:val="sr-Latn-ME"/>
              </w:rPr>
              <w:t>j</w:t>
            </w:r>
            <w:r w:rsidRPr="00AF2694">
              <w:rPr>
                <w:sz w:val="22"/>
                <w:szCs w:val="22"/>
                <w:lang w:val="sr-Latn-ME"/>
              </w:rPr>
              <w:t>ene infuzije</w:t>
            </w:r>
            <w:r w:rsidRPr="00AF2694">
              <w:rPr>
                <w:sz w:val="22"/>
                <w:szCs w:val="22"/>
                <w:vertAlign w:val="superscript"/>
                <w:lang w:val="sr-Latn-ME"/>
              </w:rPr>
              <w:t>c</w:t>
            </w:r>
          </w:p>
        </w:tc>
        <w:tc>
          <w:tcPr>
            <w:tcW w:w="1664" w:type="dxa"/>
            <w:vAlign w:val="center"/>
          </w:tcPr>
          <w:p w14:paraId="46C289D8"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Često</w:t>
            </w:r>
          </w:p>
        </w:tc>
      </w:tr>
      <w:tr w:rsidR="00251C3A" w:rsidRPr="00AF2694" w14:paraId="52E5D5BB" w14:textId="77777777" w:rsidTr="004B3317">
        <w:trPr>
          <w:cantSplit/>
          <w:trHeight w:val="340"/>
        </w:trPr>
        <w:tc>
          <w:tcPr>
            <w:tcW w:w="3888" w:type="dxa"/>
            <w:vAlign w:val="center"/>
          </w:tcPr>
          <w:p w14:paraId="17FD3740"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Ispitivanja</w:t>
            </w:r>
          </w:p>
        </w:tc>
        <w:tc>
          <w:tcPr>
            <w:tcW w:w="3690" w:type="dxa"/>
            <w:vAlign w:val="center"/>
          </w:tcPr>
          <w:p w14:paraId="683D50D0" w14:textId="3D73BE0C" w:rsidR="00251C3A" w:rsidRPr="00AF2694" w:rsidRDefault="00251C3A" w:rsidP="00CF11D6">
            <w:pPr>
              <w:tabs>
                <w:tab w:val="left" w:pos="540"/>
                <w:tab w:val="left" w:pos="569"/>
              </w:tabs>
              <w:jc w:val="both"/>
              <w:rPr>
                <w:sz w:val="22"/>
                <w:szCs w:val="22"/>
                <w:lang w:val="sr-Latn-ME"/>
              </w:rPr>
            </w:pPr>
            <w:r w:rsidRPr="00AF2694">
              <w:rPr>
                <w:sz w:val="22"/>
                <w:szCs w:val="22"/>
                <w:lang w:val="sr-Latn-ME"/>
              </w:rPr>
              <w:t>Povišena t</w:t>
            </w:r>
            <w:r w:rsidR="009E739D" w:rsidRPr="00AF2694">
              <w:rPr>
                <w:sz w:val="22"/>
                <w:szCs w:val="22"/>
                <w:lang w:val="sr-Latn-ME"/>
              </w:rPr>
              <w:t>j</w:t>
            </w:r>
            <w:r w:rsidRPr="00AF2694">
              <w:rPr>
                <w:sz w:val="22"/>
                <w:szCs w:val="22"/>
                <w:lang w:val="sr-Latn-ME"/>
              </w:rPr>
              <w:t>elesna temperatura</w:t>
            </w:r>
          </w:p>
        </w:tc>
        <w:tc>
          <w:tcPr>
            <w:tcW w:w="1664" w:type="dxa"/>
          </w:tcPr>
          <w:p w14:paraId="13522F1B" w14:textId="77777777" w:rsidR="00251C3A" w:rsidRPr="00AF2694" w:rsidRDefault="00251C3A" w:rsidP="00CF11D6">
            <w:pPr>
              <w:tabs>
                <w:tab w:val="left" w:pos="540"/>
                <w:tab w:val="left" w:pos="569"/>
              </w:tabs>
              <w:jc w:val="both"/>
              <w:rPr>
                <w:sz w:val="22"/>
                <w:szCs w:val="22"/>
                <w:lang w:val="sr-Latn-ME"/>
              </w:rPr>
            </w:pPr>
            <w:r w:rsidRPr="00AF2694">
              <w:rPr>
                <w:sz w:val="22"/>
                <w:szCs w:val="22"/>
                <w:lang w:val="sr-Latn-ME"/>
              </w:rPr>
              <w:t>Često</w:t>
            </w:r>
          </w:p>
        </w:tc>
      </w:tr>
    </w:tbl>
    <w:p w14:paraId="5645463E" w14:textId="0C4D0C06" w:rsidR="00251C3A" w:rsidRPr="00AF2694" w:rsidRDefault="00251C3A" w:rsidP="00CF11D6">
      <w:pPr>
        <w:tabs>
          <w:tab w:val="left" w:pos="540"/>
          <w:tab w:val="left" w:pos="569"/>
        </w:tabs>
        <w:jc w:val="both"/>
        <w:rPr>
          <w:sz w:val="22"/>
          <w:szCs w:val="22"/>
          <w:lang w:val="sr-Latn-ME"/>
        </w:rPr>
      </w:pPr>
      <w:r w:rsidRPr="00AF2694">
        <w:rPr>
          <w:sz w:val="22"/>
          <w:szCs w:val="22"/>
          <w:vertAlign w:val="superscript"/>
          <w:lang w:val="sr-Latn-ME"/>
        </w:rPr>
        <w:t>a</w:t>
      </w:r>
      <w:r w:rsidRPr="00AF2694">
        <w:rPr>
          <w:sz w:val="22"/>
          <w:szCs w:val="22"/>
          <w:lang w:val="sr-Latn-ME"/>
        </w:rPr>
        <w:tab/>
        <w:t>Pojavilo se kod 2 pacijenta l</w:t>
      </w:r>
      <w:r w:rsidR="009E739D" w:rsidRPr="00AF2694">
        <w:rPr>
          <w:sz w:val="22"/>
          <w:szCs w:val="22"/>
          <w:lang w:val="sr-Latn-ME"/>
        </w:rPr>
        <w:t>ij</w:t>
      </w:r>
      <w:r w:rsidRPr="00AF2694">
        <w:rPr>
          <w:sz w:val="22"/>
          <w:szCs w:val="22"/>
          <w:lang w:val="sr-Latn-ME"/>
        </w:rPr>
        <w:t>ečena u kliničkim studijama. Zasnovano na preferiranom terminu „anafilaktička reakcija” i prim</w:t>
      </w:r>
      <w:r w:rsidR="009E739D" w:rsidRPr="00AF2694">
        <w:rPr>
          <w:sz w:val="22"/>
          <w:szCs w:val="22"/>
          <w:lang w:val="sr-Latn-ME"/>
        </w:rPr>
        <w:t>j</w:t>
      </w:r>
      <w:r w:rsidRPr="00AF2694">
        <w:rPr>
          <w:sz w:val="22"/>
          <w:szCs w:val="22"/>
          <w:lang w:val="sr-Latn-ME"/>
        </w:rPr>
        <w:t>eni Sampsonovih kriterijuma za identifikaciju znakova/simptoma koji su u skladu sa anafilaksijom.</w:t>
      </w:r>
    </w:p>
    <w:p w14:paraId="3AA49429" w14:textId="77777777" w:rsidR="00251C3A" w:rsidRPr="00AF2694" w:rsidRDefault="00251C3A" w:rsidP="00CF11D6">
      <w:pPr>
        <w:tabs>
          <w:tab w:val="left" w:pos="540"/>
          <w:tab w:val="left" w:pos="569"/>
        </w:tabs>
        <w:jc w:val="both"/>
        <w:rPr>
          <w:sz w:val="22"/>
          <w:szCs w:val="22"/>
          <w:lang w:val="sr-Latn-ME"/>
        </w:rPr>
      </w:pPr>
      <w:r w:rsidRPr="00AF2694">
        <w:rPr>
          <w:sz w:val="22"/>
          <w:szCs w:val="22"/>
          <w:vertAlign w:val="superscript"/>
          <w:lang w:val="sr-Latn-ME"/>
        </w:rPr>
        <w:t>b</w:t>
      </w:r>
      <w:r w:rsidRPr="00AF2694">
        <w:rPr>
          <w:sz w:val="22"/>
          <w:szCs w:val="22"/>
          <w:lang w:val="sr-Latn-ME"/>
        </w:rPr>
        <w:tab/>
        <w:t xml:space="preserve">Može uključivati: drhtavicu, ekcem, edem larinksa, mučninu, svrab, urtikariju. </w:t>
      </w:r>
    </w:p>
    <w:p w14:paraId="56D4C85A" w14:textId="5AC91D4A" w:rsidR="00251C3A" w:rsidRPr="00AF2694" w:rsidRDefault="00251C3A" w:rsidP="00CF11D6">
      <w:pPr>
        <w:tabs>
          <w:tab w:val="left" w:pos="540"/>
          <w:tab w:val="left" w:pos="569"/>
        </w:tabs>
        <w:jc w:val="both"/>
        <w:rPr>
          <w:bCs/>
          <w:sz w:val="22"/>
          <w:szCs w:val="22"/>
          <w:lang w:val="sr-Latn-ME"/>
        </w:rPr>
      </w:pPr>
      <w:r w:rsidRPr="00AF2694">
        <w:rPr>
          <w:sz w:val="22"/>
          <w:szCs w:val="22"/>
          <w:vertAlign w:val="superscript"/>
          <w:lang w:val="sr-Latn-ME"/>
        </w:rPr>
        <w:t>c</w:t>
      </w:r>
      <w:r w:rsidRPr="00AF2694">
        <w:rPr>
          <w:sz w:val="22"/>
          <w:szCs w:val="22"/>
          <w:lang w:val="sr-Latn-ME"/>
        </w:rPr>
        <w:tab/>
        <w:t>Uključuje: ekstravazaciju na m</w:t>
      </w:r>
      <w:r w:rsidR="009E739D" w:rsidRPr="00AF2694">
        <w:rPr>
          <w:sz w:val="22"/>
          <w:szCs w:val="22"/>
          <w:lang w:val="sr-Latn-ME"/>
        </w:rPr>
        <w:t>j</w:t>
      </w:r>
      <w:r w:rsidRPr="00AF2694">
        <w:rPr>
          <w:sz w:val="22"/>
          <w:szCs w:val="22"/>
          <w:lang w:val="sr-Latn-ME"/>
        </w:rPr>
        <w:t>estu infuzije, bol na m</w:t>
      </w:r>
      <w:r w:rsidR="009E739D" w:rsidRPr="00AF2694">
        <w:rPr>
          <w:sz w:val="22"/>
          <w:szCs w:val="22"/>
          <w:lang w:val="sr-Latn-ME"/>
        </w:rPr>
        <w:t>j</w:t>
      </w:r>
      <w:r w:rsidRPr="00AF2694">
        <w:rPr>
          <w:sz w:val="22"/>
          <w:szCs w:val="22"/>
          <w:lang w:val="sr-Latn-ME"/>
        </w:rPr>
        <w:t>estu infuzije i urtikariju na m</w:t>
      </w:r>
      <w:r w:rsidR="009E739D" w:rsidRPr="00AF2694">
        <w:rPr>
          <w:sz w:val="22"/>
          <w:szCs w:val="22"/>
          <w:lang w:val="sr-Latn-ME"/>
        </w:rPr>
        <w:t>j</w:t>
      </w:r>
      <w:r w:rsidRPr="00AF2694">
        <w:rPr>
          <w:sz w:val="22"/>
          <w:szCs w:val="22"/>
          <w:lang w:val="sr-Latn-ME"/>
        </w:rPr>
        <w:t xml:space="preserve">estu infuzije </w:t>
      </w:r>
    </w:p>
    <w:p w14:paraId="3C170E45" w14:textId="77777777" w:rsidR="00251C3A" w:rsidRPr="00AF2694" w:rsidRDefault="00251C3A" w:rsidP="00CF11D6">
      <w:pPr>
        <w:tabs>
          <w:tab w:val="left" w:pos="540"/>
          <w:tab w:val="left" w:pos="569"/>
        </w:tabs>
        <w:jc w:val="both"/>
        <w:rPr>
          <w:sz w:val="22"/>
          <w:szCs w:val="22"/>
          <w:lang w:val="sr-Latn-ME"/>
        </w:rPr>
      </w:pPr>
    </w:p>
    <w:p w14:paraId="5B8B4448" w14:textId="77777777" w:rsidR="00251C3A" w:rsidRPr="00AF2694" w:rsidRDefault="00251C3A" w:rsidP="00CF11D6">
      <w:pPr>
        <w:tabs>
          <w:tab w:val="left" w:pos="540"/>
          <w:tab w:val="left" w:pos="569"/>
        </w:tabs>
        <w:jc w:val="both"/>
        <w:rPr>
          <w:sz w:val="22"/>
          <w:szCs w:val="22"/>
          <w:u w:val="single"/>
          <w:lang w:val="sr-Latn-ME"/>
        </w:rPr>
      </w:pPr>
      <w:r w:rsidRPr="00AF2694">
        <w:rPr>
          <w:sz w:val="22"/>
          <w:szCs w:val="22"/>
          <w:u w:val="single"/>
          <w:lang w:val="sr-Latn-ME"/>
        </w:rPr>
        <w:t>Opis izabranih neželjenih reakcija</w:t>
      </w:r>
    </w:p>
    <w:p w14:paraId="08C7687C" w14:textId="77777777" w:rsidR="00251C3A" w:rsidRPr="00AF2694" w:rsidRDefault="00251C3A" w:rsidP="00CF11D6">
      <w:pPr>
        <w:tabs>
          <w:tab w:val="left" w:pos="540"/>
          <w:tab w:val="left" w:pos="567"/>
        </w:tabs>
        <w:jc w:val="both"/>
        <w:rPr>
          <w:i/>
          <w:sz w:val="22"/>
          <w:szCs w:val="22"/>
          <w:lang w:val="sr-Latn-ME"/>
        </w:rPr>
      </w:pPr>
    </w:p>
    <w:p w14:paraId="650006DB" w14:textId="70758C4D" w:rsidR="00251C3A" w:rsidRPr="00AF2694" w:rsidRDefault="00251C3A" w:rsidP="00CF11D6">
      <w:pPr>
        <w:tabs>
          <w:tab w:val="left" w:pos="540"/>
          <w:tab w:val="left" w:pos="567"/>
        </w:tabs>
        <w:jc w:val="both"/>
        <w:rPr>
          <w:i/>
          <w:sz w:val="22"/>
          <w:szCs w:val="22"/>
          <w:lang w:val="sr-Latn-ME"/>
        </w:rPr>
      </w:pPr>
      <w:r w:rsidRPr="00AF2694">
        <w:rPr>
          <w:i/>
          <w:iCs/>
          <w:sz w:val="22"/>
          <w:szCs w:val="22"/>
          <w:lang w:val="sr-Latn-ME"/>
        </w:rPr>
        <w:t>Preos</w:t>
      </w:r>
      <w:r w:rsidR="009E739D" w:rsidRPr="00AF2694">
        <w:rPr>
          <w:i/>
          <w:iCs/>
          <w:sz w:val="22"/>
          <w:szCs w:val="22"/>
          <w:lang w:val="sr-Latn-ME"/>
        </w:rPr>
        <w:t>j</w:t>
      </w:r>
      <w:r w:rsidRPr="00AF2694">
        <w:rPr>
          <w:i/>
          <w:iCs/>
          <w:sz w:val="22"/>
          <w:szCs w:val="22"/>
          <w:lang w:val="sr-Latn-ME"/>
        </w:rPr>
        <w:t>etljivost</w:t>
      </w:r>
    </w:p>
    <w:p w14:paraId="4D13E709" w14:textId="1DE8F27B" w:rsidR="00251C3A" w:rsidRPr="00AF2694" w:rsidRDefault="00251C3A" w:rsidP="00CF11D6">
      <w:pPr>
        <w:tabs>
          <w:tab w:val="left" w:pos="540"/>
          <w:tab w:val="left" w:pos="567"/>
        </w:tabs>
        <w:jc w:val="both"/>
        <w:rPr>
          <w:bCs/>
          <w:sz w:val="22"/>
          <w:szCs w:val="22"/>
          <w:lang w:val="sr-Latn-ME"/>
        </w:rPr>
      </w:pPr>
      <w:r w:rsidRPr="00AF2694">
        <w:rPr>
          <w:sz w:val="22"/>
          <w:szCs w:val="22"/>
          <w:lang w:val="sr-Latn-ME"/>
        </w:rPr>
        <w:t>Pet od 125 (4%) pacijenata l</w:t>
      </w:r>
      <w:r w:rsidR="009E739D" w:rsidRPr="00AF2694">
        <w:rPr>
          <w:sz w:val="22"/>
          <w:szCs w:val="22"/>
          <w:lang w:val="sr-Latn-ME"/>
        </w:rPr>
        <w:t>ij</w:t>
      </w:r>
      <w:r w:rsidRPr="00AF2694">
        <w:rPr>
          <w:sz w:val="22"/>
          <w:szCs w:val="22"/>
          <w:lang w:val="sr-Latn-ME"/>
        </w:rPr>
        <w:t>ečenih sebelipazom alfa, uključujući 3 od 19 (16%) dojenčadi i 2 od 106 (2%) d</w:t>
      </w:r>
      <w:r w:rsidR="009E739D" w:rsidRPr="00AF2694">
        <w:rPr>
          <w:sz w:val="22"/>
          <w:szCs w:val="22"/>
          <w:lang w:val="sr-Latn-ME"/>
        </w:rPr>
        <w:t>j</w:t>
      </w:r>
      <w:r w:rsidRPr="00AF2694">
        <w:rPr>
          <w:sz w:val="22"/>
          <w:szCs w:val="22"/>
          <w:lang w:val="sr-Latn-ME"/>
        </w:rPr>
        <w:t>ece i odraslih, u kliničkim studijama iskusili su ozbiljne znakove i simptome u skladu sa anafilaksijom na sebelipazu alfa. Anafilaksija se javila tokom infuzije, čak i do godinu dana nakon početka l</w:t>
      </w:r>
      <w:r w:rsidR="009E739D" w:rsidRPr="00AF2694">
        <w:rPr>
          <w:sz w:val="22"/>
          <w:szCs w:val="22"/>
          <w:lang w:val="sr-Latn-ME"/>
        </w:rPr>
        <w:t>ij</w:t>
      </w:r>
      <w:r w:rsidRPr="00AF2694">
        <w:rPr>
          <w:sz w:val="22"/>
          <w:szCs w:val="22"/>
          <w:lang w:val="sr-Latn-ME"/>
        </w:rPr>
        <w:t>ečenja.</w:t>
      </w:r>
    </w:p>
    <w:p w14:paraId="0F931831" w14:textId="77777777" w:rsidR="00251C3A" w:rsidRPr="00AF2694" w:rsidRDefault="00251C3A" w:rsidP="00CF11D6">
      <w:pPr>
        <w:tabs>
          <w:tab w:val="left" w:pos="540"/>
          <w:tab w:val="left" w:pos="567"/>
        </w:tabs>
        <w:jc w:val="both"/>
        <w:rPr>
          <w:bCs/>
          <w:sz w:val="22"/>
          <w:szCs w:val="22"/>
          <w:lang w:val="sr-Latn-ME"/>
        </w:rPr>
      </w:pPr>
    </w:p>
    <w:p w14:paraId="1913D410" w14:textId="05964EF7" w:rsidR="00251C3A" w:rsidRPr="00AF2694" w:rsidRDefault="00251C3A" w:rsidP="00CF11D6">
      <w:pPr>
        <w:tabs>
          <w:tab w:val="left" w:pos="540"/>
          <w:tab w:val="left" w:pos="567"/>
        </w:tabs>
        <w:jc w:val="both"/>
        <w:rPr>
          <w:bCs/>
          <w:sz w:val="22"/>
          <w:szCs w:val="22"/>
          <w:lang w:val="sr-Latn-ME"/>
        </w:rPr>
      </w:pPr>
      <w:r w:rsidRPr="00AF2694">
        <w:rPr>
          <w:sz w:val="22"/>
          <w:szCs w:val="22"/>
          <w:lang w:val="sr-Latn-ME"/>
        </w:rPr>
        <w:t>U kliničkim studijama, 59 od 125 (47%) pacijenata l</w:t>
      </w:r>
      <w:r w:rsidR="009E739D" w:rsidRPr="00AF2694">
        <w:rPr>
          <w:sz w:val="22"/>
          <w:szCs w:val="22"/>
          <w:lang w:val="sr-Latn-ME"/>
        </w:rPr>
        <w:t>ij</w:t>
      </w:r>
      <w:r w:rsidRPr="00AF2694">
        <w:rPr>
          <w:sz w:val="22"/>
          <w:szCs w:val="22"/>
          <w:lang w:val="sr-Latn-ME"/>
        </w:rPr>
        <w:t>ečenih sebelipazom alfa, uključujući 13 od 19 (68%) dojenčadi i 46 od 106 (43%) d</w:t>
      </w:r>
      <w:r w:rsidR="009E739D" w:rsidRPr="00AF2694">
        <w:rPr>
          <w:sz w:val="22"/>
          <w:szCs w:val="22"/>
          <w:lang w:val="sr-Latn-ME"/>
        </w:rPr>
        <w:t>j</w:t>
      </w:r>
      <w:r w:rsidRPr="00AF2694">
        <w:rPr>
          <w:sz w:val="22"/>
          <w:szCs w:val="22"/>
          <w:lang w:val="sr-Latn-ME"/>
        </w:rPr>
        <w:t>ece i odraslih, iskusili su najmanje jednu reakciju preos</w:t>
      </w:r>
      <w:r w:rsidR="009E739D" w:rsidRPr="00AF2694">
        <w:rPr>
          <w:sz w:val="22"/>
          <w:szCs w:val="22"/>
          <w:lang w:val="sr-Latn-ME"/>
        </w:rPr>
        <w:t>j</w:t>
      </w:r>
      <w:r w:rsidRPr="00AF2694">
        <w:rPr>
          <w:sz w:val="22"/>
          <w:szCs w:val="22"/>
          <w:lang w:val="sr-Latn-ME"/>
        </w:rPr>
        <w:t>etljivosti (odabrano korišćenjem validiranog, unapr</w:t>
      </w:r>
      <w:r w:rsidR="009E739D" w:rsidRPr="00AF2694">
        <w:rPr>
          <w:sz w:val="22"/>
          <w:szCs w:val="22"/>
          <w:lang w:val="sr-Latn-ME"/>
        </w:rPr>
        <w:t>ij</w:t>
      </w:r>
      <w:r w:rsidRPr="00AF2694">
        <w:rPr>
          <w:sz w:val="22"/>
          <w:szCs w:val="22"/>
          <w:lang w:val="sr-Latn-ME"/>
        </w:rPr>
        <w:t>ed određenog skupa termina grupisanih zajedno za identifikaciju potencijalnih reakcija preos</w:t>
      </w:r>
      <w:r w:rsidR="009E739D" w:rsidRPr="00AF2694">
        <w:rPr>
          <w:sz w:val="22"/>
          <w:szCs w:val="22"/>
          <w:lang w:val="sr-Latn-ME"/>
        </w:rPr>
        <w:t>j</w:t>
      </w:r>
      <w:r w:rsidRPr="00AF2694">
        <w:rPr>
          <w:sz w:val="22"/>
          <w:szCs w:val="22"/>
          <w:lang w:val="sr-Latn-ME"/>
        </w:rPr>
        <w:t>etljivosti). Znakovi i simptomi koji su bili u skladu sa</w:t>
      </w:r>
      <w:r w:rsidR="001A69B7" w:rsidRPr="00AF2694">
        <w:rPr>
          <w:sz w:val="22"/>
          <w:szCs w:val="22"/>
          <w:lang w:val="sr-Latn-ME"/>
        </w:rPr>
        <w:t xml:space="preserve">, </w:t>
      </w:r>
      <w:r w:rsidRPr="00AF2694">
        <w:rPr>
          <w:sz w:val="22"/>
          <w:szCs w:val="22"/>
          <w:lang w:val="sr-Latn-ME"/>
        </w:rPr>
        <w:t>ili su mogli biti povezani</w:t>
      </w:r>
      <w:r w:rsidR="001A69B7" w:rsidRPr="00AF2694">
        <w:rPr>
          <w:sz w:val="22"/>
          <w:szCs w:val="22"/>
          <w:lang w:val="sr-Latn-ME"/>
        </w:rPr>
        <w:t>,</w:t>
      </w:r>
      <w:r w:rsidRPr="00AF2694">
        <w:rPr>
          <w:sz w:val="22"/>
          <w:szCs w:val="22"/>
          <w:lang w:val="sr-Latn-ME"/>
        </w:rPr>
        <w:t xml:space="preserve"> sa reakcijom preos</w:t>
      </w:r>
      <w:r w:rsidR="009E739D" w:rsidRPr="00AF2694">
        <w:rPr>
          <w:sz w:val="22"/>
          <w:szCs w:val="22"/>
          <w:lang w:val="sr-Latn-ME"/>
        </w:rPr>
        <w:t>j</w:t>
      </w:r>
      <w:r w:rsidRPr="00AF2694">
        <w:rPr>
          <w:sz w:val="22"/>
          <w:szCs w:val="22"/>
          <w:lang w:val="sr-Latn-ME"/>
        </w:rPr>
        <w:t>etljivosti, a koji su se javili kod dva ili više pacijen</w:t>
      </w:r>
      <w:r w:rsidR="001A69B7" w:rsidRPr="00AF2694">
        <w:rPr>
          <w:sz w:val="22"/>
          <w:szCs w:val="22"/>
          <w:lang w:val="sr-Latn-ME"/>
        </w:rPr>
        <w:t>a</w:t>
      </w:r>
      <w:r w:rsidRPr="00AF2694">
        <w:rPr>
          <w:sz w:val="22"/>
          <w:szCs w:val="22"/>
          <w:lang w:val="sr-Latn-ME"/>
        </w:rPr>
        <w:t>ta, uključ</w:t>
      </w:r>
      <w:r w:rsidR="001A69B7" w:rsidRPr="00AF2694">
        <w:rPr>
          <w:sz w:val="22"/>
          <w:szCs w:val="22"/>
          <w:lang w:val="sr-Latn-ME"/>
        </w:rPr>
        <w:t>ivali su između ostalog</w:t>
      </w:r>
      <w:r w:rsidRPr="00AF2694">
        <w:rPr>
          <w:sz w:val="22"/>
          <w:szCs w:val="22"/>
          <w:lang w:val="sr-Latn-ME"/>
        </w:rPr>
        <w:t xml:space="preserve"> bol u stomaku, uznemirenost, bronhospazam, drhtavicu, dijareju, edem kapaka, ekcem, edem lica, hipertenziju, razdražljivost, edem larinksa, oticanje usana, mučninu, edem, bl</w:t>
      </w:r>
      <w:r w:rsidR="009E739D" w:rsidRPr="00AF2694">
        <w:rPr>
          <w:sz w:val="22"/>
          <w:szCs w:val="22"/>
          <w:lang w:val="sr-Latn-ME"/>
        </w:rPr>
        <w:t>j</w:t>
      </w:r>
      <w:r w:rsidRPr="00AF2694">
        <w:rPr>
          <w:sz w:val="22"/>
          <w:szCs w:val="22"/>
          <w:lang w:val="sr-Latn-ME"/>
        </w:rPr>
        <w:t>edilo, svrab, povišenu t</w:t>
      </w:r>
      <w:r w:rsidR="009E739D" w:rsidRPr="00AF2694">
        <w:rPr>
          <w:sz w:val="22"/>
          <w:szCs w:val="22"/>
          <w:lang w:val="sr-Latn-ME"/>
        </w:rPr>
        <w:t>j</w:t>
      </w:r>
      <w:r w:rsidRPr="00AF2694">
        <w:rPr>
          <w:sz w:val="22"/>
          <w:szCs w:val="22"/>
          <w:lang w:val="sr-Latn-ME"/>
        </w:rPr>
        <w:t>elesnu temperaturu, osip, tahikardiju, urtikariju i povraćanje. Većina reakcija se dogodila tokom ili u roku od 4 sata nakon završetka infuzije.</w:t>
      </w:r>
    </w:p>
    <w:p w14:paraId="28BB2F7F" w14:textId="77777777" w:rsidR="00251C3A" w:rsidRPr="00AF2694" w:rsidRDefault="00251C3A" w:rsidP="00CF11D6">
      <w:pPr>
        <w:tabs>
          <w:tab w:val="left" w:pos="540"/>
          <w:tab w:val="left" w:pos="567"/>
        </w:tabs>
        <w:jc w:val="both"/>
        <w:rPr>
          <w:i/>
          <w:sz w:val="22"/>
          <w:szCs w:val="22"/>
          <w:lang w:val="sr-Latn-ME"/>
        </w:rPr>
      </w:pPr>
    </w:p>
    <w:p w14:paraId="3019F221" w14:textId="77777777" w:rsidR="00251C3A" w:rsidRPr="00AF2694" w:rsidRDefault="00251C3A" w:rsidP="00CF11D6">
      <w:pPr>
        <w:tabs>
          <w:tab w:val="left" w:pos="540"/>
          <w:tab w:val="left" w:pos="569"/>
        </w:tabs>
        <w:jc w:val="both"/>
        <w:rPr>
          <w:i/>
          <w:sz w:val="22"/>
          <w:szCs w:val="22"/>
          <w:lang w:val="sr-Latn-ME"/>
        </w:rPr>
      </w:pPr>
      <w:r w:rsidRPr="00AF2694">
        <w:rPr>
          <w:i/>
          <w:iCs/>
          <w:sz w:val="22"/>
          <w:szCs w:val="22"/>
          <w:lang w:val="sr-Latn-ME"/>
        </w:rPr>
        <w:t xml:space="preserve">Prolazna hiperlipidemija </w:t>
      </w:r>
    </w:p>
    <w:p w14:paraId="6E6AB167" w14:textId="726003C3" w:rsidR="00251C3A" w:rsidRPr="00AF2694" w:rsidRDefault="00251C3A" w:rsidP="00CF11D6">
      <w:pPr>
        <w:tabs>
          <w:tab w:val="left" w:pos="540"/>
          <w:tab w:val="left" w:pos="569"/>
        </w:tabs>
        <w:jc w:val="both"/>
        <w:rPr>
          <w:b/>
          <w:sz w:val="22"/>
          <w:szCs w:val="22"/>
          <w:lang w:val="sr-Latn-ME"/>
        </w:rPr>
      </w:pPr>
      <w:r w:rsidRPr="00AF2694">
        <w:rPr>
          <w:sz w:val="22"/>
          <w:szCs w:val="22"/>
          <w:lang w:val="sr-Latn-ME"/>
        </w:rPr>
        <w:t>U skladu sa poznatim mehanizmom d</w:t>
      </w:r>
      <w:r w:rsidR="009E739D" w:rsidRPr="00AF2694">
        <w:rPr>
          <w:sz w:val="22"/>
          <w:szCs w:val="22"/>
          <w:lang w:val="sr-Latn-ME"/>
        </w:rPr>
        <w:t>j</w:t>
      </w:r>
      <w:r w:rsidRPr="00AF2694">
        <w:rPr>
          <w:sz w:val="22"/>
          <w:szCs w:val="22"/>
          <w:lang w:val="sr-Latn-ME"/>
        </w:rPr>
        <w:t>elovanja, asimptomatski porasti cirkulišućeg holesterola i triglicerida prim</w:t>
      </w:r>
      <w:r w:rsidR="009E739D" w:rsidRPr="00AF2694">
        <w:rPr>
          <w:sz w:val="22"/>
          <w:szCs w:val="22"/>
          <w:lang w:val="sr-Latn-ME"/>
        </w:rPr>
        <w:t>ij</w:t>
      </w:r>
      <w:r w:rsidRPr="00AF2694">
        <w:rPr>
          <w:sz w:val="22"/>
          <w:szCs w:val="22"/>
          <w:lang w:val="sr-Latn-ME"/>
        </w:rPr>
        <w:t>ećeni su nakon početka l</w:t>
      </w:r>
      <w:r w:rsidR="009E739D" w:rsidRPr="00AF2694">
        <w:rPr>
          <w:sz w:val="22"/>
          <w:szCs w:val="22"/>
          <w:lang w:val="sr-Latn-ME"/>
        </w:rPr>
        <w:t>ij</w:t>
      </w:r>
      <w:r w:rsidRPr="00AF2694">
        <w:rPr>
          <w:sz w:val="22"/>
          <w:szCs w:val="22"/>
          <w:lang w:val="sr-Latn-ME"/>
        </w:rPr>
        <w:t>ečenja. Ovi porasti su se obično dešavali u prve 2 do 4 ned</w:t>
      </w:r>
      <w:r w:rsidR="009E739D" w:rsidRPr="00AF2694">
        <w:rPr>
          <w:sz w:val="22"/>
          <w:szCs w:val="22"/>
          <w:lang w:val="sr-Latn-ME"/>
        </w:rPr>
        <w:t>j</w:t>
      </w:r>
      <w:r w:rsidRPr="00AF2694">
        <w:rPr>
          <w:sz w:val="22"/>
          <w:szCs w:val="22"/>
          <w:lang w:val="sr-Latn-ME"/>
        </w:rPr>
        <w:t xml:space="preserve">elje i poboljšavali su se </w:t>
      </w:r>
      <w:r w:rsidR="00D23E74" w:rsidRPr="00AF2694">
        <w:rPr>
          <w:sz w:val="22"/>
          <w:szCs w:val="22"/>
          <w:lang w:val="sr-Latn-ME"/>
        </w:rPr>
        <w:t>unutar</w:t>
      </w:r>
      <w:r w:rsidRPr="00AF2694">
        <w:rPr>
          <w:sz w:val="22"/>
          <w:szCs w:val="22"/>
          <w:lang w:val="sr-Latn-ME"/>
        </w:rPr>
        <w:t xml:space="preserve"> sl</w:t>
      </w:r>
      <w:r w:rsidR="009E739D" w:rsidRPr="00AF2694">
        <w:rPr>
          <w:sz w:val="22"/>
          <w:szCs w:val="22"/>
          <w:lang w:val="sr-Latn-ME"/>
        </w:rPr>
        <w:t>j</w:t>
      </w:r>
      <w:r w:rsidRPr="00AF2694">
        <w:rPr>
          <w:sz w:val="22"/>
          <w:szCs w:val="22"/>
          <w:lang w:val="sr-Latn-ME"/>
        </w:rPr>
        <w:t>edećih 8 ned</w:t>
      </w:r>
      <w:r w:rsidR="009E739D" w:rsidRPr="00AF2694">
        <w:rPr>
          <w:sz w:val="22"/>
          <w:szCs w:val="22"/>
          <w:lang w:val="sr-Latn-ME"/>
        </w:rPr>
        <w:t>j</w:t>
      </w:r>
      <w:r w:rsidRPr="00AF2694">
        <w:rPr>
          <w:sz w:val="22"/>
          <w:szCs w:val="22"/>
          <w:lang w:val="sr-Latn-ME"/>
        </w:rPr>
        <w:t>elja l</w:t>
      </w:r>
      <w:r w:rsidR="009E739D" w:rsidRPr="00AF2694">
        <w:rPr>
          <w:sz w:val="22"/>
          <w:szCs w:val="22"/>
          <w:lang w:val="sr-Latn-ME"/>
        </w:rPr>
        <w:t>ij</w:t>
      </w:r>
      <w:r w:rsidRPr="00AF2694">
        <w:rPr>
          <w:sz w:val="22"/>
          <w:szCs w:val="22"/>
          <w:lang w:val="sr-Latn-ME"/>
        </w:rPr>
        <w:t>ečenja. Vid</w:t>
      </w:r>
      <w:r w:rsidR="009E739D" w:rsidRPr="00AF2694">
        <w:rPr>
          <w:sz w:val="22"/>
          <w:szCs w:val="22"/>
          <w:lang w:val="sr-Latn-ME"/>
        </w:rPr>
        <w:t>j</w:t>
      </w:r>
      <w:r w:rsidRPr="00AF2694">
        <w:rPr>
          <w:sz w:val="22"/>
          <w:szCs w:val="22"/>
          <w:lang w:val="sr-Latn-ME"/>
        </w:rPr>
        <w:t xml:space="preserve">eti </w:t>
      </w:r>
      <w:r w:rsidR="009E739D" w:rsidRPr="00AF2694">
        <w:rPr>
          <w:sz w:val="22"/>
          <w:szCs w:val="22"/>
          <w:lang w:val="sr-Latn-ME"/>
        </w:rPr>
        <w:t>dio</w:t>
      </w:r>
      <w:r w:rsidRPr="00AF2694">
        <w:rPr>
          <w:sz w:val="22"/>
          <w:szCs w:val="22"/>
          <w:lang w:val="sr-Latn-ME"/>
        </w:rPr>
        <w:t xml:space="preserve"> 5.1.</w:t>
      </w:r>
    </w:p>
    <w:p w14:paraId="0E24BF52" w14:textId="77777777" w:rsidR="00251C3A" w:rsidRPr="00AF2694" w:rsidRDefault="00251C3A" w:rsidP="00CF11D6">
      <w:pPr>
        <w:tabs>
          <w:tab w:val="left" w:pos="540"/>
          <w:tab w:val="left" w:pos="567"/>
        </w:tabs>
        <w:jc w:val="both"/>
        <w:rPr>
          <w:sz w:val="22"/>
          <w:szCs w:val="22"/>
          <w:lang w:val="sr-Latn-ME"/>
        </w:rPr>
      </w:pPr>
    </w:p>
    <w:p w14:paraId="32CC6CDB" w14:textId="77777777" w:rsidR="00251C3A" w:rsidRPr="00AF2694" w:rsidRDefault="00251C3A" w:rsidP="00CF11D6">
      <w:pPr>
        <w:tabs>
          <w:tab w:val="left" w:pos="540"/>
          <w:tab w:val="left" w:pos="567"/>
        </w:tabs>
        <w:jc w:val="both"/>
        <w:rPr>
          <w:i/>
          <w:sz w:val="22"/>
          <w:szCs w:val="22"/>
          <w:lang w:val="sr-Latn-ME"/>
        </w:rPr>
      </w:pPr>
      <w:r w:rsidRPr="00AF2694">
        <w:rPr>
          <w:i/>
          <w:iCs/>
          <w:sz w:val="22"/>
          <w:szCs w:val="22"/>
          <w:lang w:val="sr-Latn-ME"/>
        </w:rPr>
        <w:t xml:space="preserve">Imunogenost </w:t>
      </w:r>
    </w:p>
    <w:p w14:paraId="6778CCA5" w14:textId="36EE4DA7" w:rsidR="00251C3A" w:rsidRPr="00AF2694" w:rsidRDefault="00251C3A" w:rsidP="00CF11D6">
      <w:pPr>
        <w:tabs>
          <w:tab w:val="left" w:pos="540"/>
          <w:tab w:val="left" w:pos="569"/>
        </w:tabs>
        <w:jc w:val="both"/>
        <w:rPr>
          <w:sz w:val="22"/>
          <w:szCs w:val="22"/>
          <w:lang w:val="sr-Latn-ME"/>
        </w:rPr>
      </w:pPr>
      <w:r w:rsidRPr="00AF2694">
        <w:rPr>
          <w:sz w:val="22"/>
          <w:szCs w:val="22"/>
          <w:lang w:val="sr-Latn-ME"/>
        </w:rPr>
        <w:t>Postoji potencijal za imunogenost (vid</w:t>
      </w:r>
      <w:r w:rsidR="009E739D" w:rsidRPr="00AF2694">
        <w:rPr>
          <w:sz w:val="22"/>
          <w:szCs w:val="22"/>
          <w:lang w:val="sr-Latn-ME"/>
        </w:rPr>
        <w:t>j</w:t>
      </w:r>
      <w:r w:rsidRPr="00AF2694">
        <w:rPr>
          <w:sz w:val="22"/>
          <w:szCs w:val="22"/>
          <w:lang w:val="sr-Latn-ME"/>
        </w:rPr>
        <w:t xml:space="preserve">eti </w:t>
      </w:r>
      <w:r w:rsidR="009E739D" w:rsidRPr="00AF2694">
        <w:rPr>
          <w:sz w:val="22"/>
          <w:szCs w:val="22"/>
          <w:lang w:val="sr-Latn-ME"/>
        </w:rPr>
        <w:t>dio</w:t>
      </w:r>
      <w:r w:rsidRPr="00AF2694">
        <w:rPr>
          <w:sz w:val="22"/>
          <w:szCs w:val="22"/>
          <w:lang w:val="sr-Latn-ME"/>
        </w:rPr>
        <w:t xml:space="preserve"> 4.4). Pacijenti su razvili anti-l</w:t>
      </w:r>
      <w:r w:rsidR="009E739D" w:rsidRPr="00AF2694">
        <w:rPr>
          <w:sz w:val="22"/>
          <w:szCs w:val="22"/>
          <w:lang w:val="sr-Latn-ME"/>
        </w:rPr>
        <w:t>ij</w:t>
      </w:r>
      <w:r w:rsidRPr="00AF2694">
        <w:rPr>
          <w:sz w:val="22"/>
          <w:szCs w:val="22"/>
          <w:lang w:val="sr-Latn-ME"/>
        </w:rPr>
        <w:t>ek antit</w:t>
      </w:r>
      <w:r w:rsidR="009E739D" w:rsidRPr="00AF2694">
        <w:rPr>
          <w:sz w:val="22"/>
          <w:szCs w:val="22"/>
          <w:lang w:val="sr-Latn-ME"/>
        </w:rPr>
        <w:t>ij</w:t>
      </w:r>
      <w:r w:rsidRPr="00AF2694">
        <w:rPr>
          <w:sz w:val="22"/>
          <w:szCs w:val="22"/>
          <w:lang w:val="sr-Latn-ME"/>
        </w:rPr>
        <w:t>ela (ADA) na sebelipazu alfa. U poređenju sa d</w:t>
      </w:r>
      <w:r w:rsidR="009E739D" w:rsidRPr="00AF2694">
        <w:rPr>
          <w:sz w:val="22"/>
          <w:szCs w:val="22"/>
          <w:lang w:val="sr-Latn-ME"/>
        </w:rPr>
        <w:t>j</w:t>
      </w:r>
      <w:r w:rsidRPr="00AF2694">
        <w:rPr>
          <w:sz w:val="22"/>
          <w:szCs w:val="22"/>
          <w:lang w:val="sr-Latn-ME"/>
        </w:rPr>
        <w:t>ecom i odraslima, povećana učestalost ADA pozitivnosti prim</w:t>
      </w:r>
      <w:r w:rsidR="009E739D" w:rsidRPr="00AF2694">
        <w:rPr>
          <w:sz w:val="22"/>
          <w:szCs w:val="22"/>
          <w:lang w:val="sr-Latn-ME"/>
        </w:rPr>
        <w:t>ij</w:t>
      </w:r>
      <w:r w:rsidRPr="00AF2694">
        <w:rPr>
          <w:sz w:val="22"/>
          <w:szCs w:val="22"/>
          <w:lang w:val="sr-Latn-ME"/>
        </w:rPr>
        <w:t>ećena je u populaciji dojenčadi (10 od 19 pacijenata).</w:t>
      </w:r>
    </w:p>
    <w:p w14:paraId="204FD3E6" w14:textId="77777777" w:rsidR="00251C3A" w:rsidRPr="00AF2694" w:rsidRDefault="00251C3A" w:rsidP="00CF11D6">
      <w:pPr>
        <w:tabs>
          <w:tab w:val="left" w:pos="540"/>
          <w:tab w:val="left" w:pos="569"/>
        </w:tabs>
        <w:jc w:val="both"/>
        <w:rPr>
          <w:sz w:val="22"/>
          <w:szCs w:val="22"/>
          <w:lang w:val="sr-Latn-ME"/>
        </w:rPr>
      </w:pPr>
    </w:p>
    <w:p w14:paraId="131DE37D" w14:textId="5B7E6C16" w:rsidR="00251C3A" w:rsidRPr="00AF2694" w:rsidRDefault="00251C3A" w:rsidP="00CF11D6">
      <w:pPr>
        <w:tabs>
          <w:tab w:val="left" w:pos="540"/>
          <w:tab w:val="left" w:pos="569"/>
        </w:tabs>
        <w:jc w:val="both"/>
        <w:rPr>
          <w:sz w:val="22"/>
          <w:szCs w:val="22"/>
          <w:lang w:val="sr-Latn-ME"/>
        </w:rPr>
      </w:pPr>
      <w:r w:rsidRPr="00AF2694">
        <w:rPr>
          <w:sz w:val="22"/>
          <w:szCs w:val="22"/>
          <w:lang w:val="sr-Latn-ME"/>
        </w:rPr>
        <w:t>Od 125 pacijenata sa deficijencijom lizozomalne kisele lipaze uključenih u kliničke studije, 19 od 125 (15,0%) pacijenata testirano je pozitivno na anti-l</w:t>
      </w:r>
      <w:r w:rsidR="009E739D" w:rsidRPr="00AF2694">
        <w:rPr>
          <w:sz w:val="22"/>
          <w:szCs w:val="22"/>
          <w:lang w:val="sr-Latn-ME"/>
        </w:rPr>
        <w:t>ij</w:t>
      </w:r>
      <w:r w:rsidRPr="00AF2694">
        <w:rPr>
          <w:sz w:val="22"/>
          <w:szCs w:val="22"/>
          <w:lang w:val="sr-Latn-ME"/>
        </w:rPr>
        <w:t>ek antit</w:t>
      </w:r>
      <w:r w:rsidR="009E739D" w:rsidRPr="00AF2694">
        <w:rPr>
          <w:sz w:val="22"/>
          <w:szCs w:val="22"/>
          <w:lang w:val="sr-Latn-ME"/>
        </w:rPr>
        <w:t>ij</w:t>
      </w:r>
      <w:r w:rsidRPr="00AF2694">
        <w:rPr>
          <w:sz w:val="22"/>
          <w:szCs w:val="22"/>
          <w:lang w:val="sr-Latn-ME"/>
        </w:rPr>
        <w:t>ela (ADA) u nekom trenutku nakon početka l</w:t>
      </w:r>
      <w:r w:rsidR="009E739D" w:rsidRPr="00AF2694">
        <w:rPr>
          <w:sz w:val="22"/>
          <w:szCs w:val="22"/>
          <w:lang w:val="sr-Latn-ME"/>
        </w:rPr>
        <w:t>ij</w:t>
      </w:r>
      <w:r w:rsidRPr="00AF2694">
        <w:rPr>
          <w:sz w:val="22"/>
          <w:szCs w:val="22"/>
          <w:lang w:val="sr-Latn-ME"/>
        </w:rPr>
        <w:t>ečenja sebelipazom alfa (9 d</w:t>
      </w:r>
      <w:r w:rsidR="009E739D" w:rsidRPr="00AF2694">
        <w:rPr>
          <w:sz w:val="22"/>
          <w:szCs w:val="22"/>
          <w:lang w:val="sr-Latn-ME"/>
        </w:rPr>
        <w:t>j</w:t>
      </w:r>
      <w:r w:rsidRPr="00AF2694">
        <w:rPr>
          <w:sz w:val="22"/>
          <w:szCs w:val="22"/>
          <w:lang w:val="sr-Latn-ME"/>
        </w:rPr>
        <w:t>ece i odraslih pacijenata i 10 dojenčadi). </w:t>
      </w:r>
      <w:r w:rsidR="00D23E74" w:rsidRPr="00AF2694">
        <w:rPr>
          <w:sz w:val="22"/>
          <w:szCs w:val="22"/>
          <w:lang w:val="sr-Latn-ME"/>
        </w:rPr>
        <w:t>Djeca i odrasli pacijenti sa nedostatkom lizozomalne kisele lipaze imali su privremeno pozitivne nalaze ADA i kod većine je zabilježen nizak titar antitijela</w:t>
      </w:r>
      <w:r w:rsidRPr="00AF2694">
        <w:rPr>
          <w:sz w:val="22"/>
          <w:szCs w:val="22"/>
          <w:lang w:val="sr-Latn-ME"/>
        </w:rPr>
        <w:t>. Očuvanje ADA pozitivnosti prim</w:t>
      </w:r>
      <w:r w:rsidR="009E739D" w:rsidRPr="00AF2694">
        <w:rPr>
          <w:sz w:val="22"/>
          <w:szCs w:val="22"/>
          <w:lang w:val="sr-Latn-ME"/>
        </w:rPr>
        <w:t>ij</w:t>
      </w:r>
      <w:r w:rsidRPr="00AF2694">
        <w:rPr>
          <w:sz w:val="22"/>
          <w:szCs w:val="22"/>
          <w:lang w:val="sr-Latn-ME"/>
        </w:rPr>
        <w:t>ećeno je kod svih 10 dojenčadi, a očuvanje visokog titra ADA prim</w:t>
      </w:r>
      <w:r w:rsidR="009E739D" w:rsidRPr="00AF2694">
        <w:rPr>
          <w:sz w:val="22"/>
          <w:szCs w:val="22"/>
          <w:lang w:val="sr-Latn-ME"/>
        </w:rPr>
        <w:t>ij</w:t>
      </w:r>
      <w:r w:rsidRPr="00AF2694">
        <w:rPr>
          <w:sz w:val="22"/>
          <w:szCs w:val="22"/>
          <w:lang w:val="sr-Latn-ME"/>
        </w:rPr>
        <w:t>ećeno je kod 3 od 10 dojenčadi.</w:t>
      </w:r>
      <w:r w:rsidRPr="00AF2694">
        <w:rPr>
          <w:i/>
          <w:iCs/>
          <w:sz w:val="22"/>
          <w:szCs w:val="22"/>
          <w:lang w:val="sr-Latn-ME"/>
        </w:rPr>
        <w:t> </w:t>
      </w:r>
      <w:r w:rsidRPr="00AF2694">
        <w:rPr>
          <w:sz w:val="22"/>
          <w:szCs w:val="22"/>
          <w:lang w:val="sr-Latn-ME"/>
        </w:rPr>
        <w:t xml:space="preserve">Među tih 19 pacijenata, 11 (58%) je </w:t>
      </w:r>
      <w:r w:rsidRPr="00AF2694">
        <w:rPr>
          <w:sz w:val="22"/>
          <w:szCs w:val="22"/>
          <w:lang w:val="sr-Latn-ME"/>
        </w:rPr>
        <w:lastRenderedPageBreak/>
        <w:t>takođe pokazalo prisustvo inhibitorne aktivnosti antit</w:t>
      </w:r>
      <w:r w:rsidR="009E739D" w:rsidRPr="00AF2694">
        <w:rPr>
          <w:sz w:val="22"/>
          <w:szCs w:val="22"/>
          <w:lang w:val="sr-Latn-ME"/>
        </w:rPr>
        <w:t>ij</w:t>
      </w:r>
      <w:r w:rsidRPr="00AF2694">
        <w:rPr>
          <w:sz w:val="22"/>
          <w:szCs w:val="22"/>
          <w:lang w:val="sr-Latn-ME"/>
        </w:rPr>
        <w:t>ela (NAbs) u nekom trenutku nakon početne proc</w:t>
      </w:r>
      <w:r w:rsidR="009E739D" w:rsidRPr="00AF2694">
        <w:rPr>
          <w:sz w:val="22"/>
          <w:szCs w:val="22"/>
          <w:lang w:val="sr-Latn-ME"/>
        </w:rPr>
        <w:t>j</w:t>
      </w:r>
      <w:r w:rsidRPr="00AF2694">
        <w:rPr>
          <w:sz w:val="22"/>
          <w:szCs w:val="22"/>
          <w:lang w:val="sr-Latn-ME"/>
        </w:rPr>
        <w:t>ene.</w:t>
      </w:r>
    </w:p>
    <w:p w14:paraId="126BCB13" w14:textId="77777777" w:rsidR="00251C3A" w:rsidRPr="00AF2694" w:rsidRDefault="00251C3A" w:rsidP="00CF11D6">
      <w:pPr>
        <w:tabs>
          <w:tab w:val="left" w:pos="540"/>
          <w:tab w:val="left" w:pos="569"/>
        </w:tabs>
        <w:jc w:val="both"/>
        <w:rPr>
          <w:b/>
          <w:bCs/>
          <w:sz w:val="22"/>
          <w:szCs w:val="22"/>
          <w:lang w:val="sr-Latn-ME"/>
        </w:rPr>
      </w:pPr>
    </w:p>
    <w:p w14:paraId="33AD668F" w14:textId="77777777" w:rsidR="009E739D" w:rsidRPr="00AF2694" w:rsidRDefault="009E739D" w:rsidP="00CF11D6">
      <w:pPr>
        <w:tabs>
          <w:tab w:val="left" w:pos="540"/>
          <w:tab w:val="left" w:pos="569"/>
        </w:tabs>
        <w:jc w:val="both"/>
        <w:rPr>
          <w:b/>
          <w:bCs/>
          <w:sz w:val="22"/>
          <w:szCs w:val="22"/>
          <w:lang w:val="sr-Latn-ME"/>
        </w:rPr>
      </w:pPr>
    </w:p>
    <w:p w14:paraId="3C996F34" w14:textId="77777777" w:rsidR="009E739D" w:rsidRPr="00AF2694" w:rsidRDefault="009E739D" w:rsidP="00CF11D6">
      <w:pPr>
        <w:tabs>
          <w:tab w:val="left" w:pos="540"/>
          <w:tab w:val="left" w:pos="569"/>
        </w:tabs>
        <w:jc w:val="both"/>
        <w:rPr>
          <w:b/>
          <w:bCs/>
          <w:sz w:val="22"/>
          <w:szCs w:val="22"/>
          <w:lang w:val="sr-Latn-ME"/>
        </w:rPr>
      </w:pPr>
    </w:p>
    <w:p w14:paraId="2FAAA440" w14:textId="77777777" w:rsidR="009E739D" w:rsidRPr="00AF2694" w:rsidRDefault="009E739D" w:rsidP="00CF11D6">
      <w:pPr>
        <w:tabs>
          <w:tab w:val="left" w:pos="540"/>
          <w:tab w:val="left" w:pos="569"/>
        </w:tabs>
        <w:jc w:val="both"/>
        <w:rPr>
          <w:b/>
          <w:bCs/>
          <w:sz w:val="22"/>
          <w:szCs w:val="22"/>
          <w:lang w:val="sr-Latn-ME"/>
        </w:rPr>
      </w:pPr>
    </w:p>
    <w:p w14:paraId="45DDF886" w14:textId="77777777" w:rsidR="005A23D2" w:rsidRPr="00AF2694" w:rsidRDefault="005A23D2" w:rsidP="00CF11D6">
      <w:pPr>
        <w:spacing w:after="200" w:line="276" w:lineRule="auto"/>
        <w:jc w:val="both"/>
        <w:rPr>
          <w:rFonts w:eastAsia="Calibri"/>
          <w:sz w:val="22"/>
          <w:szCs w:val="22"/>
          <w:u w:val="single"/>
          <w:lang w:val="sr-Latn-ME"/>
        </w:rPr>
      </w:pPr>
      <w:r w:rsidRPr="00AF2694">
        <w:rPr>
          <w:rFonts w:eastAsia="Calibri"/>
          <w:sz w:val="22"/>
          <w:szCs w:val="22"/>
          <w:u w:val="single"/>
          <w:lang w:val="sr-Latn-ME"/>
        </w:rPr>
        <w:t>Prijavljivanje sumnji na neželjena dejstva</w:t>
      </w:r>
    </w:p>
    <w:p w14:paraId="6F94083D" w14:textId="77777777" w:rsidR="005A23D2" w:rsidRPr="00AF2694" w:rsidRDefault="005A23D2" w:rsidP="004B3317">
      <w:pPr>
        <w:spacing w:after="200"/>
        <w:jc w:val="both"/>
        <w:rPr>
          <w:rFonts w:eastAsia="Calibri"/>
          <w:sz w:val="22"/>
          <w:szCs w:val="22"/>
          <w:lang w:val="sr-Latn-ME"/>
        </w:rPr>
      </w:pPr>
      <w:r w:rsidRPr="00AF2694">
        <w:rPr>
          <w:rFonts w:eastAsia="Calibri"/>
          <w:sz w:val="22"/>
          <w:szCs w:val="22"/>
          <w:lang w:val="sr-Latn-ME"/>
        </w:rPr>
        <w:t>Prijavljivanje neželjenih dejstava nakon dobijanja dozvole je od velikog značaja jer obezbjeđuje kont</w:t>
      </w:r>
      <w:r w:rsidR="00EA5765" w:rsidRPr="00AF2694">
        <w:rPr>
          <w:rFonts w:eastAsia="Calibri"/>
          <w:sz w:val="22"/>
          <w:szCs w:val="22"/>
          <w:lang w:val="sr-Latn-ME"/>
        </w:rPr>
        <w:t>inuirano praćenje odnosa korist</w:t>
      </w:r>
      <w:r w:rsidRPr="00AF2694">
        <w:rPr>
          <w:rFonts w:eastAsia="Calibri"/>
          <w:sz w:val="22"/>
          <w:szCs w:val="22"/>
          <w:lang w:val="sr-Latn-ME"/>
        </w:rPr>
        <w:t>/rizik primjene lijeka. Zdravstveni radnici treba da prijave svaku sumnju na neželjeno</w:t>
      </w:r>
      <w:r w:rsidR="009B062A" w:rsidRPr="00AF2694">
        <w:rPr>
          <w:rFonts w:eastAsia="Calibri"/>
          <w:sz w:val="22"/>
          <w:szCs w:val="22"/>
          <w:lang w:val="sr-Latn-ME"/>
        </w:rPr>
        <w:t xml:space="preserve"> </w:t>
      </w:r>
      <w:r w:rsidRPr="00AF2694">
        <w:rPr>
          <w:rFonts w:eastAsia="Calibri"/>
          <w:sz w:val="22"/>
          <w:szCs w:val="22"/>
          <w:lang w:val="sr-Latn-ME"/>
        </w:rPr>
        <w:t xml:space="preserve">dejstvo ovog lijeka </w:t>
      </w:r>
      <w:r w:rsidR="004E70AD" w:rsidRPr="00AF2694">
        <w:rPr>
          <w:rFonts w:eastAsia="Calibri"/>
          <w:sz w:val="22"/>
          <w:szCs w:val="22"/>
          <w:lang w:val="sr-Latn-ME"/>
        </w:rPr>
        <w:t>Institutu</w:t>
      </w:r>
      <w:r w:rsidRPr="00AF2694">
        <w:rPr>
          <w:rFonts w:eastAsia="Calibri"/>
          <w:sz w:val="22"/>
          <w:szCs w:val="22"/>
          <w:lang w:val="sr-Latn-ME"/>
        </w:rPr>
        <w:t xml:space="preserve"> za ljekove i medicinska sredstva</w:t>
      </w:r>
      <w:r w:rsidR="004E70AD" w:rsidRPr="00AF2694">
        <w:rPr>
          <w:rFonts w:eastAsia="Calibri"/>
          <w:sz w:val="22"/>
          <w:szCs w:val="22"/>
          <w:lang w:val="sr-Latn-ME"/>
        </w:rPr>
        <w:t xml:space="preserve"> </w:t>
      </w:r>
      <w:r w:rsidRPr="00AF2694">
        <w:rPr>
          <w:rFonts w:eastAsia="Calibri"/>
          <w:sz w:val="22"/>
          <w:szCs w:val="22"/>
          <w:lang w:val="sr-Latn-ME"/>
        </w:rPr>
        <w:t>(</w:t>
      </w:r>
      <w:r w:rsidR="004E70AD" w:rsidRPr="00AF2694">
        <w:rPr>
          <w:rFonts w:eastAsia="Calibri"/>
          <w:sz w:val="22"/>
          <w:szCs w:val="22"/>
          <w:lang w:val="sr-Latn-ME"/>
        </w:rPr>
        <w:t>CInMED</w:t>
      </w:r>
      <w:r w:rsidRPr="00AF2694">
        <w:rPr>
          <w:rFonts w:eastAsia="Calibri"/>
          <w:sz w:val="22"/>
          <w:szCs w:val="22"/>
          <w:lang w:val="sr-Latn-ME"/>
        </w:rPr>
        <w:t>):</w:t>
      </w:r>
    </w:p>
    <w:p w14:paraId="1D0D0B04" w14:textId="77777777" w:rsidR="005A23D2" w:rsidRPr="00AF2694" w:rsidRDefault="004E70AD" w:rsidP="008E7F6A">
      <w:pPr>
        <w:pStyle w:val="NoSpacing"/>
        <w:jc w:val="both"/>
        <w:rPr>
          <w:rFonts w:eastAsia="Calibri"/>
          <w:sz w:val="22"/>
          <w:szCs w:val="22"/>
          <w:lang w:val="sr-Latn-ME"/>
        </w:rPr>
      </w:pPr>
      <w:r w:rsidRPr="00AF2694">
        <w:rPr>
          <w:rFonts w:eastAsia="Calibri"/>
          <w:sz w:val="22"/>
          <w:szCs w:val="22"/>
          <w:lang w:val="sr-Latn-ME"/>
        </w:rPr>
        <w:t xml:space="preserve">Institut </w:t>
      </w:r>
      <w:r w:rsidR="005A23D2" w:rsidRPr="00AF2694">
        <w:rPr>
          <w:rFonts w:eastAsia="Calibri"/>
          <w:sz w:val="22"/>
          <w:szCs w:val="22"/>
          <w:lang w:val="sr-Latn-ME"/>
        </w:rPr>
        <w:t xml:space="preserve">za ljekove i medicinska sredstva </w:t>
      </w:r>
    </w:p>
    <w:p w14:paraId="186C5FDD" w14:textId="77777777" w:rsidR="005A23D2" w:rsidRPr="00AF2694" w:rsidRDefault="005A23D2">
      <w:pPr>
        <w:pStyle w:val="NoSpacing"/>
        <w:jc w:val="both"/>
        <w:rPr>
          <w:rFonts w:eastAsia="Calibri"/>
          <w:sz w:val="22"/>
          <w:szCs w:val="22"/>
          <w:lang w:val="sr-Latn-ME"/>
        </w:rPr>
      </w:pPr>
      <w:r w:rsidRPr="00AF2694">
        <w:rPr>
          <w:rFonts w:eastAsia="Calibri"/>
          <w:sz w:val="22"/>
          <w:szCs w:val="22"/>
          <w:lang w:val="sr-Latn-ME"/>
        </w:rPr>
        <w:t>Odjeljenje za farmakovigilancu</w:t>
      </w:r>
    </w:p>
    <w:p w14:paraId="10A658BC" w14:textId="77777777" w:rsidR="00EA5765" w:rsidRPr="00AF2694" w:rsidRDefault="005A23D2">
      <w:pPr>
        <w:pStyle w:val="NoSpacing"/>
        <w:jc w:val="both"/>
        <w:rPr>
          <w:rFonts w:eastAsia="Calibri"/>
          <w:sz w:val="22"/>
          <w:szCs w:val="22"/>
          <w:lang w:val="sr-Latn-ME"/>
        </w:rPr>
      </w:pPr>
      <w:r w:rsidRPr="00AF2694">
        <w:rPr>
          <w:rFonts w:eastAsia="Calibri"/>
          <w:sz w:val="22"/>
          <w:szCs w:val="22"/>
          <w:lang w:val="sr-Latn-ME"/>
        </w:rPr>
        <w:t>Bulevar Ivana Crnojevića 64a, 81000 Podgorica</w:t>
      </w:r>
    </w:p>
    <w:p w14:paraId="58A6E7A8" w14:textId="77777777" w:rsidR="00EA5765" w:rsidRPr="00AF2694" w:rsidRDefault="00EA5765" w:rsidP="00CF11D6">
      <w:pPr>
        <w:pStyle w:val="NoSpacing"/>
        <w:jc w:val="both"/>
        <w:rPr>
          <w:rFonts w:eastAsia="Calibri"/>
          <w:sz w:val="22"/>
          <w:szCs w:val="22"/>
          <w:lang w:val="sr-Latn-ME"/>
        </w:rPr>
      </w:pPr>
    </w:p>
    <w:p w14:paraId="1611FD30" w14:textId="77777777" w:rsidR="005A23D2" w:rsidRPr="00AF2694" w:rsidRDefault="005A23D2" w:rsidP="004B3317">
      <w:pPr>
        <w:pStyle w:val="NoSpacing"/>
        <w:jc w:val="both"/>
        <w:rPr>
          <w:rFonts w:eastAsia="Calibri"/>
          <w:sz w:val="22"/>
          <w:szCs w:val="22"/>
          <w:lang w:val="sr-Latn-ME"/>
        </w:rPr>
      </w:pPr>
      <w:r w:rsidRPr="00AF2694">
        <w:rPr>
          <w:rFonts w:eastAsia="Calibri"/>
          <w:sz w:val="22"/>
          <w:szCs w:val="22"/>
          <w:lang w:val="sr-Latn-ME"/>
        </w:rPr>
        <w:t>tel: +382 (0) 20 310 280</w:t>
      </w:r>
    </w:p>
    <w:p w14:paraId="4B2AD628" w14:textId="77777777" w:rsidR="00EA5765" w:rsidRPr="00AF2694" w:rsidRDefault="005A23D2" w:rsidP="008E7F6A">
      <w:pPr>
        <w:pStyle w:val="NoSpacing"/>
        <w:tabs>
          <w:tab w:val="left" w:pos="6720"/>
        </w:tabs>
        <w:jc w:val="both"/>
        <w:rPr>
          <w:rFonts w:eastAsia="Calibri"/>
          <w:sz w:val="22"/>
          <w:szCs w:val="22"/>
          <w:lang w:val="sr-Latn-ME"/>
        </w:rPr>
      </w:pPr>
      <w:r w:rsidRPr="00AF2694">
        <w:rPr>
          <w:rFonts w:eastAsia="Calibri"/>
          <w:sz w:val="22"/>
          <w:szCs w:val="22"/>
          <w:lang w:val="sr-Latn-ME"/>
        </w:rPr>
        <w:t>fax:</w:t>
      </w:r>
      <w:r w:rsidR="00EA5765" w:rsidRPr="00AF2694">
        <w:rPr>
          <w:rFonts w:eastAsia="Calibri"/>
          <w:sz w:val="22"/>
          <w:szCs w:val="22"/>
          <w:lang w:val="sr-Latn-ME"/>
        </w:rPr>
        <w:t xml:space="preserve"> </w:t>
      </w:r>
      <w:r w:rsidRPr="00AF2694">
        <w:rPr>
          <w:rFonts w:eastAsia="Calibri"/>
          <w:sz w:val="22"/>
          <w:szCs w:val="22"/>
          <w:lang w:val="sr-Latn-ME"/>
        </w:rPr>
        <w:t>+382 (0) 20 310 581</w:t>
      </w:r>
      <w:r w:rsidR="00FF3EDF" w:rsidRPr="00AF2694">
        <w:rPr>
          <w:rFonts w:eastAsia="Calibri"/>
          <w:sz w:val="22"/>
          <w:szCs w:val="22"/>
          <w:lang w:val="sr-Latn-ME"/>
        </w:rPr>
        <w:tab/>
      </w:r>
    </w:p>
    <w:p w14:paraId="45668D74" w14:textId="77777777" w:rsidR="005A23D2" w:rsidRPr="00AF2694" w:rsidRDefault="00001E22">
      <w:pPr>
        <w:pStyle w:val="NoSpacing"/>
        <w:jc w:val="both"/>
        <w:rPr>
          <w:rFonts w:eastAsia="Calibri"/>
          <w:sz w:val="22"/>
          <w:szCs w:val="22"/>
          <w:lang w:val="sr-Latn-ME"/>
        </w:rPr>
      </w:pPr>
      <w:hyperlink r:id="rId9" w:history="1">
        <w:r w:rsidR="004E70AD" w:rsidRPr="00AF2694">
          <w:rPr>
            <w:rStyle w:val="Hyperlink"/>
            <w:rFonts w:eastAsia="Calibri"/>
            <w:sz w:val="22"/>
            <w:szCs w:val="22"/>
            <w:lang w:val="sr-Latn-ME"/>
          </w:rPr>
          <w:t>www.cinmed.me</w:t>
        </w:r>
      </w:hyperlink>
    </w:p>
    <w:p w14:paraId="0A4D7B94" w14:textId="77777777" w:rsidR="00EA5765" w:rsidRPr="00AF2694" w:rsidRDefault="00001E22">
      <w:pPr>
        <w:pStyle w:val="NoSpacing"/>
        <w:jc w:val="both"/>
        <w:rPr>
          <w:rFonts w:eastAsia="Calibri"/>
          <w:color w:val="0000FF"/>
          <w:sz w:val="22"/>
          <w:szCs w:val="22"/>
          <w:u w:val="single"/>
          <w:lang w:val="sr-Latn-ME"/>
        </w:rPr>
      </w:pPr>
      <w:hyperlink r:id="rId10" w:history="1">
        <w:r w:rsidR="004E70AD" w:rsidRPr="00AF2694">
          <w:rPr>
            <w:rStyle w:val="Hyperlink"/>
            <w:rFonts w:eastAsia="Calibri"/>
            <w:sz w:val="22"/>
            <w:szCs w:val="22"/>
            <w:lang w:val="sr-Latn-ME"/>
          </w:rPr>
          <w:t>nezeljenadejstva@cinmed.me</w:t>
        </w:r>
      </w:hyperlink>
    </w:p>
    <w:p w14:paraId="598A8779" w14:textId="77777777" w:rsidR="005A23D2" w:rsidRPr="00AF2694" w:rsidRDefault="005A23D2">
      <w:pPr>
        <w:pStyle w:val="NoSpacing"/>
        <w:jc w:val="both"/>
        <w:rPr>
          <w:rFonts w:eastAsia="Calibri"/>
          <w:sz w:val="22"/>
          <w:szCs w:val="22"/>
          <w:lang w:val="sr-Latn-ME"/>
        </w:rPr>
      </w:pPr>
      <w:r w:rsidRPr="00AF2694">
        <w:rPr>
          <w:rFonts w:eastAsia="Calibri"/>
          <w:sz w:val="22"/>
          <w:szCs w:val="22"/>
          <w:lang w:val="sr-Latn-ME"/>
        </w:rPr>
        <w:t>putem IS zdravstvene zaštite</w:t>
      </w:r>
    </w:p>
    <w:p w14:paraId="327C1B54" w14:textId="77777777" w:rsidR="007E31E9" w:rsidRPr="00AF2694" w:rsidRDefault="007E31E9">
      <w:pPr>
        <w:pStyle w:val="NoSpacing"/>
        <w:jc w:val="both"/>
        <w:rPr>
          <w:rFonts w:eastAsia="Calibri"/>
          <w:sz w:val="22"/>
          <w:szCs w:val="22"/>
          <w:lang w:val="sr-Latn-ME"/>
        </w:rPr>
      </w:pPr>
      <w:r w:rsidRPr="00AF2694">
        <w:rPr>
          <w:rFonts w:eastAsia="Calibri"/>
          <w:sz w:val="22"/>
          <w:szCs w:val="22"/>
          <w:lang w:val="sr-Latn-ME"/>
        </w:rPr>
        <w:t>QR kod za online prijavu</w:t>
      </w:r>
      <w:r w:rsidR="00D74CD2" w:rsidRPr="00AF2694">
        <w:rPr>
          <w:rFonts w:eastAsia="Calibri"/>
          <w:sz w:val="22"/>
          <w:szCs w:val="22"/>
          <w:lang w:val="sr-Latn-ME"/>
        </w:rPr>
        <w:t xml:space="preserve"> sumnje na neželjeno dejstvo lijeka</w:t>
      </w:r>
      <w:r w:rsidRPr="00AF2694">
        <w:rPr>
          <w:rFonts w:eastAsia="Calibri"/>
          <w:sz w:val="22"/>
          <w:szCs w:val="22"/>
          <w:lang w:val="sr-Latn-ME"/>
        </w:rPr>
        <w:t>:</w:t>
      </w:r>
    </w:p>
    <w:p w14:paraId="5E312E58" w14:textId="77777777" w:rsidR="004F17E2" w:rsidRPr="00AF2694" w:rsidRDefault="004F17E2" w:rsidP="00CF11D6">
      <w:pPr>
        <w:pStyle w:val="NoSpacing"/>
        <w:jc w:val="both"/>
        <w:rPr>
          <w:rFonts w:eastAsia="Calibri"/>
          <w:sz w:val="22"/>
          <w:szCs w:val="22"/>
          <w:lang w:val="sr-Latn-ME"/>
        </w:rPr>
      </w:pPr>
    </w:p>
    <w:p w14:paraId="1FCBD517" w14:textId="77777777" w:rsidR="00836B35" w:rsidRPr="00AF2694" w:rsidRDefault="007F661E" w:rsidP="00CF11D6">
      <w:pPr>
        <w:tabs>
          <w:tab w:val="left" w:pos="540"/>
          <w:tab w:val="left" w:pos="569"/>
        </w:tabs>
        <w:jc w:val="both"/>
        <w:rPr>
          <w:b/>
          <w:bCs/>
          <w:sz w:val="22"/>
          <w:szCs w:val="22"/>
          <w:lang w:val="sr-Latn-ME"/>
        </w:rPr>
      </w:pPr>
      <w:r w:rsidRPr="00AF2694">
        <w:rPr>
          <w:b/>
          <w:bCs/>
          <w:noProof/>
          <w:sz w:val="22"/>
          <w:szCs w:val="22"/>
        </w:rPr>
        <w:drawing>
          <wp:inline distT="0" distB="0" distL="0" distR="0" wp14:anchorId="1BB09B30" wp14:editId="5A060FBD">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9BA9524" w14:textId="77777777" w:rsidR="007F661E" w:rsidRPr="00AF2694" w:rsidRDefault="007F661E" w:rsidP="00CF11D6">
      <w:pPr>
        <w:tabs>
          <w:tab w:val="left" w:pos="540"/>
          <w:tab w:val="left" w:pos="569"/>
        </w:tabs>
        <w:jc w:val="both"/>
        <w:rPr>
          <w:b/>
          <w:bCs/>
          <w:sz w:val="22"/>
          <w:szCs w:val="22"/>
          <w:lang w:val="sr-Latn-ME"/>
        </w:rPr>
      </w:pPr>
    </w:p>
    <w:p w14:paraId="35F8725A" w14:textId="77777777" w:rsidR="00CD6F02" w:rsidRPr="00AF2694" w:rsidRDefault="0072020E" w:rsidP="00CF11D6">
      <w:pPr>
        <w:tabs>
          <w:tab w:val="left" w:pos="540"/>
          <w:tab w:val="left" w:pos="569"/>
        </w:tabs>
        <w:jc w:val="both"/>
        <w:rPr>
          <w:b/>
          <w:bCs/>
          <w:sz w:val="22"/>
          <w:szCs w:val="22"/>
          <w:lang w:val="sr-Latn-ME"/>
        </w:rPr>
      </w:pPr>
      <w:r w:rsidRPr="00AF2694">
        <w:rPr>
          <w:b/>
          <w:bCs/>
          <w:sz w:val="22"/>
          <w:szCs w:val="22"/>
          <w:lang w:val="sr-Latn-ME"/>
        </w:rPr>
        <w:t xml:space="preserve">4.9. </w:t>
      </w:r>
      <w:r w:rsidR="00480FB1" w:rsidRPr="00AF2694">
        <w:rPr>
          <w:b/>
          <w:bCs/>
          <w:sz w:val="22"/>
          <w:szCs w:val="22"/>
          <w:lang w:val="sr-Latn-ME"/>
        </w:rPr>
        <w:tab/>
      </w:r>
      <w:r w:rsidRPr="00AF2694">
        <w:rPr>
          <w:b/>
          <w:bCs/>
          <w:sz w:val="22"/>
          <w:szCs w:val="22"/>
          <w:lang w:val="sr-Latn-ME"/>
        </w:rPr>
        <w:t>Predoziranje</w:t>
      </w:r>
      <w:r w:rsidR="002846DB" w:rsidRPr="00AF2694">
        <w:rPr>
          <w:b/>
          <w:bCs/>
          <w:sz w:val="22"/>
          <w:szCs w:val="22"/>
          <w:lang w:val="sr-Latn-ME"/>
        </w:rPr>
        <w:t xml:space="preserve"> </w:t>
      </w:r>
    </w:p>
    <w:p w14:paraId="1747AC3B" w14:textId="77777777" w:rsidR="00CD6F02" w:rsidRPr="00AF2694" w:rsidRDefault="00CD6F02" w:rsidP="00CF11D6">
      <w:pPr>
        <w:tabs>
          <w:tab w:val="left" w:pos="540"/>
          <w:tab w:val="left" w:pos="569"/>
        </w:tabs>
        <w:jc w:val="both"/>
        <w:rPr>
          <w:b/>
          <w:bCs/>
          <w:sz w:val="22"/>
          <w:szCs w:val="22"/>
          <w:lang w:val="sr-Latn-ME"/>
        </w:rPr>
      </w:pPr>
    </w:p>
    <w:p w14:paraId="3B950564" w14:textId="25AB2CE4" w:rsidR="00251C3A" w:rsidRPr="00AF2694" w:rsidRDefault="00251C3A" w:rsidP="00CF11D6">
      <w:pPr>
        <w:tabs>
          <w:tab w:val="left" w:pos="540"/>
          <w:tab w:val="left" w:pos="569"/>
        </w:tabs>
        <w:jc w:val="both"/>
        <w:rPr>
          <w:sz w:val="22"/>
          <w:szCs w:val="22"/>
          <w:lang w:val="sr-Latn-ME"/>
        </w:rPr>
      </w:pPr>
      <w:r w:rsidRPr="00AF2694">
        <w:rPr>
          <w:sz w:val="22"/>
          <w:szCs w:val="22"/>
          <w:lang w:val="sr-Latn-ME"/>
        </w:rPr>
        <w:t>U kliničkim studijama, istraživane su doze sebelipaze alfa do 7,5 mg/kg jednom ned</w:t>
      </w:r>
      <w:r w:rsidR="009E739D" w:rsidRPr="00AF2694">
        <w:rPr>
          <w:sz w:val="22"/>
          <w:szCs w:val="22"/>
          <w:lang w:val="sr-Latn-ME"/>
        </w:rPr>
        <w:t>j</w:t>
      </w:r>
      <w:r w:rsidRPr="00AF2694">
        <w:rPr>
          <w:sz w:val="22"/>
          <w:szCs w:val="22"/>
          <w:lang w:val="sr-Latn-ME"/>
        </w:rPr>
        <w:t>eljno i ni</w:t>
      </w:r>
      <w:r w:rsidR="00D23E74" w:rsidRPr="00AF2694">
        <w:rPr>
          <w:sz w:val="22"/>
          <w:szCs w:val="22"/>
          <w:lang w:val="sr-Latn-ME"/>
        </w:rPr>
        <w:t>je</w:t>
      </w:r>
      <w:r w:rsidRPr="00AF2694">
        <w:rPr>
          <w:sz w:val="22"/>
          <w:szCs w:val="22"/>
          <w:lang w:val="sr-Latn-ME"/>
        </w:rPr>
        <w:t xml:space="preserve">su identifikovani specifični znaci ili simptomi nakon viših doza. Za postupanje u slučaju neželjenih reakcija pogledajte </w:t>
      </w:r>
      <w:r w:rsidR="009E739D" w:rsidRPr="00AF2694">
        <w:rPr>
          <w:sz w:val="22"/>
          <w:szCs w:val="22"/>
          <w:lang w:val="sr-Latn-ME"/>
        </w:rPr>
        <w:t>djelove</w:t>
      </w:r>
      <w:r w:rsidRPr="00AF2694">
        <w:rPr>
          <w:sz w:val="22"/>
          <w:szCs w:val="22"/>
          <w:lang w:val="sr-Latn-ME"/>
        </w:rPr>
        <w:t xml:space="preserve"> 4.4 i 4.8.</w:t>
      </w:r>
    </w:p>
    <w:p w14:paraId="33A71C7D" w14:textId="480F506E" w:rsidR="00227BDB" w:rsidRPr="00AF2694" w:rsidRDefault="00227BDB" w:rsidP="00CF11D6">
      <w:pPr>
        <w:tabs>
          <w:tab w:val="left" w:pos="540"/>
          <w:tab w:val="left" w:pos="569"/>
        </w:tabs>
        <w:jc w:val="both"/>
        <w:rPr>
          <w:b/>
          <w:bCs/>
          <w:sz w:val="22"/>
          <w:szCs w:val="22"/>
          <w:lang w:val="sr-Latn-ME"/>
        </w:rPr>
      </w:pPr>
    </w:p>
    <w:p w14:paraId="0E8D7444" w14:textId="77777777" w:rsidR="009F0572" w:rsidRPr="00AF2694" w:rsidRDefault="009F0572" w:rsidP="00CF11D6">
      <w:pPr>
        <w:tabs>
          <w:tab w:val="left" w:pos="540"/>
          <w:tab w:val="left" w:pos="569"/>
        </w:tabs>
        <w:jc w:val="both"/>
        <w:rPr>
          <w:b/>
          <w:bCs/>
          <w:sz w:val="22"/>
          <w:szCs w:val="22"/>
          <w:lang w:val="sr-Latn-ME"/>
        </w:rPr>
      </w:pPr>
    </w:p>
    <w:p w14:paraId="2CFCC512" w14:textId="77777777" w:rsidR="0072020E" w:rsidRPr="00AF2694" w:rsidRDefault="0072020E" w:rsidP="00CF11D6">
      <w:pPr>
        <w:tabs>
          <w:tab w:val="left" w:pos="540"/>
          <w:tab w:val="left" w:pos="569"/>
        </w:tabs>
        <w:jc w:val="both"/>
        <w:rPr>
          <w:b/>
          <w:bCs/>
          <w:sz w:val="22"/>
          <w:szCs w:val="22"/>
          <w:lang w:val="sr-Latn-ME"/>
        </w:rPr>
      </w:pPr>
      <w:r w:rsidRPr="00AF2694">
        <w:rPr>
          <w:b/>
          <w:bCs/>
          <w:sz w:val="22"/>
          <w:szCs w:val="22"/>
          <w:lang w:val="sr-Latn-ME"/>
        </w:rPr>
        <w:t xml:space="preserve">5. </w:t>
      </w:r>
      <w:r w:rsidR="00480FB1" w:rsidRPr="00AF2694">
        <w:rPr>
          <w:b/>
          <w:bCs/>
          <w:sz w:val="22"/>
          <w:szCs w:val="22"/>
          <w:lang w:val="sr-Latn-ME"/>
        </w:rPr>
        <w:tab/>
      </w:r>
      <w:r w:rsidRPr="00AF2694">
        <w:rPr>
          <w:b/>
          <w:bCs/>
          <w:sz w:val="22"/>
          <w:szCs w:val="22"/>
          <w:lang w:val="sr-Latn-ME"/>
        </w:rPr>
        <w:t>FARMAKOLOŠK</w:t>
      </w:r>
      <w:r w:rsidR="000D425A" w:rsidRPr="00AF2694">
        <w:rPr>
          <w:b/>
          <w:bCs/>
          <w:sz w:val="22"/>
          <w:szCs w:val="22"/>
          <w:lang w:val="sr-Latn-ME"/>
        </w:rPr>
        <w:t>I</w:t>
      </w:r>
      <w:r w:rsidRPr="00AF2694">
        <w:rPr>
          <w:b/>
          <w:bCs/>
          <w:sz w:val="22"/>
          <w:szCs w:val="22"/>
          <w:lang w:val="sr-Latn-ME"/>
        </w:rPr>
        <w:t xml:space="preserve"> PODACI</w:t>
      </w:r>
    </w:p>
    <w:p w14:paraId="78211F53" w14:textId="77777777" w:rsidR="0072020E" w:rsidRPr="00AF2694" w:rsidRDefault="0072020E" w:rsidP="00CF11D6">
      <w:pPr>
        <w:tabs>
          <w:tab w:val="left" w:pos="540"/>
          <w:tab w:val="left" w:pos="569"/>
        </w:tabs>
        <w:jc w:val="both"/>
        <w:rPr>
          <w:b/>
          <w:bCs/>
          <w:sz w:val="22"/>
          <w:szCs w:val="22"/>
          <w:lang w:val="sr-Latn-ME"/>
        </w:rPr>
      </w:pPr>
    </w:p>
    <w:p w14:paraId="29BBA08D" w14:textId="77777777" w:rsidR="0072020E" w:rsidRPr="00AF2694" w:rsidRDefault="0072020E" w:rsidP="00CF11D6">
      <w:pPr>
        <w:tabs>
          <w:tab w:val="left" w:pos="540"/>
          <w:tab w:val="left" w:pos="569"/>
        </w:tabs>
        <w:jc w:val="both"/>
        <w:rPr>
          <w:b/>
          <w:bCs/>
          <w:sz w:val="22"/>
          <w:szCs w:val="22"/>
          <w:lang w:val="sr-Latn-ME"/>
        </w:rPr>
      </w:pPr>
      <w:r w:rsidRPr="00AF2694">
        <w:rPr>
          <w:b/>
          <w:bCs/>
          <w:sz w:val="22"/>
          <w:szCs w:val="22"/>
          <w:lang w:val="sr-Latn-ME"/>
        </w:rPr>
        <w:t xml:space="preserve">5.1. </w:t>
      </w:r>
      <w:r w:rsidR="00480FB1" w:rsidRPr="00AF2694">
        <w:rPr>
          <w:b/>
          <w:bCs/>
          <w:sz w:val="22"/>
          <w:szCs w:val="22"/>
          <w:lang w:val="sr-Latn-ME"/>
        </w:rPr>
        <w:tab/>
      </w:r>
      <w:r w:rsidRPr="00AF2694">
        <w:rPr>
          <w:b/>
          <w:bCs/>
          <w:sz w:val="22"/>
          <w:szCs w:val="22"/>
          <w:lang w:val="sr-Latn-ME"/>
        </w:rPr>
        <w:t>Farmakodinamski podaci</w:t>
      </w:r>
      <w:r w:rsidR="003A7059" w:rsidRPr="00AF2694">
        <w:rPr>
          <w:b/>
          <w:bCs/>
          <w:sz w:val="22"/>
          <w:szCs w:val="22"/>
          <w:lang w:val="sr-Latn-ME"/>
        </w:rPr>
        <w:t xml:space="preserve"> </w:t>
      </w:r>
    </w:p>
    <w:p w14:paraId="1E0AFC32" w14:textId="77777777" w:rsidR="00F45F77" w:rsidRPr="00AF2694" w:rsidRDefault="00F45F77" w:rsidP="00CF11D6">
      <w:pPr>
        <w:tabs>
          <w:tab w:val="left" w:pos="540"/>
          <w:tab w:val="left" w:pos="569"/>
        </w:tabs>
        <w:jc w:val="both"/>
        <w:rPr>
          <w:b/>
          <w:bCs/>
          <w:sz w:val="22"/>
          <w:szCs w:val="22"/>
          <w:lang w:val="sr-Latn-ME"/>
        </w:rPr>
      </w:pPr>
    </w:p>
    <w:p w14:paraId="2679BBC5" w14:textId="1C05697A" w:rsidR="0072020E" w:rsidRPr="00AF2694" w:rsidRDefault="0072020E" w:rsidP="00CF11D6">
      <w:pPr>
        <w:tabs>
          <w:tab w:val="left" w:pos="540"/>
          <w:tab w:val="left" w:pos="569"/>
        </w:tabs>
        <w:jc w:val="both"/>
        <w:rPr>
          <w:bCs/>
          <w:sz w:val="22"/>
          <w:szCs w:val="22"/>
          <w:lang w:val="sr-Latn-ME"/>
        </w:rPr>
      </w:pPr>
      <w:r w:rsidRPr="00AF2694">
        <w:rPr>
          <w:bCs/>
          <w:sz w:val="22"/>
          <w:szCs w:val="22"/>
          <w:lang w:val="sr-Latn-ME"/>
        </w:rPr>
        <w:t>Farmakoterapijska grupa:</w:t>
      </w:r>
      <w:r w:rsidR="00251C3A" w:rsidRPr="00AF2694">
        <w:rPr>
          <w:sz w:val="22"/>
          <w:szCs w:val="22"/>
          <w:lang w:val="sr-Latn-ME"/>
        </w:rPr>
        <w:t xml:space="preserve"> </w:t>
      </w:r>
      <w:r w:rsidR="00251C3A" w:rsidRPr="00AF2694">
        <w:rPr>
          <w:bCs/>
          <w:sz w:val="22"/>
          <w:szCs w:val="22"/>
          <w:lang w:val="sr-Latn-ME"/>
        </w:rPr>
        <w:t>Drugi l</w:t>
      </w:r>
      <w:r w:rsidR="009E739D" w:rsidRPr="00AF2694">
        <w:rPr>
          <w:bCs/>
          <w:sz w:val="22"/>
          <w:szCs w:val="22"/>
          <w:lang w:val="sr-Latn-ME"/>
        </w:rPr>
        <w:t>j</w:t>
      </w:r>
      <w:r w:rsidR="00251C3A" w:rsidRPr="00AF2694">
        <w:rPr>
          <w:bCs/>
          <w:sz w:val="22"/>
          <w:szCs w:val="22"/>
          <w:lang w:val="sr-Latn-ME"/>
        </w:rPr>
        <w:t xml:space="preserve">ekovi za </w:t>
      </w:r>
      <w:r w:rsidR="0027303E" w:rsidRPr="00AF2694">
        <w:rPr>
          <w:bCs/>
          <w:sz w:val="22"/>
          <w:szCs w:val="22"/>
          <w:lang w:val="sr-Latn-ME"/>
        </w:rPr>
        <w:t xml:space="preserve">digestivni </w:t>
      </w:r>
      <w:r w:rsidR="00251C3A" w:rsidRPr="00AF2694">
        <w:rPr>
          <w:bCs/>
          <w:sz w:val="22"/>
          <w:szCs w:val="22"/>
          <w:lang w:val="sr-Latn-ME"/>
        </w:rPr>
        <w:t>trakt i metabolizam, enzimi</w:t>
      </w:r>
    </w:p>
    <w:p w14:paraId="2725317C" w14:textId="77777777" w:rsidR="0072020E" w:rsidRPr="00AF2694" w:rsidRDefault="0072020E" w:rsidP="00CF11D6">
      <w:pPr>
        <w:tabs>
          <w:tab w:val="left" w:pos="540"/>
          <w:tab w:val="left" w:pos="569"/>
        </w:tabs>
        <w:jc w:val="both"/>
        <w:rPr>
          <w:bCs/>
          <w:sz w:val="22"/>
          <w:szCs w:val="22"/>
          <w:lang w:val="sr-Latn-ME"/>
        </w:rPr>
      </w:pPr>
    </w:p>
    <w:p w14:paraId="58E82F5F" w14:textId="0CC2E1EB" w:rsidR="0072020E" w:rsidRPr="00AF2694" w:rsidRDefault="0072020E" w:rsidP="00CF11D6">
      <w:pPr>
        <w:tabs>
          <w:tab w:val="left" w:pos="540"/>
          <w:tab w:val="left" w:pos="569"/>
        </w:tabs>
        <w:jc w:val="both"/>
        <w:rPr>
          <w:bCs/>
          <w:sz w:val="22"/>
          <w:szCs w:val="22"/>
          <w:lang w:val="sr-Latn-ME"/>
        </w:rPr>
      </w:pPr>
      <w:r w:rsidRPr="00AF2694">
        <w:rPr>
          <w:bCs/>
          <w:sz w:val="22"/>
          <w:szCs w:val="22"/>
          <w:lang w:val="sr-Latn-ME"/>
        </w:rPr>
        <w:t>ATC kod:</w:t>
      </w:r>
      <w:r w:rsidR="00251C3A" w:rsidRPr="00AF2694">
        <w:rPr>
          <w:sz w:val="22"/>
          <w:szCs w:val="22"/>
          <w:lang w:val="sr-Latn-ME"/>
        </w:rPr>
        <w:t xml:space="preserve"> </w:t>
      </w:r>
      <w:r w:rsidR="00251C3A" w:rsidRPr="00AF2694">
        <w:rPr>
          <w:bCs/>
          <w:sz w:val="22"/>
          <w:szCs w:val="22"/>
          <w:lang w:val="sr-Latn-ME"/>
        </w:rPr>
        <w:t>A16AB14</w:t>
      </w:r>
    </w:p>
    <w:p w14:paraId="5E6E3ABC" w14:textId="77777777" w:rsidR="002E37A5" w:rsidRPr="00AF2694" w:rsidRDefault="002E37A5" w:rsidP="00CF11D6">
      <w:pPr>
        <w:tabs>
          <w:tab w:val="left" w:pos="540"/>
          <w:tab w:val="left" w:pos="569"/>
        </w:tabs>
        <w:jc w:val="both"/>
        <w:rPr>
          <w:b/>
          <w:bCs/>
          <w:sz w:val="22"/>
          <w:szCs w:val="22"/>
          <w:lang w:val="sr-Latn-ME"/>
        </w:rPr>
      </w:pPr>
    </w:p>
    <w:p w14:paraId="2129BF9E" w14:textId="77777777" w:rsidR="00251C3A" w:rsidRPr="00AF2694" w:rsidRDefault="00251C3A" w:rsidP="00CF11D6">
      <w:pPr>
        <w:tabs>
          <w:tab w:val="left" w:pos="540"/>
          <w:tab w:val="left" w:pos="567"/>
        </w:tabs>
        <w:jc w:val="both"/>
        <w:rPr>
          <w:sz w:val="22"/>
          <w:szCs w:val="22"/>
          <w:u w:val="single"/>
          <w:lang w:val="sr-Latn-ME"/>
        </w:rPr>
      </w:pPr>
      <w:r w:rsidRPr="00AF2694">
        <w:rPr>
          <w:sz w:val="22"/>
          <w:szCs w:val="22"/>
          <w:u w:val="single"/>
          <w:lang w:val="sr-Latn-ME"/>
        </w:rPr>
        <w:t xml:space="preserve">Deficijencija lizozomalne kisele lipaze (LAL) </w:t>
      </w:r>
    </w:p>
    <w:p w14:paraId="59A8CD04" w14:textId="77777777" w:rsidR="00251C3A" w:rsidRPr="00AF2694" w:rsidRDefault="00251C3A" w:rsidP="00CF11D6">
      <w:pPr>
        <w:tabs>
          <w:tab w:val="left" w:pos="540"/>
          <w:tab w:val="left" w:pos="567"/>
        </w:tabs>
        <w:jc w:val="both"/>
        <w:rPr>
          <w:sz w:val="22"/>
          <w:szCs w:val="22"/>
          <w:u w:val="single"/>
          <w:lang w:val="sr-Latn-ME"/>
        </w:rPr>
      </w:pPr>
    </w:p>
    <w:p w14:paraId="3BCDEA45" w14:textId="05AD8172" w:rsidR="00251C3A" w:rsidRPr="00AF2694" w:rsidRDefault="00251C3A" w:rsidP="00CF11D6">
      <w:pPr>
        <w:tabs>
          <w:tab w:val="left" w:pos="540"/>
          <w:tab w:val="left" w:pos="569"/>
        </w:tabs>
        <w:jc w:val="both"/>
        <w:rPr>
          <w:sz w:val="22"/>
          <w:szCs w:val="22"/>
          <w:u w:val="single"/>
          <w:lang w:val="sr-Latn-ME"/>
        </w:rPr>
      </w:pPr>
      <w:r w:rsidRPr="00AF2694">
        <w:rPr>
          <w:sz w:val="22"/>
          <w:szCs w:val="22"/>
          <w:lang w:val="sr-Latn-ME"/>
        </w:rPr>
        <w:t xml:space="preserve">Deficijencija </w:t>
      </w:r>
      <w:r w:rsidR="0027303E" w:rsidRPr="00AF2694">
        <w:rPr>
          <w:sz w:val="22"/>
          <w:szCs w:val="22"/>
          <w:lang w:val="sr-Latn-ME"/>
        </w:rPr>
        <w:t>LAL-a</w:t>
      </w:r>
      <w:r w:rsidRPr="00AF2694">
        <w:rPr>
          <w:sz w:val="22"/>
          <w:szCs w:val="22"/>
          <w:lang w:val="sr-Latn-ME"/>
        </w:rPr>
        <w:t xml:space="preserve"> je r</w:t>
      </w:r>
      <w:r w:rsidR="009E739D" w:rsidRPr="00AF2694">
        <w:rPr>
          <w:sz w:val="22"/>
          <w:szCs w:val="22"/>
          <w:lang w:val="sr-Latn-ME"/>
        </w:rPr>
        <w:t>ij</w:t>
      </w:r>
      <w:r w:rsidRPr="00AF2694">
        <w:rPr>
          <w:sz w:val="22"/>
          <w:szCs w:val="22"/>
          <w:lang w:val="sr-Latn-ME"/>
        </w:rPr>
        <w:t>etka bolest povezana sa značajnim morbiditetom i mortalitetom, koja pogađa pojedince od ranog d</w:t>
      </w:r>
      <w:r w:rsidR="0027303E" w:rsidRPr="00AF2694">
        <w:rPr>
          <w:sz w:val="22"/>
          <w:szCs w:val="22"/>
          <w:lang w:val="sr-Latn-ME"/>
        </w:rPr>
        <w:t>j</w:t>
      </w:r>
      <w:r w:rsidRPr="00AF2694">
        <w:rPr>
          <w:sz w:val="22"/>
          <w:szCs w:val="22"/>
          <w:lang w:val="sr-Latn-ME"/>
        </w:rPr>
        <w:t>etinjstva do odraslog doba. Deficijencija lizozomalne kisele lipaze koja se manifestuje kod dojenčadi jeste medicinski hitan slučaj sa brzim napredovanjem bolesti tokom nekoliko ned</w:t>
      </w:r>
      <w:r w:rsidR="009E739D" w:rsidRPr="00AF2694">
        <w:rPr>
          <w:sz w:val="22"/>
          <w:szCs w:val="22"/>
          <w:lang w:val="sr-Latn-ME"/>
        </w:rPr>
        <w:t>j</w:t>
      </w:r>
      <w:r w:rsidRPr="00AF2694">
        <w:rPr>
          <w:sz w:val="22"/>
          <w:szCs w:val="22"/>
          <w:lang w:val="sr-Latn-ME"/>
        </w:rPr>
        <w:t>elja, koja je obično smrtonosna u prvih 6 m</w:t>
      </w:r>
      <w:r w:rsidR="009E739D" w:rsidRPr="00AF2694">
        <w:rPr>
          <w:sz w:val="22"/>
          <w:szCs w:val="22"/>
          <w:lang w:val="sr-Latn-ME"/>
        </w:rPr>
        <w:t>j</w:t>
      </w:r>
      <w:r w:rsidRPr="00AF2694">
        <w:rPr>
          <w:sz w:val="22"/>
          <w:szCs w:val="22"/>
          <w:lang w:val="sr-Latn-ME"/>
        </w:rPr>
        <w:t>eseci života. Deficijencija lizozomalne kisele lipaze je auto</w:t>
      </w:r>
      <w:r w:rsidR="0027303E" w:rsidRPr="00AF2694">
        <w:rPr>
          <w:sz w:val="22"/>
          <w:szCs w:val="22"/>
          <w:lang w:val="sr-Latn-ME"/>
        </w:rPr>
        <w:t>z</w:t>
      </w:r>
      <w:r w:rsidRPr="00AF2694">
        <w:rPr>
          <w:sz w:val="22"/>
          <w:szCs w:val="22"/>
          <w:lang w:val="sr-Latn-ME"/>
        </w:rPr>
        <w:t>omno recesivni lizozomski poremećaj skladištenja karakterisan genetskom manom koja rezultira značajnim smanjenjem ili gubitkom aktivnosti enzima lizozomske kisel</w:t>
      </w:r>
      <w:r w:rsidR="0027303E" w:rsidRPr="00AF2694">
        <w:rPr>
          <w:sz w:val="22"/>
          <w:szCs w:val="22"/>
          <w:lang w:val="sr-Latn-ME"/>
        </w:rPr>
        <w:t>e</w:t>
      </w:r>
      <w:r w:rsidRPr="00AF2694">
        <w:rPr>
          <w:sz w:val="22"/>
          <w:szCs w:val="22"/>
          <w:lang w:val="sr-Latn-ME"/>
        </w:rPr>
        <w:t xml:space="preserve"> lipaze (LAL).</w:t>
      </w:r>
    </w:p>
    <w:p w14:paraId="65A12E68" w14:textId="77777777" w:rsidR="00251C3A" w:rsidRPr="00AF2694" w:rsidRDefault="00251C3A" w:rsidP="00CF11D6">
      <w:pPr>
        <w:tabs>
          <w:tab w:val="left" w:pos="540"/>
          <w:tab w:val="left" w:pos="569"/>
        </w:tabs>
        <w:jc w:val="both"/>
        <w:rPr>
          <w:sz w:val="22"/>
          <w:szCs w:val="22"/>
          <w:u w:val="single"/>
          <w:lang w:val="sr-Latn-ME"/>
        </w:rPr>
      </w:pPr>
    </w:p>
    <w:p w14:paraId="737E47B6" w14:textId="2EB49BA8" w:rsidR="00251C3A" w:rsidRPr="00AF2694" w:rsidRDefault="00251C3A" w:rsidP="00CF11D6">
      <w:pPr>
        <w:tabs>
          <w:tab w:val="left" w:pos="540"/>
          <w:tab w:val="left" w:pos="569"/>
        </w:tabs>
        <w:jc w:val="both"/>
        <w:rPr>
          <w:sz w:val="22"/>
          <w:szCs w:val="22"/>
          <w:lang w:val="sr-Latn-ME"/>
        </w:rPr>
      </w:pPr>
      <w:r w:rsidRPr="00AF2694">
        <w:rPr>
          <w:sz w:val="22"/>
          <w:szCs w:val="22"/>
          <w:lang w:val="sr-Latn-ME"/>
        </w:rPr>
        <w:t>Nedostatak aktivnosti enzima lizozomalne kisele lipaze rezultira lizozomskim akumuliranjem holester</w:t>
      </w:r>
      <w:r w:rsidR="009F0572" w:rsidRPr="00AF2694">
        <w:rPr>
          <w:sz w:val="22"/>
          <w:szCs w:val="22"/>
          <w:lang w:val="sr-Latn-ME"/>
        </w:rPr>
        <w:t>o</w:t>
      </w:r>
      <w:r w:rsidRPr="00AF2694">
        <w:rPr>
          <w:sz w:val="22"/>
          <w:szCs w:val="22"/>
          <w:lang w:val="sr-Latn-ME"/>
        </w:rPr>
        <w:t>l-est</w:t>
      </w:r>
      <w:r w:rsidR="009F0572" w:rsidRPr="00AF2694">
        <w:rPr>
          <w:sz w:val="22"/>
          <w:szCs w:val="22"/>
          <w:lang w:val="sr-Latn-ME"/>
        </w:rPr>
        <w:t>a</w:t>
      </w:r>
      <w:r w:rsidRPr="00AF2694">
        <w:rPr>
          <w:sz w:val="22"/>
          <w:szCs w:val="22"/>
          <w:lang w:val="sr-Latn-ME"/>
        </w:rPr>
        <w:t xml:space="preserve">ra i triglicerida u različitim ćelijskim populacijama, organima i sistemima organa, uključujući hepatocite i makrofage. U jetri, ova akumulacija dovodi do hepatomegalije, povećanog </w:t>
      </w:r>
      <w:r w:rsidRPr="00AF2694">
        <w:rPr>
          <w:sz w:val="22"/>
          <w:szCs w:val="22"/>
          <w:lang w:val="sr-Latn-ME"/>
        </w:rPr>
        <w:lastRenderedPageBreak/>
        <w:t>sadržaja masnoće u jetri, povišenih transaminaza koje signaliziraju hronično oštećenje jetre, i napredovanja do fibroze, ciroze i komplikacija završne faze bolesti jetre. U slezini, deficijencija lizozomalne kisele lipaze rezultira splenomegalijom, anemijom i trombocitopenijom. Akumulacija lipida u zidu cr</w:t>
      </w:r>
      <w:r w:rsidR="009E739D" w:rsidRPr="00AF2694">
        <w:rPr>
          <w:sz w:val="22"/>
          <w:szCs w:val="22"/>
          <w:lang w:val="sr-Latn-ME"/>
        </w:rPr>
        <w:t>ij</w:t>
      </w:r>
      <w:r w:rsidRPr="00AF2694">
        <w:rPr>
          <w:sz w:val="22"/>
          <w:szCs w:val="22"/>
          <w:lang w:val="sr-Latn-ME"/>
        </w:rPr>
        <w:t>eva dovodi do malapsorpcije i neusp</w:t>
      </w:r>
      <w:r w:rsidR="009E739D" w:rsidRPr="00AF2694">
        <w:rPr>
          <w:sz w:val="22"/>
          <w:szCs w:val="22"/>
          <w:lang w:val="sr-Latn-ME"/>
        </w:rPr>
        <w:t>j</w:t>
      </w:r>
      <w:r w:rsidRPr="00AF2694">
        <w:rPr>
          <w:sz w:val="22"/>
          <w:szCs w:val="22"/>
          <w:lang w:val="sr-Latn-ME"/>
        </w:rPr>
        <w:t>eha u rastu. Dislipidemija je česta, sa povišenim lipoprotein holesterolom niske gustine (LDL-C) i trigliceridima</w:t>
      </w:r>
      <w:r w:rsidR="0027303E" w:rsidRPr="00AF2694">
        <w:rPr>
          <w:sz w:val="22"/>
          <w:szCs w:val="22"/>
          <w:lang w:val="sr-Latn-ME"/>
        </w:rPr>
        <w:t>,</w:t>
      </w:r>
      <w:r w:rsidRPr="00AF2694">
        <w:rPr>
          <w:sz w:val="22"/>
          <w:szCs w:val="22"/>
          <w:lang w:val="sr-Latn-ME"/>
        </w:rPr>
        <w:t xml:space="preserve"> i niskim lipoprotein holesterolom visoke gustine (HDL-C), povezanim sa povećanim sadržajem masnoće u jetri i povišenim transaminazama. Pored bolesti jetre, pacijenti sa deficijencijom lizozomalne kisele lipaze imaju povećan rizik od kardiovaskularnih bolesti i ubrzane ateroskleroze. </w:t>
      </w:r>
    </w:p>
    <w:p w14:paraId="4E91FB97" w14:textId="77777777" w:rsidR="00251C3A" w:rsidRPr="00AF2694" w:rsidRDefault="00251C3A" w:rsidP="00CF11D6">
      <w:pPr>
        <w:tabs>
          <w:tab w:val="left" w:pos="540"/>
          <w:tab w:val="left" w:pos="567"/>
        </w:tabs>
        <w:jc w:val="both"/>
        <w:rPr>
          <w:sz w:val="22"/>
          <w:szCs w:val="22"/>
          <w:lang w:val="sr-Latn-ME"/>
        </w:rPr>
      </w:pPr>
    </w:p>
    <w:p w14:paraId="516DAE0A" w14:textId="61C435CD" w:rsidR="00251C3A" w:rsidRPr="00AF2694" w:rsidRDefault="00251C3A" w:rsidP="00CF11D6">
      <w:pPr>
        <w:tabs>
          <w:tab w:val="left" w:pos="540"/>
          <w:tab w:val="left" w:pos="569"/>
        </w:tabs>
        <w:jc w:val="both"/>
        <w:rPr>
          <w:sz w:val="22"/>
          <w:szCs w:val="22"/>
          <w:u w:val="single"/>
          <w:lang w:val="sr-Latn-ME"/>
        </w:rPr>
      </w:pPr>
      <w:r w:rsidRPr="00AF2694">
        <w:rPr>
          <w:sz w:val="22"/>
          <w:szCs w:val="22"/>
          <w:u w:val="single"/>
          <w:lang w:val="sr-Latn-ME"/>
        </w:rPr>
        <w:t xml:space="preserve">Mehanizam </w:t>
      </w:r>
      <w:r w:rsidR="0027303E" w:rsidRPr="00AF2694">
        <w:rPr>
          <w:sz w:val="22"/>
          <w:szCs w:val="22"/>
          <w:u w:val="single"/>
          <w:lang w:val="sr-Latn-ME"/>
        </w:rPr>
        <w:t>djelovanja</w:t>
      </w:r>
    </w:p>
    <w:p w14:paraId="77BA9BD5" w14:textId="77777777" w:rsidR="00251C3A" w:rsidRPr="00AF2694" w:rsidRDefault="00251C3A" w:rsidP="00CF11D6">
      <w:pPr>
        <w:tabs>
          <w:tab w:val="left" w:pos="540"/>
          <w:tab w:val="left" w:pos="569"/>
        </w:tabs>
        <w:jc w:val="both"/>
        <w:rPr>
          <w:sz w:val="22"/>
          <w:szCs w:val="22"/>
          <w:lang w:val="sr-Latn-ME"/>
        </w:rPr>
      </w:pPr>
    </w:p>
    <w:p w14:paraId="4CF9314A" w14:textId="3EACEBAD" w:rsidR="00251C3A" w:rsidRPr="00AF2694" w:rsidRDefault="00251C3A" w:rsidP="00CF11D6">
      <w:pPr>
        <w:tabs>
          <w:tab w:val="left" w:pos="540"/>
          <w:tab w:val="left" w:pos="567"/>
        </w:tabs>
        <w:jc w:val="both"/>
        <w:rPr>
          <w:sz w:val="22"/>
          <w:szCs w:val="22"/>
          <w:lang w:val="sr-Latn-ME"/>
        </w:rPr>
      </w:pPr>
      <w:r w:rsidRPr="00AF2694">
        <w:rPr>
          <w:sz w:val="22"/>
          <w:szCs w:val="22"/>
          <w:lang w:val="sr-Latn-ME"/>
        </w:rPr>
        <w:t>Sebelipaza alfa je rekombinantna ljudska lizozomalna kisela lipaza (</w:t>
      </w:r>
      <w:r w:rsidR="0027303E" w:rsidRPr="00AF2694">
        <w:rPr>
          <w:sz w:val="22"/>
          <w:szCs w:val="22"/>
          <w:lang w:val="sr-Latn-ME"/>
        </w:rPr>
        <w:t xml:space="preserve">engl. </w:t>
      </w:r>
      <w:r w:rsidR="0027303E" w:rsidRPr="00AF2694">
        <w:rPr>
          <w:i/>
          <w:sz w:val="22"/>
          <w:szCs w:val="22"/>
          <w:lang w:val="sr-Latn-ME"/>
        </w:rPr>
        <w:t>recombinant human lysosomal acid lipase</w:t>
      </w:r>
      <w:r w:rsidR="0027303E" w:rsidRPr="00AF2694">
        <w:rPr>
          <w:sz w:val="22"/>
          <w:szCs w:val="22"/>
          <w:lang w:val="sr-Latn-ME"/>
        </w:rPr>
        <w:t xml:space="preserve">, </w:t>
      </w:r>
      <w:r w:rsidRPr="00AF2694">
        <w:rPr>
          <w:sz w:val="22"/>
          <w:szCs w:val="22"/>
          <w:lang w:val="sr-Latn-ME"/>
        </w:rPr>
        <w:t>rhLAL).</w:t>
      </w:r>
    </w:p>
    <w:p w14:paraId="0EE4C7EA" w14:textId="77777777" w:rsidR="00251C3A" w:rsidRPr="00AF2694" w:rsidRDefault="00251C3A" w:rsidP="00CF11D6">
      <w:pPr>
        <w:tabs>
          <w:tab w:val="left" w:pos="540"/>
          <w:tab w:val="left" w:pos="567"/>
        </w:tabs>
        <w:jc w:val="both"/>
        <w:rPr>
          <w:sz w:val="22"/>
          <w:szCs w:val="22"/>
          <w:lang w:val="sr-Latn-ME"/>
        </w:rPr>
      </w:pPr>
    </w:p>
    <w:p w14:paraId="79D6224A" w14:textId="1DDBAE5B" w:rsidR="00251C3A" w:rsidRPr="00AF2694" w:rsidRDefault="00251C3A" w:rsidP="00CF11D6">
      <w:pPr>
        <w:tabs>
          <w:tab w:val="left" w:pos="540"/>
          <w:tab w:val="left" w:pos="567"/>
        </w:tabs>
        <w:jc w:val="both"/>
        <w:rPr>
          <w:bCs/>
          <w:sz w:val="22"/>
          <w:szCs w:val="22"/>
          <w:lang w:val="sr-Latn-ME"/>
        </w:rPr>
      </w:pPr>
      <w:r w:rsidRPr="00AF2694">
        <w:rPr>
          <w:sz w:val="22"/>
          <w:szCs w:val="22"/>
          <w:lang w:val="sr-Latn-ME"/>
        </w:rPr>
        <w:t xml:space="preserve">Sebelipaza alfa se vezuje za receptore na površini ćelija putem glikana </w:t>
      </w:r>
      <w:r w:rsidR="0027303E" w:rsidRPr="00AF2694">
        <w:rPr>
          <w:sz w:val="22"/>
          <w:szCs w:val="22"/>
          <w:lang w:val="sr-Latn-ME"/>
        </w:rPr>
        <w:t>eksprimiranih na proteinu,</w:t>
      </w:r>
      <w:r w:rsidRPr="00AF2694">
        <w:rPr>
          <w:sz w:val="22"/>
          <w:szCs w:val="22"/>
          <w:lang w:val="sr-Latn-ME"/>
        </w:rPr>
        <w:t xml:space="preserve"> i naknadno se internalizuje u lizozome. Sebelipaza alfa katalizuje lizozomalnu hidrolizu holester</w:t>
      </w:r>
      <w:r w:rsidR="009F0572" w:rsidRPr="00AF2694">
        <w:rPr>
          <w:sz w:val="22"/>
          <w:szCs w:val="22"/>
          <w:lang w:val="sr-Latn-ME"/>
        </w:rPr>
        <w:t>o</w:t>
      </w:r>
      <w:r w:rsidRPr="00AF2694">
        <w:rPr>
          <w:sz w:val="22"/>
          <w:szCs w:val="22"/>
          <w:lang w:val="sr-Latn-ME"/>
        </w:rPr>
        <w:t>l-est</w:t>
      </w:r>
      <w:r w:rsidR="009F0572" w:rsidRPr="00AF2694">
        <w:rPr>
          <w:sz w:val="22"/>
          <w:szCs w:val="22"/>
          <w:lang w:val="sr-Latn-ME"/>
        </w:rPr>
        <w:t>a</w:t>
      </w:r>
      <w:r w:rsidRPr="00AF2694">
        <w:rPr>
          <w:sz w:val="22"/>
          <w:szCs w:val="22"/>
          <w:lang w:val="sr-Latn-ME"/>
        </w:rPr>
        <w:t>ra i triglicerida do slobodnog holesterola, glicerola i slobodnih masnih kiselina. Zam</w:t>
      </w:r>
      <w:r w:rsidR="009E739D" w:rsidRPr="00AF2694">
        <w:rPr>
          <w:sz w:val="22"/>
          <w:szCs w:val="22"/>
          <w:lang w:val="sr-Latn-ME"/>
        </w:rPr>
        <w:t>j</w:t>
      </w:r>
      <w:r w:rsidRPr="00AF2694">
        <w:rPr>
          <w:sz w:val="22"/>
          <w:szCs w:val="22"/>
          <w:lang w:val="sr-Latn-ME"/>
        </w:rPr>
        <w:t>ena aktivnosti LAL enzima dovodi do smanjenja sadržaja masti u jetri i transaminaza, i omogućava metabolizam holester</w:t>
      </w:r>
      <w:r w:rsidR="009F0572" w:rsidRPr="00AF2694">
        <w:rPr>
          <w:sz w:val="22"/>
          <w:szCs w:val="22"/>
          <w:lang w:val="sr-Latn-ME"/>
        </w:rPr>
        <w:t>o</w:t>
      </w:r>
      <w:r w:rsidRPr="00AF2694">
        <w:rPr>
          <w:sz w:val="22"/>
          <w:szCs w:val="22"/>
          <w:lang w:val="sr-Latn-ME"/>
        </w:rPr>
        <w:t>l-est</w:t>
      </w:r>
      <w:r w:rsidR="009F0572" w:rsidRPr="00AF2694">
        <w:rPr>
          <w:sz w:val="22"/>
          <w:szCs w:val="22"/>
          <w:lang w:val="sr-Latn-ME"/>
        </w:rPr>
        <w:t>a</w:t>
      </w:r>
      <w:r w:rsidRPr="00AF2694">
        <w:rPr>
          <w:sz w:val="22"/>
          <w:szCs w:val="22"/>
          <w:lang w:val="sr-Latn-ME"/>
        </w:rPr>
        <w:t>ra i triglicerida u lizozom</w:t>
      </w:r>
      <w:r w:rsidR="00822931" w:rsidRPr="00AF2694">
        <w:rPr>
          <w:sz w:val="22"/>
          <w:szCs w:val="22"/>
          <w:lang w:val="sr-Latn-ME"/>
        </w:rPr>
        <w:t>ima</w:t>
      </w:r>
      <w:r w:rsidRPr="00AF2694">
        <w:rPr>
          <w:sz w:val="22"/>
          <w:szCs w:val="22"/>
          <w:lang w:val="sr-Latn-ME"/>
        </w:rPr>
        <w:t>, što dovodi do smanjenja LDL-C i non-HDL-C, triglicerida, i povećanja HDL-C. Poboljšanje rasta nastaje kao rezultat smanjenja supstrata u cr</w:t>
      </w:r>
      <w:r w:rsidR="009E739D" w:rsidRPr="00AF2694">
        <w:rPr>
          <w:sz w:val="22"/>
          <w:szCs w:val="22"/>
          <w:lang w:val="sr-Latn-ME"/>
        </w:rPr>
        <w:t>ij</w:t>
      </w:r>
      <w:r w:rsidRPr="00AF2694">
        <w:rPr>
          <w:sz w:val="22"/>
          <w:szCs w:val="22"/>
          <w:lang w:val="sr-Latn-ME"/>
        </w:rPr>
        <w:t>evima.</w:t>
      </w:r>
    </w:p>
    <w:p w14:paraId="26EE5943" w14:textId="77777777" w:rsidR="00251C3A" w:rsidRPr="00AF2694" w:rsidRDefault="00251C3A" w:rsidP="00CF11D6">
      <w:pPr>
        <w:tabs>
          <w:tab w:val="left" w:pos="540"/>
          <w:tab w:val="left" w:pos="569"/>
        </w:tabs>
        <w:jc w:val="both"/>
        <w:rPr>
          <w:sz w:val="22"/>
          <w:szCs w:val="22"/>
          <w:u w:val="single"/>
          <w:lang w:val="sr-Latn-ME"/>
        </w:rPr>
      </w:pPr>
    </w:p>
    <w:p w14:paraId="20E313DE" w14:textId="77777777" w:rsidR="00251C3A" w:rsidRPr="00AF2694" w:rsidRDefault="00251C3A" w:rsidP="00CF11D6">
      <w:pPr>
        <w:tabs>
          <w:tab w:val="left" w:pos="540"/>
          <w:tab w:val="left" w:pos="569"/>
        </w:tabs>
        <w:jc w:val="both"/>
        <w:rPr>
          <w:sz w:val="22"/>
          <w:szCs w:val="22"/>
          <w:u w:val="single"/>
          <w:lang w:val="sr-Latn-ME"/>
        </w:rPr>
      </w:pPr>
      <w:r w:rsidRPr="00AF2694">
        <w:rPr>
          <w:sz w:val="22"/>
          <w:szCs w:val="22"/>
          <w:u w:val="single"/>
          <w:lang w:val="sr-Latn-ME"/>
        </w:rPr>
        <w:t>Kliničke studije</w:t>
      </w:r>
    </w:p>
    <w:p w14:paraId="427DEBCA" w14:textId="77777777" w:rsidR="00251C3A" w:rsidRPr="00AF2694" w:rsidRDefault="00251C3A" w:rsidP="00CF11D6">
      <w:pPr>
        <w:tabs>
          <w:tab w:val="left" w:pos="540"/>
          <w:tab w:val="left" w:pos="569"/>
        </w:tabs>
        <w:jc w:val="both"/>
        <w:rPr>
          <w:i/>
          <w:sz w:val="22"/>
          <w:szCs w:val="22"/>
          <w:lang w:val="sr-Latn-ME"/>
        </w:rPr>
      </w:pPr>
    </w:p>
    <w:p w14:paraId="73CB6A70" w14:textId="77777777" w:rsidR="00251C3A" w:rsidRPr="00AF2694" w:rsidRDefault="00251C3A" w:rsidP="00CF11D6">
      <w:pPr>
        <w:tabs>
          <w:tab w:val="left" w:pos="540"/>
          <w:tab w:val="left" w:pos="569"/>
        </w:tabs>
        <w:jc w:val="both"/>
        <w:rPr>
          <w:i/>
          <w:sz w:val="22"/>
          <w:szCs w:val="22"/>
          <w:lang w:val="sr-Latn-ME"/>
        </w:rPr>
      </w:pPr>
      <w:r w:rsidRPr="00AF2694">
        <w:rPr>
          <w:i/>
          <w:iCs/>
          <w:sz w:val="22"/>
          <w:szCs w:val="22"/>
          <w:lang w:val="sr-Latn-ME"/>
        </w:rPr>
        <w:t>Dojenčad sa manifestacijom deficijencije lizozomalne kisele lipaze</w:t>
      </w:r>
    </w:p>
    <w:p w14:paraId="5DBF4485" w14:textId="77777777" w:rsidR="00251C3A" w:rsidRPr="00AF2694" w:rsidRDefault="00251C3A" w:rsidP="00CF11D6">
      <w:pPr>
        <w:tabs>
          <w:tab w:val="left" w:pos="540"/>
          <w:tab w:val="left" w:pos="569"/>
        </w:tabs>
        <w:jc w:val="both"/>
        <w:rPr>
          <w:i/>
          <w:sz w:val="22"/>
          <w:szCs w:val="22"/>
          <w:u w:val="single"/>
          <w:lang w:val="sr-Latn-ME"/>
        </w:rPr>
      </w:pPr>
    </w:p>
    <w:p w14:paraId="0DB489A5" w14:textId="77777777" w:rsidR="00251C3A" w:rsidRPr="00AF2694" w:rsidRDefault="00251C3A" w:rsidP="00CF11D6">
      <w:pPr>
        <w:tabs>
          <w:tab w:val="left" w:pos="540"/>
          <w:tab w:val="left" w:pos="569"/>
        </w:tabs>
        <w:jc w:val="both"/>
        <w:rPr>
          <w:i/>
          <w:sz w:val="22"/>
          <w:szCs w:val="22"/>
          <w:u w:val="single"/>
          <w:lang w:val="sr-Latn-ME"/>
        </w:rPr>
      </w:pPr>
      <w:r w:rsidRPr="00AF2694">
        <w:rPr>
          <w:i/>
          <w:iCs/>
          <w:sz w:val="22"/>
          <w:szCs w:val="22"/>
          <w:u w:val="single"/>
          <w:lang w:val="sr-Latn-ME"/>
        </w:rPr>
        <w:t>Studija LAL-CL03</w:t>
      </w:r>
    </w:p>
    <w:p w14:paraId="621144EC" w14:textId="77777777" w:rsidR="00251C3A" w:rsidRPr="00AF2694" w:rsidRDefault="00251C3A" w:rsidP="00CF11D6">
      <w:pPr>
        <w:tabs>
          <w:tab w:val="left" w:pos="540"/>
          <w:tab w:val="left" w:pos="569"/>
        </w:tabs>
        <w:jc w:val="both"/>
        <w:rPr>
          <w:i/>
          <w:sz w:val="22"/>
          <w:szCs w:val="22"/>
          <w:u w:val="single"/>
          <w:lang w:val="sr-Latn-ME"/>
        </w:rPr>
      </w:pPr>
    </w:p>
    <w:p w14:paraId="4B8E0499" w14:textId="1C76C356" w:rsidR="00251C3A" w:rsidRPr="00AF2694" w:rsidRDefault="00251C3A" w:rsidP="00CF11D6">
      <w:pPr>
        <w:tabs>
          <w:tab w:val="left" w:pos="540"/>
          <w:tab w:val="left" w:pos="567"/>
        </w:tabs>
        <w:jc w:val="both"/>
        <w:rPr>
          <w:sz w:val="22"/>
          <w:szCs w:val="22"/>
          <w:lang w:val="sr-Latn-ME"/>
        </w:rPr>
      </w:pPr>
      <w:r w:rsidRPr="00AF2694">
        <w:rPr>
          <w:sz w:val="22"/>
          <w:szCs w:val="22"/>
          <w:lang w:val="sr-Latn-ME"/>
        </w:rPr>
        <w:t>Studija LAL-CL03 bila je multicentrična, otvorena, studija sa jednom grupom sebelipaze alfa kod 9 pacijenata mlađih od 24 m</w:t>
      </w:r>
      <w:r w:rsidR="009E739D" w:rsidRPr="00AF2694">
        <w:rPr>
          <w:sz w:val="22"/>
          <w:szCs w:val="22"/>
          <w:lang w:val="sr-Latn-ME"/>
        </w:rPr>
        <w:t>j</w:t>
      </w:r>
      <w:r w:rsidRPr="00AF2694">
        <w:rPr>
          <w:sz w:val="22"/>
          <w:szCs w:val="22"/>
          <w:lang w:val="sr-Latn-ME"/>
        </w:rPr>
        <w:t>eseca sa potvrđenom dijagnozom deficijencije lizozomalne kisele lipaze i neusp</w:t>
      </w:r>
      <w:r w:rsidR="009E739D" w:rsidRPr="00AF2694">
        <w:rPr>
          <w:sz w:val="22"/>
          <w:szCs w:val="22"/>
          <w:lang w:val="sr-Latn-ME"/>
        </w:rPr>
        <w:t>j</w:t>
      </w:r>
      <w:r w:rsidRPr="00AF2694">
        <w:rPr>
          <w:sz w:val="22"/>
          <w:szCs w:val="22"/>
          <w:lang w:val="sr-Latn-ME"/>
        </w:rPr>
        <w:t>ehom u rastu</w:t>
      </w:r>
      <w:r w:rsidR="00822931" w:rsidRPr="00AF2694">
        <w:rPr>
          <w:sz w:val="22"/>
          <w:szCs w:val="22"/>
          <w:lang w:val="sr-Latn-ME"/>
        </w:rPr>
        <w:t>, sa početkom prije uzrasta od 6 mjeseci</w:t>
      </w:r>
      <w:r w:rsidRPr="00AF2694">
        <w:rPr>
          <w:sz w:val="22"/>
          <w:szCs w:val="22"/>
          <w:lang w:val="sr-Latn-ME"/>
        </w:rPr>
        <w:t xml:space="preserve">. Pacijenti su takođe imali brzo progresivnu bolest jetre i </w:t>
      </w:r>
      <w:r w:rsidR="00822931" w:rsidRPr="00AF2694">
        <w:rPr>
          <w:sz w:val="22"/>
          <w:szCs w:val="22"/>
          <w:lang w:val="sr-Latn-ME"/>
        </w:rPr>
        <w:t xml:space="preserve">tešku </w:t>
      </w:r>
      <w:r w:rsidRPr="00AF2694">
        <w:rPr>
          <w:sz w:val="22"/>
          <w:szCs w:val="22"/>
          <w:lang w:val="sr-Latn-ME"/>
        </w:rPr>
        <w:t>hepatosplenomegaliju. Srednja starost pacijenata u trenutku započinjanja doziranja bila je 3 m</w:t>
      </w:r>
      <w:r w:rsidR="009E739D" w:rsidRPr="00AF2694">
        <w:rPr>
          <w:sz w:val="22"/>
          <w:szCs w:val="22"/>
          <w:lang w:val="sr-Latn-ME"/>
        </w:rPr>
        <w:t>j</w:t>
      </w:r>
      <w:r w:rsidRPr="00AF2694">
        <w:rPr>
          <w:sz w:val="22"/>
          <w:szCs w:val="22"/>
          <w:lang w:val="sr-Latn-ME"/>
        </w:rPr>
        <w:t>eseca (raspon = 1 do 6 m</w:t>
      </w:r>
      <w:r w:rsidR="009E739D" w:rsidRPr="00AF2694">
        <w:rPr>
          <w:sz w:val="22"/>
          <w:szCs w:val="22"/>
          <w:lang w:val="sr-Latn-ME"/>
        </w:rPr>
        <w:t>j</w:t>
      </w:r>
      <w:r w:rsidRPr="00AF2694">
        <w:rPr>
          <w:sz w:val="22"/>
          <w:szCs w:val="22"/>
          <w:lang w:val="sr-Latn-ME"/>
        </w:rPr>
        <w:t>eseci). Srednja izloženost sebelipazi alfa bila je 55,6 m</w:t>
      </w:r>
      <w:r w:rsidR="009E739D" w:rsidRPr="00AF2694">
        <w:rPr>
          <w:sz w:val="22"/>
          <w:szCs w:val="22"/>
          <w:lang w:val="sr-Latn-ME"/>
        </w:rPr>
        <w:t>j</w:t>
      </w:r>
      <w:r w:rsidRPr="00AF2694">
        <w:rPr>
          <w:sz w:val="22"/>
          <w:szCs w:val="22"/>
          <w:lang w:val="sr-Latn-ME"/>
        </w:rPr>
        <w:t>eseci po pacijentu (raspon = 1 dan do 60 m</w:t>
      </w:r>
      <w:r w:rsidR="009E739D" w:rsidRPr="00AF2694">
        <w:rPr>
          <w:sz w:val="22"/>
          <w:szCs w:val="22"/>
          <w:lang w:val="sr-Latn-ME"/>
        </w:rPr>
        <w:t>j</w:t>
      </w:r>
      <w:r w:rsidRPr="00AF2694">
        <w:rPr>
          <w:sz w:val="22"/>
          <w:szCs w:val="22"/>
          <w:lang w:val="sr-Latn-ME"/>
        </w:rPr>
        <w:t>eseci). Pacijenti su primali sebelipazu alfa u dozi od 0,35 mg/kg jednom ned</w:t>
      </w:r>
      <w:r w:rsidR="009E739D" w:rsidRPr="00AF2694">
        <w:rPr>
          <w:sz w:val="22"/>
          <w:szCs w:val="22"/>
          <w:lang w:val="sr-Latn-ME"/>
        </w:rPr>
        <w:t>j</w:t>
      </w:r>
      <w:r w:rsidRPr="00AF2694">
        <w:rPr>
          <w:sz w:val="22"/>
          <w:szCs w:val="22"/>
          <w:lang w:val="sr-Latn-ME"/>
        </w:rPr>
        <w:t>eljno tokom prve 2 ned</w:t>
      </w:r>
      <w:r w:rsidR="009E739D" w:rsidRPr="00AF2694">
        <w:rPr>
          <w:sz w:val="22"/>
          <w:szCs w:val="22"/>
          <w:lang w:val="sr-Latn-ME"/>
        </w:rPr>
        <w:t>j</w:t>
      </w:r>
      <w:r w:rsidRPr="00AF2694">
        <w:rPr>
          <w:sz w:val="22"/>
          <w:szCs w:val="22"/>
          <w:lang w:val="sr-Latn-ME"/>
        </w:rPr>
        <w:t>elje, a zatim 1 mg/kg jednom ned</w:t>
      </w:r>
      <w:r w:rsidR="009E739D" w:rsidRPr="00AF2694">
        <w:rPr>
          <w:sz w:val="22"/>
          <w:szCs w:val="22"/>
          <w:lang w:val="sr-Latn-ME"/>
        </w:rPr>
        <w:t>j</w:t>
      </w:r>
      <w:r w:rsidRPr="00AF2694">
        <w:rPr>
          <w:sz w:val="22"/>
          <w:szCs w:val="22"/>
          <w:lang w:val="sr-Latn-ME"/>
        </w:rPr>
        <w:t xml:space="preserve">eljno. Na osnovu kliničkog odgovora, </w:t>
      </w:r>
      <w:r w:rsidR="0057589D" w:rsidRPr="00AF2694">
        <w:rPr>
          <w:sz w:val="22"/>
          <w:szCs w:val="22"/>
          <w:lang w:val="sr-Latn-ME"/>
        </w:rPr>
        <w:t>povećanje</w:t>
      </w:r>
      <w:r w:rsidRPr="00AF2694">
        <w:rPr>
          <w:sz w:val="22"/>
          <w:szCs w:val="22"/>
          <w:lang w:val="sr-Latn-ME"/>
        </w:rPr>
        <w:t xml:space="preserve"> doze na 3 mg/kg jednom ned</w:t>
      </w:r>
      <w:r w:rsidR="00822931" w:rsidRPr="00AF2694">
        <w:rPr>
          <w:sz w:val="22"/>
          <w:szCs w:val="22"/>
          <w:lang w:val="sr-Latn-ME"/>
        </w:rPr>
        <w:t>j</w:t>
      </w:r>
      <w:r w:rsidRPr="00AF2694">
        <w:rPr>
          <w:sz w:val="22"/>
          <w:szCs w:val="22"/>
          <w:lang w:val="sr-Latn-ME"/>
        </w:rPr>
        <w:t xml:space="preserve">eljno </w:t>
      </w:r>
      <w:r w:rsidR="0057589D" w:rsidRPr="00AF2694">
        <w:rPr>
          <w:sz w:val="22"/>
          <w:szCs w:val="22"/>
          <w:lang w:val="sr-Latn-ME"/>
        </w:rPr>
        <w:t>uvedeno je</w:t>
      </w:r>
      <w:r w:rsidRPr="00AF2694">
        <w:rPr>
          <w:sz w:val="22"/>
          <w:szCs w:val="22"/>
          <w:lang w:val="sr-Latn-ME"/>
        </w:rPr>
        <w:t xml:space="preserve"> </w:t>
      </w:r>
      <w:r w:rsidR="0057589D" w:rsidRPr="00AF2694">
        <w:rPr>
          <w:sz w:val="22"/>
          <w:szCs w:val="22"/>
          <w:lang w:val="sr-Latn-ME"/>
        </w:rPr>
        <w:t xml:space="preserve">kod 6 pacijenata </w:t>
      </w:r>
      <w:r w:rsidRPr="00AF2694">
        <w:rPr>
          <w:sz w:val="22"/>
          <w:szCs w:val="22"/>
          <w:lang w:val="sr-Latn-ME"/>
        </w:rPr>
        <w:t>već nakon 1 m</w:t>
      </w:r>
      <w:r w:rsidR="009E739D" w:rsidRPr="00AF2694">
        <w:rPr>
          <w:sz w:val="22"/>
          <w:szCs w:val="22"/>
          <w:lang w:val="sr-Latn-ME"/>
        </w:rPr>
        <w:t>j</w:t>
      </w:r>
      <w:r w:rsidRPr="00AF2694">
        <w:rPr>
          <w:sz w:val="22"/>
          <w:szCs w:val="22"/>
          <w:lang w:val="sr-Latn-ME"/>
        </w:rPr>
        <w:t xml:space="preserve">eseca </w:t>
      </w:r>
      <w:r w:rsidR="0057589D" w:rsidRPr="00AF2694">
        <w:rPr>
          <w:sz w:val="22"/>
          <w:szCs w:val="22"/>
          <w:lang w:val="sr-Latn-ME"/>
        </w:rPr>
        <w:t>pa sve do</w:t>
      </w:r>
      <w:r w:rsidRPr="00AF2694">
        <w:rPr>
          <w:sz w:val="22"/>
          <w:szCs w:val="22"/>
          <w:lang w:val="sr-Latn-ME"/>
        </w:rPr>
        <w:t xml:space="preserve"> 20 m</w:t>
      </w:r>
      <w:r w:rsidR="009E739D" w:rsidRPr="00AF2694">
        <w:rPr>
          <w:sz w:val="22"/>
          <w:szCs w:val="22"/>
          <w:lang w:val="sr-Latn-ME"/>
        </w:rPr>
        <w:t>j</w:t>
      </w:r>
      <w:r w:rsidRPr="00AF2694">
        <w:rPr>
          <w:sz w:val="22"/>
          <w:szCs w:val="22"/>
          <w:lang w:val="sr-Latn-ME"/>
        </w:rPr>
        <w:t>eseci nakon početka l</w:t>
      </w:r>
      <w:r w:rsidR="009E739D" w:rsidRPr="00AF2694">
        <w:rPr>
          <w:sz w:val="22"/>
          <w:szCs w:val="22"/>
          <w:lang w:val="sr-Latn-ME"/>
        </w:rPr>
        <w:t>ij</w:t>
      </w:r>
      <w:r w:rsidRPr="00AF2694">
        <w:rPr>
          <w:sz w:val="22"/>
          <w:szCs w:val="22"/>
          <w:lang w:val="sr-Latn-ME"/>
        </w:rPr>
        <w:t xml:space="preserve">ečenja u dozi od 1 mg/kg </w:t>
      </w:r>
      <w:r w:rsidR="00822931" w:rsidRPr="00AF2694">
        <w:rPr>
          <w:sz w:val="22"/>
          <w:szCs w:val="22"/>
          <w:lang w:val="sr-Latn-ME"/>
        </w:rPr>
        <w:t>jednom nedjeljno</w:t>
      </w:r>
      <w:r w:rsidR="0057589D" w:rsidRPr="00AF2694">
        <w:rPr>
          <w:sz w:val="22"/>
          <w:szCs w:val="22"/>
          <w:lang w:val="sr-Latn-ME"/>
        </w:rPr>
        <w:t xml:space="preserve">. </w:t>
      </w:r>
      <w:r w:rsidRPr="00AF2694">
        <w:rPr>
          <w:sz w:val="22"/>
          <w:szCs w:val="22"/>
          <w:lang w:val="sr-Latn-ME"/>
        </w:rPr>
        <w:t>Dvoje od ovih 6 pacijenata su kasnije povećali dozu na 5 mg/kg jednom ned</w:t>
      </w:r>
      <w:r w:rsidR="009E739D" w:rsidRPr="00AF2694">
        <w:rPr>
          <w:sz w:val="22"/>
          <w:szCs w:val="22"/>
          <w:lang w:val="sr-Latn-ME"/>
        </w:rPr>
        <w:t>j</w:t>
      </w:r>
      <w:r w:rsidRPr="00AF2694">
        <w:rPr>
          <w:sz w:val="22"/>
          <w:szCs w:val="22"/>
          <w:lang w:val="sr-Latn-ME"/>
        </w:rPr>
        <w:t xml:space="preserve">eljno, u skladu sa protokolom studije. </w:t>
      </w:r>
    </w:p>
    <w:p w14:paraId="22534CE2" w14:textId="77777777" w:rsidR="00251C3A" w:rsidRPr="00AF2694" w:rsidRDefault="00251C3A" w:rsidP="00CF11D6">
      <w:pPr>
        <w:tabs>
          <w:tab w:val="left" w:pos="540"/>
          <w:tab w:val="left" w:pos="567"/>
        </w:tabs>
        <w:jc w:val="both"/>
        <w:rPr>
          <w:sz w:val="22"/>
          <w:szCs w:val="22"/>
          <w:lang w:val="sr-Latn-ME"/>
        </w:rPr>
      </w:pPr>
    </w:p>
    <w:p w14:paraId="70B931C5" w14:textId="49AF29E4" w:rsidR="00251C3A" w:rsidRPr="00AF2694" w:rsidRDefault="00251C3A" w:rsidP="00CF11D6">
      <w:pPr>
        <w:tabs>
          <w:tab w:val="left" w:pos="540"/>
          <w:tab w:val="left" w:pos="567"/>
        </w:tabs>
        <w:jc w:val="both"/>
        <w:rPr>
          <w:sz w:val="22"/>
          <w:szCs w:val="22"/>
          <w:lang w:val="sr-Latn-ME"/>
        </w:rPr>
      </w:pPr>
      <w:r w:rsidRPr="00AF2694">
        <w:rPr>
          <w:sz w:val="22"/>
          <w:szCs w:val="22"/>
          <w:lang w:val="sr-Latn-ME"/>
        </w:rPr>
        <w:t>Efikasnost je proc</w:t>
      </w:r>
      <w:r w:rsidR="009E739D" w:rsidRPr="00AF2694">
        <w:rPr>
          <w:sz w:val="22"/>
          <w:szCs w:val="22"/>
          <w:lang w:val="sr-Latn-ME"/>
        </w:rPr>
        <w:t>ij</w:t>
      </w:r>
      <w:r w:rsidRPr="00AF2694">
        <w:rPr>
          <w:sz w:val="22"/>
          <w:szCs w:val="22"/>
          <w:lang w:val="sr-Latn-ME"/>
        </w:rPr>
        <w:t>enjena poređenjem preživljavanja pacijenata l</w:t>
      </w:r>
      <w:r w:rsidR="009E739D" w:rsidRPr="00AF2694">
        <w:rPr>
          <w:sz w:val="22"/>
          <w:szCs w:val="22"/>
          <w:lang w:val="sr-Latn-ME"/>
        </w:rPr>
        <w:t>ij</w:t>
      </w:r>
      <w:r w:rsidRPr="00AF2694">
        <w:rPr>
          <w:sz w:val="22"/>
          <w:szCs w:val="22"/>
          <w:lang w:val="sr-Latn-ME"/>
        </w:rPr>
        <w:t>ečenih sebelipazom alfa koji su preživ</w:t>
      </w:r>
      <w:r w:rsidR="00822931" w:rsidRPr="00AF2694">
        <w:rPr>
          <w:sz w:val="22"/>
          <w:szCs w:val="22"/>
          <w:lang w:val="sr-Latn-ME"/>
        </w:rPr>
        <w:t>j</w:t>
      </w:r>
      <w:r w:rsidRPr="00AF2694">
        <w:rPr>
          <w:sz w:val="22"/>
          <w:szCs w:val="22"/>
          <w:lang w:val="sr-Latn-ME"/>
        </w:rPr>
        <w:t>eli duže od 12 m</w:t>
      </w:r>
      <w:r w:rsidR="009E739D" w:rsidRPr="00AF2694">
        <w:rPr>
          <w:sz w:val="22"/>
          <w:szCs w:val="22"/>
          <w:lang w:val="sr-Latn-ME"/>
        </w:rPr>
        <w:t>j</w:t>
      </w:r>
      <w:r w:rsidRPr="00AF2694">
        <w:rPr>
          <w:sz w:val="22"/>
          <w:szCs w:val="22"/>
          <w:lang w:val="sr-Latn-ME"/>
        </w:rPr>
        <w:t>eseci u studiji LAL-CL03 sa istorijskom kohortom nel</w:t>
      </w:r>
      <w:r w:rsidR="009E739D" w:rsidRPr="00AF2694">
        <w:rPr>
          <w:sz w:val="22"/>
          <w:szCs w:val="22"/>
          <w:lang w:val="sr-Latn-ME"/>
        </w:rPr>
        <w:t>ij</w:t>
      </w:r>
      <w:r w:rsidRPr="00AF2694">
        <w:rPr>
          <w:sz w:val="22"/>
          <w:szCs w:val="22"/>
          <w:lang w:val="sr-Latn-ME"/>
        </w:rPr>
        <w:t>ečene dojenčadi koja je imala deficijenciju lizozomalne kisele lipaze sa sličnim kliničkim karakteristikama. U studiji LAL-CL03, 6 od 9 dojenčadi l</w:t>
      </w:r>
      <w:r w:rsidR="009E739D" w:rsidRPr="00AF2694">
        <w:rPr>
          <w:sz w:val="22"/>
          <w:szCs w:val="22"/>
          <w:lang w:val="sr-Latn-ME"/>
        </w:rPr>
        <w:t>ij</w:t>
      </w:r>
      <w:r w:rsidRPr="00AF2694">
        <w:rPr>
          <w:sz w:val="22"/>
          <w:szCs w:val="22"/>
          <w:lang w:val="sr-Latn-ME"/>
        </w:rPr>
        <w:t>ečenih sebelipazom alfa preživ</w:t>
      </w:r>
      <w:r w:rsidR="00EC6A0A" w:rsidRPr="00AF2694">
        <w:rPr>
          <w:sz w:val="22"/>
          <w:szCs w:val="22"/>
          <w:lang w:val="sr-Latn-ME"/>
        </w:rPr>
        <w:t>j</w:t>
      </w:r>
      <w:r w:rsidRPr="00AF2694">
        <w:rPr>
          <w:sz w:val="22"/>
          <w:szCs w:val="22"/>
          <w:lang w:val="sr-Latn-ME"/>
        </w:rPr>
        <w:t>elo je duže od 12 m</w:t>
      </w:r>
      <w:r w:rsidR="009E739D" w:rsidRPr="00AF2694">
        <w:rPr>
          <w:sz w:val="22"/>
          <w:szCs w:val="22"/>
          <w:lang w:val="sr-Latn-ME"/>
        </w:rPr>
        <w:t>j</w:t>
      </w:r>
      <w:r w:rsidRPr="00AF2694">
        <w:rPr>
          <w:sz w:val="22"/>
          <w:szCs w:val="22"/>
          <w:lang w:val="sr-Latn-ME"/>
        </w:rPr>
        <w:t>eseci (67% preživljavanja na 12 m</w:t>
      </w:r>
      <w:r w:rsidR="009E739D" w:rsidRPr="00AF2694">
        <w:rPr>
          <w:sz w:val="22"/>
          <w:szCs w:val="22"/>
          <w:lang w:val="sr-Latn-ME"/>
        </w:rPr>
        <w:t>j</w:t>
      </w:r>
      <w:r w:rsidRPr="00AF2694">
        <w:rPr>
          <w:sz w:val="22"/>
          <w:szCs w:val="22"/>
          <w:lang w:val="sr-Latn-ME"/>
        </w:rPr>
        <w:t>eseci, 95% CI: 30% do 93%). Uz nastavak l</w:t>
      </w:r>
      <w:r w:rsidR="009E739D" w:rsidRPr="00AF2694">
        <w:rPr>
          <w:sz w:val="22"/>
          <w:szCs w:val="22"/>
          <w:lang w:val="sr-Latn-ME"/>
        </w:rPr>
        <w:t>ij</w:t>
      </w:r>
      <w:r w:rsidRPr="00AF2694">
        <w:rPr>
          <w:sz w:val="22"/>
          <w:szCs w:val="22"/>
          <w:lang w:val="sr-Latn-ME"/>
        </w:rPr>
        <w:t>ečenja do 48 m</w:t>
      </w:r>
      <w:r w:rsidR="009E739D" w:rsidRPr="00AF2694">
        <w:rPr>
          <w:sz w:val="22"/>
          <w:szCs w:val="22"/>
          <w:lang w:val="sr-Latn-ME"/>
        </w:rPr>
        <w:t>j</w:t>
      </w:r>
      <w:r w:rsidRPr="00AF2694">
        <w:rPr>
          <w:sz w:val="22"/>
          <w:szCs w:val="22"/>
          <w:lang w:val="sr-Latn-ME"/>
        </w:rPr>
        <w:t>eseci starosti, još jedan pacijent je preminuo u dobi od 15 m</w:t>
      </w:r>
      <w:r w:rsidR="009E739D" w:rsidRPr="00AF2694">
        <w:rPr>
          <w:sz w:val="22"/>
          <w:szCs w:val="22"/>
          <w:lang w:val="sr-Latn-ME"/>
        </w:rPr>
        <w:t>j</w:t>
      </w:r>
      <w:r w:rsidRPr="00AF2694">
        <w:rPr>
          <w:sz w:val="22"/>
          <w:szCs w:val="22"/>
          <w:lang w:val="sr-Latn-ME"/>
        </w:rPr>
        <w:t>eseci. U istorijskoj kohorti, 0 od 21 pacijen</w:t>
      </w:r>
      <w:r w:rsidR="00EC6A0A" w:rsidRPr="00AF2694">
        <w:rPr>
          <w:sz w:val="22"/>
          <w:szCs w:val="22"/>
          <w:lang w:val="sr-Latn-ME"/>
        </w:rPr>
        <w:t>a</w:t>
      </w:r>
      <w:r w:rsidRPr="00AF2694">
        <w:rPr>
          <w:sz w:val="22"/>
          <w:szCs w:val="22"/>
          <w:lang w:val="sr-Latn-ME"/>
        </w:rPr>
        <w:t>ta nije preživ</w:t>
      </w:r>
      <w:r w:rsidR="009E739D" w:rsidRPr="00AF2694">
        <w:rPr>
          <w:sz w:val="22"/>
          <w:szCs w:val="22"/>
          <w:lang w:val="sr-Latn-ME"/>
        </w:rPr>
        <w:t>j</w:t>
      </w:r>
      <w:r w:rsidRPr="00AF2694">
        <w:rPr>
          <w:sz w:val="22"/>
          <w:szCs w:val="22"/>
          <w:lang w:val="sr-Latn-ME"/>
        </w:rPr>
        <w:t>elo duže od 8 m</w:t>
      </w:r>
      <w:r w:rsidR="009E739D" w:rsidRPr="00AF2694">
        <w:rPr>
          <w:sz w:val="22"/>
          <w:szCs w:val="22"/>
          <w:lang w:val="sr-Latn-ME"/>
        </w:rPr>
        <w:t>j</w:t>
      </w:r>
      <w:r w:rsidRPr="00AF2694">
        <w:rPr>
          <w:sz w:val="22"/>
          <w:szCs w:val="22"/>
          <w:lang w:val="sr-Latn-ME"/>
        </w:rPr>
        <w:t>eseci starosti (0% preživljavanja na 12 m</w:t>
      </w:r>
      <w:r w:rsidR="009E739D" w:rsidRPr="00AF2694">
        <w:rPr>
          <w:sz w:val="22"/>
          <w:szCs w:val="22"/>
          <w:lang w:val="sr-Latn-ME"/>
        </w:rPr>
        <w:t>j</w:t>
      </w:r>
      <w:r w:rsidRPr="00AF2694">
        <w:rPr>
          <w:sz w:val="22"/>
          <w:szCs w:val="22"/>
          <w:lang w:val="sr-Latn-ME"/>
        </w:rPr>
        <w:t xml:space="preserve">eseci, 95% CI: 0% do 16%). </w:t>
      </w:r>
    </w:p>
    <w:p w14:paraId="0BB75133" w14:textId="77777777" w:rsidR="00251C3A" w:rsidRPr="00AF2694" w:rsidRDefault="00251C3A" w:rsidP="00CF11D6">
      <w:pPr>
        <w:tabs>
          <w:tab w:val="left" w:pos="540"/>
          <w:tab w:val="left" w:pos="567"/>
        </w:tabs>
        <w:jc w:val="both"/>
        <w:rPr>
          <w:sz w:val="22"/>
          <w:szCs w:val="22"/>
          <w:lang w:val="sr-Latn-ME"/>
        </w:rPr>
      </w:pPr>
    </w:p>
    <w:p w14:paraId="6D058628" w14:textId="50FCA842" w:rsidR="00EC6A0A" w:rsidRPr="00AF2694" w:rsidRDefault="00251C3A" w:rsidP="00EC6A0A">
      <w:pPr>
        <w:tabs>
          <w:tab w:val="left" w:pos="540"/>
          <w:tab w:val="left" w:pos="569"/>
        </w:tabs>
        <w:jc w:val="both"/>
        <w:rPr>
          <w:sz w:val="22"/>
          <w:szCs w:val="22"/>
          <w:lang w:val="sr-Latn-ME"/>
        </w:rPr>
      </w:pPr>
      <w:r w:rsidRPr="00AF2694">
        <w:rPr>
          <w:sz w:val="22"/>
          <w:szCs w:val="22"/>
          <w:lang w:val="sr-Latn-ME"/>
        </w:rPr>
        <w:t>Sebelipaza alfa dovela je do poboljšanja nivoa alanin aminotransferaze (ALT) / aspartat aminotransferaze (AST) (što ukazuje na smanjenje oštećenja jetre) i do povećanja t</w:t>
      </w:r>
      <w:r w:rsidR="009E739D" w:rsidRPr="00AF2694">
        <w:rPr>
          <w:sz w:val="22"/>
          <w:szCs w:val="22"/>
          <w:lang w:val="sr-Latn-ME"/>
        </w:rPr>
        <w:t>j</w:t>
      </w:r>
      <w:r w:rsidRPr="00AF2694">
        <w:rPr>
          <w:sz w:val="22"/>
          <w:szCs w:val="22"/>
          <w:lang w:val="sr-Latn-ME"/>
        </w:rPr>
        <w:t>elesne mase; poboljšanja su prim</w:t>
      </w:r>
      <w:r w:rsidR="009E739D" w:rsidRPr="00AF2694">
        <w:rPr>
          <w:sz w:val="22"/>
          <w:szCs w:val="22"/>
          <w:lang w:val="sr-Latn-ME"/>
        </w:rPr>
        <w:t>ij</w:t>
      </w:r>
      <w:r w:rsidRPr="00AF2694">
        <w:rPr>
          <w:sz w:val="22"/>
          <w:szCs w:val="22"/>
          <w:lang w:val="sr-Latn-ME"/>
        </w:rPr>
        <w:t>ećena u prvih nekoliko ned</w:t>
      </w:r>
      <w:r w:rsidR="009E739D" w:rsidRPr="00AF2694">
        <w:rPr>
          <w:sz w:val="22"/>
          <w:szCs w:val="22"/>
          <w:lang w:val="sr-Latn-ME"/>
        </w:rPr>
        <w:t>j</w:t>
      </w:r>
      <w:r w:rsidRPr="00AF2694">
        <w:rPr>
          <w:sz w:val="22"/>
          <w:szCs w:val="22"/>
          <w:lang w:val="sr-Latn-ME"/>
        </w:rPr>
        <w:t>elja l</w:t>
      </w:r>
      <w:r w:rsidR="009E739D" w:rsidRPr="00AF2694">
        <w:rPr>
          <w:sz w:val="22"/>
          <w:szCs w:val="22"/>
          <w:lang w:val="sr-Latn-ME"/>
        </w:rPr>
        <w:t>ij</w:t>
      </w:r>
      <w:r w:rsidRPr="00AF2694">
        <w:rPr>
          <w:sz w:val="22"/>
          <w:szCs w:val="22"/>
          <w:lang w:val="sr-Latn-ME"/>
        </w:rPr>
        <w:t>ečenja i održana su do kraja studije. Od početne vr</w:t>
      </w:r>
      <w:r w:rsidR="009E739D" w:rsidRPr="00AF2694">
        <w:rPr>
          <w:sz w:val="22"/>
          <w:szCs w:val="22"/>
          <w:lang w:val="sr-Latn-ME"/>
        </w:rPr>
        <w:t>ij</w:t>
      </w:r>
      <w:r w:rsidRPr="00AF2694">
        <w:rPr>
          <w:sz w:val="22"/>
          <w:szCs w:val="22"/>
          <w:lang w:val="sr-Latn-ME"/>
        </w:rPr>
        <w:t>ednosti do 240. ned</w:t>
      </w:r>
      <w:r w:rsidR="009E739D" w:rsidRPr="00AF2694">
        <w:rPr>
          <w:sz w:val="22"/>
          <w:szCs w:val="22"/>
          <w:lang w:val="sr-Latn-ME"/>
        </w:rPr>
        <w:t>j</w:t>
      </w:r>
      <w:r w:rsidRPr="00AF2694">
        <w:rPr>
          <w:sz w:val="22"/>
          <w:szCs w:val="22"/>
          <w:lang w:val="sr-Latn-ME"/>
        </w:rPr>
        <w:t>elje (m</w:t>
      </w:r>
      <w:r w:rsidR="009E739D" w:rsidRPr="00AF2694">
        <w:rPr>
          <w:sz w:val="22"/>
          <w:szCs w:val="22"/>
          <w:lang w:val="sr-Latn-ME"/>
        </w:rPr>
        <w:t>j</w:t>
      </w:r>
      <w:r w:rsidRPr="00AF2694">
        <w:rPr>
          <w:sz w:val="22"/>
          <w:szCs w:val="22"/>
          <w:lang w:val="sr-Latn-ME"/>
        </w:rPr>
        <w:t xml:space="preserve">esec 60), </w:t>
      </w:r>
      <w:r w:rsidR="00EC6A0A" w:rsidRPr="00AF2694">
        <w:rPr>
          <w:sz w:val="22"/>
          <w:szCs w:val="22"/>
          <w:lang w:val="sr-Latn-ME"/>
        </w:rPr>
        <w:t>srednja vrijednost smanjenja ALT-a bila je -43,5 U/l, a AST-a</w:t>
      </w:r>
    </w:p>
    <w:p w14:paraId="12B2C41B" w14:textId="61254A60" w:rsidR="00251C3A" w:rsidRPr="00AF2694" w:rsidRDefault="00EC6A0A" w:rsidP="00CF11D6">
      <w:pPr>
        <w:tabs>
          <w:tab w:val="left" w:pos="540"/>
          <w:tab w:val="left" w:pos="569"/>
        </w:tabs>
        <w:jc w:val="both"/>
        <w:rPr>
          <w:bCs/>
          <w:sz w:val="22"/>
          <w:szCs w:val="22"/>
          <w:lang w:val="sr-Latn-ME"/>
        </w:rPr>
      </w:pPr>
      <w:r w:rsidRPr="00AF2694">
        <w:rPr>
          <w:sz w:val="22"/>
          <w:szCs w:val="22"/>
          <w:lang w:val="sr-Latn-ME"/>
        </w:rPr>
        <w:t>-45,25 U/l</w:t>
      </w:r>
      <w:r w:rsidR="00251C3A" w:rsidRPr="00AF2694">
        <w:rPr>
          <w:sz w:val="22"/>
          <w:szCs w:val="22"/>
          <w:lang w:val="sr-Latn-ME"/>
        </w:rPr>
        <w:t>. Od počet</w:t>
      </w:r>
      <w:r w:rsidRPr="00AF2694">
        <w:rPr>
          <w:sz w:val="22"/>
          <w:szCs w:val="22"/>
          <w:lang w:val="sr-Latn-ME"/>
        </w:rPr>
        <w:t>ka ispitivanja</w:t>
      </w:r>
      <w:r w:rsidR="00251C3A" w:rsidRPr="00AF2694">
        <w:rPr>
          <w:sz w:val="22"/>
          <w:szCs w:val="22"/>
          <w:lang w:val="sr-Latn-ME"/>
        </w:rPr>
        <w:t xml:space="preserve"> do 240. ned</w:t>
      </w:r>
      <w:r w:rsidR="009E739D" w:rsidRPr="00AF2694">
        <w:rPr>
          <w:sz w:val="22"/>
          <w:szCs w:val="22"/>
          <w:lang w:val="sr-Latn-ME"/>
        </w:rPr>
        <w:t>j</w:t>
      </w:r>
      <w:r w:rsidR="00251C3A" w:rsidRPr="00AF2694">
        <w:rPr>
          <w:sz w:val="22"/>
          <w:szCs w:val="22"/>
          <w:lang w:val="sr-Latn-ME"/>
        </w:rPr>
        <w:t xml:space="preserve">elje </w:t>
      </w:r>
      <w:r w:rsidRPr="00AF2694">
        <w:rPr>
          <w:sz w:val="22"/>
          <w:szCs w:val="22"/>
          <w:lang w:val="sr-Latn-ME"/>
        </w:rPr>
        <w:t xml:space="preserve">srednja vrijednost </w:t>
      </w:r>
      <w:r w:rsidR="00251C3A" w:rsidRPr="00AF2694">
        <w:rPr>
          <w:sz w:val="22"/>
          <w:szCs w:val="22"/>
          <w:lang w:val="sr-Latn-ME"/>
        </w:rPr>
        <w:t>procen</w:t>
      </w:r>
      <w:r w:rsidRPr="00AF2694">
        <w:rPr>
          <w:sz w:val="22"/>
          <w:szCs w:val="22"/>
          <w:lang w:val="sr-Latn-ME"/>
        </w:rPr>
        <w:t>ta</w:t>
      </w:r>
      <w:r w:rsidR="00251C3A" w:rsidRPr="00AF2694">
        <w:rPr>
          <w:sz w:val="22"/>
          <w:szCs w:val="22"/>
          <w:lang w:val="sr-Latn-ME"/>
        </w:rPr>
        <w:t xml:space="preserve"> t</w:t>
      </w:r>
      <w:r w:rsidR="009E739D" w:rsidRPr="00AF2694">
        <w:rPr>
          <w:sz w:val="22"/>
          <w:szCs w:val="22"/>
          <w:lang w:val="sr-Latn-ME"/>
        </w:rPr>
        <w:t>j</w:t>
      </w:r>
      <w:r w:rsidR="00251C3A" w:rsidRPr="00AF2694">
        <w:rPr>
          <w:sz w:val="22"/>
          <w:szCs w:val="22"/>
          <w:lang w:val="sr-Latn-ME"/>
        </w:rPr>
        <w:t>elesne mase prema starosti po</w:t>
      </w:r>
      <w:r w:rsidRPr="00AF2694">
        <w:rPr>
          <w:sz w:val="22"/>
          <w:szCs w:val="22"/>
          <w:lang w:val="sr-Latn-ME"/>
        </w:rPr>
        <w:t>većala</w:t>
      </w:r>
      <w:r w:rsidR="00251C3A" w:rsidRPr="00AF2694">
        <w:rPr>
          <w:sz w:val="22"/>
          <w:szCs w:val="22"/>
          <w:lang w:val="sr-Latn-ME"/>
        </w:rPr>
        <w:t xml:space="preserve"> se sa 12,74% na 43,17%, a </w:t>
      </w:r>
      <w:r w:rsidRPr="00AF2694">
        <w:rPr>
          <w:sz w:val="22"/>
          <w:szCs w:val="22"/>
          <w:lang w:val="sr-Latn-ME"/>
        </w:rPr>
        <w:t>srednja vrijednost nivoa</w:t>
      </w:r>
      <w:r w:rsidR="00251C3A" w:rsidRPr="00AF2694">
        <w:rPr>
          <w:sz w:val="22"/>
          <w:szCs w:val="22"/>
          <w:lang w:val="sr-Latn-ME"/>
        </w:rPr>
        <w:t xml:space="preserve"> serumskog albumina </w:t>
      </w:r>
      <w:r w:rsidRPr="00AF2694">
        <w:rPr>
          <w:sz w:val="22"/>
          <w:szCs w:val="22"/>
          <w:lang w:val="sr-Latn-ME"/>
        </w:rPr>
        <w:t>je</w:t>
      </w:r>
      <w:r w:rsidR="00251C3A" w:rsidRPr="00AF2694">
        <w:rPr>
          <w:sz w:val="22"/>
          <w:szCs w:val="22"/>
          <w:lang w:val="sr-Latn-ME"/>
        </w:rPr>
        <w:t xml:space="preserve"> porasl</w:t>
      </w:r>
      <w:r w:rsidRPr="00AF2694">
        <w:rPr>
          <w:sz w:val="22"/>
          <w:szCs w:val="22"/>
          <w:lang w:val="sr-Latn-ME"/>
        </w:rPr>
        <w:t>a</w:t>
      </w:r>
      <w:r w:rsidR="00251C3A" w:rsidRPr="00AF2694">
        <w:rPr>
          <w:sz w:val="22"/>
          <w:szCs w:val="22"/>
          <w:lang w:val="sr-Latn-ME"/>
        </w:rPr>
        <w:t xml:space="preserve"> sa 26,9 g/l na 31,98 g/l. </w:t>
      </w:r>
      <w:r w:rsidRPr="00AF2694">
        <w:rPr>
          <w:sz w:val="22"/>
          <w:szCs w:val="22"/>
          <w:lang w:val="sr-Latn-ME"/>
        </w:rPr>
        <w:t xml:space="preserve">Povećanje </w:t>
      </w:r>
      <w:r w:rsidR="00251C3A" w:rsidRPr="00AF2694">
        <w:rPr>
          <w:sz w:val="22"/>
          <w:szCs w:val="22"/>
          <w:lang w:val="sr-Latn-ME"/>
        </w:rPr>
        <w:t>doze na 3 mg/kg jednom ned</w:t>
      </w:r>
      <w:r w:rsidR="009E739D" w:rsidRPr="00AF2694">
        <w:rPr>
          <w:sz w:val="22"/>
          <w:szCs w:val="22"/>
          <w:lang w:val="sr-Latn-ME"/>
        </w:rPr>
        <w:t>j</w:t>
      </w:r>
      <w:r w:rsidR="00251C3A" w:rsidRPr="00AF2694">
        <w:rPr>
          <w:sz w:val="22"/>
          <w:szCs w:val="22"/>
          <w:lang w:val="sr-Latn-ME"/>
        </w:rPr>
        <w:t>eljno bil</w:t>
      </w:r>
      <w:r w:rsidRPr="00AF2694">
        <w:rPr>
          <w:sz w:val="22"/>
          <w:szCs w:val="22"/>
          <w:lang w:val="sr-Latn-ME"/>
        </w:rPr>
        <w:t>o</w:t>
      </w:r>
      <w:r w:rsidR="00251C3A" w:rsidRPr="00AF2694">
        <w:rPr>
          <w:sz w:val="22"/>
          <w:szCs w:val="22"/>
          <w:lang w:val="sr-Latn-ME"/>
        </w:rPr>
        <w:t xml:space="preserve"> je povezan</w:t>
      </w:r>
      <w:r w:rsidRPr="00AF2694">
        <w:rPr>
          <w:sz w:val="22"/>
          <w:szCs w:val="22"/>
          <w:lang w:val="sr-Latn-ME"/>
        </w:rPr>
        <w:t>o</w:t>
      </w:r>
      <w:r w:rsidR="00251C3A" w:rsidRPr="00AF2694">
        <w:rPr>
          <w:sz w:val="22"/>
          <w:szCs w:val="22"/>
          <w:lang w:val="sr-Latn-ME"/>
        </w:rPr>
        <w:t xml:space="preserve"> sa dodatnim poboljšanjima u povećanju t</w:t>
      </w:r>
      <w:r w:rsidR="009E739D" w:rsidRPr="00AF2694">
        <w:rPr>
          <w:sz w:val="22"/>
          <w:szCs w:val="22"/>
          <w:lang w:val="sr-Latn-ME"/>
        </w:rPr>
        <w:t>j</w:t>
      </w:r>
      <w:r w:rsidR="00251C3A" w:rsidRPr="00AF2694">
        <w:rPr>
          <w:sz w:val="22"/>
          <w:szCs w:val="22"/>
          <w:lang w:val="sr-Latn-ME"/>
        </w:rPr>
        <w:t>elesne mase, limfadenopatiji i serumskom albuminu.</w:t>
      </w:r>
    </w:p>
    <w:p w14:paraId="6F1A0A96" w14:textId="77777777" w:rsidR="00251C3A" w:rsidRPr="00AF2694" w:rsidRDefault="00251C3A" w:rsidP="00CF11D6">
      <w:pPr>
        <w:tabs>
          <w:tab w:val="left" w:pos="540"/>
          <w:tab w:val="left" w:pos="567"/>
        </w:tabs>
        <w:jc w:val="both"/>
        <w:rPr>
          <w:bCs/>
          <w:sz w:val="22"/>
          <w:szCs w:val="22"/>
          <w:lang w:val="sr-Latn-ME"/>
        </w:rPr>
      </w:pPr>
    </w:p>
    <w:p w14:paraId="551500F8" w14:textId="77777777" w:rsidR="00251C3A" w:rsidRPr="00AF2694" w:rsidRDefault="00251C3A" w:rsidP="00CF11D6">
      <w:pPr>
        <w:tabs>
          <w:tab w:val="left" w:pos="540"/>
          <w:tab w:val="left" w:pos="569"/>
        </w:tabs>
        <w:jc w:val="both"/>
        <w:rPr>
          <w:i/>
          <w:sz w:val="22"/>
          <w:szCs w:val="22"/>
          <w:u w:val="single"/>
          <w:lang w:val="sr-Latn-ME"/>
        </w:rPr>
      </w:pPr>
      <w:r w:rsidRPr="00AF2694">
        <w:rPr>
          <w:i/>
          <w:iCs/>
          <w:sz w:val="22"/>
          <w:szCs w:val="22"/>
          <w:u w:val="single"/>
          <w:lang w:val="sr-Latn-ME"/>
        </w:rPr>
        <w:t>Studija LAL-CL08</w:t>
      </w:r>
    </w:p>
    <w:p w14:paraId="21D31A43" w14:textId="77777777" w:rsidR="00251C3A" w:rsidRPr="00AF2694" w:rsidRDefault="00251C3A" w:rsidP="00CF11D6">
      <w:pPr>
        <w:tabs>
          <w:tab w:val="left" w:pos="540"/>
          <w:tab w:val="left" w:pos="569"/>
        </w:tabs>
        <w:jc w:val="both"/>
        <w:rPr>
          <w:i/>
          <w:sz w:val="22"/>
          <w:szCs w:val="22"/>
          <w:u w:val="single"/>
          <w:lang w:val="sr-Latn-ME"/>
        </w:rPr>
      </w:pPr>
    </w:p>
    <w:p w14:paraId="3AA352F5" w14:textId="19C83399" w:rsidR="00251C3A" w:rsidRPr="00AF2694" w:rsidRDefault="00251C3A" w:rsidP="00CF11D6">
      <w:pPr>
        <w:tabs>
          <w:tab w:val="left" w:pos="540"/>
          <w:tab w:val="left" w:pos="567"/>
        </w:tabs>
        <w:jc w:val="both"/>
        <w:rPr>
          <w:bCs/>
          <w:sz w:val="22"/>
          <w:szCs w:val="22"/>
          <w:lang w:val="sr-Latn-ME"/>
        </w:rPr>
      </w:pPr>
      <w:r w:rsidRPr="00AF2694">
        <w:rPr>
          <w:sz w:val="22"/>
          <w:szCs w:val="22"/>
          <w:lang w:val="sr-Latn-ME"/>
        </w:rPr>
        <w:lastRenderedPageBreak/>
        <w:t>Studija LAL-CL08 bila je multicentrična, otvorena studija sebelipaze alfa kod 10 dojenčadi ≤ 8 m</w:t>
      </w:r>
      <w:r w:rsidR="009E739D" w:rsidRPr="00AF2694">
        <w:rPr>
          <w:sz w:val="22"/>
          <w:szCs w:val="22"/>
          <w:lang w:val="sr-Latn-ME"/>
        </w:rPr>
        <w:t>j</w:t>
      </w:r>
      <w:r w:rsidRPr="00AF2694">
        <w:rPr>
          <w:sz w:val="22"/>
          <w:szCs w:val="22"/>
          <w:lang w:val="sr-Latn-ME"/>
        </w:rPr>
        <w:t>eseci starosti sa potvrđenom dijagnozom brzo progresivne deficijencije lizozomalne kisele lipaze koja zaht</w:t>
      </w:r>
      <w:r w:rsidR="009E739D" w:rsidRPr="00AF2694">
        <w:rPr>
          <w:sz w:val="22"/>
          <w:szCs w:val="22"/>
          <w:lang w:val="sr-Latn-ME"/>
        </w:rPr>
        <w:t>ij</w:t>
      </w:r>
      <w:r w:rsidRPr="00AF2694">
        <w:rPr>
          <w:sz w:val="22"/>
          <w:szCs w:val="22"/>
          <w:lang w:val="sr-Latn-ME"/>
        </w:rPr>
        <w:t>eva hitnu intervenciju, uključujući, ali ne ograničavajući se na izraženu distenziju abdomena i hepatomegaliju, neusp</w:t>
      </w:r>
      <w:r w:rsidR="009E739D" w:rsidRPr="00AF2694">
        <w:rPr>
          <w:sz w:val="22"/>
          <w:szCs w:val="22"/>
          <w:lang w:val="sr-Latn-ME"/>
        </w:rPr>
        <w:t>j</w:t>
      </w:r>
      <w:r w:rsidRPr="00AF2694">
        <w:rPr>
          <w:sz w:val="22"/>
          <w:szCs w:val="22"/>
          <w:lang w:val="sr-Latn-ME"/>
        </w:rPr>
        <w:t xml:space="preserve">eh u napredovanju, poremećaj koagulacije, tešku anemiju i/ili brata ili sestru sa brzo progresivnim tokom deficijencije lizozomalne kisele lipaze. </w:t>
      </w:r>
    </w:p>
    <w:p w14:paraId="26B259F2" w14:textId="77777777" w:rsidR="00251C3A" w:rsidRPr="00AF2694" w:rsidRDefault="00251C3A" w:rsidP="00CF11D6">
      <w:pPr>
        <w:tabs>
          <w:tab w:val="left" w:pos="540"/>
          <w:tab w:val="left" w:pos="567"/>
        </w:tabs>
        <w:jc w:val="both"/>
        <w:rPr>
          <w:bCs/>
          <w:sz w:val="22"/>
          <w:szCs w:val="22"/>
          <w:lang w:val="sr-Latn-ME"/>
        </w:rPr>
      </w:pPr>
    </w:p>
    <w:p w14:paraId="233163B2" w14:textId="53D02B96" w:rsidR="00251C3A" w:rsidRPr="00AF2694" w:rsidRDefault="00251C3A" w:rsidP="00CF11D6">
      <w:pPr>
        <w:tabs>
          <w:tab w:val="left" w:pos="540"/>
          <w:tab w:val="left" w:pos="567"/>
        </w:tabs>
        <w:jc w:val="both"/>
        <w:rPr>
          <w:bCs/>
          <w:sz w:val="22"/>
          <w:szCs w:val="22"/>
          <w:lang w:val="sr-Latn-ME"/>
        </w:rPr>
      </w:pPr>
      <w:r w:rsidRPr="00AF2694">
        <w:rPr>
          <w:sz w:val="22"/>
          <w:szCs w:val="22"/>
          <w:lang w:val="sr-Latn-ME"/>
        </w:rPr>
        <w:t>Srednja starost pacijenata u studiji na dan prve infuzije sebelipaze alfa bila je 3 m</w:t>
      </w:r>
      <w:r w:rsidR="009E739D" w:rsidRPr="00AF2694">
        <w:rPr>
          <w:sz w:val="22"/>
          <w:szCs w:val="22"/>
          <w:lang w:val="sr-Latn-ME"/>
        </w:rPr>
        <w:t>j</w:t>
      </w:r>
      <w:r w:rsidRPr="00AF2694">
        <w:rPr>
          <w:sz w:val="22"/>
          <w:szCs w:val="22"/>
          <w:lang w:val="sr-Latn-ME"/>
        </w:rPr>
        <w:t>eseca (raspon: 0,5 do 4 m</w:t>
      </w:r>
      <w:r w:rsidR="009E739D" w:rsidRPr="00AF2694">
        <w:rPr>
          <w:sz w:val="22"/>
          <w:szCs w:val="22"/>
          <w:lang w:val="sr-Latn-ME"/>
        </w:rPr>
        <w:t>j</w:t>
      </w:r>
      <w:r w:rsidRPr="00AF2694">
        <w:rPr>
          <w:sz w:val="22"/>
          <w:szCs w:val="22"/>
          <w:lang w:val="sr-Latn-ME"/>
        </w:rPr>
        <w:t>eseca). Osam (80%) pacijenata završilo je studiju. Srednja izloženost bila je 34 m</w:t>
      </w:r>
      <w:r w:rsidR="00EC6A0A" w:rsidRPr="00AF2694">
        <w:rPr>
          <w:sz w:val="22"/>
          <w:szCs w:val="22"/>
          <w:lang w:val="sr-Latn-ME"/>
        </w:rPr>
        <w:t>j</w:t>
      </w:r>
      <w:r w:rsidRPr="00AF2694">
        <w:rPr>
          <w:sz w:val="22"/>
          <w:szCs w:val="22"/>
          <w:lang w:val="sr-Latn-ME"/>
        </w:rPr>
        <w:t>eseca (raspon: 1 do 37 m</w:t>
      </w:r>
      <w:r w:rsidR="009E739D" w:rsidRPr="00AF2694">
        <w:rPr>
          <w:sz w:val="22"/>
          <w:szCs w:val="22"/>
          <w:lang w:val="sr-Latn-ME"/>
        </w:rPr>
        <w:t>j</w:t>
      </w:r>
      <w:r w:rsidRPr="00AF2694">
        <w:rPr>
          <w:sz w:val="22"/>
          <w:szCs w:val="22"/>
          <w:lang w:val="sr-Latn-ME"/>
        </w:rPr>
        <w:t xml:space="preserve">eseci). </w:t>
      </w:r>
      <w:r w:rsidR="00EC6A0A" w:rsidRPr="00AF2694">
        <w:rPr>
          <w:sz w:val="22"/>
          <w:szCs w:val="22"/>
          <w:lang w:val="sr-Latn-ME"/>
        </w:rPr>
        <w:t>Za dva</w:t>
      </w:r>
      <w:r w:rsidRPr="00AF2694">
        <w:rPr>
          <w:sz w:val="22"/>
          <w:szCs w:val="22"/>
          <w:lang w:val="sr-Latn-ME"/>
        </w:rPr>
        <w:t xml:space="preserve"> (20%) pacijenta smatra</w:t>
      </w:r>
      <w:r w:rsidR="00EC6A0A" w:rsidRPr="00AF2694">
        <w:rPr>
          <w:sz w:val="22"/>
          <w:szCs w:val="22"/>
          <w:lang w:val="sr-Latn-ME"/>
        </w:rPr>
        <w:t xml:space="preserve">lo se, zbog smrti, da su ispitivanje završili ranije. </w:t>
      </w:r>
      <w:r w:rsidRPr="00AF2694">
        <w:rPr>
          <w:sz w:val="22"/>
          <w:szCs w:val="22"/>
          <w:lang w:val="sr-Latn-ME"/>
        </w:rPr>
        <w:t>Svi pacijenti primali su početnu dozu od 1 mg/kg</w:t>
      </w:r>
      <w:r w:rsidR="00EC6A0A" w:rsidRPr="00AF2694">
        <w:rPr>
          <w:sz w:val="22"/>
          <w:szCs w:val="22"/>
          <w:lang w:val="sr-Latn-ME"/>
        </w:rPr>
        <w:t xml:space="preserve"> jednom nedjeljno</w:t>
      </w:r>
      <w:r w:rsidRPr="00AF2694">
        <w:rPr>
          <w:sz w:val="22"/>
          <w:szCs w:val="22"/>
          <w:lang w:val="sr-Latn-ME"/>
        </w:rPr>
        <w:t>. Devet pacijenata koji su preživ</w:t>
      </w:r>
      <w:r w:rsidR="00EC6A0A" w:rsidRPr="00AF2694">
        <w:rPr>
          <w:sz w:val="22"/>
          <w:szCs w:val="22"/>
          <w:lang w:val="sr-Latn-ME"/>
        </w:rPr>
        <w:t>j</w:t>
      </w:r>
      <w:r w:rsidRPr="00AF2694">
        <w:rPr>
          <w:sz w:val="22"/>
          <w:szCs w:val="22"/>
          <w:lang w:val="sr-Latn-ME"/>
        </w:rPr>
        <w:t>eli duže od 4 ned</w:t>
      </w:r>
      <w:r w:rsidR="009E739D" w:rsidRPr="00AF2694">
        <w:rPr>
          <w:sz w:val="22"/>
          <w:szCs w:val="22"/>
          <w:lang w:val="sr-Latn-ME"/>
        </w:rPr>
        <w:t>j</w:t>
      </w:r>
      <w:r w:rsidRPr="00AF2694">
        <w:rPr>
          <w:sz w:val="22"/>
          <w:szCs w:val="22"/>
          <w:lang w:val="sr-Latn-ME"/>
        </w:rPr>
        <w:t xml:space="preserve">elje </w:t>
      </w:r>
      <w:r w:rsidR="00EC6A0A" w:rsidRPr="00AF2694">
        <w:rPr>
          <w:sz w:val="22"/>
          <w:szCs w:val="22"/>
          <w:lang w:val="sr-Latn-ME"/>
        </w:rPr>
        <w:t>primalo je dozu povećanu</w:t>
      </w:r>
      <w:r w:rsidRPr="00AF2694">
        <w:rPr>
          <w:sz w:val="22"/>
          <w:szCs w:val="22"/>
          <w:lang w:val="sr-Latn-ME"/>
        </w:rPr>
        <w:t xml:space="preserve"> na 3 mg/kg </w:t>
      </w:r>
      <w:r w:rsidR="00EC6A0A" w:rsidRPr="00AF2694">
        <w:rPr>
          <w:sz w:val="22"/>
          <w:szCs w:val="22"/>
          <w:lang w:val="sr-Latn-ME"/>
        </w:rPr>
        <w:t>jednom nedjeljno</w:t>
      </w:r>
      <w:r w:rsidRPr="00AF2694">
        <w:rPr>
          <w:sz w:val="22"/>
          <w:szCs w:val="22"/>
          <w:lang w:val="sr-Latn-ME"/>
        </w:rPr>
        <w:t>, a 7 od tih pacijenata prim</w:t>
      </w:r>
      <w:r w:rsidR="00EC6A0A" w:rsidRPr="00AF2694">
        <w:rPr>
          <w:sz w:val="22"/>
          <w:szCs w:val="22"/>
          <w:lang w:val="sr-Latn-ME"/>
        </w:rPr>
        <w:t>a</w:t>
      </w:r>
      <w:r w:rsidRPr="00AF2694">
        <w:rPr>
          <w:sz w:val="22"/>
          <w:szCs w:val="22"/>
          <w:lang w:val="sr-Latn-ME"/>
        </w:rPr>
        <w:t xml:space="preserve">lo je </w:t>
      </w:r>
      <w:r w:rsidR="00EC6A0A" w:rsidRPr="00AF2694">
        <w:rPr>
          <w:sz w:val="22"/>
          <w:szCs w:val="22"/>
          <w:lang w:val="sr-Latn-ME"/>
        </w:rPr>
        <w:t>dozu naknadno povećanu na</w:t>
      </w:r>
      <w:r w:rsidRPr="00AF2694">
        <w:rPr>
          <w:sz w:val="22"/>
          <w:szCs w:val="22"/>
          <w:lang w:val="sr-Latn-ME"/>
        </w:rPr>
        <w:t xml:space="preserve"> 5 mg/kg</w:t>
      </w:r>
      <w:r w:rsidR="00EC6A0A" w:rsidRPr="00AF2694">
        <w:rPr>
          <w:sz w:val="22"/>
          <w:szCs w:val="22"/>
          <w:lang w:val="sr-Latn-ME"/>
        </w:rPr>
        <w:t xml:space="preserve"> svake nedjelje</w:t>
      </w:r>
      <w:r w:rsidRPr="00AF2694">
        <w:rPr>
          <w:sz w:val="22"/>
          <w:szCs w:val="22"/>
          <w:lang w:val="sr-Latn-ME"/>
        </w:rPr>
        <w:t>, prema protokolu studije. Jedan pacijent prim</w:t>
      </w:r>
      <w:r w:rsidR="00EC6A0A" w:rsidRPr="00AF2694">
        <w:rPr>
          <w:sz w:val="22"/>
          <w:szCs w:val="22"/>
          <w:lang w:val="sr-Latn-ME"/>
        </w:rPr>
        <w:t>ao</w:t>
      </w:r>
      <w:r w:rsidRPr="00AF2694">
        <w:rPr>
          <w:sz w:val="22"/>
          <w:szCs w:val="22"/>
          <w:lang w:val="sr-Latn-ME"/>
        </w:rPr>
        <w:t xml:space="preserve"> </w:t>
      </w:r>
      <w:r w:rsidR="00EC6A0A" w:rsidRPr="00AF2694">
        <w:rPr>
          <w:sz w:val="22"/>
          <w:szCs w:val="22"/>
          <w:lang w:val="sr-Latn-ME"/>
        </w:rPr>
        <w:t>je dodatno povećanu dozu</w:t>
      </w:r>
      <w:r w:rsidRPr="00AF2694">
        <w:rPr>
          <w:sz w:val="22"/>
          <w:szCs w:val="22"/>
          <w:lang w:val="sr-Latn-ME"/>
        </w:rPr>
        <w:t xml:space="preserve"> na 7,5 mg/kg</w:t>
      </w:r>
      <w:r w:rsidR="00EC6A0A" w:rsidRPr="00AF2694">
        <w:rPr>
          <w:sz w:val="22"/>
          <w:szCs w:val="22"/>
          <w:lang w:val="sr-Latn-ME"/>
        </w:rPr>
        <w:t xml:space="preserve"> svake nedjelje</w:t>
      </w:r>
      <w:r w:rsidRPr="00AF2694">
        <w:rPr>
          <w:sz w:val="22"/>
          <w:szCs w:val="22"/>
          <w:lang w:val="sr-Latn-ME"/>
        </w:rPr>
        <w:t>. Dva pacijenta su kasnije imala smanjenje doze koje se dogodilo nakon usp</w:t>
      </w:r>
      <w:r w:rsidR="009E739D" w:rsidRPr="00AF2694">
        <w:rPr>
          <w:sz w:val="22"/>
          <w:szCs w:val="22"/>
          <w:lang w:val="sr-Latn-ME"/>
        </w:rPr>
        <w:t>j</w:t>
      </w:r>
      <w:r w:rsidRPr="00AF2694">
        <w:rPr>
          <w:sz w:val="22"/>
          <w:szCs w:val="22"/>
          <w:lang w:val="sr-Latn-ME"/>
        </w:rPr>
        <w:t>ešnih transplantacionih procedura; jedan pacijent je primio BMT, a drugi pacijent je primio HSCT. Procenti (intervali pouzdanosti [CI] od 95%) pacijenata koji su preživ</w:t>
      </w:r>
      <w:r w:rsidR="009E739D" w:rsidRPr="00AF2694">
        <w:rPr>
          <w:sz w:val="22"/>
          <w:szCs w:val="22"/>
          <w:lang w:val="sr-Latn-ME"/>
        </w:rPr>
        <w:t>j</w:t>
      </w:r>
      <w:r w:rsidRPr="00AF2694">
        <w:rPr>
          <w:sz w:val="22"/>
          <w:szCs w:val="22"/>
          <w:lang w:val="sr-Latn-ME"/>
        </w:rPr>
        <w:t>eli do 12, 18, 24 i 36 m</w:t>
      </w:r>
      <w:r w:rsidR="009E739D" w:rsidRPr="00AF2694">
        <w:rPr>
          <w:sz w:val="22"/>
          <w:szCs w:val="22"/>
          <w:lang w:val="sr-Latn-ME"/>
        </w:rPr>
        <w:t>j</w:t>
      </w:r>
      <w:r w:rsidRPr="00AF2694">
        <w:rPr>
          <w:sz w:val="22"/>
          <w:szCs w:val="22"/>
          <w:lang w:val="sr-Latn-ME"/>
        </w:rPr>
        <w:t>eseci starosti bili su 90% (55,5%</w:t>
      </w:r>
      <w:r w:rsidR="00C715C4" w:rsidRPr="00AF2694">
        <w:rPr>
          <w:sz w:val="22"/>
          <w:szCs w:val="22"/>
          <w:lang w:val="sr-Latn-ME"/>
        </w:rPr>
        <w:t>;</w:t>
      </w:r>
      <w:r w:rsidRPr="00AF2694">
        <w:rPr>
          <w:sz w:val="22"/>
          <w:szCs w:val="22"/>
          <w:lang w:val="sr-Latn-ME"/>
        </w:rPr>
        <w:t xml:space="preserve"> 99,7%), 80% (44,4%</w:t>
      </w:r>
      <w:r w:rsidR="00C715C4" w:rsidRPr="00AF2694">
        <w:rPr>
          <w:sz w:val="22"/>
          <w:szCs w:val="22"/>
          <w:lang w:val="sr-Latn-ME"/>
        </w:rPr>
        <w:t>;</w:t>
      </w:r>
      <w:r w:rsidRPr="00AF2694">
        <w:rPr>
          <w:sz w:val="22"/>
          <w:szCs w:val="22"/>
          <w:lang w:val="sr-Latn-ME"/>
        </w:rPr>
        <w:t xml:space="preserve"> 97,5%), 80% (44,4%</w:t>
      </w:r>
      <w:r w:rsidR="00C715C4" w:rsidRPr="00AF2694">
        <w:rPr>
          <w:sz w:val="22"/>
          <w:szCs w:val="22"/>
          <w:lang w:val="sr-Latn-ME"/>
        </w:rPr>
        <w:t>;</w:t>
      </w:r>
      <w:r w:rsidRPr="00AF2694">
        <w:rPr>
          <w:sz w:val="22"/>
          <w:szCs w:val="22"/>
          <w:lang w:val="sr-Latn-ME"/>
        </w:rPr>
        <w:t xml:space="preserve"> 97,5%) i 75% (34,9%</w:t>
      </w:r>
      <w:r w:rsidR="00C715C4" w:rsidRPr="00AF2694">
        <w:rPr>
          <w:sz w:val="22"/>
          <w:szCs w:val="22"/>
          <w:lang w:val="sr-Latn-ME"/>
        </w:rPr>
        <w:t>;</w:t>
      </w:r>
      <w:r w:rsidRPr="00AF2694">
        <w:rPr>
          <w:sz w:val="22"/>
          <w:szCs w:val="22"/>
          <w:lang w:val="sr-Latn-ME"/>
        </w:rPr>
        <w:t xml:space="preserve"> 96,8%), respektivno. Dva pacijenta bila su mlađa od 36 m</w:t>
      </w:r>
      <w:r w:rsidR="009E739D" w:rsidRPr="00AF2694">
        <w:rPr>
          <w:sz w:val="22"/>
          <w:szCs w:val="22"/>
          <w:lang w:val="sr-Latn-ME"/>
        </w:rPr>
        <w:t>j</w:t>
      </w:r>
      <w:r w:rsidRPr="00AF2694">
        <w:rPr>
          <w:sz w:val="22"/>
          <w:szCs w:val="22"/>
          <w:lang w:val="sr-Latn-ME"/>
        </w:rPr>
        <w:t>eseci u trenutku završetka studije i bila su isključena iz analize za preživljavanje do 36 m</w:t>
      </w:r>
      <w:r w:rsidR="009E739D" w:rsidRPr="00AF2694">
        <w:rPr>
          <w:sz w:val="22"/>
          <w:szCs w:val="22"/>
          <w:lang w:val="sr-Latn-ME"/>
        </w:rPr>
        <w:t>j</w:t>
      </w:r>
      <w:r w:rsidRPr="00AF2694">
        <w:rPr>
          <w:sz w:val="22"/>
          <w:szCs w:val="22"/>
          <w:lang w:val="sr-Latn-ME"/>
        </w:rPr>
        <w:t xml:space="preserve">eseci. Smanjenja </w:t>
      </w:r>
      <w:r w:rsidR="00C715C4" w:rsidRPr="00AF2694">
        <w:rPr>
          <w:sz w:val="22"/>
          <w:szCs w:val="22"/>
          <w:lang w:val="sr-Latn-ME"/>
        </w:rPr>
        <w:t>vrijednosti</w:t>
      </w:r>
      <w:r w:rsidRPr="00AF2694">
        <w:rPr>
          <w:sz w:val="22"/>
          <w:szCs w:val="22"/>
          <w:lang w:val="sr-Latn-ME"/>
        </w:rPr>
        <w:t xml:space="preserve"> AST, gama-glutamiltransferaz</w:t>
      </w:r>
      <w:r w:rsidR="00C715C4" w:rsidRPr="00AF2694">
        <w:rPr>
          <w:sz w:val="22"/>
          <w:szCs w:val="22"/>
          <w:lang w:val="sr-Latn-ME"/>
        </w:rPr>
        <w:t>e</w:t>
      </w:r>
      <w:r w:rsidRPr="00AF2694">
        <w:rPr>
          <w:sz w:val="22"/>
          <w:szCs w:val="22"/>
          <w:lang w:val="sr-Latn-ME"/>
        </w:rPr>
        <w:t xml:space="preserve"> (GGT) i ukupno</w:t>
      </w:r>
      <w:r w:rsidR="00C715C4" w:rsidRPr="00AF2694">
        <w:rPr>
          <w:sz w:val="22"/>
          <w:szCs w:val="22"/>
          <w:lang w:val="sr-Latn-ME"/>
        </w:rPr>
        <w:t>g</w:t>
      </w:r>
      <w:r w:rsidRPr="00AF2694">
        <w:rPr>
          <w:sz w:val="22"/>
          <w:szCs w:val="22"/>
          <w:lang w:val="sr-Latn-ME"/>
        </w:rPr>
        <w:t xml:space="preserve"> bilirubin</w:t>
      </w:r>
      <w:r w:rsidR="00C715C4" w:rsidRPr="00AF2694">
        <w:rPr>
          <w:sz w:val="22"/>
          <w:szCs w:val="22"/>
          <w:lang w:val="sr-Latn-ME"/>
        </w:rPr>
        <w:t>a</w:t>
      </w:r>
      <w:r w:rsidRPr="00AF2694">
        <w:rPr>
          <w:sz w:val="22"/>
          <w:szCs w:val="22"/>
          <w:lang w:val="sr-Latn-ME"/>
        </w:rPr>
        <w:t xml:space="preserve">, kao i povećanja u serumskom </w:t>
      </w:r>
      <w:r w:rsidR="00C715C4" w:rsidRPr="00AF2694">
        <w:rPr>
          <w:sz w:val="22"/>
          <w:szCs w:val="22"/>
          <w:lang w:val="sr-Latn-ME"/>
        </w:rPr>
        <w:t>albuminu,</w:t>
      </w:r>
      <w:r w:rsidRPr="00AF2694">
        <w:rPr>
          <w:sz w:val="22"/>
          <w:szCs w:val="22"/>
          <w:lang w:val="sr-Latn-ME"/>
        </w:rPr>
        <w:t xml:space="preserve"> prim</w:t>
      </w:r>
      <w:r w:rsidR="009E739D" w:rsidRPr="00AF2694">
        <w:rPr>
          <w:sz w:val="22"/>
          <w:szCs w:val="22"/>
          <w:lang w:val="sr-Latn-ME"/>
        </w:rPr>
        <w:t>ij</w:t>
      </w:r>
      <w:r w:rsidRPr="00AF2694">
        <w:rPr>
          <w:sz w:val="22"/>
          <w:szCs w:val="22"/>
          <w:lang w:val="sr-Latn-ME"/>
        </w:rPr>
        <w:t xml:space="preserve">ećena su u ukupnoj </w:t>
      </w:r>
      <w:r w:rsidR="00C715C4" w:rsidRPr="00AF2694">
        <w:rPr>
          <w:sz w:val="22"/>
          <w:szCs w:val="22"/>
          <w:lang w:val="sr-Latn-ME"/>
        </w:rPr>
        <w:t>ispitivanoj</w:t>
      </w:r>
      <w:r w:rsidRPr="00AF2694">
        <w:rPr>
          <w:sz w:val="22"/>
          <w:szCs w:val="22"/>
          <w:lang w:val="sr-Latn-ME"/>
        </w:rPr>
        <w:t xml:space="preserve"> populaciji, sa srednjim prom</w:t>
      </w:r>
      <w:r w:rsidR="009E739D" w:rsidRPr="00AF2694">
        <w:rPr>
          <w:sz w:val="22"/>
          <w:szCs w:val="22"/>
          <w:lang w:val="sr-Latn-ME"/>
        </w:rPr>
        <w:t>j</w:t>
      </w:r>
      <w:r w:rsidRPr="00AF2694">
        <w:rPr>
          <w:sz w:val="22"/>
          <w:szCs w:val="22"/>
          <w:lang w:val="sr-Latn-ME"/>
        </w:rPr>
        <w:t>enama od početne vr</w:t>
      </w:r>
      <w:r w:rsidR="009E739D" w:rsidRPr="00AF2694">
        <w:rPr>
          <w:sz w:val="22"/>
          <w:szCs w:val="22"/>
          <w:lang w:val="sr-Latn-ME"/>
        </w:rPr>
        <w:t>ij</w:t>
      </w:r>
      <w:r w:rsidRPr="00AF2694">
        <w:rPr>
          <w:sz w:val="22"/>
          <w:szCs w:val="22"/>
          <w:lang w:val="sr-Latn-ME"/>
        </w:rPr>
        <w:t>ednosti do posl</w:t>
      </w:r>
      <w:r w:rsidR="009E739D" w:rsidRPr="00AF2694">
        <w:rPr>
          <w:sz w:val="22"/>
          <w:szCs w:val="22"/>
          <w:lang w:val="sr-Latn-ME"/>
        </w:rPr>
        <w:t>j</w:t>
      </w:r>
      <w:r w:rsidRPr="00AF2694">
        <w:rPr>
          <w:sz w:val="22"/>
          <w:szCs w:val="22"/>
          <w:lang w:val="sr-Latn-ME"/>
        </w:rPr>
        <w:t>ednje proc</w:t>
      </w:r>
      <w:r w:rsidR="009E739D" w:rsidRPr="00AF2694">
        <w:rPr>
          <w:sz w:val="22"/>
          <w:szCs w:val="22"/>
          <w:lang w:val="sr-Latn-ME"/>
        </w:rPr>
        <w:t>j</w:t>
      </w:r>
      <w:r w:rsidRPr="00AF2694">
        <w:rPr>
          <w:sz w:val="22"/>
          <w:szCs w:val="22"/>
          <w:lang w:val="sr-Latn-ME"/>
        </w:rPr>
        <w:t>ene od -34,5 U/L, -66,67 IU/</w:t>
      </w:r>
      <w:r w:rsidR="009E739D" w:rsidRPr="00AF2694">
        <w:rPr>
          <w:sz w:val="22"/>
          <w:szCs w:val="22"/>
          <w:lang w:val="sr-Latn-ME"/>
        </w:rPr>
        <w:t>l</w:t>
      </w:r>
      <w:r w:rsidRPr="00AF2694">
        <w:rPr>
          <w:sz w:val="22"/>
          <w:szCs w:val="22"/>
          <w:lang w:val="sr-Latn-ME"/>
        </w:rPr>
        <w:t>, -63,64 μmol/</w:t>
      </w:r>
      <w:r w:rsidR="009E739D" w:rsidRPr="00AF2694">
        <w:rPr>
          <w:sz w:val="22"/>
          <w:szCs w:val="22"/>
          <w:lang w:val="sr-Latn-ME"/>
        </w:rPr>
        <w:t>l</w:t>
      </w:r>
      <w:r w:rsidRPr="00AF2694">
        <w:rPr>
          <w:sz w:val="22"/>
          <w:szCs w:val="22"/>
          <w:lang w:val="sr-Latn-ME"/>
        </w:rPr>
        <w:t xml:space="preserve"> i 33,33 g/</w:t>
      </w:r>
      <w:r w:rsidR="009E739D" w:rsidRPr="00AF2694">
        <w:rPr>
          <w:sz w:val="22"/>
          <w:szCs w:val="22"/>
          <w:lang w:val="sr-Latn-ME"/>
        </w:rPr>
        <w:t>l</w:t>
      </w:r>
      <w:r w:rsidRPr="00AF2694">
        <w:rPr>
          <w:sz w:val="22"/>
          <w:szCs w:val="22"/>
          <w:lang w:val="sr-Latn-ME"/>
        </w:rPr>
        <w:t>, respektivno.</w:t>
      </w:r>
    </w:p>
    <w:p w14:paraId="38CA61C8" w14:textId="77777777" w:rsidR="00251C3A" w:rsidRPr="00AF2694" w:rsidRDefault="00251C3A" w:rsidP="00CF11D6">
      <w:pPr>
        <w:tabs>
          <w:tab w:val="left" w:pos="540"/>
          <w:tab w:val="left" w:pos="567"/>
        </w:tabs>
        <w:jc w:val="both"/>
        <w:rPr>
          <w:bCs/>
          <w:sz w:val="22"/>
          <w:szCs w:val="22"/>
          <w:lang w:val="sr-Latn-ME"/>
        </w:rPr>
      </w:pPr>
    </w:p>
    <w:p w14:paraId="36A865F0" w14:textId="0BA3CC3E" w:rsidR="00C715C4" w:rsidRPr="00AF2694" w:rsidRDefault="00251C3A" w:rsidP="00C715C4">
      <w:pPr>
        <w:tabs>
          <w:tab w:val="left" w:pos="540"/>
          <w:tab w:val="left" w:pos="567"/>
        </w:tabs>
        <w:jc w:val="both"/>
        <w:rPr>
          <w:sz w:val="22"/>
          <w:szCs w:val="22"/>
          <w:lang w:val="sr-Latn-ME"/>
        </w:rPr>
      </w:pPr>
      <w:r w:rsidRPr="00AF2694">
        <w:rPr>
          <w:sz w:val="22"/>
          <w:szCs w:val="22"/>
          <w:lang w:val="sr-Latn-ME"/>
        </w:rPr>
        <w:t xml:space="preserve">Visina i težina su se postepeno povećavale. </w:t>
      </w:r>
      <w:r w:rsidR="00C715C4" w:rsidRPr="00AF2694">
        <w:rPr>
          <w:sz w:val="22"/>
          <w:szCs w:val="22"/>
          <w:lang w:val="sr-Latn-ME"/>
        </w:rPr>
        <w:t>Medijana promjena u z-vrijednostima za tjelesnu težinu za</w:t>
      </w:r>
    </w:p>
    <w:p w14:paraId="4715FF63" w14:textId="50988F64" w:rsidR="00251C3A" w:rsidRPr="00AF2694" w:rsidRDefault="00C715C4" w:rsidP="00CF11D6">
      <w:pPr>
        <w:tabs>
          <w:tab w:val="left" w:pos="540"/>
          <w:tab w:val="left" w:pos="567"/>
        </w:tabs>
        <w:jc w:val="both"/>
        <w:rPr>
          <w:bCs/>
          <w:sz w:val="22"/>
          <w:szCs w:val="22"/>
          <w:lang w:val="sr-Latn-ME"/>
        </w:rPr>
      </w:pPr>
      <w:r w:rsidRPr="00AF2694">
        <w:rPr>
          <w:sz w:val="22"/>
          <w:szCs w:val="22"/>
          <w:lang w:val="sr-Latn-ME"/>
        </w:rPr>
        <w:t xml:space="preserve">visinu (engl. </w:t>
      </w:r>
      <w:r w:rsidRPr="00AF2694">
        <w:rPr>
          <w:i/>
          <w:sz w:val="22"/>
          <w:szCs w:val="22"/>
          <w:lang w:val="sr-Latn-ME"/>
        </w:rPr>
        <w:t>weight for height</w:t>
      </w:r>
      <w:r w:rsidRPr="00AF2694">
        <w:rPr>
          <w:sz w:val="22"/>
          <w:szCs w:val="22"/>
          <w:lang w:val="sr-Latn-ME"/>
        </w:rPr>
        <w:t>, WF</w:t>
      </w:r>
      <w:r w:rsidR="0057589D" w:rsidRPr="00AF2694">
        <w:rPr>
          <w:sz w:val="22"/>
          <w:szCs w:val="22"/>
          <w:lang w:val="sr-Latn-ME"/>
        </w:rPr>
        <w:t>H) u odnosu na početne smanjivala</w:t>
      </w:r>
      <w:r w:rsidRPr="00AF2694">
        <w:rPr>
          <w:sz w:val="22"/>
          <w:szCs w:val="22"/>
          <w:lang w:val="sr-Latn-ME"/>
        </w:rPr>
        <w:t xml:space="preserve"> se do kraja 4. nedjelje</w:t>
      </w:r>
      <w:r w:rsidR="00251C3A" w:rsidRPr="00AF2694">
        <w:rPr>
          <w:sz w:val="22"/>
          <w:szCs w:val="22"/>
          <w:lang w:val="sr-Latn-ME"/>
        </w:rPr>
        <w:t>. Počevši od 24. ned</w:t>
      </w:r>
      <w:r w:rsidR="009E739D" w:rsidRPr="00AF2694">
        <w:rPr>
          <w:sz w:val="22"/>
          <w:szCs w:val="22"/>
          <w:lang w:val="sr-Latn-ME"/>
        </w:rPr>
        <w:t>j</w:t>
      </w:r>
      <w:r w:rsidR="00251C3A" w:rsidRPr="00AF2694">
        <w:rPr>
          <w:sz w:val="22"/>
          <w:szCs w:val="22"/>
          <w:lang w:val="sr-Latn-ME"/>
        </w:rPr>
        <w:t>elje, postojala su dosl</w:t>
      </w:r>
      <w:r w:rsidR="009E739D" w:rsidRPr="00AF2694">
        <w:rPr>
          <w:sz w:val="22"/>
          <w:szCs w:val="22"/>
          <w:lang w:val="sr-Latn-ME"/>
        </w:rPr>
        <w:t>j</w:t>
      </w:r>
      <w:r w:rsidR="00251C3A" w:rsidRPr="00AF2694">
        <w:rPr>
          <w:sz w:val="22"/>
          <w:szCs w:val="22"/>
          <w:lang w:val="sr-Latn-ME"/>
        </w:rPr>
        <w:t>edna poboljšanja. U 144. ned</w:t>
      </w:r>
      <w:r w:rsidR="009E739D" w:rsidRPr="00AF2694">
        <w:rPr>
          <w:sz w:val="22"/>
          <w:szCs w:val="22"/>
          <w:lang w:val="sr-Latn-ME"/>
        </w:rPr>
        <w:t>j</w:t>
      </w:r>
      <w:r w:rsidR="00251C3A" w:rsidRPr="00AF2694">
        <w:rPr>
          <w:sz w:val="22"/>
          <w:szCs w:val="22"/>
          <w:lang w:val="sr-Latn-ME"/>
        </w:rPr>
        <w:t>elji, srednja prom</w:t>
      </w:r>
      <w:r w:rsidR="009E739D" w:rsidRPr="00AF2694">
        <w:rPr>
          <w:sz w:val="22"/>
          <w:szCs w:val="22"/>
          <w:lang w:val="sr-Latn-ME"/>
        </w:rPr>
        <w:t>j</w:t>
      </w:r>
      <w:r w:rsidR="00251C3A" w:rsidRPr="00AF2694">
        <w:rPr>
          <w:sz w:val="22"/>
          <w:szCs w:val="22"/>
          <w:lang w:val="sr-Latn-ME"/>
        </w:rPr>
        <w:t xml:space="preserve">ena (raspon) u </w:t>
      </w:r>
      <w:r w:rsidRPr="00AF2694">
        <w:rPr>
          <w:sz w:val="22"/>
          <w:szCs w:val="22"/>
          <w:lang w:val="sr-Latn-ME"/>
        </w:rPr>
        <w:t>z-vrijednostima</w:t>
      </w:r>
      <w:r w:rsidR="00251C3A" w:rsidRPr="00AF2694">
        <w:rPr>
          <w:sz w:val="22"/>
          <w:szCs w:val="22"/>
          <w:lang w:val="sr-Latn-ME"/>
        </w:rPr>
        <w:t xml:space="preserve"> za WFH iznosila je 3,07 (-1,0, 5,3) u odnosu na početnu vr</w:t>
      </w:r>
      <w:r w:rsidR="009E739D" w:rsidRPr="00AF2694">
        <w:rPr>
          <w:sz w:val="22"/>
          <w:szCs w:val="22"/>
          <w:lang w:val="sr-Latn-ME"/>
        </w:rPr>
        <w:t>ij</w:t>
      </w:r>
      <w:r w:rsidR="00251C3A" w:rsidRPr="00AF2694">
        <w:rPr>
          <w:sz w:val="22"/>
          <w:szCs w:val="22"/>
          <w:lang w:val="sr-Latn-ME"/>
        </w:rPr>
        <w:t>ednost.</w:t>
      </w:r>
    </w:p>
    <w:p w14:paraId="31F3489D" w14:textId="77777777" w:rsidR="00251C3A" w:rsidRPr="00AF2694" w:rsidRDefault="00251C3A" w:rsidP="00CF11D6">
      <w:pPr>
        <w:tabs>
          <w:tab w:val="left" w:pos="540"/>
          <w:tab w:val="left" w:pos="567"/>
        </w:tabs>
        <w:jc w:val="both"/>
        <w:rPr>
          <w:sz w:val="22"/>
          <w:szCs w:val="22"/>
          <w:lang w:val="sr-Latn-ME"/>
        </w:rPr>
      </w:pPr>
    </w:p>
    <w:p w14:paraId="5D358C18" w14:textId="4B7BD14C" w:rsidR="00251C3A" w:rsidRPr="00AF2694" w:rsidRDefault="00251C3A" w:rsidP="00CF11D6">
      <w:pPr>
        <w:tabs>
          <w:tab w:val="left" w:pos="540"/>
          <w:tab w:val="left" w:pos="569"/>
        </w:tabs>
        <w:jc w:val="both"/>
        <w:rPr>
          <w:bCs/>
          <w:i/>
          <w:sz w:val="22"/>
          <w:szCs w:val="22"/>
          <w:lang w:val="sr-Latn-ME"/>
        </w:rPr>
      </w:pPr>
      <w:r w:rsidRPr="00AF2694">
        <w:rPr>
          <w:i/>
          <w:iCs/>
          <w:sz w:val="22"/>
          <w:szCs w:val="22"/>
          <w:lang w:val="sr-Latn-ME"/>
        </w:rPr>
        <w:t>D</w:t>
      </w:r>
      <w:r w:rsidR="009E739D" w:rsidRPr="00AF2694">
        <w:rPr>
          <w:i/>
          <w:iCs/>
          <w:sz w:val="22"/>
          <w:szCs w:val="22"/>
          <w:lang w:val="sr-Latn-ME"/>
        </w:rPr>
        <w:t>j</w:t>
      </w:r>
      <w:r w:rsidRPr="00AF2694">
        <w:rPr>
          <w:i/>
          <w:iCs/>
          <w:sz w:val="22"/>
          <w:szCs w:val="22"/>
          <w:lang w:val="sr-Latn-ME"/>
        </w:rPr>
        <w:t>eca i odrasli sa deficijencijom lizozomalne kisele lipaze</w:t>
      </w:r>
    </w:p>
    <w:p w14:paraId="6A4C657C" w14:textId="77777777" w:rsidR="00251C3A" w:rsidRPr="00AF2694" w:rsidRDefault="00251C3A" w:rsidP="00CF11D6">
      <w:pPr>
        <w:tabs>
          <w:tab w:val="left" w:pos="540"/>
          <w:tab w:val="left" w:pos="569"/>
        </w:tabs>
        <w:jc w:val="both"/>
        <w:rPr>
          <w:bCs/>
          <w:i/>
          <w:sz w:val="22"/>
          <w:szCs w:val="22"/>
          <w:lang w:val="sr-Latn-ME"/>
        </w:rPr>
      </w:pPr>
    </w:p>
    <w:p w14:paraId="0FDE2E0D" w14:textId="77777777" w:rsidR="00251C3A" w:rsidRPr="00AF2694" w:rsidRDefault="00251C3A" w:rsidP="00CF11D6">
      <w:pPr>
        <w:tabs>
          <w:tab w:val="left" w:pos="540"/>
          <w:tab w:val="left" w:pos="569"/>
        </w:tabs>
        <w:jc w:val="both"/>
        <w:rPr>
          <w:bCs/>
          <w:i/>
          <w:sz w:val="22"/>
          <w:szCs w:val="22"/>
          <w:u w:val="single"/>
          <w:lang w:val="sr-Latn-ME"/>
        </w:rPr>
      </w:pPr>
      <w:r w:rsidRPr="00AF2694">
        <w:rPr>
          <w:i/>
          <w:iCs/>
          <w:sz w:val="22"/>
          <w:szCs w:val="22"/>
          <w:u w:val="single"/>
          <w:lang w:val="sr-Latn-ME"/>
        </w:rPr>
        <w:t>Studija LAL-CL02</w:t>
      </w:r>
    </w:p>
    <w:p w14:paraId="599960B1" w14:textId="77777777" w:rsidR="00251C3A" w:rsidRPr="00AF2694" w:rsidRDefault="00251C3A" w:rsidP="00CF11D6">
      <w:pPr>
        <w:tabs>
          <w:tab w:val="left" w:pos="540"/>
          <w:tab w:val="left" w:pos="569"/>
        </w:tabs>
        <w:jc w:val="both"/>
        <w:rPr>
          <w:bCs/>
          <w:iCs/>
          <w:sz w:val="22"/>
          <w:szCs w:val="22"/>
          <w:u w:val="single"/>
          <w:lang w:val="sr-Latn-ME"/>
        </w:rPr>
      </w:pPr>
    </w:p>
    <w:p w14:paraId="6C1F5A70" w14:textId="07C1E2CC" w:rsidR="00251C3A" w:rsidRPr="00AF2694" w:rsidRDefault="00251C3A" w:rsidP="00CF11D6">
      <w:pPr>
        <w:tabs>
          <w:tab w:val="left" w:pos="540"/>
          <w:tab w:val="left" w:pos="567"/>
        </w:tabs>
        <w:jc w:val="both"/>
        <w:rPr>
          <w:sz w:val="22"/>
          <w:szCs w:val="22"/>
          <w:lang w:val="sr-Latn-ME"/>
        </w:rPr>
      </w:pPr>
      <w:r w:rsidRPr="00AF2694">
        <w:rPr>
          <w:sz w:val="22"/>
          <w:szCs w:val="22"/>
          <w:lang w:val="sr-Latn-ME"/>
        </w:rPr>
        <w:t>Studija LAL-CL02 bila je multicentrična, dvostruko sl</w:t>
      </w:r>
      <w:r w:rsidR="009E739D" w:rsidRPr="00AF2694">
        <w:rPr>
          <w:sz w:val="22"/>
          <w:szCs w:val="22"/>
          <w:lang w:val="sr-Latn-ME"/>
        </w:rPr>
        <w:t>ij</w:t>
      </w:r>
      <w:r w:rsidRPr="00AF2694">
        <w:rPr>
          <w:sz w:val="22"/>
          <w:szCs w:val="22"/>
          <w:lang w:val="sr-Latn-ME"/>
        </w:rPr>
        <w:t>epa, placebom kontrolisana studija na 66 d</w:t>
      </w:r>
      <w:r w:rsidR="009E739D" w:rsidRPr="00AF2694">
        <w:rPr>
          <w:sz w:val="22"/>
          <w:szCs w:val="22"/>
          <w:lang w:val="sr-Latn-ME"/>
        </w:rPr>
        <w:t>j</w:t>
      </w:r>
      <w:r w:rsidRPr="00AF2694">
        <w:rPr>
          <w:sz w:val="22"/>
          <w:szCs w:val="22"/>
          <w:lang w:val="sr-Latn-ME"/>
        </w:rPr>
        <w:t>ece i odraslih sa deficijencijom lizozomalne kisele lipaze. Pacijenti su bili randomizovani da primaju sebelipazu alfa u dozi od 1 mg/kg (n = 36) ili placebo (n = 30) jednom svake druge ned</w:t>
      </w:r>
      <w:r w:rsidR="00B42C9D" w:rsidRPr="00AF2694">
        <w:rPr>
          <w:sz w:val="22"/>
          <w:szCs w:val="22"/>
          <w:lang w:val="sr-Latn-ME"/>
        </w:rPr>
        <w:t>j</w:t>
      </w:r>
      <w:r w:rsidRPr="00AF2694">
        <w:rPr>
          <w:sz w:val="22"/>
          <w:szCs w:val="22"/>
          <w:lang w:val="sr-Latn-ME"/>
        </w:rPr>
        <w:t>elje tokom 20 ned</w:t>
      </w:r>
      <w:r w:rsidR="00B42C9D" w:rsidRPr="00AF2694">
        <w:rPr>
          <w:sz w:val="22"/>
          <w:szCs w:val="22"/>
          <w:lang w:val="sr-Latn-ME"/>
        </w:rPr>
        <w:t>j</w:t>
      </w:r>
      <w:r w:rsidRPr="00AF2694">
        <w:rPr>
          <w:sz w:val="22"/>
          <w:szCs w:val="22"/>
          <w:lang w:val="sr-Latn-ME"/>
        </w:rPr>
        <w:t>elja u dvostruko sl</w:t>
      </w:r>
      <w:r w:rsidR="00B42C9D" w:rsidRPr="00AF2694">
        <w:rPr>
          <w:sz w:val="22"/>
          <w:szCs w:val="22"/>
          <w:lang w:val="sr-Latn-ME"/>
        </w:rPr>
        <w:t>ij</w:t>
      </w:r>
      <w:r w:rsidRPr="00AF2694">
        <w:rPr>
          <w:sz w:val="22"/>
          <w:szCs w:val="22"/>
          <w:lang w:val="sr-Latn-ME"/>
        </w:rPr>
        <w:t>epom periodu. Srednja starost pri randomizaciji bila je 16,5 godina, raspon</w:t>
      </w:r>
      <w:r w:rsidR="00C715C4" w:rsidRPr="00AF2694">
        <w:rPr>
          <w:sz w:val="22"/>
          <w:szCs w:val="22"/>
          <w:lang w:val="sr-Latn-ME"/>
        </w:rPr>
        <w:t xml:space="preserve"> od</w:t>
      </w:r>
      <w:r w:rsidRPr="00AF2694">
        <w:rPr>
          <w:sz w:val="22"/>
          <w:szCs w:val="22"/>
          <w:lang w:val="sr-Latn-ME"/>
        </w:rPr>
        <w:t xml:space="preserve"> 4–58 godina (36% </w:t>
      </w:r>
      <w:r w:rsidR="00C715C4" w:rsidRPr="00AF2694">
        <w:rPr>
          <w:sz w:val="22"/>
          <w:szCs w:val="22"/>
          <w:lang w:val="sr-Latn-ME"/>
        </w:rPr>
        <w:t xml:space="preserve">pacijenata </w:t>
      </w:r>
      <w:r w:rsidRPr="00AF2694">
        <w:rPr>
          <w:sz w:val="22"/>
          <w:szCs w:val="22"/>
          <w:lang w:val="sr-Latn-ME"/>
        </w:rPr>
        <w:t xml:space="preserve">je bilo mlađe od 12 godina, a 71% je bilo mlađe od 18 godina). Za ulazak u studiju, pacijenti su morali da imaju nivo ALT-a od </w:t>
      </w:r>
      <w:r w:rsidRPr="00AF2694">
        <w:rPr>
          <w:sz w:val="22"/>
          <w:szCs w:val="22"/>
          <w:lang w:val="sr-Latn-ME"/>
        </w:rPr>
        <w:sym w:font="Symbol" w:char="F0B3"/>
      </w:r>
      <w:r w:rsidRPr="00AF2694">
        <w:rPr>
          <w:sz w:val="22"/>
          <w:szCs w:val="22"/>
          <w:lang w:val="sr-Latn-ME"/>
        </w:rPr>
        <w:t>1,5 puta iznad gornje granice normale (</w:t>
      </w:r>
      <w:r w:rsidR="00C715C4" w:rsidRPr="00AF2694">
        <w:rPr>
          <w:sz w:val="22"/>
          <w:szCs w:val="22"/>
          <w:lang w:val="sr-Latn-ME"/>
        </w:rPr>
        <w:t xml:space="preserve">engl. </w:t>
      </w:r>
      <w:r w:rsidR="00C715C4" w:rsidRPr="00AF2694">
        <w:rPr>
          <w:i/>
          <w:sz w:val="22"/>
          <w:szCs w:val="22"/>
          <w:lang w:val="sr-Latn-ME"/>
        </w:rPr>
        <w:t>upper limit of normal</w:t>
      </w:r>
      <w:r w:rsidR="00C715C4" w:rsidRPr="00AF2694">
        <w:rPr>
          <w:sz w:val="22"/>
          <w:szCs w:val="22"/>
          <w:lang w:val="sr-Latn-ME"/>
        </w:rPr>
        <w:t xml:space="preserve">, </w:t>
      </w:r>
      <w:r w:rsidRPr="00AF2694">
        <w:rPr>
          <w:sz w:val="22"/>
          <w:szCs w:val="22"/>
          <w:lang w:val="sr-Latn-ME"/>
        </w:rPr>
        <w:t>ULN). Većina pacijenata (58%) imala je LDL-holesterol &gt; 190 mg/dl na početku studije, a 24% pacijenata sa LDL-holesterolom &gt; 190 mg/dl bilo je na l</w:t>
      </w:r>
      <w:r w:rsidR="00B42C9D" w:rsidRPr="00AF2694">
        <w:rPr>
          <w:sz w:val="22"/>
          <w:szCs w:val="22"/>
          <w:lang w:val="sr-Latn-ME"/>
        </w:rPr>
        <w:t>j</w:t>
      </w:r>
      <w:r w:rsidRPr="00AF2694">
        <w:rPr>
          <w:sz w:val="22"/>
          <w:szCs w:val="22"/>
          <w:lang w:val="sr-Latn-ME"/>
        </w:rPr>
        <w:t xml:space="preserve">ekovima za snižavanje lipida. Od 32 pacijenta koji su imali biopsiju jetre na početku studije, 100% </w:t>
      </w:r>
      <w:r w:rsidR="00C715C4" w:rsidRPr="00AF2694">
        <w:rPr>
          <w:sz w:val="22"/>
          <w:szCs w:val="22"/>
          <w:lang w:val="sr-Latn-ME"/>
        </w:rPr>
        <w:t xml:space="preserve">ih </w:t>
      </w:r>
      <w:r w:rsidRPr="00AF2694">
        <w:rPr>
          <w:sz w:val="22"/>
          <w:szCs w:val="22"/>
          <w:lang w:val="sr-Latn-ME"/>
        </w:rPr>
        <w:t>je imalo fibrozu, a 31% je imalo cirozu. Starosni raspon pacijenata sa biopsijom koji su imali dokaze o cirozi bio je od 4 do 21 godinu.</w:t>
      </w:r>
    </w:p>
    <w:p w14:paraId="09DD695C" w14:textId="77777777" w:rsidR="00251C3A" w:rsidRPr="00AF2694" w:rsidRDefault="00251C3A" w:rsidP="00CF11D6">
      <w:pPr>
        <w:tabs>
          <w:tab w:val="left" w:pos="540"/>
          <w:tab w:val="left" w:pos="569"/>
        </w:tabs>
        <w:jc w:val="both"/>
        <w:rPr>
          <w:bCs/>
          <w:sz w:val="22"/>
          <w:szCs w:val="22"/>
          <w:lang w:val="sr-Latn-ME"/>
        </w:rPr>
      </w:pPr>
    </w:p>
    <w:p w14:paraId="0DB6764A" w14:textId="723F32D4" w:rsidR="00972357" w:rsidRPr="00AF2694" w:rsidRDefault="00972357" w:rsidP="00CF11D6">
      <w:pPr>
        <w:tabs>
          <w:tab w:val="left" w:pos="540"/>
          <w:tab w:val="left" w:pos="567"/>
        </w:tabs>
        <w:jc w:val="both"/>
        <w:rPr>
          <w:sz w:val="22"/>
          <w:szCs w:val="22"/>
          <w:lang w:val="sr-Latn-ME"/>
        </w:rPr>
      </w:pPr>
      <w:r w:rsidRPr="00AF2694">
        <w:rPr>
          <w:sz w:val="22"/>
          <w:szCs w:val="22"/>
          <w:lang w:val="sr-Latn-ME"/>
        </w:rPr>
        <w:t>Procjenjivane su sljedeće mjere ishoda: normalizacija ALT-a, snižavanje nivoa LDL holesterola,</w:t>
      </w:r>
      <w:r w:rsidR="0057589D" w:rsidRPr="00AF2694">
        <w:rPr>
          <w:sz w:val="22"/>
          <w:szCs w:val="22"/>
          <w:lang w:val="sr-Latn-ME"/>
        </w:rPr>
        <w:t xml:space="preserve"> </w:t>
      </w:r>
      <w:r w:rsidRPr="00AF2694">
        <w:rPr>
          <w:sz w:val="22"/>
          <w:szCs w:val="22"/>
          <w:lang w:val="sr-Latn-ME"/>
        </w:rPr>
        <w:t>snižavanje razine ne-HDL holesterola, normalizacija AST-a, snižavanje nivoa triglicerida, porast</w:t>
      </w:r>
      <w:r w:rsidR="0057589D" w:rsidRPr="00AF2694">
        <w:rPr>
          <w:sz w:val="22"/>
          <w:szCs w:val="22"/>
          <w:lang w:val="sr-Latn-ME"/>
        </w:rPr>
        <w:t xml:space="preserve"> </w:t>
      </w:r>
      <w:r w:rsidRPr="00AF2694">
        <w:rPr>
          <w:sz w:val="22"/>
          <w:szCs w:val="22"/>
          <w:lang w:val="sr-Latn-ME"/>
        </w:rPr>
        <w:t>nivoa HDL holesterola, smanjenje količine masti u jetri procijenjeno pomoću MEGE-MR-a (engl.</w:t>
      </w:r>
      <w:r w:rsidR="0057589D" w:rsidRPr="00AF2694">
        <w:rPr>
          <w:sz w:val="22"/>
          <w:szCs w:val="22"/>
          <w:lang w:val="sr-Latn-ME"/>
        </w:rPr>
        <w:t xml:space="preserve"> </w:t>
      </w:r>
      <w:r w:rsidRPr="00AF2694">
        <w:rPr>
          <w:i/>
          <w:sz w:val="22"/>
          <w:szCs w:val="22"/>
          <w:lang w:val="sr-Latn-ME"/>
        </w:rPr>
        <w:t>multi-echo gradient echo magnetic resonance imaging</w:t>
      </w:r>
      <w:r w:rsidRPr="00AF2694">
        <w:rPr>
          <w:sz w:val="22"/>
          <w:szCs w:val="22"/>
          <w:lang w:val="sr-Latn-ME"/>
        </w:rPr>
        <w:t>, MEGE-MRI) i poboljšanje jetrene steatoze</w:t>
      </w:r>
      <w:r w:rsidR="0057589D" w:rsidRPr="00AF2694">
        <w:rPr>
          <w:sz w:val="22"/>
          <w:szCs w:val="22"/>
          <w:lang w:val="sr-Latn-ME"/>
        </w:rPr>
        <w:t xml:space="preserve"> </w:t>
      </w:r>
      <w:r w:rsidRPr="00AF2694">
        <w:rPr>
          <w:sz w:val="22"/>
          <w:szCs w:val="22"/>
          <w:lang w:val="sr-Latn-ME"/>
        </w:rPr>
        <w:t>mjereno morfometrijom.</w:t>
      </w:r>
    </w:p>
    <w:p w14:paraId="70367358" w14:textId="77777777" w:rsidR="00251C3A" w:rsidRPr="00AF2694" w:rsidRDefault="00251C3A" w:rsidP="00CF11D6">
      <w:pPr>
        <w:tabs>
          <w:tab w:val="left" w:pos="540"/>
          <w:tab w:val="left" w:pos="567"/>
        </w:tabs>
        <w:jc w:val="both"/>
        <w:rPr>
          <w:sz w:val="22"/>
          <w:szCs w:val="22"/>
          <w:lang w:val="sr-Latn-ME"/>
        </w:rPr>
      </w:pPr>
    </w:p>
    <w:p w14:paraId="73F3DC7E" w14:textId="2D35D46F" w:rsidR="00251C3A" w:rsidRPr="00AF2694" w:rsidRDefault="00251C3A" w:rsidP="00CF11D6">
      <w:pPr>
        <w:tabs>
          <w:tab w:val="left" w:pos="540"/>
          <w:tab w:val="left" w:pos="567"/>
        </w:tabs>
        <w:jc w:val="both"/>
        <w:rPr>
          <w:sz w:val="22"/>
          <w:szCs w:val="22"/>
          <w:lang w:val="sr-Latn-ME"/>
        </w:rPr>
      </w:pPr>
      <w:r w:rsidRPr="00AF2694">
        <w:rPr>
          <w:sz w:val="22"/>
          <w:szCs w:val="22"/>
          <w:lang w:val="sr-Latn-ME"/>
        </w:rPr>
        <w:t xml:space="preserve">Statistički značajno poboljšanje više </w:t>
      </w:r>
      <w:r w:rsidR="0057589D" w:rsidRPr="00AF2694">
        <w:rPr>
          <w:sz w:val="22"/>
          <w:szCs w:val="22"/>
          <w:lang w:val="sr-Latn-ME"/>
        </w:rPr>
        <w:t xml:space="preserve">mjera ishoda </w:t>
      </w:r>
      <w:r w:rsidRPr="00AF2694">
        <w:rPr>
          <w:sz w:val="22"/>
          <w:szCs w:val="22"/>
          <w:lang w:val="sr-Latn-ME"/>
        </w:rPr>
        <w:t>prim</w:t>
      </w:r>
      <w:r w:rsidR="00B42C9D" w:rsidRPr="00AF2694">
        <w:rPr>
          <w:sz w:val="22"/>
          <w:szCs w:val="22"/>
          <w:lang w:val="sr-Latn-ME"/>
        </w:rPr>
        <w:t>ij</w:t>
      </w:r>
      <w:r w:rsidRPr="00AF2694">
        <w:rPr>
          <w:sz w:val="22"/>
          <w:szCs w:val="22"/>
          <w:lang w:val="sr-Latn-ME"/>
        </w:rPr>
        <w:t>ećeno je u grupi l</w:t>
      </w:r>
      <w:r w:rsidR="00B42C9D" w:rsidRPr="00AF2694">
        <w:rPr>
          <w:sz w:val="22"/>
          <w:szCs w:val="22"/>
          <w:lang w:val="sr-Latn-ME"/>
        </w:rPr>
        <w:t>ij</w:t>
      </w:r>
      <w:r w:rsidRPr="00AF2694">
        <w:rPr>
          <w:sz w:val="22"/>
          <w:szCs w:val="22"/>
          <w:lang w:val="sr-Latn-ME"/>
        </w:rPr>
        <w:t>ečenoj sebelipazom alfa u poređenju sa placebo grupom na kraju 20-nedeljne dvostruko sl</w:t>
      </w:r>
      <w:r w:rsidR="00B42C9D" w:rsidRPr="00AF2694">
        <w:rPr>
          <w:sz w:val="22"/>
          <w:szCs w:val="22"/>
          <w:lang w:val="sr-Latn-ME"/>
        </w:rPr>
        <w:t>ij</w:t>
      </w:r>
      <w:r w:rsidRPr="00AF2694">
        <w:rPr>
          <w:sz w:val="22"/>
          <w:szCs w:val="22"/>
          <w:lang w:val="sr-Latn-ME"/>
        </w:rPr>
        <w:t>epe faze studije, kako je prikazano u Tabeli 3. Apsolutno smanjenje u pros</w:t>
      </w:r>
      <w:r w:rsidR="00B42C9D" w:rsidRPr="00AF2694">
        <w:rPr>
          <w:sz w:val="22"/>
          <w:szCs w:val="22"/>
          <w:lang w:val="sr-Latn-ME"/>
        </w:rPr>
        <w:t>j</w:t>
      </w:r>
      <w:r w:rsidRPr="00AF2694">
        <w:rPr>
          <w:sz w:val="22"/>
          <w:szCs w:val="22"/>
          <w:lang w:val="sr-Latn-ME"/>
        </w:rPr>
        <w:t>ečnom nivou ALT-a bilo je 57,9 U/l (-53%) u grupi l</w:t>
      </w:r>
      <w:r w:rsidR="00B42C9D" w:rsidRPr="00AF2694">
        <w:rPr>
          <w:sz w:val="22"/>
          <w:szCs w:val="22"/>
          <w:lang w:val="sr-Latn-ME"/>
        </w:rPr>
        <w:t>ij</w:t>
      </w:r>
      <w:r w:rsidRPr="00AF2694">
        <w:rPr>
          <w:sz w:val="22"/>
          <w:szCs w:val="22"/>
          <w:lang w:val="sr-Latn-ME"/>
        </w:rPr>
        <w:t>ečenoj sebelipazom alfa i 6,7 U/l (-6%) u placebo grupi.</w:t>
      </w:r>
    </w:p>
    <w:p w14:paraId="6D5ED2C5" w14:textId="77777777" w:rsidR="00251C3A" w:rsidRPr="00AF2694" w:rsidRDefault="00251C3A" w:rsidP="00CF11D6">
      <w:pPr>
        <w:tabs>
          <w:tab w:val="left" w:pos="540"/>
          <w:tab w:val="left" w:pos="567"/>
        </w:tabs>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4"/>
        <w:gridCol w:w="1325"/>
        <w:gridCol w:w="1415"/>
        <w:gridCol w:w="1279"/>
      </w:tblGrid>
      <w:tr w:rsidR="00251C3A" w:rsidRPr="00AF2694" w14:paraId="5479311C" w14:textId="77777777" w:rsidTr="004B3317">
        <w:trPr>
          <w:cantSplit/>
          <w:trHeight w:val="340"/>
          <w:tblHeader/>
        </w:trPr>
        <w:tc>
          <w:tcPr>
            <w:tcW w:w="5000" w:type="pct"/>
            <w:gridSpan w:val="4"/>
            <w:tcBorders>
              <w:top w:val="nil"/>
              <w:left w:val="nil"/>
              <w:right w:val="nil"/>
            </w:tcBorders>
            <w:vAlign w:val="center"/>
          </w:tcPr>
          <w:p w14:paraId="69C8B94A" w14:textId="05236F62" w:rsidR="00251C3A" w:rsidRPr="00AF2694" w:rsidRDefault="00251C3A" w:rsidP="00CF11D6">
            <w:pPr>
              <w:tabs>
                <w:tab w:val="left" w:pos="540"/>
                <w:tab w:val="left" w:pos="567"/>
              </w:tabs>
              <w:jc w:val="both"/>
              <w:rPr>
                <w:b/>
                <w:sz w:val="22"/>
                <w:szCs w:val="22"/>
                <w:lang w:val="sr-Latn-ME"/>
              </w:rPr>
            </w:pPr>
            <w:r w:rsidRPr="00AF2694">
              <w:rPr>
                <w:b/>
                <w:bCs/>
                <w:sz w:val="22"/>
                <w:szCs w:val="22"/>
                <w:lang w:val="sr-Latn-ME"/>
              </w:rPr>
              <w:lastRenderedPageBreak/>
              <w:t xml:space="preserve">Tabela 3: </w:t>
            </w:r>
            <w:r w:rsidR="00E94A4D" w:rsidRPr="00AF2694">
              <w:rPr>
                <w:b/>
                <w:bCs/>
                <w:sz w:val="22"/>
                <w:szCs w:val="22"/>
                <w:lang w:val="sr-Latn-ME"/>
              </w:rPr>
              <w:t>Mjere primarnog i sekundarnih ishoda za procjenu</w:t>
            </w:r>
            <w:r w:rsidR="009F0572" w:rsidRPr="00AF2694">
              <w:rPr>
                <w:b/>
                <w:bCs/>
                <w:sz w:val="22"/>
                <w:szCs w:val="22"/>
                <w:lang w:val="sr-Latn-ME"/>
              </w:rPr>
              <w:t xml:space="preserve"> </w:t>
            </w:r>
            <w:r w:rsidRPr="00AF2694">
              <w:rPr>
                <w:b/>
                <w:bCs/>
                <w:sz w:val="22"/>
                <w:szCs w:val="22"/>
                <w:lang w:val="sr-Latn-ME"/>
              </w:rPr>
              <w:t>efikasnosti u LAL-CL02</w:t>
            </w:r>
          </w:p>
        </w:tc>
      </w:tr>
      <w:tr w:rsidR="00251C3A" w:rsidRPr="00AF2694" w14:paraId="395308E5" w14:textId="77777777" w:rsidTr="004B3317">
        <w:trPr>
          <w:cantSplit/>
          <w:trHeight w:val="340"/>
          <w:tblHeader/>
        </w:trPr>
        <w:tc>
          <w:tcPr>
            <w:tcW w:w="2785" w:type="pct"/>
            <w:vAlign w:val="center"/>
          </w:tcPr>
          <w:p w14:paraId="485DE839" w14:textId="3B74B9E6" w:rsidR="00251C3A" w:rsidRPr="00AF2694" w:rsidRDefault="00E94A4D" w:rsidP="00CF11D6">
            <w:pPr>
              <w:tabs>
                <w:tab w:val="left" w:pos="540"/>
                <w:tab w:val="left" w:pos="567"/>
              </w:tabs>
              <w:jc w:val="both"/>
              <w:rPr>
                <w:b/>
                <w:sz w:val="22"/>
                <w:szCs w:val="22"/>
                <w:lang w:val="sr-Latn-ME"/>
              </w:rPr>
            </w:pPr>
            <w:r w:rsidRPr="00AF2694">
              <w:rPr>
                <w:b/>
                <w:bCs/>
                <w:sz w:val="22"/>
                <w:szCs w:val="22"/>
                <w:lang w:val="sr-Latn-ME"/>
              </w:rPr>
              <w:t>Ishod</w:t>
            </w:r>
          </w:p>
        </w:tc>
        <w:tc>
          <w:tcPr>
            <w:tcW w:w="730" w:type="pct"/>
            <w:vAlign w:val="center"/>
          </w:tcPr>
          <w:p w14:paraId="55A29F82" w14:textId="77777777" w:rsidR="00251C3A" w:rsidRPr="00AF2694" w:rsidRDefault="00251C3A" w:rsidP="00CF11D6">
            <w:pPr>
              <w:tabs>
                <w:tab w:val="left" w:pos="540"/>
                <w:tab w:val="left" w:pos="567"/>
              </w:tabs>
              <w:jc w:val="both"/>
              <w:rPr>
                <w:b/>
                <w:sz w:val="22"/>
                <w:szCs w:val="22"/>
                <w:lang w:val="sr-Latn-ME"/>
              </w:rPr>
            </w:pPr>
            <w:r w:rsidRPr="00AF2694">
              <w:rPr>
                <w:b/>
                <w:bCs/>
                <w:sz w:val="22"/>
                <w:szCs w:val="22"/>
                <w:lang w:val="sr-Latn-ME"/>
              </w:rPr>
              <w:t xml:space="preserve">Sebelipaza alfa </w:t>
            </w:r>
          </w:p>
          <w:p w14:paraId="5ACE1F08" w14:textId="77777777" w:rsidR="00251C3A" w:rsidRPr="00AF2694" w:rsidRDefault="00251C3A" w:rsidP="00CF11D6">
            <w:pPr>
              <w:tabs>
                <w:tab w:val="left" w:pos="540"/>
                <w:tab w:val="left" w:pos="567"/>
              </w:tabs>
              <w:jc w:val="both"/>
              <w:rPr>
                <w:b/>
                <w:sz w:val="22"/>
                <w:szCs w:val="22"/>
                <w:lang w:val="sr-Latn-ME"/>
              </w:rPr>
            </w:pPr>
            <w:r w:rsidRPr="00AF2694">
              <w:rPr>
                <w:b/>
                <w:bCs/>
                <w:sz w:val="22"/>
                <w:szCs w:val="22"/>
                <w:lang w:val="sr-Latn-ME"/>
              </w:rPr>
              <w:t>(N = 36)</w:t>
            </w:r>
          </w:p>
        </w:tc>
        <w:tc>
          <w:tcPr>
            <w:tcW w:w="780" w:type="pct"/>
            <w:vAlign w:val="center"/>
          </w:tcPr>
          <w:p w14:paraId="308969D2" w14:textId="77777777" w:rsidR="00251C3A" w:rsidRPr="00AF2694" w:rsidRDefault="00251C3A" w:rsidP="00CF11D6">
            <w:pPr>
              <w:tabs>
                <w:tab w:val="left" w:pos="540"/>
                <w:tab w:val="left" w:pos="567"/>
              </w:tabs>
              <w:jc w:val="both"/>
              <w:rPr>
                <w:b/>
                <w:sz w:val="22"/>
                <w:szCs w:val="22"/>
                <w:lang w:val="sr-Latn-ME"/>
              </w:rPr>
            </w:pPr>
            <w:r w:rsidRPr="00AF2694">
              <w:rPr>
                <w:b/>
                <w:bCs/>
                <w:sz w:val="22"/>
                <w:szCs w:val="22"/>
                <w:lang w:val="sr-Latn-ME"/>
              </w:rPr>
              <w:t>Placebo</w:t>
            </w:r>
          </w:p>
          <w:p w14:paraId="22AD770E" w14:textId="77777777" w:rsidR="00251C3A" w:rsidRPr="00AF2694" w:rsidRDefault="00251C3A" w:rsidP="00CF11D6">
            <w:pPr>
              <w:tabs>
                <w:tab w:val="left" w:pos="540"/>
                <w:tab w:val="left" w:pos="567"/>
              </w:tabs>
              <w:jc w:val="both"/>
              <w:rPr>
                <w:b/>
                <w:sz w:val="22"/>
                <w:szCs w:val="22"/>
                <w:lang w:val="sr-Latn-ME"/>
              </w:rPr>
            </w:pPr>
            <w:r w:rsidRPr="00AF2694">
              <w:rPr>
                <w:b/>
                <w:bCs/>
                <w:sz w:val="22"/>
                <w:szCs w:val="22"/>
                <w:lang w:val="sr-Latn-ME"/>
              </w:rPr>
              <w:t>(N = 30)</w:t>
            </w:r>
          </w:p>
        </w:tc>
        <w:tc>
          <w:tcPr>
            <w:tcW w:w="705" w:type="pct"/>
            <w:vAlign w:val="center"/>
          </w:tcPr>
          <w:p w14:paraId="73BD1EC9" w14:textId="3E280E16" w:rsidR="00251C3A" w:rsidRPr="00AF2694" w:rsidRDefault="00251C3A" w:rsidP="00CF11D6">
            <w:pPr>
              <w:tabs>
                <w:tab w:val="left" w:pos="540"/>
                <w:tab w:val="left" w:pos="567"/>
              </w:tabs>
              <w:jc w:val="both"/>
              <w:rPr>
                <w:b/>
                <w:sz w:val="22"/>
                <w:szCs w:val="22"/>
                <w:lang w:val="sr-Latn-ME"/>
              </w:rPr>
            </w:pPr>
            <w:r w:rsidRPr="00AF2694">
              <w:rPr>
                <w:b/>
                <w:bCs/>
                <w:sz w:val="22"/>
                <w:szCs w:val="22"/>
                <w:lang w:val="sr-Latn-ME"/>
              </w:rPr>
              <w:t>P-vr</w:t>
            </w:r>
            <w:r w:rsidR="00B42C9D" w:rsidRPr="00AF2694">
              <w:rPr>
                <w:b/>
                <w:bCs/>
                <w:sz w:val="22"/>
                <w:szCs w:val="22"/>
                <w:lang w:val="sr-Latn-ME"/>
              </w:rPr>
              <w:t>ij</w:t>
            </w:r>
            <w:r w:rsidRPr="00AF2694">
              <w:rPr>
                <w:b/>
                <w:bCs/>
                <w:sz w:val="22"/>
                <w:szCs w:val="22"/>
                <w:lang w:val="sr-Latn-ME"/>
              </w:rPr>
              <w:t>ednost</w:t>
            </w:r>
            <w:r w:rsidRPr="00AF2694">
              <w:rPr>
                <w:b/>
                <w:bCs/>
                <w:sz w:val="22"/>
                <w:szCs w:val="22"/>
                <w:vertAlign w:val="superscript"/>
                <w:lang w:val="sr-Latn-ME"/>
              </w:rPr>
              <w:t>d</w:t>
            </w:r>
          </w:p>
        </w:tc>
      </w:tr>
      <w:tr w:rsidR="00251C3A" w:rsidRPr="00AF2694" w14:paraId="485E7531" w14:textId="77777777" w:rsidTr="004B3317">
        <w:trPr>
          <w:cantSplit/>
          <w:trHeight w:val="340"/>
        </w:trPr>
        <w:tc>
          <w:tcPr>
            <w:tcW w:w="2785" w:type="pct"/>
            <w:vAlign w:val="center"/>
          </w:tcPr>
          <w:p w14:paraId="4189070B" w14:textId="080C8858" w:rsidR="00251C3A" w:rsidRPr="00AF2694" w:rsidRDefault="00E94A4D" w:rsidP="00CF11D6">
            <w:pPr>
              <w:tabs>
                <w:tab w:val="left" w:pos="540"/>
                <w:tab w:val="left" w:pos="567"/>
              </w:tabs>
              <w:jc w:val="both"/>
              <w:rPr>
                <w:b/>
                <w:sz w:val="22"/>
                <w:szCs w:val="22"/>
                <w:lang w:val="sr-Latn-ME"/>
              </w:rPr>
            </w:pPr>
            <w:r w:rsidRPr="00AF2694">
              <w:rPr>
                <w:b/>
                <w:bCs/>
                <w:sz w:val="22"/>
                <w:szCs w:val="22"/>
                <w:lang w:val="sr-Latn-ME"/>
              </w:rPr>
              <w:t>Mjera primarnog ishoda</w:t>
            </w:r>
          </w:p>
        </w:tc>
        <w:tc>
          <w:tcPr>
            <w:tcW w:w="730" w:type="pct"/>
            <w:vAlign w:val="center"/>
          </w:tcPr>
          <w:p w14:paraId="40E00045" w14:textId="77777777" w:rsidR="00251C3A" w:rsidRPr="00AF2694" w:rsidRDefault="00251C3A" w:rsidP="00CF11D6">
            <w:pPr>
              <w:tabs>
                <w:tab w:val="left" w:pos="540"/>
                <w:tab w:val="left" w:pos="567"/>
              </w:tabs>
              <w:jc w:val="both"/>
              <w:rPr>
                <w:sz w:val="22"/>
                <w:szCs w:val="22"/>
                <w:lang w:val="sr-Latn-ME"/>
              </w:rPr>
            </w:pPr>
          </w:p>
        </w:tc>
        <w:tc>
          <w:tcPr>
            <w:tcW w:w="780" w:type="pct"/>
            <w:vAlign w:val="center"/>
          </w:tcPr>
          <w:p w14:paraId="6C7737A6" w14:textId="77777777" w:rsidR="00251C3A" w:rsidRPr="00AF2694" w:rsidRDefault="00251C3A" w:rsidP="00CF11D6">
            <w:pPr>
              <w:tabs>
                <w:tab w:val="left" w:pos="540"/>
                <w:tab w:val="left" w:pos="567"/>
              </w:tabs>
              <w:jc w:val="both"/>
              <w:rPr>
                <w:sz w:val="22"/>
                <w:szCs w:val="22"/>
                <w:lang w:val="sr-Latn-ME"/>
              </w:rPr>
            </w:pPr>
          </w:p>
        </w:tc>
        <w:tc>
          <w:tcPr>
            <w:tcW w:w="705" w:type="pct"/>
            <w:vAlign w:val="center"/>
          </w:tcPr>
          <w:p w14:paraId="349EBA51" w14:textId="77777777" w:rsidR="00251C3A" w:rsidRPr="00AF2694" w:rsidRDefault="00251C3A" w:rsidP="00CF11D6">
            <w:pPr>
              <w:tabs>
                <w:tab w:val="left" w:pos="540"/>
                <w:tab w:val="left" w:pos="567"/>
              </w:tabs>
              <w:jc w:val="both"/>
              <w:rPr>
                <w:sz w:val="22"/>
                <w:szCs w:val="22"/>
                <w:lang w:val="sr-Latn-ME"/>
              </w:rPr>
            </w:pPr>
          </w:p>
        </w:tc>
      </w:tr>
      <w:tr w:rsidR="00251C3A" w:rsidRPr="00AF2694" w14:paraId="07519385" w14:textId="77777777" w:rsidTr="004B3317">
        <w:trPr>
          <w:cantSplit/>
          <w:trHeight w:val="340"/>
        </w:trPr>
        <w:tc>
          <w:tcPr>
            <w:tcW w:w="2785" w:type="pct"/>
            <w:vAlign w:val="center"/>
          </w:tcPr>
          <w:p w14:paraId="6AC2A261"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Normalizacija ALT-a</w:t>
            </w:r>
            <w:r w:rsidRPr="00AF2694">
              <w:rPr>
                <w:sz w:val="22"/>
                <w:szCs w:val="22"/>
                <w:vertAlign w:val="superscript"/>
                <w:lang w:val="sr-Latn-ME"/>
              </w:rPr>
              <w:t>a</w:t>
            </w:r>
          </w:p>
        </w:tc>
        <w:tc>
          <w:tcPr>
            <w:tcW w:w="730" w:type="pct"/>
            <w:vAlign w:val="center"/>
          </w:tcPr>
          <w:p w14:paraId="47DC4B50"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31%</w:t>
            </w:r>
          </w:p>
        </w:tc>
        <w:tc>
          <w:tcPr>
            <w:tcW w:w="780" w:type="pct"/>
            <w:vAlign w:val="center"/>
          </w:tcPr>
          <w:p w14:paraId="6942215D"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7%</w:t>
            </w:r>
          </w:p>
        </w:tc>
        <w:tc>
          <w:tcPr>
            <w:tcW w:w="705" w:type="pct"/>
            <w:vAlign w:val="center"/>
          </w:tcPr>
          <w:p w14:paraId="2906DCCE"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0,0271</w:t>
            </w:r>
          </w:p>
        </w:tc>
      </w:tr>
      <w:tr w:rsidR="00251C3A" w:rsidRPr="00AF2694" w14:paraId="2FFF7B76" w14:textId="77777777" w:rsidTr="004B3317">
        <w:trPr>
          <w:cantSplit/>
          <w:trHeight w:val="340"/>
        </w:trPr>
        <w:tc>
          <w:tcPr>
            <w:tcW w:w="2785" w:type="pct"/>
            <w:vAlign w:val="center"/>
          </w:tcPr>
          <w:p w14:paraId="5F951022" w14:textId="63D75F00" w:rsidR="00251C3A" w:rsidRPr="00AF2694" w:rsidRDefault="00E94A4D" w:rsidP="00CF11D6">
            <w:pPr>
              <w:tabs>
                <w:tab w:val="left" w:pos="540"/>
                <w:tab w:val="left" w:pos="567"/>
              </w:tabs>
              <w:jc w:val="both"/>
              <w:rPr>
                <w:b/>
                <w:sz w:val="22"/>
                <w:szCs w:val="22"/>
                <w:lang w:val="sr-Latn-ME"/>
              </w:rPr>
            </w:pPr>
            <w:r w:rsidRPr="00AF2694">
              <w:rPr>
                <w:b/>
                <w:bCs/>
                <w:sz w:val="22"/>
                <w:szCs w:val="22"/>
                <w:lang w:val="sr-Latn-ME"/>
              </w:rPr>
              <w:t>Mjere sekundarnih ishoda</w:t>
            </w:r>
          </w:p>
        </w:tc>
        <w:tc>
          <w:tcPr>
            <w:tcW w:w="730" w:type="pct"/>
            <w:vAlign w:val="center"/>
          </w:tcPr>
          <w:p w14:paraId="7498D8BE" w14:textId="77777777" w:rsidR="00251C3A" w:rsidRPr="00AF2694" w:rsidRDefault="00251C3A" w:rsidP="00CF11D6">
            <w:pPr>
              <w:tabs>
                <w:tab w:val="left" w:pos="540"/>
                <w:tab w:val="left" w:pos="567"/>
              </w:tabs>
              <w:jc w:val="both"/>
              <w:rPr>
                <w:sz w:val="22"/>
                <w:szCs w:val="22"/>
                <w:lang w:val="sr-Latn-ME"/>
              </w:rPr>
            </w:pPr>
          </w:p>
        </w:tc>
        <w:tc>
          <w:tcPr>
            <w:tcW w:w="780" w:type="pct"/>
            <w:vAlign w:val="center"/>
          </w:tcPr>
          <w:p w14:paraId="26BFDC8C" w14:textId="77777777" w:rsidR="00251C3A" w:rsidRPr="00AF2694" w:rsidRDefault="00251C3A" w:rsidP="00CF11D6">
            <w:pPr>
              <w:tabs>
                <w:tab w:val="left" w:pos="540"/>
                <w:tab w:val="left" w:pos="567"/>
              </w:tabs>
              <w:jc w:val="both"/>
              <w:rPr>
                <w:sz w:val="22"/>
                <w:szCs w:val="22"/>
                <w:lang w:val="sr-Latn-ME"/>
              </w:rPr>
            </w:pPr>
          </w:p>
        </w:tc>
        <w:tc>
          <w:tcPr>
            <w:tcW w:w="705" w:type="pct"/>
            <w:vAlign w:val="center"/>
          </w:tcPr>
          <w:p w14:paraId="297CB383" w14:textId="77777777" w:rsidR="00251C3A" w:rsidRPr="00AF2694" w:rsidRDefault="00251C3A" w:rsidP="00CF11D6">
            <w:pPr>
              <w:tabs>
                <w:tab w:val="left" w:pos="540"/>
                <w:tab w:val="left" w:pos="567"/>
              </w:tabs>
              <w:jc w:val="both"/>
              <w:rPr>
                <w:sz w:val="22"/>
                <w:szCs w:val="22"/>
                <w:lang w:val="sr-Latn-ME"/>
              </w:rPr>
            </w:pPr>
          </w:p>
        </w:tc>
      </w:tr>
      <w:tr w:rsidR="00251C3A" w:rsidRPr="00AF2694" w14:paraId="384E2E8B" w14:textId="77777777" w:rsidTr="004B3317">
        <w:trPr>
          <w:cantSplit/>
          <w:trHeight w:val="340"/>
        </w:trPr>
        <w:tc>
          <w:tcPr>
            <w:tcW w:w="2785" w:type="pct"/>
            <w:vAlign w:val="center"/>
          </w:tcPr>
          <w:p w14:paraId="773033A8" w14:textId="0C4BFA77" w:rsidR="00251C3A" w:rsidRPr="00AF2694" w:rsidRDefault="00251C3A" w:rsidP="00CF11D6">
            <w:pPr>
              <w:tabs>
                <w:tab w:val="left" w:pos="540"/>
                <w:tab w:val="left" w:pos="567"/>
              </w:tabs>
              <w:jc w:val="both"/>
              <w:rPr>
                <w:sz w:val="22"/>
                <w:szCs w:val="22"/>
                <w:lang w:val="sr-Latn-ME"/>
              </w:rPr>
            </w:pPr>
            <w:r w:rsidRPr="00AF2694">
              <w:rPr>
                <w:sz w:val="22"/>
                <w:szCs w:val="22"/>
                <w:lang w:val="sr-Latn-ME"/>
              </w:rPr>
              <w:t>LDL-holesterol, pros</w:t>
            </w:r>
            <w:r w:rsidR="00B42C9D" w:rsidRPr="00AF2694">
              <w:rPr>
                <w:sz w:val="22"/>
                <w:szCs w:val="22"/>
                <w:lang w:val="sr-Latn-ME"/>
              </w:rPr>
              <w:t>j</w:t>
            </w:r>
            <w:r w:rsidRPr="00AF2694">
              <w:rPr>
                <w:sz w:val="22"/>
                <w:szCs w:val="22"/>
                <w:lang w:val="sr-Latn-ME"/>
              </w:rPr>
              <w:t>ečna % prom</w:t>
            </w:r>
            <w:r w:rsidR="00B42C9D" w:rsidRPr="00AF2694">
              <w:rPr>
                <w:sz w:val="22"/>
                <w:szCs w:val="22"/>
                <w:lang w:val="sr-Latn-ME"/>
              </w:rPr>
              <w:t>j</w:t>
            </w:r>
            <w:r w:rsidRPr="00AF2694">
              <w:rPr>
                <w:sz w:val="22"/>
                <w:szCs w:val="22"/>
                <w:lang w:val="sr-Latn-ME"/>
              </w:rPr>
              <w:t>ena u odnosu na početnu vr</w:t>
            </w:r>
            <w:r w:rsidR="00B42C9D" w:rsidRPr="00AF2694">
              <w:rPr>
                <w:sz w:val="22"/>
                <w:szCs w:val="22"/>
                <w:lang w:val="sr-Latn-ME"/>
              </w:rPr>
              <w:t>ij</w:t>
            </w:r>
            <w:r w:rsidRPr="00AF2694">
              <w:rPr>
                <w:sz w:val="22"/>
                <w:szCs w:val="22"/>
                <w:lang w:val="sr-Latn-ME"/>
              </w:rPr>
              <w:t>ednost</w:t>
            </w:r>
          </w:p>
        </w:tc>
        <w:tc>
          <w:tcPr>
            <w:tcW w:w="730" w:type="pct"/>
            <w:vAlign w:val="center"/>
          </w:tcPr>
          <w:p w14:paraId="0F3AB36A"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-28%</w:t>
            </w:r>
          </w:p>
        </w:tc>
        <w:tc>
          <w:tcPr>
            <w:tcW w:w="780" w:type="pct"/>
            <w:vAlign w:val="center"/>
          </w:tcPr>
          <w:p w14:paraId="5A0194E4"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-6%</w:t>
            </w:r>
          </w:p>
        </w:tc>
        <w:tc>
          <w:tcPr>
            <w:tcW w:w="705" w:type="pct"/>
            <w:vAlign w:val="center"/>
          </w:tcPr>
          <w:p w14:paraId="09B9CF31"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&lt;0,0001</w:t>
            </w:r>
          </w:p>
        </w:tc>
      </w:tr>
      <w:tr w:rsidR="00251C3A" w:rsidRPr="00AF2694" w14:paraId="6AE6DE61" w14:textId="77777777" w:rsidTr="004B3317">
        <w:trPr>
          <w:cantSplit/>
          <w:trHeight w:val="340"/>
        </w:trPr>
        <w:tc>
          <w:tcPr>
            <w:tcW w:w="2785" w:type="pct"/>
            <w:vAlign w:val="center"/>
          </w:tcPr>
          <w:p w14:paraId="2A5C56A0" w14:textId="56CC2774" w:rsidR="00251C3A" w:rsidRPr="00AF2694" w:rsidRDefault="00251C3A" w:rsidP="00CF11D6">
            <w:pPr>
              <w:tabs>
                <w:tab w:val="left" w:pos="540"/>
                <w:tab w:val="left" w:pos="567"/>
              </w:tabs>
              <w:jc w:val="both"/>
              <w:rPr>
                <w:sz w:val="22"/>
                <w:szCs w:val="22"/>
                <w:lang w:val="sr-Latn-ME"/>
              </w:rPr>
            </w:pPr>
            <w:r w:rsidRPr="00AF2694">
              <w:rPr>
                <w:sz w:val="22"/>
                <w:szCs w:val="22"/>
                <w:lang w:val="sr-Latn-ME"/>
              </w:rPr>
              <w:t>Non-HDL-holesterol, pros</w:t>
            </w:r>
            <w:r w:rsidR="00B42C9D" w:rsidRPr="00AF2694">
              <w:rPr>
                <w:sz w:val="22"/>
                <w:szCs w:val="22"/>
                <w:lang w:val="sr-Latn-ME"/>
              </w:rPr>
              <w:t>j</w:t>
            </w:r>
            <w:r w:rsidRPr="00AF2694">
              <w:rPr>
                <w:sz w:val="22"/>
                <w:szCs w:val="22"/>
                <w:lang w:val="sr-Latn-ME"/>
              </w:rPr>
              <w:t>ečna % prom</w:t>
            </w:r>
            <w:r w:rsidR="00B42C9D" w:rsidRPr="00AF2694">
              <w:rPr>
                <w:sz w:val="22"/>
                <w:szCs w:val="22"/>
                <w:lang w:val="sr-Latn-ME"/>
              </w:rPr>
              <w:t>j</w:t>
            </w:r>
            <w:r w:rsidRPr="00AF2694">
              <w:rPr>
                <w:sz w:val="22"/>
                <w:szCs w:val="22"/>
                <w:lang w:val="sr-Latn-ME"/>
              </w:rPr>
              <w:t>ena u odnosu na početnu vr</w:t>
            </w:r>
            <w:r w:rsidR="00B42C9D" w:rsidRPr="00AF2694">
              <w:rPr>
                <w:sz w:val="22"/>
                <w:szCs w:val="22"/>
                <w:lang w:val="sr-Latn-ME"/>
              </w:rPr>
              <w:t>ij</w:t>
            </w:r>
            <w:r w:rsidRPr="00AF2694">
              <w:rPr>
                <w:sz w:val="22"/>
                <w:szCs w:val="22"/>
                <w:lang w:val="sr-Latn-ME"/>
              </w:rPr>
              <w:t>ednost</w:t>
            </w:r>
          </w:p>
        </w:tc>
        <w:tc>
          <w:tcPr>
            <w:tcW w:w="730" w:type="pct"/>
            <w:vAlign w:val="center"/>
          </w:tcPr>
          <w:p w14:paraId="33740095"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-28%</w:t>
            </w:r>
          </w:p>
        </w:tc>
        <w:tc>
          <w:tcPr>
            <w:tcW w:w="780" w:type="pct"/>
            <w:vAlign w:val="center"/>
          </w:tcPr>
          <w:p w14:paraId="04472069"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-7%</w:t>
            </w:r>
          </w:p>
        </w:tc>
        <w:tc>
          <w:tcPr>
            <w:tcW w:w="705" w:type="pct"/>
            <w:vAlign w:val="center"/>
          </w:tcPr>
          <w:p w14:paraId="37B30C2D" w14:textId="2982BC02" w:rsidR="00251C3A" w:rsidRPr="00AF2694" w:rsidRDefault="00251C3A" w:rsidP="00CF11D6">
            <w:pPr>
              <w:tabs>
                <w:tab w:val="left" w:pos="540"/>
                <w:tab w:val="left" w:pos="567"/>
              </w:tabs>
              <w:jc w:val="both"/>
              <w:rPr>
                <w:sz w:val="22"/>
                <w:szCs w:val="22"/>
                <w:lang w:val="sr-Latn-ME"/>
              </w:rPr>
            </w:pPr>
            <w:r w:rsidRPr="00AF2694">
              <w:rPr>
                <w:sz w:val="22"/>
                <w:szCs w:val="22"/>
                <w:lang w:val="sr-Latn-ME"/>
              </w:rPr>
              <w:t>&lt;0,0001</w:t>
            </w:r>
          </w:p>
        </w:tc>
      </w:tr>
      <w:tr w:rsidR="00251C3A" w:rsidRPr="00AF2694" w14:paraId="502D87DF" w14:textId="77777777" w:rsidTr="004B3317">
        <w:trPr>
          <w:cantSplit/>
          <w:trHeight w:val="340"/>
        </w:trPr>
        <w:tc>
          <w:tcPr>
            <w:tcW w:w="2785" w:type="pct"/>
            <w:vAlign w:val="center"/>
          </w:tcPr>
          <w:p w14:paraId="35EE2CBE"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Normalizacija AST-a</w:t>
            </w:r>
            <w:r w:rsidRPr="00AF2694">
              <w:rPr>
                <w:sz w:val="22"/>
                <w:szCs w:val="22"/>
                <w:vertAlign w:val="superscript"/>
                <w:lang w:val="sr-Latn-ME"/>
              </w:rPr>
              <w:t>b</w:t>
            </w:r>
          </w:p>
        </w:tc>
        <w:tc>
          <w:tcPr>
            <w:tcW w:w="730" w:type="pct"/>
            <w:vAlign w:val="center"/>
          </w:tcPr>
          <w:p w14:paraId="0D375875"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42%</w:t>
            </w:r>
          </w:p>
        </w:tc>
        <w:tc>
          <w:tcPr>
            <w:tcW w:w="780" w:type="pct"/>
            <w:vAlign w:val="center"/>
          </w:tcPr>
          <w:p w14:paraId="1F493568"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3%</w:t>
            </w:r>
          </w:p>
        </w:tc>
        <w:tc>
          <w:tcPr>
            <w:tcW w:w="705" w:type="pct"/>
            <w:vAlign w:val="center"/>
          </w:tcPr>
          <w:p w14:paraId="56929366"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0,0003</w:t>
            </w:r>
          </w:p>
        </w:tc>
      </w:tr>
      <w:tr w:rsidR="00251C3A" w:rsidRPr="00AF2694" w14:paraId="21328F51" w14:textId="77777777" w:rsidTr="004B3317">
        <w:trPr>
          <w:cantSplit/>
          <w:trHeight w:val="340"/>
        </w:trPr>
        <w:tc>
          <w:tcPr>
            <w:tcW w:w="2785" w:type="pct"/>
            <w:vAlign w:val="center"/>
          </w:tcPr>
          <w:p w14:paraId="7DC24B5A" w14:textId="0063A55D" w:rsidR="00251C3A" w:rsidRPr="00AF2694" w:rsidRDefault="00251C3A" w:rsidP="00CF11D6">
            <w:pPr>
              <w:tabs>
                <w:tab w:val="left" w:pos="540"/>
                <w:tab w:val="left" w:pos="567"/>
              </w:tabs>
              <w:jc w:val="both"/>
              <w:rPr>
                <w:sz w:val="22"/>
                <w:szCs w:val="22"/>
                <w:lang w:val="sr-Latn-ME"/>
              </w:rPr>
            </w:pPr>
            <w:r w:rsidRPr="00AF2694">
              <w:rPr>
                <w:sz w:val="22"/>
                <w:szCs w:val="22"/>
                <w:lang w:val="sr-Latn-ME"/>
              </w:rPr>
              <w:t>Trigliceridi, pros</w:t>
            </w:r>
            <w:r w:rsidR="00B42C9D" w:rsidRPr="00AF2694">
              <w:rPr>
                <w:sz w:val="22"/>
                <w:szCs w:val="22"/>
                <w:lang w:val="sr-Latn-ME"/>
              </w:rPr>
              <w:t>j</w:t>
            </w:r>
            <w:r w:rsidRPr="00AF2694">
              <w:rPr>
                <w:sz w:val="22"/>
                <w:szCs w:val="22"/>
                <w:lang w:val="sr-Latn-ME"/>
              </w:rPr>
              <w:t>ečna % prom</w:t>
            </w:r>
            <w:r w:rsidR="00B42C9D" w:rsidRPr="00AF2694">
              <w:rPr>
                <w:sz w:val="22"/>
                <w:szCs w:val="22"/>
                <w:lang w:val="sr-Latn-ME"/>
              </w:rPr>
              <w:t>j</w:t>
            </w:r>
            <w:r w:rsidRPr="00AF2694">
              <w:rPr>
                <w:sz w:val="22"/>
                <w:szCs w:val="22"/>
                <w:lang w:val="sr-Latn-ME"/>
              </w:rPr>
              <w:t>ena u odnosu na početnu vr</w:t>
            </w:r>
            <w:r w:rsidR="00B42C9D" w:rsidRPr="00AF2694">
              <w:rPr>
                <w:sz w:val="22"/>
                <w:szCs w:val="22"/>
                <w:lang w:val="sr-Latn-ME"/>
              </w:rPr>
              <w:t>ij</w:t>
            </w:r>
            <w:r w:rsidRPr="00AF2694">
              <w:rPr>
                <w:sz w:val="22"/>
                <w:szCs w:val="22"/>
                <w:lang w:val="sr-Latn-ME"/>
              </w:rPr>
              <w:t>ednost</w:t>
            </w:r>
          </w:p>
        </w:tc>
        <w:tc>
          <w:tcPr>
            <w:tcW w:w="730" w:type="pct"/>
            <w:vAlign w:val="center"/>
          </w:tcPr>
          <w:p w14:paraId="21D1B7A1"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-25%</w:t>
            </w:r>
          </w:p>
        </w:tc>
        <w:tc>
          <w:tcPr>
            <w:tcW w:w="780" w:type="pct"/>
            <w:vAlign w:val="center"/>
          </w:tcPr>
          <w:p w14:paraId="057E5FC0"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-11%</w:t>
            </w:r>
          </w:p>
        </w:tc>
        <w:tc>
          <w:tcPr>
            <w:tcW w:w="705" w:type="pct"/>
            <w:vAlign w:val="center"/>
          </w:tcPr>
          <w:p w14:paraId="5C2C0E6F"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0,0375</w:t>
            </w:r>
          </w:p>
        </w:tc>
      </w:tr>
      <w:tr w:rsidR="00251C3A" w:rsidRPr="00AF2694" w14:paraId="7FE22F84" w14:textId="77777777" w:rsidTr="004B3317">
        <w:trPr>
          <w:cantSplit/>
          <w:trHeight w:val="340"/>
        </w:trPr>
        <w:tc>
          <w:tcPr>
            <w:tcW w:w="2785" w:type="pct"/>
            <w:vAlign w:val="center"/>
          </w:tcPr>
          <w:p w14:paraId="2BB0EBD8" w14:textId="51F98271" w:rsidR="00251C3A" w:rsidRPr="00AF2694" w:rsidRDefault="00251C3A" w:rsidP="00CF11D6">
            <w:pPr>
              <w:tabs>
                <w:tab w:val="left" w:pos="540"/>
                <w:tab w:val="left" w:pos="567"/>
              </w:tabs>
              <w:jc w:val="both"/>
              <w:rPr>
                <w:sz w:val="22"/>
                <w:szCs w:val="22"/>
                <w:lang w:val="sr-Latn-ME"/>
              </w:rPr>
            </w:pPr>
            <w:r w:rsidRPr="00AF2694">
              <w:rPr>
                <w:sz w:val="22"/>
                <w:szCs w:val="22"/>
                <w:lang w:val="sr-Latn-ME"/>
              </w:rPr>
              <w:t>HDL-holesterol, pros</w:t>
            </w:r>
            <w:r w:rsidR="00B42C9D" w:rsidRPr="00AF2694">
              <w:rPr>
                <w:sz w:val="22"/>
                <w:szCs w:val="22"/>
                <w:lang w:val="sr-Latn-ME"/>
              </w:rPr>
              <w:t>j</w:t>
            </w:r>
            <w:r w:rsidRPr="00AF2694">
              <w:rPr>
                <w:sz w:val="22"/>
                <w:szCs w:val="22"/>
                <w:lang w:val="sr-Latn-ME"/>
              </w:rPr>
              <w:t>ečna % prom</w:t>
            </w:r>
            <w:r w:rsidR="00B42C9D" w:rsidRPr="00AF2694">
              <w:rPr>
                <w:sz w:val="22"/>
                <w:szCs w:val="22"/>
                <w:lang w:val="sr-Latn-ME"/>
              </w:rPr>
              <w:t>j</w:t>
            </w:r>
            <w:r w:rsidRPr="00AF2694">
              <w:rPr>
                <w:sz w:val="22"/>
                <w:szCs w:val="22"/>
                <w:lang w:val="sr-Latn-ME"/>
              </w:rPr>
              <w:t>ena u odnosu na početnu vr</w:t>
            </w:r>
            <w:r w:rsidR="00B42C9D" w:rsidRPr="00AF2694">
              <w:rPr>
                <w:sz w:val="22"/>
                <w:szCs w:val="22"/>
                <w:lang w:val="sr-Latn-ME"/>
              </w:rPr>
              <w:t>ij</w:t>
            </w:r>
            <w:r w:rsidRPr="00AF2694">
              <w:rPr>
                <w:sz w:val="22"/>
                <w:szCs w:val="22"/>
                <w:lang w:val="sr-Latn-ME"/>
              </w:rPr>
              <w:t>ednost</w:t>
            </w:r>
            <w:r w:rsidRPr="00AF2694">
              <w:rPr>
                <w:sz w:val="22"/>
                <w:szCs w:val="22"/>
                <w:vertAlign w:val="superscript"/>
                <w:lang w:val="sr-Latn-ME"/>
              </w:rPr>
              <w:t xml:space="preserve"> </w:t>
            </w:r>
          </w:p>
        </w:tc>
        <w:tc>
          <w:tcPr>
            <w:tcW w:w="730" w:type="pct"/>
            <w:vAlign w:val="center"/>
          </w:tcPr>
          <w:p w14:paraId="3D549A01"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20%</w:t>
            </w:r>
          </w:p>
        </w:tc>
        <w:tc>
          <w:tcPr>
            <w:tcW w:w="780" w:type="pct"/>
            <w:vAlign w:val="center"/>
          </w:tcPr>
          <w:p w14:paraId="71A4FEB6"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-0,3%</w:t>
            </w:r>
          </w:p>
        </w:tc>
        <w:tc>
          <w:tcPr>
            <w:tcW w:w="705" w:type="pct"/>
            <w:vAlign w:val="center"/>
          </w:tcPr>
          <w:p w14:paraId="61CC90F7"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&lt;0,0001</w:t>
            </w:r>
          </w:p>
        </w:tc>
      </w:tr>
      <w:tr w:rsidR="00251C3A" w:rsidRPr="00AF2694" w14:paraId="40D628BD" w14:textId="77777777" w:rsidTr="004B3317">
        <w:trPr>
          <w:cantSplit/>
          <w:trHeight w:val="340"/>
        </w:trPr>
        <w:tc>
          <w:tcPr>
            <w:tcW w:w="2785" w:type="pct"/>
            <w:vAlign w:val="center"/>
          </w:tcPr>
          <w:p w14:paraId="2345C85A" w14:textId="7F95713D" w:rsidR="00251C3A" w:rsidRPr="00AF2694" w:rsidRDefault="00251C3A" w:rsidP="00CF11D6">
            <w:pPr>
              <w:tabs>
                <w:tab w:val="left" w:pos="540"/>
                <w:tab w:val="left" w:pos="567"/>
              </w:tabs>
              <w:jc w:val="both"/>
              <w:rPr>
                <w:sz w:val="22"/>
                <w:szCs w:val="22"/>
                <w:lang w:val="sr-Latn-ME"/>
              </w:rPr>
            </w:pPr>
            <w:r w:rsidRPr="00AF2694">
              <w:rPr>
                <w:sz w:val="22"/>
                <w:szCs w:val="22"/>
                <w:lang w:val="sr-Latn-ME"/>
              </w:rPr>
              <w:t xml:space="preserve">Sadržaj masti u jetri </w:t>
            </w:r>
            <w:r w:rsidRPr="00AF2694">
              <w:rPr>
                <w:sz w:val="22"/>
                <w:szCs w:val="22"/>
                <w:vertAlign w:val="superscript"/>
                <w:lang w:val="sr-Latn-ME"/>
              </w:rPr>
              <w:t>c</w:t>
            </w:r>
            <w:r w:rsidRPr="00AF2694">
              <w:rPr>
                <w:sz w:val="22"/>
                <w:szCs w:val="22"/>
                <w:lang w:val="sr-Latn-ME"/>
              </w:rPr>
              <w:t>,, pros</w:t>
            </w:r>
            <w:r w:rsidR="00B42C9D" w:rsidRPr="00AF2694">
              <w:rPr>
                <w:sz w:val="22"/>
                <w:szCs w:val="22"/>
                <w:lang w:val="sr-Latn-ME"/>
              </w:rPr>
              <w:t>j</w:t>
            </w:r>
            <w:r w:rsidRPr="00AF2694">
              <w:rPr>
                <w:sz w:val="22"/>
                <w:szCs w:val="22"/>
                <w:lang w:val="sr-Latn-ME"/>
              </w:rPr>
              <w:t>ečna % prom</w:t>
            </w:r>
            <w:r w:rsidR="00B42C9D" w:rsidRPr="00AF2694">
              <w:rPr>
                <w:sz w:val="22"/>
                <w:szCs w:val="22"/>
                <w:lang w:val="sr-Latn-ME"/>
              </w:rPr>
              <w:t>j</w:t>
            </w:r>
            <w:r w:rsidRPr="00AF2694">
              <w:rPr>
                <w:sz w:val="22"/>
                <w:szCs w:val="22"/>
                <w:lang w:val="sr-Latn-ME"/>
              </w:rPr>
              <w:t>ena u odnosu na početnu vr</w:t>
            </w:r>
            <w:r w:rsidR="00B42C9D" w:rsidRPr="00AF2694">
              <w:rPr>
                <w:sz w:val="22"/>
                <w:szCs w:val="22"/>
                <w:lang w:val="sr-Latn-ME"/>
              </w:rPr>
              <w:t>ij</w:t>
            </w:r>
            <w:r w:rsidRPr="00AF2694">
              <w:rPr>
                <w:sz w:val="22"/>
                <w:szCs w:val="22"/>
                <w:lang w:val="sr-Latn-ME"/>
              </w:rPr>
              <w:t>ednost</w:t>
            </w:r>
          </w:p>
        </w:tc>
        <w:tc>
          <w:tcPr>
            <w:tcW w:w="730" w:type="pct"/>
            <w:vAlign w:val="center"/>
          </w:tcPr>
          <w:p w14:paraId="4723DFAA"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-32%</w:t>
            </w:r>
          </w:p>
        </w:tc>
        <w:tc>
          <w:tcPr>
            <w:tcW w:w="780" w:type="pct"/>
            <w:vAlign w:val="center"/>
          </w:tcPr>
          <w:p w14:paraId="464854B9"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-4%</w:t>
            </w:r>
          </w:p>
        </w:tc>
        <w:tc>
          <w:tcPr>
            <w:tcW w:w="705" w:type="pct"/>
            <w:vAlign w:val="center"/>
          </w:tcPr>
          <w:p w14:paraId="5FE7207C" w14:textId="77777777" w:rsidR="00251C3A" w:rsidRPr="00AF2694" w:rsidRDefault="00251C3A" w:rsidP="00CF11D6">
            <w:pPr>
              <w:tabs>
                <w:tab w:val="left" w:pos="540"/>
                <w:tab w:val="left" w:pos="567"/>
              </w:tabs>
              <w:jc w:val="both"/>
              <w:rPr>
                <w:sz w:val="22"/>
                <w:szCs w:val="22"/>
                <w:lang w:val="sr-Latn-ME"/>
              </w:rPr>
            </w:pPr>
            <w:r w:rsidRPr="00AF2694">
              <w:rPr>
                <w:sz w:val="22"/>
                <w:szCs w:val="22"/>
                <w:lang w:val="sr-Latn-ME"/>
              </w:rPr>
              <w:t>&lt;0,0001</w:t>
            </w:r>
          </w:p>
        </w:tc>
      </w:tr>
    </w:tbl>
    <w:p w14:paraId="72E59F84" w14:textId="77777777" w:rsidR="00251C3A" w:rsidRPr="00AF2694" w:rsidRDefault="00251C3A" w:rsidP="00CF11D6">
      <w:pPr>
        <w:tabs>
          <w:tab w:val="left" w:pos="540"/>
          <w:tab w:val="left" w:pos="569"/>
        </w:tabs>
        <w:jc w:val="both"/>
        <w:rPr>
          <w:sz w:val="22"/>
          <w:szCs w:val="22"/>
          <w:lang w:val="sr-Latn-ME"/>
        </w:rPr>
      </w:pPr>
      <w:r w:rsidRPr="00AF2694">
        <w:rPr>
          <w:sz w:val="22"/>
          <w:szCs w:val="22"/>
          <w:vertAlign w:val="superscript"/>
          <w:lang w:val="sr-Latn-ME"/>
        </w:rPr>
        <w:t>a</w:t>
      </w:r>
      <w:r w:rsidRPr="00AF2694">
        <w:rPr>
          <w:sz w:val="22"/>
          <w:szCs w:val="22"/>
          <w:lang w:val="sr-Latn-ME"/>
        </w:rPr>
        <w:tab/>
        <w:t>Procenat pacijenata koji su postigli normalizaciju definisanu kao 34 ili 43 U/l, u zavisnosti od starosti i pola.</w:t>
      </w:r>
    </w:p>
    <w:p w14:paraId="6E258861" w14:textId="4282960A" w:rsidR="00251C3A" w:rsidRPr="00AF2694" w:rsidRDefault="00251C3A" w:rsidP="00CF11D6">
      <w:pPr>
        <w:tabs>
          <w:tab w:val="left" w:pos="540"/>
          <w:tab w:val="left" w:pos="569"/>
        </w:tabs>
        <w:jc w:val="both"/>
        <w:rPr>
          <w:sz w:val="22"/>
          <w:szCs w:val="22"/>
          <w:lang w:val="sr-Latn-ME"/>
        </w:rPr>
      </w:pPr>
      <w:r w:rsidRPr="00AF2694">
        <w:rPr>
          <w:sz w:val="22"/>
          <w:szCs w:val="22"/>
          <w:vertAlign w:val="superscript"/>
          <w:lang w:val="sr-Latn-ME"/>
        </w:rPr>
        <w:t>b</w:t>
      </w:r>
      <w:r w:rsidRPr="00AF2694">
        <w:rPr>
          <w:sz w:val="22"/>
          <w:szCs w:val="22"/>
          <w:lang w:val="sr-Latn-ME"/>
        </w:rPr>
        <w:tab/>
        <w:t>Procenat pacijenata koji su postigli normalizaciju definisanu kao 34-59 U/l, u zavisnosti od starosti i pola. Proc</w:t>
      </w:r>
      <w:r w:rsidR="00B42C9D" w:rsidRPr="00AF2694">
        <w:rPr>
          <w:sz w:val="22"/>
          <w:szCs w:val="22"/>
          <w:lang w:val="sr-Latn-ME"/>
        </w:rPr>
        <w:t>j</w:t>
      </w:r>
      <w:r w:rsidRPr="00AF2694">
        <w:rPr>
          <w:sz w:val="22"/>
          <w:szCs w:val="22"/>
          <w:lang w:val="sr-Latn-ME"/>
        </w:rPr>
        <w:t>ena kod pacijenata sa abnormalnim početnim vr</w:t>
      </w:r>
      <w:r w:rsidR="00B42C9D" w:rsidRPr="00AF2694">
        <w:rPr>
          <w:sz w:val="22"/>
          <w:szCs w:val="22"/>
          <w:lang w:val="sr-Latn-ME"/>
        </w:rPr>
        <w:t>ij</w:t>
      </w:r>
      <w:r w:rsidRPr="00AF2694">
        <w:rPr>
          <w:sz w:val="22"/>
          <w:szCs w:val="22"/>
          <w:lang w:val="sr-Latn-ME"/>
        </w:rPr>
        <w:t xml:space="preserve">ednostima (n = 36 za sebelipazu alfa; n = 29 za placebo). </w:t>
      </w:r>
    </w:p>
    <w:p w14:paraId="30EDF424" w14:textId="1C9485D6" w:rsidR="00251C3A" w:rsidRPr="00AF2694" w:rsidRDefault="00251C3A" w:rsidP="00CF11D6">
      <w:pPr>
        <w:tabs>
          <w:tab w:val="left" w:pos="540"/>
          <w:tab w:val="left" w:pos="569"/>
        </w:tabs>
        <w:jc w:val="both"/>
        <w:rPr>
          <w:sz w:val="22"/>
          <w:szCs w:val="22"/>
          <w:lang w:val="sr-Latn-ME"/>
        </w:rPr>
      </w:pPr>
      <w:r w:rsidRPr="00AF2694">
        <w:rPr>
          <w:sz w:val="22"/>
          <w:szCs w:val="22"/>
          <w:vertAlign w:val="superscript"/>
          <w:lang w:val="sr-Latn-ME"/>
        </w:rPr>
        <w:t>c</w:t>
      </w:r>
      <w:r w:rsidRPr="00AF2694">
        <w:rPr>
          <w:sz w:val="22"/>
          <w:szCs w:val="22"/>
          <w:lang w:val="sr-Latn-ME"/>
        </w:rPr>
        <w:tab/>
        <w:t>Proc</w:t>
      </w:r>
      <w:r w:rsidR="00B42C9D" w:rsidRPr="00AF2694">
        <w:rPr>
          <w:sz w:val="22"/>
          <w:szCs w:val="22"/>
          <w:lang w:val="sr-Latn-ME"/>
        </w:rPr>
        <w:t>j</w:t>
      </w:r>
      <w:r w:rsidRPr="00AF2694">
        <w:rPr>
          <w:sz w:val="22"/>
          <w:szCs w:val="22"/>
          <w:lang w:val="sr-Latn-ME"/>
        </w:rPr>
        <w:t>ena kod pacijenata kod kojih je urađeno MEGE-MRI proc</w:t>
      </w:r>
      <w:r w:rsidR="00B42C9D" w:rsidRPr="00AF2694">
        <w:rPr>
          <w:sz w:val="22"/>
          <w:szCs w:val="22"/>
          <w:lang w:val="sr-Latn-ME"/>
        </w:rPr>
        <w:t>j</w:t>
      </w:r>
      <w:r w:rsidRPr="00AF2694">
        <w:rPr>
          <w:sz w:val="22"/>
          <w:szCs w:val="22"/>
          <w:lang w:val="sr-Latn-ME"/>
        </w:rPr>
        <w:t xml:space="preserve">enjivanje (n = 32 za sebelipazu alfa; n = 25 za placebo). </w:t>
      </w:r>
    </w:p>
    <w:p w14:paraId="646A7B38" w14:textId="601689BF" w:rsidR="00E94A4D" w:rsidRPr="00AF2694" w:rsidRDefault="00251C3A" w:rsidP="00CF11D6">
      <w:pPr>
        <w:tabs>
          <w:tab w:val="left" w:pos="540"/>
          <w:tab w:val="left" w:pos="567"/>
        </w:tabs>
        <w:jc w:val="both"/>
        <w:rPr>
          <w:sz w:val="22"/>
          <w:szCs w:val="22"/>
          <w:lang w:val="sr-Latn-ME"/>
        </w:rPr>
      </w:pPr>
      <w:r w:rsidRPr="00AF2694">
        <w:rPr>
          <w:sz w:val="22"/>
          <w:szCs w:val="22"/>
          <w:vertAlign w:val="superscript"/>
          <w:lang w:val="sr-Latn-ME"/>
        </w:rPr>
        <w:t>d</w:t>
      </w:r>
      <w:r w:rsidRPr="00AF2694">
        <w:rPr>
          <w:sz w:val="22"/>
          <w:szCs w:val="22"/>
          <w:lang w:val="sr-Latn-ME"/>
        </w:rPr>
        <w:tab/>
      </w:r>
      <w:r w:rsidR="00E94A4D" w:rsidRPr="00AF2694">
        <w:rPr>
          <w:sz w:val="22"/>
          <w:szCs w:val="22"/>
          <w:lang w:val="sr-Latn-ME"/>
        </w:rPr>
        <w:t xml:space="preserve">P-vrijednosti za mjere ishoda normalizacije dobijene su </w:t>
      </w:r>
      <w:r w:rsidR="0006389C" w:rsidRPr="00AF2694">
        <w:rPr>
          <w:sz w:val="22"/>
          <w:szCs w:val="22"/>
          <w:lang w:val="sr-Latn-ME"/>
        </w:rPr>
        <w:t>Fisherovim</w:t>
      </w:r>
      <w:r w:rsidR="0006389C" w:rsidRPr="00AF2694" w:rsidDel="0006389C">
        <w:rPr>
          <w:sz w:val="22"/>
          <w:szCs w:val="22"/>
          <w:lang w:val="sr-Latn-ME"/>
        </w:rPr>
        <w:t xml:space="preserve"> </w:t>
      </w:r>
      <w:r w:rsidR="00E94A4D" w:rsidRPr="00AF2694">
        <w:rPr>
          <w:sz w:val="22"/>
          <w:szCs w:val="22"/>
          <w:lang w:val="sr-Latn-ME"/>
        </w:rPr>
        <w:t xml:space="preserve">egzaktnim testom, a za sve ostale mjere ishoda </w:t>
      </w:r>
      <w:r w:rsidR="0006389C" w:rsidRPr="00AF2694">
        <w:rPr>
          <w:sz w:val="22"/>
          <w:szCs w:val="22"/>
          <w:lang w:val="sr-Latn-ME"/>
        </w:rPr>
        <w:t>Wilcoxonovim</w:t>
      </w:r>
      <w:r w:rsidR="0006389C" w:rsidRPr="00AF2694" w:rsidDel="0006389C">
        <w:rPr>
          <w:sz w:val="22"/>
          <w:szCs w:val="22"/>
          <w:lang w:val="sr-Latn-ME"/>
        </w:rPr>
        <w:t xml:space="preserve"> </w:t>
      </w:r>
      <w:r w:rsidR="00E94A4D" w:rsidRPr="00AF2694">
        <w:rPr>
          <w:sz w:val="22"/>
          <w:szCs w:val="22"/>
          <w:lang w:val="sr-Latn-ME"/>
        </w:rPr>
        <w:t>testom sume rangova.</w:t>
      </w:r>
    </w:p>
    <w:p w14:paraId="46204F88" w14:textId="77777777" w:rsidR="00251C3A" w:rsidRPr="00AF2694" w:rsidRDefault="00251C3A" w:rsidP="00CF11D6">
      <w:pPr>
        <w:tabs>
          <w:tab w:val="left" w:pos="540"/>
          <w:tab w:val="left" w:pos="567"/>
        </w:tabs>
        <w:jc w:val="both"/>
        <w:rPr>
          <w:sz w:val="22"/>
          <w:szCs w:val="22"/>
          <w:lang w:val="sr-Latn-ME"/>
        </w:rPr>
      </w:pPr>
    </w:p>
    <w:p w14:paraId="6097EBFF" w14:textId="1844C602" w:rsidR="00251C3A" w:rsidRPr="00AF2694" w:rsidRDefault="00251C3A" w:rsidP="00CF11D6">
      <w:pPr>
        <w:tabs>
          <w:tab w:val="left" w:pos="540"/>
          <w:tab w:val="left" w:pos="567"/>
        </w:tabs>
        <w:jc w:val="both"/>
        <w:rPr>
          <w:sz w:val="22"/>
          <w:szCs w:val="22"/>
          <w:lang w:val="sr-Latn-ME"/>
        </w:rPr>
      </w:pPr>
      <w:r w:rsidRPr="00AF2694">
        <w:rPr>
          <w:sz w:val="22"/>
          <w:szCs w:val="22"/>
          <w:lang w:val="sr-Latn-ME"/>
        </w:rPr>
        <w:t>Uparen</w:t>
      </w:r>
      <w:r w:rsidR="00E94A4D" w:rsidRPr="00AF2694">
        <w:rPr>
          <w:sz w:val="22"/>
          <w:szCs w:val="22"/>
          <w:lang w:val="sr-Latn-ME"/>
        </w:rPr>
        <w:t>i uzorci</w:t>
      </w:r>
      <w:r w:rsidR="0006389C" w:rsidRPr="00AF2694">
        <w:rPr>
          <w:sz w:val="22"/>
          <w:szCs w:val="22"/>
          <w:lang w:val="sr-Latn-ME"/>
        </w:rPr>
        <w:t xml:space="preserve"> </w:t>
      </w:r>
      <w:r w:rsidRPr="00AF2694">
        <w:rPr>
          <w:sz w:val="22"/>
          <w:szCs w:val="22"/>
          <w:lang w:val="sr-Latn-ME"/>
        </w:rPr>
        <w:t>biopsije jetre na početku i u 20. ned</w:t>
      </w:r>
      <w:r w:rsidR="00B42C9D" w:rsidRPr="00AF2694">
        <w:rPr>
          <w:sz w:val="22"/>
          <w:szCs w:val="22"/>
          <w:lang w:val="sr-Latn-ME"/>
        </w:rPr>
        <w:t>j</w:t>
      </w:r>
      <w:r w:rsidRPr="00AF2694">
        <w:rPr>
          <w:sz w:val="22"/>
          <w:szCs w:val="22"/>
          <w:lang w:val="sr-Latn-ME"/>
        </w:rPr>
        <w:t>elji bil</w:t>
      </w:r>
      <w:r w:rsidR="0057589D" w:rsidRPr="00AF2694">
        <w:rPr>
          <w:sz w:val="22"/>
          <w:szCs w:val="22"/>
          <w:lang w:val="sr-Latn-ME"/>
        </w:rPr>
        <w:t>i</w:t>
      </w:r>
      <w:r w:rsidRPr="00AF2694">
        <w:rPr>
          <w:sz w:val="22"/>
          <w:szCs w:val="22"/>
          <w:lang w:val="sr-Latn-ME"/>
        </w:rPr>
        <w:t xml:space="preserve"> su dostupn</w:t>
      </w:r>
      <w:r w:rsidR="0057589D" w:rsidRPr="00AF2694">
        <w:rPr>
          <w:sz w:val="22"/>
          <w:szCs w:val="22"/>
          <w:lang w:val="sr-Latn-ME"/>
        </w:rPr>
        <w:t>i</w:t>
      </w:r>
      <w:r w:rsidRPr="00AF2694">
        <w:rPr>
          <w:sz w:val="22"/>
          <w:szCs w:val="22"/>
          <w:lang w:val="sr-Latn-ME"/>
        </w:rPr>
        <w:t xml:space="preserve"> kod podskupa pacijenata (n = 26). Od pacijenata sa uparenim </w:t>
      </w:r>
      <w:r w:rsidR="00E94A4D" w:rsidRPr="00AF2694">
        <w:rPr>
          <w:sz w:val="22"/>
          <w:szCs w:val="22"/>
          <w:lang w:val="sr-Latn-ME"/>
        </w:rPr>
        <w:t xml:space="preserve">uzorcima </w:t>
      </w:r>
      <w:r w:rsidRPr="00AF2694">
        <w:rPr>
          <w:sz w:val="22"/>
          <w:szCs w:val="22"/>
          <w:lang w:val="sr-Latn-ME"/>
        </w:rPr>
        <w:t>biopsij</w:t>
      </w:r>
      <w:r w:rsidR="00E94A4D" w:rsidRPr="00AF2694">
        <w:rPr>
          <w:sz w:val="22"/>
          <w:szCs w:val="22"/>
          <w:lang w:val="sr-Latn-ME"/>
        </w:rPr>
        <w:t xml:space="preserve">e </w:t>
      </w:r>
      <w:r w:rsidRPr="00AF2694">
        <w:rPr>
          <w:sz w:val="22"/>
          <w:szCs w:val="22"/>
          <w:lang w:val="sr-Latn-ME"/>
        </w:rPr>
        <w:t>jetre, 63% (10/16) pacijenata l</w:t>
      </w:r>
      <w:r w:rsidR="00B42C9D" w:rsidRPr="00AF2694">
        <w:rPr>
          <w:sz w:val="22"/>
          <w:szCs w:val="22"/>
          <w:lang w:val="sr-Latn-ME"/>
        </w:rPr>
        <w:t>ij</w:t>
      </w:r>
      <w:r w:rsidRPr="00AF2694">
        <w:rPr>
          <w:sz w:val="22"/>
          <w:szCs w:val="22"/>
          <w:lang w:val="sr-Latn-ME"/>
        </w:rPr>
        <w:t xml:space="preserve">ečenih sebelipazom alfa imalo je poboljšanje hepatične steatoze (najmanje </w:t>
      </w:r>
      <w:r w:rsidRPr="00AF2694">
        <w:rPr>
          <w:sz w:val="22"/>
          <w:szCs w:val="22"/>
          <w:lang w:val="sr-Latn-ME"/>
        </w:rPr>
        <w:sym w:font="Symbol" w:char="F0B3"/>
      </w:r>
      <w:r w:rsidRPr="00AF2694">
        <w:rPr>
          <w:sz w:val="22"/>
          <w:szCs w:val="22"/>
          <w:lang w:val="sr-Latn-ME"/>
        </w:rPr>
        <w:t> ≥ 5% smanjenje) m</w:t>
      </w:r>
      <w:r w:rsidR="00B42C9D" w:rsidRPr="00AF2694">
        <w:rPr>
          <w:sz w:val="22"/>
          <w:szCs w:val="22"/>
          <w:lang w:val="sr-Latn-ME"/>
        </w:rPr>
        <w:t>j</w:t>
      </w:r>
      <w:r w:rsidRPr="00AF2694">
        <w:rPr>
          <w:sz w:val="22"/>
          <w:szCs w:val="22"/>
          <w:lang w:val="sr-Latn-ME"/>
        </w:rPr>
        <w:t xml:space="preserve">erene morfometrijom u poređenju sa 40% (4/10) pacijenata u placebo grupi. Ova razlika nije bila statistički značajna. </w:t>
      </w:r>
    </w:p>
    <w:p w14:paraId="3F457C70" w14:textId="77777777" w:rsidR="00251C3A" w:rsidRPr="00AF2694" w:rsidRDefault="00251C3A" w:rsidP="00CF11D6">
      <w:pPr>
        <w:tabs>
          <w:tab w:val="left" w:pos="540"/>
          <w:tab w:val="left" w:pos="567"/>
        </w:tabs>
        <w:jc w:val="both"/>
        <w:rPr>
          <w:sz w:val="22"/>
          <w:szCs w:val="22"/>
          <w:lang w:val="sr-Latn-ME"/>
        </w:rPr>
      </w:pPr>
    </w:p>
    <w:p w14:paraId="67C3B69E" w14:textId="216CFB2B" w:rsidR="00251C3A" w:rsidRPr="00AF2694" w:rsidRDefault="00E94A4D" w:rsidP="00CF11D6">
      <w:pPr>
        <w:tabs>
          <w:tab w:val="left" w:pos="540"/>
          <w:tab w:val="left" w:pos="567"/>
        </w:tabs>
        <w:jc w:val="both"/>
        <w:rPr>
          <w:i/>
          <w:sz w:val="22"/>
          <w:szCs w:val="22"/>
          <w:lang w:val="sr-Latn-ME"/>
        </w:rPr>
      </w:pPr>
      <w:r w:rsidRPr="00AF2694">
        <w:rPr>
          <w:i/>
          <w:iCs/>
          <w:sz w:val="22"/>
          <w:szCs w:val="22"/>
          <w:lang w:val="sr-Latn-ME"/>
        </w:rPr>
        <w:t>Razdoblje otvorenog ispitivanja</w:t>
      </w:r>
    </w:p>
    <w:p w14:paraId="5A41B4BF" w14:textId="0BC88495" w:rsidR="00251C3A" w:rsidRPr="00AF2694" w:rsidRDefault="00251C3A" w:rsidP="00CF11D6">
      <w:pPr>
        <w:tabs>
          <w:tab w:val="left" w:pos="540"/>
          <w:tab w:val="left" w:pos="567"/>
        </w:tabs>
        <w:jc w:val="both"/>
        <w:rPr>
          <w:sz w:val="22"/>
          <w:szCs w:val="22"/>
          <w:lang w:val="sr-Latn-ME"/>
        </w:rPr>
      </w:pPr>
      <w:r w:rsidRPr="00AF2694">
        <w:rPr>
          <w:sz w:val="22"/>
          <w:szCs w:val="22"/>
          <w:lang w:val="sr-Latn-ME"/>
        </w:rPr>
        <w:t>Pacijenti koji su učestvovali u studiji LAL-CL02 mogli su nastaviti l</w:t>
      </w:r>
      <w:r w:rsidR="00B42C9D" w:rsidRPr="00AF2694">
        <w:rPr>
          <w:sz w:val="22"/>
          <w:szCs w:val="22"/>
          <w:lang w:val="sr-Latn-ME"/>
        </w:rPr>
        <w:t>ij</w:t>
      </w:r>
      <w:r w:rsidRPr="00AF2694">
        <w:rPr>
          <w:sz w:val="22"/>
          <w:szCs w:val="22"/>
          <w:lang w:val="sr-Latn-ME"/>
        </w:rPr>
        <w:t>ečenje u otvorenom periodu studije. Šezdeset i šest</w:t>
      </w:r>
      <w:r w:rsidR="00E94A4D" w:rsidRPr="00AF2694">
        <w:rPr>
          <w:sz w:val="22"/>
          <w:szCs w:val="22"/>
          <w:lang w:val="sr-Latn-ME"/>
        </w:rPr>
        <w:t xml:space="preserve"> (66)</w:t>
      </w:r>
      <w:r w:rsidRPr="00AF2694">
        <w:rPr>
          <w:sz w:val="22"/>
          <w:szCs w:val="22"/>
          <w:lang w:val="sr-Latn-ME"/>
        </w:rPr>
        <w:t xml:space="preserve"> pacijenata je ušlo u prvi otvoreni period (do 130 ned</w:t>
      </w:r>
      <w:r w:rsidR="00B42C9D" w:rsidRPr="00AF2694">
        <w:rPr>
          <w:sz w:val="22"/>
          <w:szCs w:val="22"/>
          <w:lang w:val="sr-Latn-ME"/>
        </w:rPr>
        <w:t>j</w:t>
      </w:r>
      <w:r w:rsidRPr="00AF2694">
        <w:rPr>
          <w:sz w:val="22"/>
          <w:szCs w:val="22"/>
          <w:lang w:val="sr-Latn-ME"/>
        </w:rPr>
        <w:t>elja) sa dozom sebelipaze alfa od 1 mg/kg jednom svake druge ned</w:t>
      </w:r>
      <w:r w:rsidR="00B42C9D" w:rsidRPr="00AF2694">
        <w:rPr>
          <w:sz w:val="22"/>
          <w:szCs w:val="22"/>
          <w:lang w:val="sr-Latn-ME"/>
        </w:rPr>
        <w:t>j</w:t>
      </w:r>
      <w:r w:rsidRPr="00AF2694">
        <w:rPr>
          <w:sz w:val="22"/>
          <w:szCs w:val="22"/>
          <w:lang w:val="sr-Latn-ME"/>
        </w:rPr>
        <w:t>elje. Kod pacijenata koji su primali sebelipazu alfa tokom dvostruko sl</w:t>
      </w:r>
      <w:r w:rsidR="00B42C9D" w:rsidRPr="00AF2694">
        <w:rPr>
          <w:sz w:val="22"/>
          <w:szCs w:val="22"/>
          <w:lang w:val="sr-Latn-ME"/>
        </w:rPr>
        <w:t>ij</w:t>
      </w:r>
      <w:r w:rsidRPr="00AF2694">
        <w:rPr>
          <w:sz w:val="22"/>
          <w:szCs w:val="22"/>
          <w:lang w:val="sr-Latn-ME"/>
        </w:rPr>
        <w:t>epe faze, smanjenja nivoa ALT-a tokom prvih 20 ned</w:t>
      </w:r>
      <w:r w:rsidR="00B42C9D" w:rsidRPr="00AF2694">
        <w:rPr>
          <w:sz w:val="22"/>
          <w:szCs w:val="22"/>
          <w:lang w:val="sr-Latn-ME"/>
        </w:rPr>
        <w:t>j</w:t>
      </w:r>
      <w:r w:rsidRPr="00AF2694">
        <w:rPr>
          <w:sz w:val="22"/>
          <w:szCs w:val="22"/>
          <w:lang w:val="sr-Latn-ME"/>
        </w:rPr>
        <w:t>elja l</w:t>
      </w:r>
      <w:r w:rsidR="00B42C9D" w:rsidRPr="00AF2694">
        <w:rPr>
          <w:sz w:val="22"/>
          <w:szCs w:val="22"/>
          <w:lang w:val="sr-Latn-ME"/>
        </w:rPr>
        <w:t>ij</w:t>
      </w:r>
      <w:r w:rsidRPr="00AF2694">
        <w:rPr>
          <w:sz w:val="22"/>
          <w:szCs w:val="22"/>
          <w:lang w:val="sr-Latn-ME"/>
        </w:rPr>
        <w:t>ečenja su se održala, a dodatna poboljšanja su prim</w:t>
      </w:r>
      <w:r w:rsidR="00B42C9D" w:rsidRPr="00AF2694">
        <w:rPr>
          <w:sz w:val="22"/>
          <w:szCs w:val="22"/>
          <w:lang w:val="sr-Latn-ME"/>
        </w:rPr>
        <w:t>ij</w:t>
      </w:r>
      <w:r w:rsidRPr="00AF2694">
        <w:rPr>
          <w:sz w:val="22"/>
          <w:szCs w:val="22"/>
          <w:lang w:val="sr-Latn-ME"/>
        </w:rPr>
        <w:t>ećena u lipidnim parametrima, uključujući nivoe LDL holesterola i HDL holesterola. Dvanaest (12) od 66 pacijenata u otvorenom periodu imalo je eskalaciju doze na 3 mg/kg jednom svake druge ned</w:t>
      </w:r>
      <w:r w:rsidR="00B42C9D" w:rsidRPr="00AF2694">
        <w:rPr>
          <w:sz w:val="22"/>
          <w:szCs w:val="22"/>
          <w:lang w:val="sr-Latn-ME"/>
        </w:rPr>
        <w:t>j</w:t>
      </w:r>
      <w:r w:rsidRPr="00AF2694">
        <w:rPr>
          <w:sz w:val="22"/>
          <w:szCs w:val="22"/>
          <w:lang w:val="sr-Latn-ME"/>
        </w:rPr>
        <w:t>elje, na osnovu kliničkog odgovora.</w:t>
      </w:r>
    </w:p>
    <w:p w14:paraId="25BFEC10" w14:textId="77777777" w:rsidR="00251C3A" w:rsidRPr="00AF2694" w:rsidRDefault="00251C3A" w:rsidP="00CF11D6">
      <w:pPr>
        <w:tabs>
          <w:tab w:val="left" w:pos="540"/>
          <w:tab w:val="left" w:pos="567"/>
        </w:tabs>
        <w:jc w:val="both"/>
        <w:rPr>
          <w:sz w:val="22"/>
          <w:szCs w:val="22"/>
          <w:lang w:val="sr-Latn-ME"/>
        </w:rPr>
      </w:pPr>
    </w:p>
    <w:p w14:paraId="4ECFF223" w14:textId="65742CD0" w:rsidR="00251C3A" w:rsidRPr="00AF2694" w:rsidRDefault="00251C3A" w:rsidP="00CF11D6">
      <w:pPr>
        <w:tabs>
          <w:tab w:val="left" w:pos="540"/>
          <w:tab w:val="left" w:pos="567"/>
        </w:tabs>
        <w:jc w:val="both"/>
        <w:rPr>
          <w:sz w:val="22"/>
          <w:szCs w:val="22"/>
          <w:lang w:val="sr-Latn-ME"/>
        </w:rPr>
      </w:pPr>
      <w:r w:rsidRPr="00AF2694">
        <w:rPr>
          <w:sz w:val="22"/>
          <w:szCs w:val="22"/>
          <w:lang w:val="sr-Latn-ME"/>
        </w:rPr>
        <w:t>Pacijenti koji su primali placebo imali su trajno povišene serumske transaminaze i abnormalne nivoe serumskih lipida tokom dvostruko sl</w:t>
      </w:r>
      <w:r w:rsidR="00B42C9D" w:rsidRPr="00AF2694">
        <w:rPr>
          <w:sz w:val="22"/>
          <w:szCs w:val="22"/>
          <w:lang w:val="sr-Latn-ME"/>
        </w:rPr>
        <w:t>ij</w:t>
      </w:r>
      <w:r w:rsidRPr="00AF2694">
        <w:rPr>
          <w:sz w:val="22"/>
          <w:szCs w:val="22"/>
          <w:lang w:val="sr-Latn-ME"/>
        </w:rPr>
        <w:t>epe faze. U skladu sa onim što je prim</w:t>
      </w:r>
      <w:r w:rsidR="00B42C9D" w:rsidRPr="00AF2694">
        <w:rPr>
          <w:sz w:val="22"/>
          <w:szCs w:val="22"/>
          <w:lang w:val="sr-Latn-ME"/>
        </w:rPr>
        <w:t>ij</w:t>
      </w:r>
      <w:r w:rsidRPr="00AF2694">
        <w:rPr>
          <w:sz w:val="22"/>
          <w:szCs w:val="22"/>
          <w:lang w:val="sr-Latn-ME"/>
        </w:rPr>
        <w:t>ećeno kod pacijenata l</w:t>
      </w:r>
      <w:r w:rsidR="00B42C9D" w:rsidRPr="00AF2694">
        <w:rPr>
          <w:sz w:val="22"/>
          <w:szCs w:val="22"/>
          <w:lang w:val="sr-Latn-ME"/>
        </w:rPr>
        <w:t>ij</w:t>
      </w:r>
      <w:r w:rsidRPr="00AF2694">
        <w:rPr>
          <w:sz w:val="22"/>
          <w:szCs w:val="22"/>
          <w:lang w:val="sr-Latn-ME"/>
        </w:rPr>
        <w:t>ečenih sebelipazom alfa tokom dvostruko sl</w:t>
      </w:r>
      <w:r w:rsidR="00B42C9D" w:rsidRPr="00AF2694">
        <w:rPr>
          <w:sz w:val="22"/>
          <w:szCs w:val="22"/>
          <w:lang w:val="sr-Latn-ME"/>
        </w:rPr>
        <w:t>ij</w:t>
      </w:r>
      <w:r w:rsidRPr="00AF2694">
        <w:rPr>
          <w:sz w:val="22"/>
          <w:szCs w:val="22"/>
          <w:lang w:val="sr-Latn-ME"/>
        </w:rPr>
        <w:t>epe faze, započinjanje l</w:t>
      </w:r>
      <w:r w:rsidR="00B42C9D" w:rsidRPr="00AF2694">
        <w:rPr>
          <w:sz w:val="22"/>
          <w:szCs w:val="22"/>
          <w:lang w:val="sr-Latn-ME"/>
        </w:rPr>
        <w:t>ij</w:t>
      </w:r>
      <w:r w:rsidRPr="00AF2694">
        <w:rPr>
          <w:sz w:val="22"/>
          <w:szCs w:val="22"/>
          <w:lang w:val="sr-Latn-ME"/>
        </w:rPr>
        <w:t xml:space="preserve">ečenja sebelipazom alfa tokom otvorenog perioda dovelo je do brzih poboljšanja u nivoima ALT-a i lipidnim parametrima, uključujući nivoe LDL holesterola i HDL holesterola. </w:t>
      </w:r>
    </w:p>
    <w:p w14:paraId="1A88F7C4" w14:textId="77777777" w:rsidR="00251C3A" w:rsidRPr="00AF2694" w:rsidRDefault="00251C3A" w:rsidP="00CF11D6">
      <w:pPr>
        <w:tabs>
          <w:tab w:val="left" w:pos="540"/>
          <w:tab w:val="left" w:pos="567"/>
        </w:tabs>
        <w:jc w:val="both"/>
        <w:rPr>
          <w:sz w:val="22"/>
          <w:szCs w:val="22"/>
          <w:lang w:val="sr-Latn-ME"/>
        </w:rPr>
      </w:pPr>
    </w:p>
    <w:p w14:paraId="1395E5E2" w14:textId="7B94DCF2" w:rsidR="00251C3A" w:rsidRPr="00AF2694" w:rsidRDefault="00251C3A" w:rsidP="00CF11D6">
      <w:pPr>
        <w:tabs>
          <w:tab w:val="left" w:pos="540"/>
          <w:tab w:val="left" w:pos="567"/>
        </w:tabs>
        <w:jc w:val="both"/>
        <w:rPr>
          <w:sz w:val="22"/>
          <w:szCs w:val="22"/>
          <w:lang w:val="sr-Latn-ME"/>
        </w:rPr>
      </w:pPr>
      <w:r w:rsidRPr="00AF2694">
        <w:rPr>
          <w:sz w:val="22"/>
          <w:szCs w:val="22"/>
          <w:lang w:val="sr-Latn-ME"/>
        </w:rPr>
        <w:t>Poboljšanja u nivoima ALT-a i lipidnim parametrima (nivoima LDL-holesterola i HDL-holesterola) održana su tokom produženog otvorenog perioda l</w:t>
      </w:r>
      <w:r w:rsidR="00B42C9D" w:rsidRPr="00AF2694">
        <w:rPr>
          <w:sz w:val="22"/>
          <w:szCs w:val="22"/>
          <w:lang w:val="sr-Latn-ME"/>
        </w:rPr>
        <w:t>ij</w:t>
      </w:r>
      <w:r w:rsidRPr="00AF2694">
        <w:rPr>
          <w:sz w:val="22"/>
          <w:szCs w:val="22"/>
          <w:lang w:val="sr-Latn-ME"/>
        </w:rPr>
        <w:t>ečenja do 256 ned</w:t>
      </w:r>
      <w:r w:rsidR="00B42C9D" w:rsidRPr="00AF2694">
        <w:rPr>
          <w:sz w:val="22"/>
          <w:szCs w:val="22"/>
          <w:lang w:val="sr-Latn-ME"/>
        </w:rPr>
        <w:t>j</w:t>
      </w:r>
      <w:r w:rsidRPr="00AF2694">
        <w:rPr>
          <w:sz w:val="22"/>
          <w:szCs w:val="22"/>
          <w:lang w:val="sr-Latn-ME"/>
        </w:rPr>
        <w:t>elja (5 godina), sa ukupnim pros</w:t>
      </w:r>
      <w:r w:rsidR="00B42C9D" w:rsidRPr="00AF2694">
        <w:rPr>
          <w:sz w:val="22"/>
          <w:szCs w:val="22"/>
          <w:lang w:val="sr-Latn-ME"/>
        </w:rPr>
        <w:t>j</w:t>
      </w:r>
      <w:r w:rsidRPr="00AF2694">
        <w:rPr>
          <w:sz w:val="22"/>
          <w:szCs w:val="22"/>
          <w:lang w:val="sr-Latn-ME"/>
        </w:rPr>
        <w:t>ečnim trajanjem l</w:t>
      </w:r>
      <w:r w:rsidR="00B42C9D" w:rsidRPr="00AF2694">
        <w:rPr>
          <w:sz w:val="22"/>
          <w:szCs w:val="22"/>
          <w:lang w:val="sr-Latn-ME"/>
        </w:rPr>
        <w:t>ij</w:t>
      </w:r>
      <w:r w:rsidRPr="00AF2694">
        <w:rPr>
          <w:sz w:val="22"/>
          <w:szCs w:val="22"/>
          <w:lang w:val="sr-Latn-ME"/>
        </w:rPr>
        <w:t>ečenja od 42,5 m</w:t>
      </w:r>
      <w:r w:rsidR="00B42C9D" w:rsidRPr="00AF2694">
        <w:rPr>
          <w:sz w:val="22"/>
          <w:szCs w:val="22"/>
          <w:lang w:val="sr-Latn-ME"/>
        </w:rPr>
        <w:t>j</w:t>
      </w:r>
      <w:r w:rsidRPr="00AF2694">
        <w:rPr>
          <w:sz w:val="22"/>
          <w:szCs w:val="22"/>
          <w:lang w:val="sr-Latn-ME"/>
        </w:rPr>
        <w:t>eseci.</w:t>
      </w:r>
    </w:p>
    <w:p w14:paraId="78A0D41B" w14:textId="77777777" w:rsidR="00251C3A" w:rsidRPr="00AF2694" w:rsidRDefault="00251C3A" w:rsidP="00CF11D6">
      <w:pPr>
        <w:tabs>
          <w:tab w:val="left" w:pos="540"/>
          <w:tab w:val="left" w:pos="567"/>
        </w:tabs>
        <w:jc w:val="both"/>
        <w:rPr>
          <w:sz w:val="22"/>
          <w:szCs w:val="22"/>
          <w:lang w:val="sr-Latn-ME"/>
        </w:rPr>
      </w:pPr>
    </w:p>
    <w:p w14:paraId="4CF61B2D" w14:textId="77777777" w:rsidR="00251C3A" w:rsidRPr="00AF2694" w:rsidRDefault="00251C3A" w:rsidP="00CF11D6">
      <w:pPr>
        <w:tabs>
          <w:tab w:val="left" w:pos="540"/>
          <w:tab w:val="left" w:pos="567"/>
        </w:tabs>
        <w:jc w:val="both"/>
        <w:rPr>
          <w:i/>
          <w:iCs/>
          <w:sz w:val="22"/>
          <w:szCs w:val="22"/>
          <w:u w:val="single"/>
          <w:lang w:val="sr-Latn-ME"/>
        </w:rPr>
      </w:pPr>
      <w:r w:rsidRPr="00AF2694">
        <w:rPr>
          <w:i/>
          <w:iCs/>
          <w:sz w:val="22"/>
          <w:szCs w:val="22"/>
          <w:u w:val="single"/>
          <w:lang w:val="sr-Latn-ME"/>
        </w:rPr>
        <w:t>Studija LAL-CL01/LAL-CL04</w:t>
      </w:r>
    </w:p>
    <w:p w14:paraId="187D617F" w14:textId="77777777" w:rsidR="00251C3A" w:rsidRPr="00AF2694" w:rsidRDefault="00251C3A" w:rsidP="00CF11D6">
      <w:pPr>
        <w:tabs>
          <w:tab w:val="left" w:pos="540"/>
          <w:tab w:val="left" w:pos="567"/>
        </w:tabs>
        <w:jc w:val="both"/>
        <w:rPr>
          <w:i/>
          <w:iCs/>
          <w:sz w:val="22"/>
          <w:szCs w:val="22"/>
          <w:u w:val="single"/>
          <w:lang w:val="sr-Latn-ME"/>
        </w:rPr>
      </w:pPr>
    </w:p>
    <w:p w14:paraId="1D11F7F1" w14:textId="6A3E2DFA" w:rsidR="00251C3A" w:rsidRPr="00AF2694" w:rsidRDefault="00251C3A" w:rsidP="00CF11D6">
      <w:pPr>
        <w:tabs>
          <w:tab w:val="left" w:pos="540"/>
          <w:tab w:val="left" w:pos="567"/>
        </w:tabs>
        <w:jc w:val="both"/>
        <w:rPr>
          <w:sz w:val="22"/>
          <w:szCs w:val="22"/>
          <w:lang w:val="sr-Latn-ME"/>
        </w:rPr>
      </w:pPr>
      <w:r w:rsidRPr="00AF2694">
        <w:rPr>
          <w:sz w:val="22"/>
          <w:szCs w:val="22"/>
          <w:lang w:val="sr-Latn-ME"/>
        </w:rPr>
        <w:lastRenderedPageBreak/>
        <w:t>U zasebnoj otvorenoj studiji (LAL CL01/LAL CL04) kod odraslih pacijenata sa deficijencijom lizozomalne kisele lipaze, poboljšanja u nivoima serumskih transaminaza i lipida su se održala kroz period l</w:t>
      </w:r>
      <w:r w:rsidR="00B42C9D" w:rsidRPr="00AF2694">
        <w:rPr>
          <w:sz w:val="22"/>
          <w:szCs w:val="22"/>
          <w:lang w:val="sr-Latn-ME"/>
        </w:rPr>
        <w:t>ij</w:t>
      </w:r>
      <w:r w:rsidRPr="00AF2694">
        <w:rPr>
          <w:sz w:val="22"/>
          <w:szCs w:val="22"/>
          <w:lang w:val="sr-Latn-ME"/>
        </w:rPr>
        <w:t>ečenja od 260 ned</w:t>
      </w:r>
      <w:r w:rsidR="00B42C9D" w:rsidRPr="00AF2694">
        <w:rPr>
          <w:sz w:val="22"/>
          <w:szCs w:val="22"/>
          <w:lang w:val="sr-Latn-ME"/>
        </w:rPr>
        <w:t>j</w:t>
      </w:r>
      <w:r w:rsidRPr="00AF2694">
        <w:rPr>
          <w:sz w:val="22"/>
          <w:szCs w:val="22"/>
          <w:lang w:val="sr-Latn-ME"/>
        </w:rPr>
        <w:t>elja. Osam od devet pacijenata prešlo je iz studije LAL-CL01 nakon 4 ned</w:t>
      </w:r>
      <w:r w:rsidR="00B42C9D" w:rsidRPr="00AF2694">
        <w:rPr>
          <w:sz w:val="22"/>
          <w:szCs w:val="22"/>
          <w:lang w:val="sr-Latn-ME"/>
        </w:rPr>
        <w:t>j</w:t>
      </w:r>
      <w:r w:rsidRPr="00AF2694">
        <w:rPr>
          <w:sz w:val="22"/>
          <w:szCs w:val="22"/>
          <w:lang w:val="sr-Latn-ME"/>
        </w:rPr>
        <w:t>elje l</w:t>
      </w:r>
      <w:r w:rsidR="00B42C9D" w:rsidRPr="00AF2694">
        <w:rPr>
          <w:sz w:val="22"/>
          <w:szCs w:val="22"/>
          <w:lang w:val="sr-Latn-ME"/>
        </w:rPr>
        <w:t>ij</w:t>
      </w:r>
      <w:r w:rsidRPr="00AF2694">
        <w:rPr>
          <w:sz w:val="22"/>
          <w:szCs w:val="22"/>
          <w:lang w:val="sr-Latn-ME"/>
        </w:rPr>
        <w:t xml:space="preserve">ečenja (0,35 mg/kg </w:t>
      </w:r>
      <w:r w:rsidR="00E94A4D" w:rsidRPr="00AF2694">
        <w:rPr>
          <w:sz w:val="22"/>
          <w:szCs w:val="22"/>
          <w:lang w:val="sr-Latn-ME"/>
        </w:rPr>
        <w:t>jednom nedjeljno</w:t>
      </w:r>
      <w:r w:rsidRPr="00AF2694">
        <w:rPr>
          <w:sz w:val="22"/>
          <w:szCs w:val="22"/>
          <w:lang w:val="sr-Latn-ME"/>
        </w:rPr>
        <w:t xml:space="preserve">, 1 mg/kg </w:t>
      </w:r>
      <w:r w:rsidR="00E94A4D" w:rsidRPr="00AF2694">
        <w:rPr>
          <w:sz w:val="22"/>
          <w:szCs w:val="22"/>
          <w:lang w:val="sr-Latn-ME"/>
        </w:rPr>
        <w:t>jednom nedjeljno</w:t>
      </w:r>
      <w:r w:rsidRPr="00AF2694">
        <w:rPr>
          <w:sz w:val="22"/>
          <w:szCs w:val="22"/>
          <w:lang w:val="sr-Latn-ME"/>
        </w:rPr>
        <w:t xml:space="preserve">, ili 3 mg/kg </w:t>
      </w:r>
      <w:r w:rsidR="00E94A4D" w:rsidRPr="00AF2694">
        <w:rPr>
          <w:sz w:val="22"/>
          <w:szCs w:val="22"/>
          <w:lang w:val="sr-Latn-ME"/>
        </w:rPr>
        <w:t>jednom nedjeljno</w:t>
      </w:r>
      <w:r w:rsidRPr="00AF2694">
        <w:rPr>
          <w:sz w:val="22"/>
          <w:szCs w:val="22"/>
          <w:lang w:val="sr-Latn-ME"/>
        </w:rPr>
        <w:t xml:space="preserve">) u studiju LAL-CL04 (1 mg/kg </w:t>
      </w:r>
      <w:r w:rsidR="00E94A4D" w:rsidRPr="00AF2694">
        <w:rPr>
          <w:sz w:val="22"/>
          <w:szCs w:val="22"/>
          <w:lang w:val="sr-Latn-ME"/>
        </w:rPr>
        <w:t xml:space="preserve">svake druge nedjelje </w:t>
      </w:r>
      <w:r w:rsidRPr="00AF2694">
        <w:rPr>
          <w:sz w:val="22"/>
          <w:szCs w:val="22"/>
          <w:lang w:val="sr-Latn-ME"/>
        </w:rPr>
        <w:t xml:space="preserve">ili 3 mg/kg </w:t>
      </w:r>
      <w:r w:rsidR="00E94A4D" w:rsidRPr="00AF2694">
        <w:rPr>
          <w:sz w:val="22"/>
          <w:szCs w:val="22"/>
          <w:lang w:val="sr-Latn-ME"/>
        </w:rPr>
        <w:t>svake druge nedjelje</w:t>
      </w:r>
      <w:r w:rsidRPr="00AF2694">
        <w:rPr>
          <w:sz w:val="22"/>
          <w:szCs w:val="22"/>
          <w:lang w:val="sr-Latn-ME"/>
        </w:rPr>
        <w:t xml:space="preserve">), pri čemu je 5 pacijenata primilo dozu od 1 mg/kg </w:t>
      </w:r>
      <w:r w:rsidR="00E94A4D" w:rsidRPr="00AF2694">
        <w:rPr>
          <w:sz w:val="22"/>
          <w:szCs w:val="22"/>
          <w:lang w:val="sr-Latn-ME"/>
        </w:rPr>
        <w:t>svake druge nedjelje</w:t>
      </w:r>
      <w:r w:rsidRPr="00AF2694">
        <w:rPr>
          <w:sz w:val="22"/>
          <w:szCs w:val="22"/>
          <w:lang w:val="sr-Latn-ME"/>
        </w:rPr>
        <w:t xml:space="preserve">, a 3 pacijenta dozu od 3 mg/kg </w:t>
      </w:r>
      <w:r w:rsidR="00E94A4D" w:rsidRPr="00AF2694">
        <w:rPr>
          <w:sz w:val="22"/>
          <w:szCs w:val="22"/>
          <w:lang w:val="sr-Latn-ME"/>
        </w:rPr>
        <w:t>svake druge nedjelje</w:t>
      </w:r>
      <w:r w:rsidRPr="00AF2694">
        <w:rPr>
          <w:sz w:val="22"/>
          <w:szCs w:val="22"/>
          <w:lang w:val="sr-Latn-ME"/>
        </w:rPr>
        <w:t>. Povećanja u nivoima serumskih transaminaza i LDL-holesterola i smanjenja u nivoima HDL-holesterola prim</w:t>
      </w:r>
      <w:r w:rsidR="00B42C9D" w:rsidRPr="00AF2694">
        <w:rPr>
          <w:sz w:val="22"/>
          <w:szCs w:val="22"/>
          <w:lang w:val="sr-Latn-ME"/>
        </w:rPr>
        <w:t>ij</w:t>
      </w:r>
      <w:r w:rsidRPr="00AF2694">
        <w:rPr>
          <w:sz w:val="22"/>
          <w:szCs w:val="22"/>
          <w:lang w:val="sr-Latn-ME"/>
        </w:rPr>
        <w:t>ećena su tokom perioda kada su pacijenti bili bez l</w:t>
      </w:r>
      <w:r w:rsidR="00B42C9D" w:rsidRPr="00AF2694">
        <w:rPr>
          <w:sz w:val="22"/>
          <w:szCs w:val="22"/>
          <w:lang w:val="sr-Latn-ME"/>
        </w:rPr>
        <w:t>ij</w:t>
      </w:r>
      <w:r w:rsidRPr="00AF2694">
        <w:rPr>
          <w:sz w:val="22"/>
          <w:szCs w:val="22"/>
          <w:lang w:val="sr-Latn-ME"/>
        </w:rPr>
        <w:t>ečenja sebelipazom alfa.</w:t>
      </w:r>
    </w:p>
    <w:p w14:paraId="556191DF" w14:textId="77777777" w:rsidR="00251C3A" w:rsidRPr="00AF2694" w:rsidRDefault="00251C3A" w:rsidP="00CF11D6">
      <w:pPr>
        <w:tabs>
          <w:tab w:val="left" w:pos="540"/>
          <w:tab w:val="left" w:pos="567"/>
        </w:tabs>
        <w:jc w:val="both"/>
        <w:rPr>
          <w:bCs/>
          <w:iCs/>
          <w:sz w:val="22"/>
          <w:szCs w:val="22"/>
          <w:u w:val="single"/>
          <w:lang w:val="sr-Latn-ME"/>
        </w:rPr>
      </w:pPr>
    </w:p>
    <w:p w14:paraId="1B25F021" w14:textId="77777777" w:rsidR="00251C3A" w:rsidRPr="00AF2694" w:rsidRDefault="00251C3A" w:rsidP="00CF11D6">
      <w:pPr>
        <w:tabs>
          <w:tab w:val="left" w:pos="540"/>
          <w:tab w:val="left" w:pos="567"/>
        </w:tabs>
        <w:jc w:val="both"/>
        <w:rPr>
          <w:i/>
          <w:iCs/>
          <w:sz w:val="22"/>
          <w:szCs w:val="22"/>
          <w:u w:val="single"/>
          <w:lang w:val="sr-Latn-ME"/>
        </w:rPr>
      </w:pPr>
      <w:r w:rsidRPr="00AF2694">
        <w:rPr>
          <w:i/>
          <w:iCs/>
          <w:sz w:val="22"/>
          <w:szCs w:val="22"/>
          <w:u w:val="single"/>
          <w:lang w:val="sr-Latn-ME"/>
        </w:rPr>
        <w:t>Studija LAL-CL06</w:t>
      </w:r>
    </w:p>
    <w:p w14:paraId="1979ECD8" w14:textId="77777777" w:rsidR="00251C3A" w:rsidRPr="00AF2694" w:rsidRDefault="00251C3A" w:rsidP="00CF11D6">
      <w:pPr>
        <w:tabs>
          <w:tab w:val="left" w:pos="540"/>
          <w:tab w:val="left" w:pos="567"/>
        </w:tabs>
        <w:jc w:val="both"/>
        <w:rPr>
          <w:i/>
          <w:iCs/>
          <w:sz w:val="22"/>
          <w:szCs w:val="22"/>
          <w:u w:val="single"/>
          <w:lang w:val="sr-Latn-ME"/>
        </w:rPr>
      </w:pPr>
    </w:p>
    <w:p w14:paraId="757FDF8D" w14:textId="6E76ADDA" w:rsidR="00251C3A" w:rsidRPr="00AF2694" w:rsidRDefault="00251C3A" w:rsidP="00CF11D6">
      <w:pPr>
        <w:tabs>
          <w:tab w:val="left" w:pos="540"/>
          <w:tab w:val="left" w:pos="567"/>
        </w:tabs>
        <w:jc w:val="both"/>
        <w:rPr>
          <w:sz w:val="22"/>
          <w:szCs w:val="22"/>
          <w:lang w:val="sr-Latn-ME"/>
        </w:rPr>
      </w:pPr>
      <w:r w:rsidRPr="00AF2694">
        <w:rPr>
          <w:sz w:val="22"/>
          <w:szCs w:val="22"/>
          <w:lang w:val="sr-Latn-ME"/>
        </w:rPr>
        <w:t>LAL-CL06 je bila multicentrična, otvorena studija na 31 d</w:t>
      </w:r>
      <w:r w:rsidR="00B42C9D" w:rsidRPr="00AF2694">
        <w:rPr>
          <w:sz w:val="22"/>
          <w:szCs w:val="22"/>
          <w:lang w:val="sr-Latn-ME"/>
        </w:rPr>
        <w:t>j</w:t>
      </w:r>
      <w:r w:rsidRPr="00AF2694">
        <w:rPr>
          <w:sz w:val="22"/>
          <w:szCs w:val="22"/>
          <w:lang w:val="sr-Latn-ME"/>
        </w:rPr>
        <w:t xml:space="preserve">etetu i </w:t>
      </w:r>
      <w:r w:rsidR="00E94A4D" w:rsidRPr="00AF2694">
        <w:rPr>
          <w:sz w:val="22"/>
          <w:szCs w:val="22"/>
          <w:lang w:val="sr-Latn-ME"/>
        </w:rPr>
        <w:t>odraslim pacijentima</w:t>
      </w:r>
      <w:r w:rsidRPr="00AF2694">
        <w:rPr>
          <w:sz w:val="22"/>
          <w:szCs w:val="22"/>
          <w:lang w:val="sr-Latn-ME"/>
        </w:rPr>
        <w:t xml:space="preserve"> sa deficijencijom lizozomalne kisele lipaze i bila je dizajnirana da uključi pacijente koji su možda bili neodgovarajući za prethodne kliničke studije zbog starosti, napredovanja bolesti, prethodnog l</w:t>
      </w:r>
      <w:r w:rsidR="00B42C9D" w:rsidRPr="00AF2694">
        <w:rPr>
          <w:sz w:val="22"/>
          <w:szCs w:val="22"/>
          <w:lang w:val="sr-Latn-ME"/>
        </w:rPr>
        <w:t>ij</w:t>
      </w:r>
      <w:r w:rsidRPr="00AF2694">
        <w:rPr>
          <w:sz w:val="22"/>
          <w:szCs w:val="22"/>
          <w:lang w:val="sr-Latn-ME"/>
        </w:rPr>
        <w:t>ečenja transplantacijom hematopoetskih matičnih ćelija ili jetre, manje uobičajenih manifestacija bolesti, ili karakteristika bolesti koje su isključivale učešće u studiji kontrolisanoj placebom. Najmanje 4 pacijenta u studiji bila su u uzrastu između 2 i 4 godine. Studija se sastojala od perioda skrininga do 45 dana, perioda l</w:t>
      </w:r>
      <w:r w:rsidR="00B42C9D" w:rsidRPr="00AF2694">
        <w:rPr>
          <w:sz w:val="22"/>
          <w:szCs w:val="22"/>
          <w:lang w:val="sr-Latn-ME"/>
        </w:rPr>
        <w:t>ij</w:t>
      </w:r>
      <w:r w:rsidRPr="00AF2694">
        <w:rPr>
          <w:sz w:val="22"/>
          <w:szCs w:val="22"/>
          <w:lang w:val="sr-Latn-ME"/>
        </w:rPr>
        <w:t>ečenja do 96 ned</w:t>
      </w:r>
      <w:r w:rsidR="00B42C9D" w:rsidRPr="00AF2694">
        <w:rPr>
          <w:sz w:val="22"/>
          <w:szCs w:val="22"/>
          <w:lang w:val="sr-Latn-ME"/>
        </w:rPr>
        <w:t>j</w:t>
      </w:r>
      <w:r w:rsidRPr="00AF2694">
        <w:rPr>
          <w:sz w:val="22"/>
          <w:szCs w:val="22"/>
          <w:lang w:val="sr-Latn-ME"/>
        </w:rPr>
        <w:t>elja i proširenog perioda l</w:t>
      </w:r>
      <w:r w:rsidR="00B42C9D" w:rsidRPr="00AF2694">
        <w:rPr>
          <w:sz w:val="22"/>
          <w:szCs w:val="22"/>
          <w:lang w:val="sr-Latn-ME"/>
        </w:rPr>
        <w:t>ij</w:t>
      </w:r>
      <w:r w:rsidRPr="00AF2694">
        <w:rPr>
          <w:sz w:val="22"/>
          <w:szCs w:val="22"/>
          <w:lang w:val="sr-Latn-ME"/>
        </w:rPr>
        <w:t>ečenja do 48 ned</w:t>
      </w:r>
      <w:r w:rsidR="00B42C9D" w:rsidRPr="00AF2694">
        <w:rPr>
          <w:sz w:val="22"/>
          <w:szCs w:val="22"/>
          <w:lang w:val="sr-Latn-ME"/>
        </w:rPr>
        <w:t>j</w:t>
      </w:r>
      <w:r w:rsidRPr="00AF2694">
        <w:rPr>
          <w:sz w:val="22"/>
          <w:szCs w:val="22"/>
          <w:lang w:val="sr-Latn-ME"/>
        </w:rPr>
        <w:t>elja (za ukupno do 144 ned</w:t>
      </w:r>
      <w:r w:rsidR="00B42C9D" w:rsidRPr="00AF2694">
        <w:rPr>
          <w:sz w:val="22"/>
          <w:szCs w:val="22"/>
          <w:lang w:val="sr-Latn-ME"/>
        </w:rPr>
        <w:t>j</w:t>
      </w:r>
      <w:r w:rsidRPr="00AF2694">
        <w:rPr>
          <w:sz w:val="22"/>
          <w:szCs w:val="22"/>
          <w:lang w:val="sr-Latn-ME"/>
        </w:rPr>
        <w:t>elje l</w:t>
      </w:r>
      <w:r w:rsidR="00B42C9D" w:rsidRPr="00AF2694">
        <w:rPr>
          <w:sz w:val="22"/>
          <w:szCs w:val="22"/>
          <w:lang w:val="sr-Latn-ME"/>
        </w:rPr>
        <w:t>ij</w:t>
      </w:r>
      <w:r w:rsidRPr="00AF2694">
        <w:rPr>
          <w:sz w:val="22"/>
          <w:szCs w:val="22"/>
          <w:lang w:val="sr-Latn-ME"/>
        </w:rPr>
        <w:t>ečenja). Srednja izloženost sebelipazi alfa bilo je 33 m</w:t>
      </w:r>
      <w:r w:rsidR="00B42C9D" w:rsidRPr="00AF2694">
        <w:rPr>
          <w:sz w:val="22"/>
          <w:szCs w:val="22"/>
          <w:lang w:val="sr-Latn-ME"/>
        </w:rPr>
        <w:t>j</w:t>
      </w:r>
      <w:r w:rsidRPr="00AF2694">
        <w:rPr>
          <w:sz w:val="22"/>
          <w:szCs w:val="22"/>
          <w:lang w:val="sr-Latn-ME"/>
        </w:rPr>
        <w:t>eseca (raspon: 14 do 33,5 m</w:t>
      </w:r>
      <w:r w:rsidR="00B42C9D" w:rsidRPr="00AF2694">
        <w:rPr>
          <w:sz w:val="22"/>
          <w:szCs w:val="22"/>
          <w:lang w:val="sr-Latn-ME"/>
        </w:rPr>
        <w:t>j</w:t>
      </w:r>
      <w:r w:rsidRPr="00AF2694">
        <w:rPr>
          <w:sz w:val="22"/>
          <w:szCs w:val="22"/>
          <w:lang w:val="sr-Latn-ME"/>
        </w:rPr>
        <w:t>eseci).</w:t>
      </w:r>
    </w:p>
    <w:p w14:paraId="45B01032" w14:textId="77777777" w:rsidR="00251C3A" w:rsidRPr="00AF2694" w:rsidRDefault="00251C3A" w:rsidP="00CF11D6">
      <w:pPr>
        <w:tabs>
          <w:tab w:val="left" w:pos="540"/>
          <w:tab w:val="left" w:pos="567"/>
        </w:tabs>
        <w:jc w:val="both"/>
        <w:rPr>
          <w:sz w:val="22"/>
          <w:szCs w:val="22"/>
          <w:lang w:val="sr-Latn-ME"/>
        </w:rPr>
      </w:pPr>
    </w:p>
    <w:p w14:paraId="0E6A1E44" w14:textId="69C198C6" w:rsidR="00251C3A" w:rsidRPr="00AF2694" w:rsidRDefault="00251C3A" w:rsidP="00CF11D6">
      <w:pPr>
        <w:tabs>
          <w:tab w:val="left" w:pos="540"/>
          <w:tab w:val="left" w:pos="567"/>
        </w:tabs>
        <w:jc w:val="both"/>
        <w:rPr>
          <w:sz w:val="22"/>
          <w:szCs w:val="22"/>
          <w:lang w:val="sr-Latn-ME"/>
        </w:rPr>
      </w:pPr>
      <w:r w:rsidRPr="00AF2694">
        <w:rPr>
          <w:sz w:val="22"/>
          <w:szCs w:val="22"/>
          <w:lang w:val="sr-Latn-ME"/>
        </w:rPr>
        <w:t>Dvadeset osam</w:t>
      </w:r>
      <w:r w:rsidR="00D635F6" w:rsidRPr="00AF2694">
        <w:rPr>
          <w:sz w:val="22"/>
          <w:szCs w:val="22"/>
          <w:lang w:val="sr-Latn-ME"/>
        </w:rPr>
        <w:t xml:space="preserve"> (28)</w:t>
      </w:r>
      <w:r w:rsidRPr="00AF2694">
        <w:rPr>
          <w:sz w:val="22"/>
          <w:szCs w:val="22"/>
          <w:lang w:val="sr-Latn-ME"/>
        </w:rPr>
        <w:t xml:space="preserve"> od 31 pacijenta završilo je period l</w:t>
      </w:r>
      <w:r w:rsidR="00B42C9D" w:rsidRPr="00AF2694">
        <w:rPr>
          <w:sz w:val="22"/>
          <w:szCs w:val="22"/>
          <w:lang w:val="sr-Latn-ME"/>
        </w:rPr>
        <w:t>ij</w:t>
      </w:r>
      <w:r w:rsidRPr="00AF2694">
        <w:rPr>
          <w:sz w:val="22"/>
          <w:szCs w:val="22"/>
          <w:lang w:val="sr-Latn-ME"/>
        </w:rPr>
        <w:t>ečenja od 96 ned</w:t>
      </w:r>
      <w:r w:rsidR="00B42C9D" w:rsidRPr="00AF2694">
        <w:rPr>
          <w:sz w:val="22"/>
          <w:szCs w:val="22"/>
          <w:lang w:val="sr-Latn-ME"/>
        </w:rPr>
        <w:t>j</w:t>
      </w:r>
      <w:r w:rsidRPr="00AF2694">
        <w:rPr>
          <w:sz w:val="22"/>
          <w:szCs w:val="22"/>
          <w:lang w:val="sr-Latn-ME"/>
        </w:rPr>
        <w:t>elja (1 pacijent je prekinuo l</w:t>
      </w:r>
      <w:r w:rsidR="00B42C9D" w:rsidRPr="00AF2694">
        <w:rPr>
          <w:sz w:val="22"/>
          <w:szCs w:val="22"/>
          <w:lang w:val="sr-Latn-ME"/>
        </w:rPr>
        <w:t>ij</w:t>
      </w:r>
      <w:r w:rsidRPr="00AF2694">
        <w:rPr>
          <w:sz w:val="22"/>
          <w:szCs w:val="22"/>
          <w:lang w:val="sr-Latn-ME"/>
        </w:rPr>
        <w:t>ečenje u 61. ned</w:t>
      </w:r>
      <w:r w:rsidR="00B42C9D" w:rsidRPr="00AF2694">
        <w:rPr>
          <w:sz w:val="22"/>
          <w:szCs w:val="22"/>
          <w:lang w:val="sr-Latn-ME"/>
        </w:rPr>
        <w:t>j</w:t>
      </w:r>
      <w:r w:rsidRPr="00AF2694">
        <w:rPr>
          <w:sz w:val="22"/>
          <w:szCs w:val="22"/>
          <w:lang w:val="sr-Latn-ME"/>
        </w:rPr>
        <w:t>elji zbog povlačenja pristanka, 1 pacijent u 64. ned</w:t>
      </w:r>
      <w:r w:rsidR="00B42C9D" w:rsidRPr="00AF2694">
        <w:rPr>
          <w:sz w:val="22"/>
          <w:szCs w:val="22"/>
          <w:lang w:val="sr-Latn-ME"/>
        </w:rPr>
        <w:t>j</w:t>
      </w:r>
      <w:r w:rsidRPr="00AF2694">
        <w:rPr>
          <w:sz w:val="22"/>
          <w:szCs w:val="22"/>
          <w:lang w:val="sr-Latn-ME"/>
        </w:rPr>
        <w:t>elji zbog trudnoće, i 1 pacijent u 76. ned</w:t>
      </w:r>
      <w:r w:rsidR="00B42C9D" w:rsidRPr="00AF2694">
        <w:rPr>
          <w:sz w:val="22"/>
          <w:szCs w:val="22"/>
          <w:lang w:val="sr-Latn-ME"/>
        </w:rPr>
        <w:t>j</w:t>
      </w:r>
      <w:r w:rsidRPr="00AF2694">
        <w:rPr>
          <w:sz w:val="22"/>
          <w:szCs w:val="22"/>
          <w:lang w:val="sr-Latn-ME"/>
        </w:rPr>
        <w:t>elji zbog prelaska na komercijalnu terapiju). Dvadeset pet</w:t>
      </w:r>
      <w:r w:rsidR="00D635F6" w:rsidRPr="00AF2694">
        <w:rPr>
          <w:sz w:val="22"/>
          <w:szCs w:val="22"/>
          <w:lang w:val="sr-Latn-ME"/>
        </w:rPr>
        <w:t xml:space="preserve"> (25)</w:t>
      </w:r>
      <w:r w:rsidRPr="00AF2694">
        <w:rPr>
          <w:sz w:val="22"/>
          <w:szCs w:val="22"/>
          <w:lang w:val="sr-Latn-ME"/>
        </w:rPr>
        <w:t xml:space="preserve"> od 28 pacijenata koji su završili period l</w:t>
      </w:r>
      <w:r w:rsidR="00B42C9D" w:rsidRPr="00AF2694">
        <w:rPr>
          <w:sz w:val="22"/>
          <w:szCs w:val="22"/>
          <w:lang w:val="sr-Latn-ME"/>
        </w:rPr>
        <w:t>ij</w:t>
      </w:r>
      <w:r w:rsidRPr="00AF2694">
        <w:rPr>
          <w:sz w:val="22"/>
          <w:szCs w:val="22"/>
          <w:lang w:val="sr-Latn-ME"/>
        </w:rPr>
        <w:t>ečenja od 96 ned</w:t>
      </w:r>
      <w:r w:rsidR="00B42C9D" w:rsidRPr="00AF2694">
        <w:rPr>
          <w:sz w:val="22"/>
          <w:szCs w:val="22"/>
          <w:lang w:val="sr-Latn-ME"/>
        </w:rPr>
        <w:t>j</w:t>
      </w:r>
      <w:r w:rsidRPr="00AF2694">
        <w:rPr>
          <w:sz w:val="22"/>
          <w:szCs w:val="22"/>
          <w:lang w:val="sr-Latn-ME"/>
        </w:rPr>
        <w:t xml:space="preserve">elja nastavili su da </w:t>
      </w:r>
      <w:r w:rsidR="00D635F6" w:rsidRPr="00AF2694">
        <w:rPr>
          <w:sz w:val="22"/>
          <w:szCs w:val="22"/>
          <w:lang w:val="sr-Latn-ME"/>
        </w:rPr>
        <w:t xml:space="preserve">se liječe </w:t>
      </w:r>
      <w:r w:rsidRPr="00AF2694">
        <w:rPr>
          <w:sz w:val="22"/>
          <w:szCs w:val="22"/>
          <w:lang w:val="sr-Latn-ME"/>
        </w:rPr>
        <w:t>sebelipazom alfa tokom produženog perioda l</w:t>
      </w:r>
      <w:r w:rsidR="00B42C9D" w:rsidRPr="00AF2694">
        <w:rPr>
          <w:sz w:val="22"/>
          <w:szCs w:val="22"/>
          <w:lang w:val="sr-Latn-ME"/>
        </w:rPr>
        <w:t>ij</w:t>
      </w:r>
      <w:r w:rsidRPr="00AF2694">
        <w:rPr>
          <w:sz w:val="22"/>
          <w:szCs w:val="22"/>
          <w:lang w:val="sr-Latn-ME"/>
        </w:rPr>
        <w:t xml:space="preserve">ečenja. Svi pacijenti primali su sebelipazu alfa u početnoj dozi od 1 mg/kg </w:t>
      </w:r>
      <w:r w:rsidR="00D635F6" w:rsidRPr="00AF2694">
        <w:rPr>
          <w:sz w:val="22"/>
          <w:szCs w:val="22"/>
          <w:lang w:val="sr-Latn-ME"/>
        </w:rPr>
        <w:t>svake druge nedjelje</w:t>
      </w:r>
      <w:r w:rsidRPr="00AF2694">
        <w:rPr>
          <w:sz w:val="22"/>
          <w:szCs w:val="22"/>
          <w:lang w:val="sr-Latn-ME"/>
        </w:rPr>
        <w:t xml:space="preserve">. Trinaest od 31 pacijenta primilo je eskalacije doze, kako je dozvoljeno protokolom studije. Jedanaest od tih 13 pacijenata imalo je početnu eskalaciju doze sa 1 mg/kg </w:t>
      </w:r>
      <w:r w:rsidR="00D635F6" w:rsidRPr="00AF2694">
        <w:rPr>
          <w:sz w:val="22"/>
          <w:szCs w:val="22"/>
          <w:lang w:val="sr-Latn-ME"/>
        </w:rPr>
        <w:t>svake druge nedjelje</w:t>
      </w:r>
      <w:r w:rsidRPr="00AF2694">
        <w:rPr>
          <w:sz w:val="22"/>
          <w:szCs w:val="22"/>
          <w:lang w:val="sr-Latn-ME"/>
        </w:rPr>
        <w:t xml:space="preserve"> na 3 mg/kg </w:t>
      </w:r>
      <w:r w:rsidR="00D635F6" w:rsidRPr="00AF2694">
        <w:rPr>
          <w:sz w:val="22"/>
          <w:szCs w:val="22"/>
          <w:lang w:val="sr-Latn-ME"/>
        </w:rPr>
        <w:t>svake druge nedjelje</w:t>
      </w:r>
      <w:r w:rsidRPr="00AF2694">
        <w:rPr>
          <w:sz w:val="22"/>
          <w:szCs w:val="22"/>
          <w:lang w:val="sr-Latn-ME"/>
        </w:rPr>
        <w:t xml:space="preserve">, a četvoro od tih pacijenata imalo je dalju eskalaciju doze na 3 mg/kg </w:t>
      </w:r>
      <w:r w:rsidR="00D635F6" w:rsidRPr="00AF2694">
        <w:rPr>
          <w:sz w:val="22"/>
          <w:szCs w:val="22"/>
          <w:lang w:val="sr-Latn-ME"/>
        </w:rPr>
        <w:t>jednom nedjeljno</w:t>
      </w:r>
      <w:r w:rsidRPr="00AF2694">
        <w:rPr>
          <w:sz w:val="22"/>
          <w:szCs w:val="22"/>
          <w:lang w:val="sr-Latn-ME"/>
        </w:rPr>
        <w:t>.</w:t>
      </w:r>
    </w:p>
    <w:p w14:paraId="1817D0DA" w14:textId="77777777" w:rsidR="00251C3A" w:rsidRPr="00AF2694" w:rsidRDefault="00251C3A" w:rsidP="00CF11D6">
      <w:pPr>
        <w:tabs>
          <w:tab w:val="left" w:pos="540"/>
          <w:tab w:val="left" w:pos="567"/>
        </w:tabs>
        <w:jc w:val="both"/>
        <w:rPr>
          <w:sz w:val="22"/>
          <w:szCs w:val="22"/>
          <w:lang w:val="sr-Latn-ME"/>
        </w:rPr>
      </w:pPr>
    </w:p>
    <w:p w14:paraId="64B3ECDF" w14:textId="251E8A95" w:rsidR="00251C3A" w:rsidRPr="00AF2694" w:rsidRDefault="00251C3A" w:rsidP="00CF11D6">
      <w:pPr>
        <w:tabs>
          <w:tab w:val="left" w:pos="540"/>
          <w:tab w:val="left" w:pos="567"/>
        </w:tabs>
        <w:jc w:val="both"/>
        <w:rPr>
          <w:sz w:val="22"/>
          <w:szCs w:val="22"/>
          <w:lang w:val="sr-Latn-ME"/>
        </w:rPr>
      </w:pPr>
      <w:r w:rsidRPr="00AF2694">
        <w:rPr>
          <w:sz w:val="22"/>
          <w:szCs w:val="22"/>
          <w:lang w:val="sr-Latn-ME"/>
        </w:rPr>
        <w:t>Serumske transaminaze (ALT/AST) bile su povišene na početku kod približno 75% pacijenata, a približno polovina pacijenata imala je nivoe &gt; 1,5 x ULN. Smanjenja u ALT i AST bila su evidentna do 4. ned</w:t>
      </w:r>
      <w:r w:rsidR="00B42C9D" w:rsidRPr="00AF2694">
        <w:rPr>
          <w:sz w:val="22"/>
          <w:szCs w:val="22"/>
          <w:lang w:val="sr-Latn-ME"/>
        </w:rPr>
        <w:t>j</w:t>
      </w:r>
      <w:r w:rsidRPr="00AF2694">
        <w:rPr>
          <w:sz w:val="22"/>
          <w:szCs w:val="22"/>
          <w:lang w:val="sr-Latn-ME"/>
        </w:rPr>
        <w:t>elje i održana su tokom dugotrajnog l</w:t>
      </w:r>
      <w:r w:rsidR="00B42C9D" w:rsidRPr="00AF2694">
        <w:rPr>
          <w:sz w:val="22"/>
          <w:szCs w:val="22"/>
          <w:lang w:val="sr-Latn-ME"/>
        </w:rPr>
        <w:t>ij</w:t>
      </w:r>
      <w:r w:rsidRPr="00AF2694">
        <w:rPr>
          <w:sz w:val="22"/>
          <w:szCs w:val="22"/>
          <w:lang w:val="sr-Latn-ME"/>
        </w:rPr>
        <w:t>ečenja sebelipazom alfa, sa pros</w:t>
      </w:r>
      <w:r w:rsidR="00B42C9D" w:rsidRPr="00AF2694">
        <w:rPr>
          <w:sz w:val="22"/>
          <w:szCs w:val="22"/>
          <w:lang w:val="sr-Latn-ME"/>
        </w:rPr>
        <w:t>j</w:t>
      </w:r>
      <w:r w:rsidRPr="00AF2694">
        <w:rPr>
          <w:sz w:val="22"/>
          <w:szCs w:val="22"/>
          <w:lang w:val="sr-Latn-ME"/>
        </w:rPr>
        <w:t>ečnim prom</w:t>
      </w:r>
      <w:r w:rsidR="00B42C9D" w:rsidRPr="00AF2694">
        <w:rPr>
          <w:sz w:val="22"/>
          <w:szCs w:val="22"/>
          <w:lang w:val="sr-Latn-ME"/>
        </w:rPr>
        <w:t>j</w:t>
      </w:r>
      <w:r w:rsidRPr="00AF2694">
        <w:rPr>
          <w:sz w:val="22"/>
          <w:szCs w:val="22"/>
          <w:lang w:val="sr-Latn-ME"/>
        </w:rPr>
        <w:t>enama u odnosu na početnu vr</w:t>
      </w:r>
      <w:r w:rsidR="00B42C9D" w:rsidRPr="00AF2694">
        <w:rPr>
          <w:sz w:val="22"/>
          <w:szCs w:val="22"/>
          <w:lang w:val="sr-Latn-ME"/>
        </w:rPr>
        <w:t>ij</w:t>
      </w:r>
      <w:r w:rsidRPr="00AF2694">
        <w:rPr>
          <w:sz w:val="22"/>
          <w:szCs w:val="22"/>
          <w:lang w:val="sr-Latn-ME"/>
        </w:rPr>
        <w:t>ednost do 144. ned</w:t>
      </w:r>
      <w:r w:rsidR="00B42C9D" w:rsidRPr="00AF2694">
        <w:rPr>
          <w:sz w:val="22"/>
          <w:szCs w:val="22"/>
          <w:lang w:val="sr-Latn-ME"/>
        </w:rPr>
        <w:t>j</w:t>
      </w:r>
      <w:r w:rsidRPr="00AF2694">
        <w:rPr>
          <w:sz w:val="22"/>
          <w:szCs w:val="22"/>
          <w:lang w:val="sr-Latn-ME"/>
        </w:rPr>
        <w:t>elje od -40,3 U/L (-32,0%) i -42,2 U/L (-34,2%), respektivno.</w:t>
      </w:r>
    </w:p>
    <w:p w14:paraId="65931142" w14:textId="77777777" w:rsidR="00251C3A" w:rsidRPr="00AF2694" w:rsidRDefault="00251C3A" w:rsidP="00CF11D6">
      <w:pPr>
        <w:tabs>
          <w:tab w:val="left" w:pos="540"/>
          <w:tab w:val="left" w:pos="567"/>
        </w:tabs>
        <w:jc w:val="both"/>
        <w:rPr>
          <w:sz w:val="22"/>
          <w:szCs w:val="22"/>
          <w:lang w:val="sr-Latn-ME"/>
        </w:rPr>
      </w:pPr>
    </w:p>
    <w:p w14:paraId="560A008B" w14:textId="1FAD1D32" w:rsidR="00251C3A" w:rsidRPr="00AF2694" w:rsidRDefault="00251C3A" w:rsidP="00CF11D6">
      <w:pPr>
        <w:tabs>
          <w:tab w:val="left" w:pos="540"/>
          <w:tab w:val="left" w:pos="567"/>
        </w:tabs>
        <w:jc w:val="both"/>
        <w:rPr>
          <w:sz w:val="22"/>
          <w:szCs w:val="22"/>
          <w:lang w:val="sr-Latn-ME"/>
        </w:rPr>
      </w:pPr>
      <w:r w:rsidRPr="00AF2694">
        <w:rPr>
          <w:sz w:val="22"/>
          <w:szCs w:val="22"/>
          <w:lang w:val="sr-Latn-ME"/>
        </w:rPr>
        <w:t>Privremeni porasti u ukupnom holesterolu, non-HDL-C, i LDL-C prim</w:t>
      </w:r>
      <w:r w:rsidR="002A29B4" w:rsidRPr="00AF2694">
        <w:rPr>
          <w:sz w:val="22"/>
          <w:szCs w:val="22"/>
          <w:lang w:val="sr-Latn-ME"/>
        </w:rPr>
        <w:t>ij</w:t>
      </w:r>
      <w:r w:rsidRPr="00AF2694">
        <w:rPr>
          <w:sz w:val="22"/>
          <w:szCs w:val="22"/>
          <w:lang w:val="sr-Latn-ME"/>
        </w:rPr>
        <w:t>ećeni su ubrzo nakon početka l</w:t>
      </w:r>
      <w:r w:rsidR="002A29B4" w:rsidRPr="00AF2694">
        <w:rPr>
          <w:sz w:val="22"/>
          <w:szCs w:val="22"/>
          <w:lang w:val="sr-Latn-ME"/>
        </w:rPr>
        <w:t>ij</w:t>
      </w:r>
      <w:r w:rsidRPr="00AF2694">
        <w:rPr>
          <w:sz w:val="22"/>
          <w:szCs w:val="22"/>
          <w:lang w:val="sr-Latn-ME"/>
        </w:rPr>
        <w:t>ečenja (4. ned</w:t>
      </w:r>
      <w:r w:rsidR="002A29B4" w:rsidRPr="00AF2694">
        <w:rPr>
          <w:sz w:val="22"/>
          <w:szCs w:val="22"/>
          <w:lang w:val="sr-Latn-ME"/>
        </w:rPr>
        <w:t>j</w:t>
      </w:r>
      <w:r w:rsidRPr="00AF2694">
        <w:rPr>
          <w:sz w:val="22"/>
          <w:szCs w:val="22"/>
          <w:lang w:val="sr-Latn-ME"/>
        </w:rPr>
        <w:t>elje), a zatim su nivoi pali ispod početne vr</w:t>
      </w:r>
      <w:r w:rsidR="002A29B4" w:rsidRPr="00AF2694">
        <w:rPr>
          <w:sz w:val="22"/>
          <w:szCs w:val="22"/>
          <w:lang w:val="sr-Latn-ME"/>
        </w:rPr>
        <w:t>ij</w:t>
      </w:r>
      <w:r w:rsidRPr="00AF2694">
        <w:rPr>
          <w:sz w:val="22"/>
          <w:szCs w:val="22"/>
          <w:lang w:val="sr-Latn-ME"/>
        </w:rPr>
        <w:t>ednosti do sl</w:t>
      </w:r>
      <w:r w:rsidR="002A29B4" w:rsidRPr="00AF2694">
        <w:rPr>
          <w:sz w:val="22"/>
          <w:szCs w:val="22"/>
          <w:lang w:val="sr-Latn-ME"/>
        </w:rPr>
        <w:t>j</w:t>
      </w:r>
      <w:r w:rsidRPr="00AF2694">
        <w:rPr>
          <w:sz w:val="22"/>
          <w:szCs w:val="22"/>
          <w:lang w:val="sr-Latn-ME"/>
        </w:rPr>
        <w:t>edeće proc</w:t>
      </w:r>
      <w:r w:rsidR="002A29B4" w:rsidRPr="00AF2694">
        <w:rPr>
          <w:sz w:val="22"/>
          <w:szCs w:val="22"/>
          <w:lang w:val="sr-Latn-ME"/>
        </w:rPr>
        <w:t>j</w:t>
      </w:r>
      <w:r w:rsidRPr="00AF2694">
        <w:rPr>
          <w:sz w:val="22"/>
          <w:szCs w:val="22"/>
          <w:lang w:val="sr-Latn-ME"/>
        </w:rPr>
        <w:t>ene u 8. ned</w:t>
      </w:r>
      <w:r w:rsidR="002A29B4" w:rsidRPr="00AF2694">
        <w:rPr>
          <w:sz w:val="22"/>
          <w:szCs w:val="22"/>
          <w:lang w:val="sr-Latn-ME"/>
        </w:rPr>
        <w:t>j</w:t>
      </w:r>
      <w:r w:rsidRPr="00AF2694">
        <w:rPr>
          <w:sz w:val="22"/>
          <w:szCs w:val="22"/>
          <w:lang w:val="sr-Latn-ME"/>
        </w:rPr>
        <w:t>elji. Ova zapažanja su u skladu sa mobilizacijom akumuliranih lipidnih supstrata iz pogođenih tkiva i prim</w:t>
      </w:r>
      <w:r w:rsidR="002A29B4" w:rsidRPr="00AF2694">
        <w:rPr>
          <w:sz w:val="22"/>
          <w:szCs w:val="22"/>
          <w:lang w:val="sr-Latn-ME"/>
        </w:rPr>
        <w:t>ij</w:t>
      </w:r>
      <w:r w:rsidRPr="00AF2694">
        <w:rPr>
          <w:sz w:val="22"/>
          <w:szCs w:val="22"/>
          <w:lang w:val="sr-Latn-ME"/>
        </w:rPr>
        <w:t>ećena su u prethodnim kliničkim studijama sebelipaze alfa. Nastavak dugotrajnog l</w:t>
      </w:r>
      <w:r w:rsidR="002A29B4" w:rsidRPr="00AF2694">
        <w:rPr>
          <w:sz w:val="22"/>
          <w:szCs w:val="22"/>
          <w:lang w:val="sr-Latn-ME"/>
        </w:rPr>
        <w:t>ij</w:t>
      </w:r>
      <w:r w:rsidRPr="00AF2694">
        <w:rPr>
          <w:sz w:val="22"/>
          <w:szCs w:val="22"/>
          <w:lang w:val="sr-Latn-ME"/>
        </w:rPr>
        <w:t>ečenja sebelipazom alfa doveo je do poboljšanja u lipidnom profilu seruma, sa pros</w:t>
      </w:r>
      <w:r w:rsidR="002A29B4" w:rsidRPr="00AF2694">
        <w:rPr>
          <w:sz w:val="22"/>
          <w:szCs w:val="22"/>
          <w:lang w:val="sr-Latn-ME"/>
        </w:rPr>
        <w:t>j</w:t>
      </w:r>
      <w:r w:rsidRPr="00AF2694">
        <w:rPr>
          <w:sz w:val="22"/>
          <w:szCs w:val="22"/>
          <w:lang w:val="sr-Latn-ME"/>
        </w:rPr>
        <w:t>ečnim prom</w:t>
      </w:r>
      <w:r w:rsidR="002A29B4" w:rsidRPr="00AF2694">
        <w:rPr>
          <w:sz w:val="22"/>
          <w:szCs w:val="22"/>
          <w:lang w:val="sr-Latn-ME"/>
        </w:rPr>
        <w:t>j</w:t>
      </w:r>
      <w:r w:rsidRPr="00AF2694">
        <w:rPr>
          <w:sz w:val="22"/>
          <w:szCs w:val="22"/>
          <w:lang w:val="sr-Latn-ME"/>
        </w:rPr>
        <w:t>enama u odnosu na početnu vr</w:t>
      </w:r>
      <w:r w:rsidR="002A29B4" w:rsidRPr="00AF2694">
        <w:rPr>
          <w:sz w:val="22"/>
          <w:szCs w:val="22"/>
          <w:lang w:val="sr-Latn-ME"/>
        </w:rPr>
        <w:t>ij</w:t>
      </w:r>
      <w:r w:rsidRPr="00AF2694">
        <w:rPr>
          <w:sz w:val="22"/>
          <w:szCs w:val="22"/>
          <w:lang w:val="sr-Latn-ME"/>
        </w:rPr>
        <w:t>ednost do 144. ned</w:t>
      </w:r>
      <w:r w:rsidR="002A29B4" w:rsidRPr="00AF2694">
        <w:rPr>
          <w:sz w:val="22"/>
          <w:szCs w:val="22"/>
          <w:lang w:val="sr-Latn-ME"/>
        </w:rPr>
        <w:t>j</w:t>
      </w:r>
      <w:r w:rsidRPr="00AF2694">
        <w:rPr>
          <w:sz w:val="22"/>
          <w:szCs w:val="22"/>
          <w:lang w:val="sr-Latn-ME"/>
        </w:rPr>
        <w:t>elje u LDL-C, trigliceridima i non-HDL-C od -54,2 mg/d</w:t>
      </w:r>
      <w:r w:rsidR="002A29B4" w:rsidRPr="00AF2694">
        <w:rPr>
          <w:sz w:val="22"/>
          <w:szCs w:val="22"/>
          <w:lang w:val="sr-Latn-ME"/>
        </w:rPr>
        <w:t>l</w:t>
      </w:r>
      <w:r w:rsidRPr="00AF2694">
        <w:rPr>
          <w:sz w:val="22"/>
          <w:szCs w:val="22"/>
          <w:lang w:val="sr-Latn-ME"/>
        </w:rPr>
        <w:t>, -47,5 mg/d</w:t>
      </w:r>
      <w:r w:rsidR="002A29B4" w:rsidRPr="00AF2694">
        <w:rPr>
          <w:sz w:val="22"/>
          <w:szCs w:val="22"/>
          <w:lang w:val="sr-Latn-ME"/>
        </w:rPr>
        <w:t>l</w:t>
      </w:r>
      <w:r w:rsidRPr="00AF2694">
        <w:rPr>
          <w:sz w:val="22"/>
          <w:szCs w:val="22"/>
          <w:lang w:val="sr-Latn-ME"/>
        </w:rPr>
        <w:t>, i -63,7 mg/d</w:t>
      </w:r>
      <w:r w:rsidR="002A29B4" w:rsidRPr="00AF2694">
        <w:rPr>
          <w:sz w:val="22"/>
          <w:szCs w:val="22"/>
          <w:lang w:val="sr-Latn-ME"/>
        </w:rPr>
        <w:t>l</w:t>
      </w:r>
      <w:r w:rsidRPr="00AF2694">
        <w:rPr>
          <w:sz w:val="22"/>
          <w:szCs w:val="22"/>
          <w:lang w:val="sr-Latn-ME"/>
        </w:rPr>
        <w:t>, respektivno, i pros</w:t>
      </w:r>
      <w:r w:rsidR="002A29B4" w:rsidRPr="00AF2694">
        <w:rPr>
          <w:sz w:val="22"/>
          <w:szCs w:val="22"/>
          <w:lang w:val="sr-Latn-ME"/>
        </w:rPr>
        <w:t>j</w:t>
      </w:r>
      <w:r w:rsidRPr="00AF2694">
        <w:rPr>
          <w:sz w:val="22"/>
          <w:szCs w:val="22"/>
          <w:lang w:val="sr-Latn-ME"/>
        </w:rPr>
        <w:t>ečnim procentualnim prom</w:t>
      </w:r>
      <w:r w:rsidR="002A29B4" w:rsidRPr="00AF2694">
        <w:rPr>
          <w:sz w:val="22"/>
          <w:szCs w:val="22"/>
          <w:lang w:val="sr-Latn-ME"/>
        </w:rPr>
        <w:t>j</w:t>
      </w:r>
      <w:r w:rsidRPr="00AF2694">
        <w:rPr>
          <w:sz w:val="22"/>
          <w:szCs w:val="22"/>
          <w:lang w:val="sr-Latn-ME"/>
        </w:rPr>
        <w:t>enama od -31,2%, -19,1%, i -30,3%, respektivno. Povećanje nivoa HDL-C je prim</w:t>
      </w:r>
      <w:r w:rsidR="002A29B4" w:rsidRPr="00AF2694">
        <w:rPr>
          <w:sz w:val="22"/>
          <w:szCs w:val="22"/>
          <w:lang w:val="sr-Latn-ME"/>
        </w:rPr>
        <w:t>ij</w:t>
      </w:r>
      <w:r w:rsidRPr="00AF2694">
        <w:rPr>
          <w:sz w:val="22"/>
          <w:szCs w:val="22"/>
          <w:lang w:val="sr-Latn-ME"/>
        </w:rPr>
        <w:t>ećeno, sa pros</w:t>
      </w:r>
      <w:r w:rsidR="002A29B4" w:rsidRPr="00AF2694">
        <w:rPr>
          <w:sz w:val="22"/>
          <w:szCs w:val="22"/>
          <w:lang w:val="sr-Latn-ME"/>
        </w:rPr>
        <w:t>j</w:t>
      </w:r>
      <w:r w:rsidRPr="00AF2694">
        <w:rPr>
          <w:sz w:val="22"/>
          <w:szCs w:val="22"/>
          <w:lang w:val="sr-Latn-ME"/>
        </w:rPr>
        <w:t>ečnim povećanjem u odnosu na početnu vr</w:t>
      </w:r>
      <w:r w:rsidR="002A29B4" w:rsidRPr="00AF2694">
        <w:rPr>
          <w:sz w:val="22"/>
          <w:szCs w:val="22"/>
          <w:lang w:val="sr-Latn-ME"/>
        </w:rPr>
        <w:t>ij</w:t>
      </w:r>
      <w:r w:rsidRPr="00AF2694">
        <w:rPr>
          <w:sz w:val="22"/>
          <w:szCs w:val="22"/>
          <w:lang w:val="sr-Latn-ME"/>
        </w:rPr>
        <w:t>ednost do 144. ned</w:t>
      </w:r>
      <w:r w:rsidR="002A29B4" w:rsidRPr="00AF2694">
        <w:rPr>
          <w:sz w:val="22"/>
          <w:szCs w:val="22"/>
          <w:lang w:val="sr-Latn-ME"/>
        </w:rPr>
        <w:t>j</w:t>
      </w:r>
      <w:r w:rsidRPr="00AF2694">
        <w:rPr>
          <w:sz w:val="22"/>
          <w:szCs w:val="22"/>
          <w:lang w:val="sr-Latn-ME"/>
        </w:rPr>
        <w:t>elje od 10,2 mg/d</w:t>
      </w:r>
      <w:r w:rsidR="002A29B4" w:rsidRPr="00AF2694">
        <w:rPr>
          <w:sz w:val="22"/>
          <w:szCs w:val="22"/>
          <w:lang w:val="sr-Latn-ME"/>
        </w:rPr>
        <w:t>l</w:t>
      </w:r>
      <w:r w:rsidRPr="00AF2694">
        <w:rPr>
          <w:sz w:val="22"/>
          <w:szCs w:val="22"/>
          <w:lang w:val="sr-Latn-ME"/>
        </w:rPr>
        <w:t xml:space="preserve"> i pros</w:t>
      </w:r>
      <w:r w:rsidR="002A29B4" w:rsidRPr="00AF2694">
        <w:rPr>
          <w:sz w:val="22"/>
          <w:szCs w:val="22"/>
          <w:lang w:val="sr-Latn-ME"/>
        </w:rPr>
        <w:t>j</w:t>
      </w:r>
      <w:r w:rsidRPr="00AF2694">
        <w:rPr>
          <w:sz w:val="22"/>
          <w:szCs w:val="22"/>
          <w:lang w:val="sr-Latn-ME"/>
        </w:rPr>
        <w:t>ečnim procentualnim povećanjem od 39,7%.</w:t>
      </w:r>
    </w:p>
    <w:p w14:paraId="58C3C018" w14:textId="77777777" w:rsidR="00251C3A" w:rsidRPr="00AF2694" w:rsidRDefault="00251C3A" w:rsidP="00CF11D6">
      <w:pPr>
        <w:tabs>
          <w:tab w:val="left" w:pos="540"/>
          <w:tab w:val="left" w:pos="567"/>
        </w:tabs>
        <w:jc w:val="both"/>
        <w:rPr>
          <w:sz w:val="22"/>
          <w:szCs w:val="22"/>
          <w:lang w:val="sr-Latn-ME"/>
        </w:rPr>
      </w:pPr>
    </w:p>
    <w:p w14:paraId="68AD2C43" w14:textId="4F45D457" w:rsidR="00251C3A" w:rsidRPr="00AF2694" w:rsidRDefault="00251C3A" w:rsidP="00CF11D6">
      <w:pPr>
        <w:tabs>
          <w:tab w:val="left" w:pos="540"/>
          <w:tab w:val="left" w:pos="567"/>
        </w:tabs>
        <w:jc w:val="both"/>
        <w:rPr>
          <w:i/>
          <w:iCs/>
          <w:sz w:val="22"/>
          <w:szCs w:val="22"/>
          <w:u w:val="single"/>
          <w:lang w:val="sr-Latn-ME"/>
        </w:rPr>
      </w:pPr>
      <w:r w:rsidRPr="00AF2694">
        <w:rPr>
          <w:i/>
          <w:iCs/>
          <w:sz w:val="22"/>
          <w:szCs w:val="22"/>
          <w:u w:val="single"/>
          <w:lang w:val="sr-Latn-ME"/>
        </w:rPr>
        <w:t>Podaci biopsije jetre kod d</w:t>
      </w:r>
      <w:r w:rsidR="002A29B4" w:rsidRPr="00AF2694">
        <w:rPr>
          <w:i/>
          <w:iCs/>
          <w:sz w:val="22"/>
          <w:szCs w:val="22"/>
          <w:u w:val="single"/>
          <w:lang w:val="sr-Latn-ME"/>
        </w:rPr>
        <w:t>j</w:t>
      </w:r>
      <w:r w:rsidRPr="00AF2694">
        <w:rPr>
          <w:i/>
          <w:iCs/>
          <w:sz w:val="22"/>
          <w:szCs w:val="22"/>
          <w:u w:val="single"/>
          <w:lang w:val="sr-Latn-ME"/>
        </w:rPr>
        <w:t>ece i odraslih</w:t>
      </w:r>
    </w:p>
    <w:p w14:paraId="5687F47C" w14:textId="43130C23" w:rsidR="00251C3A" w:rsidRPr="00AF2694" w:rsidRDefault="00251C3A" w:rsidP="00CF11D6">
      <w:pPr>
        <w:tabs>
          <w:tab w:val="left" w:pos="540"/>
          <w:tab w:val="left" w:pos="567"/>
        </w:tabs>
        <w:jc w:val="both"/>
        <w:rPr>
          <w:sz w:val="22"/>
          <w:szCs w:val="22"/>
          <w:lang w:val="sr-Latn-ME"/>
        </w:rPr>
      </w:pPr>
      <w:r w:rsidRPr="00AF2694">
        <w:rPr>
          <w:sz w:val="22"/>
          <w:szCs w:val="22"/>
          <w:lang w:val="sr-Latn-ME"/>
        </w:rPr>
        <w:t>Biopsija jetre je prihvaćeni standard za histološku proc</w:t>
      </w:r>
      <w:r w:rsidR="002A29B4" w:rsidRPr="00AF2694">
        <w:rPr>
          <w:sz w:val="22"/>
          <w:szCs w:val="22"/>
          <w:lang w:val="sr-Latn-ME"/>
        </w:rPr>
        <w:t>j</w:t>
      </w:r>
      <w:r w:rsidRPr="00AF2694">
        <w:rPr>
          <w:sz w:val="22"/>
          <w:szCs w:val="22"/>
          <w:lang w:val="sr-Latn-ME"/>
        </w:rPr>
        <w:t>enu aktivnosti bolesti jetre i fibroze, uprkos ograničenjima kao što su varijabilnost uzoraka, potencijalne komplikacije invazivne tehnike i subjektivno oc</w:t>
      </w:r>
      <w:r w:rsidR="002A29B4" w:rsidRPr="00AF2694">
        <w:rPr>
          <w:sz w:val="22"/>
          <w:szCs w:val="22"/>
          <w:lang w:val="sr-Latn-ME"/>
        </w:rPr>
        <w:t>j</w:t>
      </w:r>
      <w:r w:rsidRPr="00AF2694">
        <w:rPr>
          <w:sz w:val="22"/>
          <w:szCs w:val="22"/>
          <w:lang w:val="sr-Latn-ME"/>
        </w:rPr>
        <w:t>enjivanje.</w:t>
      </w:r>
    </w:p>
    <w:p w14:paraId="38BB1356" w14:textId="77777777" w:rsidR="00251C3A" w:rsidRPr="00AF2694" w:rsidRDefault="00251C3A" w:rsidP="00CF11D6">
      <w:pPr>
        <w:tabs>
          <w:tab w:val="left" w:pos="540"/>
          <w:tab w:val="left" w:pos="567"/>
        </w:tabs>
        <w:jc w:val="both"/>
        <w:rPr>
          <w:sz w:val="22"/>
          <w:szCs w:val="22"/>
          <w:lang w:val="sr-Latn-ME"/>
        </w:rPr>
      </w:pPr>
    </w:p>
    <w:p w14:paraId="7BE19F5B" w14:textId="4D18EE71" w:rsidR="00251C3A" w:rsidRPr="00AF2694" w:rsidRDefault="00D635F6" w:rsidP="00CF11D6">
      <w:pPr>
        <w:tabs>
          <w:tab w:val="left" w:pos="540"/>
          <w:tab w:val="left" w:pos="567"/>
        </w:tabs>
        <w:jc w:val="both"/>
        <w:rPr>
          <w:sz w:val="22"/>
          <w:szCs w:val="22"/>
          <w:lang w:val="sr-Latn-ME"/>
        </w:rPr>
      </w:pPr>
      <w:r w:rsidRPr="00AF2694">
        <w:rPr>
          <w:sz w:val="22"/>
          <w:szCs w:val="22"/>
          <w:lang w:val="sr-Latn-ME"/>
        </w:rPr>
        <w:t xml:space="preserve">Uzorke biopsije </w:t>
      </w:r>
      <w:r w:rsidR="00251C3A" w:rsidRPr="00AF2694">
        <w:rPr>
          <w:sz w:val="22"/>
          <w:szCs w:val="22"/>
          <w:lang w:val="sr-Latn-ME"/>
        </w:rPr>
        <w:t xml:space="preserve">jetre od 59 pacijenata uključenih u studije LAL-CL02 i LAL-CL06 </w:t>
      </w:r>
      <w:r w:rsidRPr="00AF2694">
        <w:rPr>
          <w:sz w:val="22"/>
          <w:szCs w:val="22"/>
          <w:lang w:val="sr-Latn-ME"/>
        </w:rPr>
        <w:t>procijenio je nezavisni</w:t>
      </w:r>
      <w:r w:rsidR="00251C3A" w:rsidRPr="00AF2694">
        <w:rPr>
          <w:sz w:val="22"/>
          <w:szCs w:val="22"/>
          <w:lang w:val="sr-Latn-ME"/>
        </w:rPr>
        <w:t xml:space="preserve"> patolog u centralnoj ustanovi, koji je bio zasl</w:t>
      </w:r>
      <w:r w:rsidR="002A29B4" w:rsidRPr="00AF2694">
        <w:rPr>
          <w:sz w:val="22"/>
          <w:szCs w:val="22"/>
          <w:lang w:val="sr-Latn-ME"/>
        </w:rPr>
        <w:t>ij</w:t>
      </w:r>
      <w:r w:rsidR="00251C3A" w:rsidRPr="00AF2694">
        <w:rPr>
          <w:sz w:val="22"/>
          <w:szCs w:val="22"/>
          <w:lang w:val="sr-Latn-ME"/>
        </w:rPr>
        <w:t>epljen za vr</w:t>
      </w:r>
      <w:r w:rsidR="002A29B4" w:rsidRPr="00AF2694">
        <w:rPr>
          <w:sz w:val="22"/>
          <w:szCs w:val="22"/>
          <w:lang w:val="sr-Latn-ME"/>
        </w:rPr>
        <w:t>ij</w:t>
      </w:r>
      <w:r w:rsidR="00251C3A" w:rsidRPr="00AF2694">
        <w:rPr>
          <w:sz w:val="22"/>
          <w:szCs w:val="22"/>
          <w:lang w:val="sr-Latn-ME"/>
        </w:rPr>
        <w:t>eme proc</w:t>
      </w:r>
      <w:r w:rsidR="002A29B4" w:rsidRPr="00AF2694">
        <w:rPr>
          <w:sz w:val="22"/>
          <w:szCs w:val="22"/>
          <w:lang w:val="sr-Latn-ME"/>
        </w:rPr>
        <w:t>j</w:t>
      </w:r>
      <w:r w:rsidR="00251C3A" w:rsidRPr="00AF2694">
        <w:rPr>
          <w:sz w:val="22"/>
          <w:szCs w:val="22"/>
          <w:lang w:val="sr-Latn-ME"/>
        </w:rPr>
        <w:t>ene i raspod</w:t>
      </w:r>
      <w:r w:rsidR="002A29B4" w:rsidRPr="00AF2694">
        <w:rPr>
          <w:sz w:val="22"/>
          <w:szCs w:val="22"/>
          <w:lang w:val="sr-Latn-ME"/>
        </w:rPr>
        <w:t>j</w:t>
      </w:r>
      <w:r w:rsidR="00251C3A" w:rsidRPr="00AF2694">
        <w:rPr>
          <w:sz w:val="22"/>
          <w:szCs w:val="22"/>
          <w:lang w:val="sr-Latn-ME"/>
        </w:rPr>
        <w:t>elu tretmana. Sve biopsije su proc</w:t>
      </w:r>
      <w:r w:rsidR="002A29B4" w:rsidRPr="00AF2694">
        <w:rPr>
          <w:sz w:val="22"/>
          <w:szCs w:val="22"/>
          <w:lang w:val="sr-Latn-ME"/>
        </w:rPr>
        <w:t>ij</w:t>
      </w:r>
      <w:r w:rsidR="00251C3A" w:rsidRPr="00AF2694">
        <w:rPr>
          <w:sz w:val="22"/>
          <w:szCs w:val="22"/>
          <w:lang w:val="sr-Latn-ME"/>
        </w:rPr>
        <w:t xml:space="preserve">enjene polukvantitativno za histološke karakteristike kao što su Ishakov fibrozni skor, portalna upala, lobularna upala, makrovezikularna steatoza i mikrovezikularna steatoza. Kompjuterski podržana morfometrija korišćena je za kvantifikaciju procenta steatoze, fibrogenih ćelija, kolagena i makrofaga. </w:t>
      </w:r>
    </w:p>
    <w:p w14:paraId="19AB7373" w14:textId="77777777" w:rsidR="00251C3A" w:rsidRPr="00AF2694" w:rsidRDefault="00251C3A" w:rsidP="00CF11D6">
      <w:pPr>
        <w:tabs>
          <w:tab w:val="left" w:pos="540"/>
          <w:tab w:val="left" w:pos="567"/>
        </w:tabs>
        <w:jc w:val="both"/>
        <w:rPr>
          <w:sz w:val="22"/>
          <w:szCs w:val="22"/>
          <w:lang w:val="sr-Latn-ME"/>
        </w:rPr>
      </w:pPr>
    </w:p>
    <w:p w14:paraId="6178D353" w14:textId="7DF60373" w:rsidR="00251C3A" w:rsidRPr="00AF2694" w:rsidRDefault="00251C3A" w:rsidP="00CF11D6">
      <w:pPr>
        <w:tabs>
          <w:tab w:val="left" w:pos="540"/>
          <w:tab w:val="left" w:pos="567"/>
        </w:tabs>
        <w:jc w:val="both"/>
        <w:rPr>
          <w:sz w:val="22"/>
          <w:szCs w:val="22"/>
          <w:lang w:val="sr-Latn-ME"/>
        </w:rPr>
      </w:pPr>
      <w:r w:rsidRPr="00AF2694">
        <w:rPr>
          <w:sz w:val="22"/>
          <w:szCs w:val="22"/>
          <w:lang w:val="sr-Latn-ME"/>
        </w:rPr>
        <w:lastRenderedPageBreak/>
        <w:t>Biopsije jetre bile su dostupne za proc</w:t>
      </w:r>
      <w:r w:rsidR="002A29B4" w:rsidRPr="00AF2694">
        <w:rPr>
          <w:sz w:val="22"/>
          <w:szCs w:val="22"/>
          <w:lang w:val="sr-Latn-ME"/>
        </w:rPr>
        <w:t>j</w:t>
      </w:r>
      <w:r w:rsidRPr="00AF2694">
        <w:rPr>
          <w:sz w:val="22"/>
          <w:szCs w:val="22"/>
          <w:lang w:val="sr-Latn-ME"/>
        </w:rPr>
        <w:t>enu Ishakovih fibroznih skorova za 59 pacijenata na početku i za 38 pacijenata u 12. m</w:t>
      </w:r>
      <w:r w:rsidR="002A29B4" w:rsidRPr="00AF2694">
        <w:rPr>
          <w:sz w:val="22"/>
          <w:szCs w:val="22"/>
          <w:lang w:val="sr-Latn-ME"/>
        </w:rPr>
        <w:t>j</w:t>
      </w:r>
      <w:r w:rsidRPr="00AF2694">
        <w:rPr>
          <w:sz w:val="22"/>
          <w:szCs w:val="22"/>
          <w:lang w:val="sr-Latn-ME"/>
        </w:rPr>
        <w:t>esecu (znači nakon 12 m</w:t>
      </w:r>
      <w:r w:rsidR="002A29B4" w:rsidRPr="00AF2694">
        <w:rPr>
          <w:sz w:val="22"/>
          <w:szCs w:val="22"/>
          <w:lang w:val="sr-Latn-ME"/>
        </w:rPr>
        <w:t>j</w:t>
      </w:r>
      <w:r w:rsidRPr="00AF2694">
        <w:rPr>
          <w:sz w:val="22"/>
          <w:szCs w:val="22"/>
          <w:lang w:val="sr-Latn-ME"/>
        </w:rPr>
        <w:t>eseci izloženosti sebelipazi alfa). Postojal</w:t>
      </w:r>
      <w:r w:rsidR="00D635F6" w:rsidRPr="00AF2694">
        <w:rPr>
          <w:sz w:val="22"/>
          <w:szCs w:val="22"/>
          <w:lang w:val="sr-Latn-ME"/>
        </w:rPr>
        <w:t>o</w:t>
      </w:r>
      <w:r w:rsidRPr="00AF2694">
        <w:rPr>
          <w:sz w:val="22"/>
          <w:szCs w:val="22"/>
          <w:lang w:val="sr-Latn-ME"/>
        </w:rPr>
        <w:t xml:space="preserve"> </w:t>
      </w:r>
      <w:r w:rsidR="00D635F6" w:rsidRPr="00AF2694">
        <w:rPr>
          <w:sz w:val="22"/>
          <w:szCs w:val="22"/>
          <w:lang w:val="sr-Latn-ME"/>
        </w:rPr>
        <w:t>je</w:t>
      </w:r>
      <w:r w:rsidRPr="00AF2694">
        <w:rPr>
          <w:sz w:val="22"/>
          <w:szCs w:val="22"/>
          <w:lang w:val="sr-Latn-ME"/>
        </w:rPr>
        <w:t xml:space="preserve"> 36 pacijen</w:t>
      </w:r>
      <w:r w:rsidR="00D635F6" w:rsidRPr="00AF2694">
        <w:rPr>
          <w:sz w:val="22"/>
          <w:szCs w:val="22"/>
          <w:lang w:val="sr-Latn-ME"/>
        </w:rPr>
        <w:t>a</w:t>
      </w:r>
      <w:r w:rsidRPr="00AF2694">
        <w:rPr>
          <w:sz w:val="22"/>
          <w:szCs w:val="22"/>
          <w:lang w:val="sr-Latn-ME"/>
        </w:rPr>
        <w:t>ta koj</w:t>
      </w:r>
      <w:r w:rsidR="00D635F6" w:rsidRPr="00AF2694">
        <w:rPr>
          <w:sz w:val="22"/>
          <w:szCs w:val="22"/>
          <w:lang w:val="sr-Latn-ME"/>
        </w:rPr>
        <w:t>i</w:t>
      </w:r>
      <w:r w:rsidRPr="00AF2694">
        <w:rPr>
          <w:sz w:val="22"/>
          <w:szCs w:val="22"/>
          <w:lang w:val="sr-Latn-ME"/>
        </w:rPr>
        <w:t xml:space="preserve"> su imal</w:t>
      </w:r>
      <w:r w:rsidR="00D635F6" w:rsidRPr="00AF2694">
        <w:rPr>
          <w:sz w:val="22"/>
          <w:szCs w:val="22"/>
          <w:lang w:val="sr-Latn-ME"/>
        </w:rPr>
        <w:t>i</w:t>
      </w:r>
      <w:r w:rsidRPr="00AF2694">
        <w:rPr>
          <w:sz w:val="22"/>
          <w:szCs w:val="22"/>
          <w:lang w:val="sr-Latn-ME"/>
        </w:rPr>
        <w:t xml:space="preserve"> Ishakove skorove kako na početku, tako i u 12. m</w:t>
      </w:r>
      <w:r w:rsidR="002A29B4" w:rsidRPr="00AF2694">
        <w:rPr>
          <w:sz w:val="22"/>
          <w:szCs w:val="22"/>
          <w:lang w:val="sr-Latn-ME"/>
        </w:rPr>
        <w:t>j</w:t>
      </w:r>
      <w:r w:rsidRPr="00AF2694">
        <w:rPr>
          <w:sz w:val="22"/>
          <w:szCs w:val="22"/>
          <w:lang w:val="sr-Latn-ME"/>
        </w:rPr>
        <w:t>esecu.</w:t>
      </w:r>
    </w:p>
    <w:p w14:paraId="734FFB1B" w14:textId="77777777" w:rsidR="00251C3A" w:rsidRPr="00AF2694" w:rsidRDefault="00251C3A" w:rsidP="00CF11D6">
      <w:pPr>
        <w:tabs>
          <w:tab w:val="left" w:pos="540"/>
          <w:tab w:val="left" w:pos="567"/>
        </w:tabs>
        <w:jc w:val="both"/>
        <w:rPr>
          <w:sz w:val="22"/>
          <w:szCs w:val="22"/>
          <w:lang w:val="sr-Latn-ME"/>
        </w:rPr>
      </w:pPr>
    </w:p>
    <w:p w14:paraId="5E61207C" w14:textId="09A4DA81" w:rsidR="00251C3A" w:rsidRPr="00AF2694" w:rsidRDefault="00251C3A" w:rsidP="00CF11D6">
      <w:pPr>
        <w:tabs>
          <w:tab w:val="left" w:pos="540"/>
          <w:tab w:val="left" w:pos="567"/>
        </w:tabs>
        <w:jc w:val="both"/>
        <w:rPr>
          <w:sz w:val="22"/>
          <w:szCs w:val="22"/>
          <w:lang w:val="sr-Latn-ME"/>
        </w:rPr>
      </w:pPr>
      <w:r w:rsidRPr="00AF2694">
        <w:rPr>
          <w:sz w:val="22"/>
          <w:szCs w:val="22"/>
          <w:lang w:val="sr-Latn-ME"/>
        </w:rPr>
        <w:t>Na početku</w:t>
      </w:r>
      <w:r w:rsidR="00D635F6" w:rsidRPr="00AF2694">
        <w:rPr>
          <w:sz w:val="22"/>
          <w:szCs w:val="22"/>
          <w:lang w:val="sr-Latn-ME"/>
        </w:rPr>
        <w:t xml:space="preserve"> ispitivanja</w:t>
      </w:r>
      <w:r w:rsidRPr="00AF2694">
        <w:rPr>
          <w:sz w:val="22"/>
          <w:szCs w:val="22"/>
          <w:lang w:val="sr-Latn-ME"/>
        </w:rPr>
        <w:t xml:space="preserve">, 3 od 59 pacijenata (5%) imali su Ishakov skor 0 (bez fibroze), a 15 pacijenata (25%) imali su Ishakov skor 6, što ukazuje na </w:t>
      </w:r>
      <w:r w:rsidR="00D635F6" w:rsidRPr="00AF2694">
        <w:rPr>
          <w:sz w:val="22"/>
          <w:szCs w:val="22"/>
          <w:lang w:val="sr-Latn-ME"/>
        </w:rPr>
        <w:t xml:space="preserve">razvijenu </w:t>
      </w:r>
      <w:r w:rsidRPr="00AF2694">
        <w:rPr>
          <w:sz w:val="22"/>
          <w:szCs w:val="22"/>
          <w:lang w:val="sr-Latn-ME"/>
        </w:rPr>
        <w:t xml:space="preserve">ili </w:t>
      </w:r>
      <w:r w:rsidR="00D635F6" w:rsidRPr="00AF2694">
        <w:rPr>
          <w:sz w:val="22"/>
          <w:szCs w:val="22"/>
          <w:lang w:val="sr-Latn-ME"/>
        </w:rPr>
        <w:t xml:space="preserve">uznapredovalu </w:t>
      </w:r>
      <w:r w:rsidRPr="00AF2694">
        <w:rPr>
          <w:sz w:val="22"/>
          <w:szCs w:val="22"/>
          <w:lang w:val="sr-Latn-ME"/>
        </w:rPr>
        <w:t>cirozu. Ishakovi skorovi su se poboljšali do 12. m</w:t>
      </w:r>
      <w:r w:rsidR="002A29B4" w:rsidRPr="00AF2694">
        <w:rPr>
          <w:sz w:val="22"/>
          <w:szCs w:val="22"/>
          <w:lang w:val="sr-Latn-ME"/>
        </w:rPr>
        <w:t>j</w:t>
      </w:r>
      <w:r w:rsidRPr="00AF2694">
        <w:rPr>
          <w:sz w:val="22"/>
          <w:szCs w:val="22"/>
          <w:lang w:val="sr-Latn-ME"/>
        </w:rPr>
        <w:t>eseca, kada je 9 od 38 pacijenata (24%) imalo Ishakov skor 0, a 7 pacijenata (18%) imalo je Ishakov skor 6. Ukupno, 31 od 36 pacijenata (86,1%) imalo je Ishakove skorove koji su se poboljšali ili ni</w:t>
      </w:r>
      <w:r w:rsidR="00D635F6" w:rsidRPr="00AF2694">
        <w:rPr>
          <w:sz w:val="22"/>
          <w:szCs w:val="22"/>
          <w:lang w:val="sr-Latn-ME"/>
        </w:rPr>
        <w:t>je</w:t>
      </w:r>
      <w:r w:rsidRPr="00AF2694">
        <w:rPr>
          <w:sz w:val="22"/>
          <w:szCs w:val="22"/>
          <w:lang w:val="sr-Latn-ME"/>
        </w:rPr>
        <w:t>su napredovali u 12. m</w:t>
      </w:r>
      <w:r w:rsidR="002A29B4" w:rsidRPr="00AF2694">
        <w:rPr>
          <w:sz w:val="22"/>
          <w:szCs w:val="22"/>
          <w:lang w:val="sr-Latn-ME"/>
        </w:rPr>
        <w:t>j</w:t>
      </w:r>
      <w:r w:rsidRPr="00AF2694">
        <w:rPr>
          <w:sz w:val="22"/>
          <w:szCs w:val="22"/>
          <w:lang w:val="sr-Latn-ME"/>
        </w:rPr>
        <w:t>esecu. Postojalo je 10 pacijenata (28%) sa ≥ 2 poena smanjenja u Ishakovim skorovima od početka do 12. m</w:t>
      </w:r>
      <w:r w:rsidR="002A29B4" w:rsidRPr="00AF2694">
        <w:rPr>
          <w:sz w:val="22"/>
          <w:szCs w:val="22"/>
          <w:lang w:val="sr-Latn-ME"/>
        </w:rPr>
        <w:t>j</w:t>
      </w:r>
      <w:r w:rsidRPr="00AF2694">
        <w:rPr>
          <w:sz w:val="22"/>
          <w:szCs w:val="22"/>
          <w:lang w:val="sr-Latn-ME"/>
        </w:rPr>
        <w:t>eseca, uključujući prom</w:t>
      </w:r>
      <w:r w:rsidR="002A29B4" w:rsidRPr="00AF2694">
        <w:rPr>
          <w:sz w:val="22"/>
          <w:szCs w:val="22"/>
          <w:lang w:val="sr-Latn-ME"/>
        </w:rPr>
        <w:t>j</w:t>
      </w:r>
      <w:r w:rsidRPr="00AF2694">
        <w:rPr>
          <w:sz w:val="22"/>
          <w:szCs w:val="22"/>
          <w:lang w:val="sr-Latn-ME"/>
        </w:rPr>
        <w:t xml:space="preserve">ene iz stadijuma 2 u stadijum 0, iz stadijuma 3 u stadijume 1 i 0, iz stadijuma 5 u stadijum 0 (&gt; 3 poena smanjenja), i iz stadijuma 6 u stadijume 4 i 3. </w:t>
      </w:r>
      <w:r w:rsidR="00D635F6" w:rsidRPr="00AF2694">
        <w:rPr>
          <w:sz w:val="22"/>
          <w:szCs w:val="22"/>
          <w:lang w:val="sr-Latn-ME"/>
        </w:rPr>
        <w:t xml:space="preserve">Tih 10 pacijenata za koje se na Ishakovoj skali stepena fibroze pokazalo smanjenje ≥ 2 boda imalo je tokom istog </w:t>
      </w:r>
      <w:r w:rsidR="00F25BE4" w:rsidRPr="00AF2694">
        <w:rPr>
          <w:sz w:val="22"/>
          <w:szCs w:val="22"/>
          <w:lang w:val="sr-Latn-ME"/>
        </w:rPr>
        <w:t>vremenskog perioda</w:t>
      </w:r>
      <w:r w:rsidR="00D635F6" w:rsidRPr="00AF2694">
        <w:rPr>
          <w:sz w:val="22"/>
          <w:szCs w:val="22"/>
          <w:lang w:val="sr-Latn-ME"/>
        </w:rPr>
        <w:t xml:space="preserve"> znatna poboljšanja i u drugim procjenama u okviru ispitivanja, kao što je smanjenje vrijednosti ALT-a, LDL holesterola, HDL holesterola i non-HDL holesterola.</w:t>
      </w:r>
    </w:p>
    <w:p w14:paraId="4F28219E" w14:textId="77777777" w:rsidR="00251C3A" w:rsidRPr="00AF2694" w:rsidRDefault="00251C3A" w:rsidP="00CF11D6">
      <w:pPr>
        <w:tabs>
          <w:tab w:val="left" w:pos="540"/>
          <w:tab w:val="left" w:pos="567"/>
        </w:tabs>
        <w:jc w:val="both"/>
        <w:rPr>
          <w:sz w:val="22"/>
          <w:szCs w:val="22"/>
          <w:lang w:val="sr-Latn-ME"/>
        </w:rPr>
      </w:pPr>
    </w:p>
    <w:p w14:paraId="519E8BCE" w14:textId="57A5C5DE" w:rsidR="00251C3A" w:rsidRPr="00AF2694" w:rsidRDefault="00251C3A" w:rsidP="00CF11D6">
      <w:pPr>
        <w:tabs>
          <w:tab w:val="left" w:pos="540"/>
          <w:tab w:val="left" w:pos="567"/>
        </w:tabs>
        <w:jc w:val="both"/>
        <w:rPr>
          <w:sz w:val="22"/>
          <w:szCs w:val="22"/>
          <w:lang w:val="sr-Latn-ME"/>
        </w:rPr>
      </w:pPr>
      <w:r w:rsidRPr="00AF2694">
        <w:rPr>
          <w:sz w:val="22"/>
          <w:szCs w:val="22"/>
          <w:lang w:val="sr-Latn-ME"/>
        </w:rPr>
        <w:t xml:space="preserve">Na osnovu kriterijuma za uključivanje, </w:t>
      </w:r>
      <w:r w:rsidR="00F25BE4" w:rsidRPr="00AF2694">
        <w:rPr>
          <w:sz w:val="22"/>
          <w:szCs w:val="22"/>
          <w:lang w:val="sr-Latn-ME"/>
        </w:rPr>
        <w:t>većinom se očekivalo da će u ispitivanju LAL-CL06 više pacijenata imati cirozu i neizl</w:t>
      </w:r>
      <w:r w:rsidR="0006389C" w:rsidRPr="00AF2694">
        <w:rPr>
          <w:sz w:val="22"/>
          <w:szCs w:val="22"/>
          <w:lang w:val="sr-Latn-ME"/>
        </w:rPr>
        <w:t>i</w:t>
      </w:r>
      <w:r w:rsidR="00F25BE4" w:rsidRPr="00AF2694">
        <w:rPr>
          <w:sz w:val="22"/>
          <w:szCs w:val="22"/>
          <w:lang w:val="sr-Latn-ME"/>
        </w:rPr>
        <w:t>ječivu bolest nego u ispitivanju LAL-CL02, zbog više uznapredovale bolesti jetre na početku ispitivanja</w:t>
      </w:r>
      <w:r w:rsidRPr="00AF2694">
        <w:rPr>
          <w:sz w:val="22"/>
          <w:szCs w:val="22"/>
          <w:lang w:val="sr-Latn-ME"/>
        </w:rPr>
        <w:t>. Nalazi biopsije jetre u studijama LAL-CL02 i LAL</w:t>
      </w:r>
      <w:r w:rsidR="00F25BE4" w:rsidRPr="00AF2694">
        <w:rPr>
          <w:sz w:val="22"/>
          <w:szCs w:val="22"/>
          <w:lang w:val="sr-Latn-ME"/>
        </w:rPr>
        <w:t>-</w:t>
      </w:r>
      <w:r w:rsidRPr="00AF2694">
        <w:rPr>
          <w:sz w:val="22"/>
          <w:szCs w:val="22"/>
          <w:lang w:val="sr-Latn-ME"/>
        </w:rPr>
        <w:t xml:space="preserve">CL06 bili su </w:t>
      </w:r>
      <w:r w:rsidR="00F25BE4" w:rsidRPr="00AF2694">
        <w:rPr>
          <w:sz w:val="22"/>
          <w:szCs w:val="22"/>
          <w:lang w:val="sr-Latn-ME"/>
        </w:rPr>
        <w:t>međusobno podudarni</w:t>
      </w:r>
      <w:r w:rsidRPr="00AF2694">
        <w:rPr>
          <w:sz w:val="22"/>
          <w:szCs w:val="22"/>
          <w:lang w:val="sr-Latn-ME"/>
        </w:rPr>
        <w:t>. Na početku, u ob</w:t>
      </w:r>
      <w:r w:rsidR="00F25BE4" w:rsidRPr="00AF2694">
        <w:rPr>
          <w:sz w:val="22"/>
          <w:szCs w:val="22"/>
          <w:lang w:val="sr-Latn-ME"/>
        </w:rPr>
        <w:t>ij</w:t>
      </w:r>
      <w:r w:rsidRPr="00AF2694">
        <w:rPr>
          <w:sz w:val="22"/>
          <w:szCs w:val="22"/>
          <w:lang w:val="sr-Latn-ME"/>
        </w:rPr>
        <w:t>e studije, većina pacijenata je imala mikrovezikularnu steatozu (57 od 59, 97%), uključujući 45 od 59 pacijenata (76%) sa skorom 4 (skala od 0 do 4, gd</w:t>
      </w:r>
      <w:r w:rsidR="00F25BE4" w:rsidRPr="00AF2694">
        <w:rPr>
          <w:sz w:val="22"/>
          <w:szCs w:val="22"/>
          <w:lang w:val="sr-Latn-ME"/>
        </w:rPr>
        <w:t>j</w:t>
      </w:r>
      <w:r w:rsidRPr="00AF2694">
        <w:rPr>
          <w:sz w:val="22"/>
          <w:szCs w:val="22"/>
          <w:lang w:val="sr-Latn-ME"/>
        </w:rPr>
        <w:t xml:space="preserve">e se </w:t>
      </w:r>
      <w:r w:rsidR="00F25BE4" w:rsidRPr="00AF2694">
        <w:rPr>
          <w:sz w:val="22"/>
          <w:szCs w:val="22"/>
          <w:lang w:val="sr-Latn-ME"/>
        </w:rPr>
        <w:t>,,</w:t>
      </w:r>
      <w:r w:rsidRPr="00AF2694">
        <w:rPr>
          <w:sz w:val="22"/>
          <w:szCs w:val="22"/>
          <w:lang w:val="sr-Latn-ME"/>
        </w:rPr>
        <w:t>teško</w:t>
      </w:r>
      <w:r w:rsidR="00F25BE4" w:rsidRPr="00AF2694">
        <w:rPr>
          <w:sz w:val="22"/>
          <w:szCs w:val="22"/>
          <w:lang w:val="sr-Latn-ME"/>
        </w:rPr>
        <w:t>’’</w:t>
      </w:r>
      <w:r w:rsidRPr="00AF2694">
        <w:rPr>
          <w:sz w:val="22"/>
          <w:szCs w:val="22"/>
          <w:lang w:val="sr-Latn-ME"/>
        </w:rPr>
        <w:t xml:space="preserve"> definiše kao 4 i ekvivalentno je &gt; 66% </w:t>
      </w:r>
      <w:r w:rsidR="00F25BE4" w:rsidRPr="00AF2694">
        <w:rPr>
          <w:sz w:val="22"/>
          <w:szCs w:val="22"/>
          <w:lang w:val="sr-Latn-ME"/>
        </w:rPr>
        <w:t>obuhvaćenosti</w:t>
      </w:r>
      <w:r w:rsidRPr="00AF2694">
        <w:rPr>
          <w:sz w:val="22"/>
          <w:szCs w:val="22"/>
          <w:lang w:val="sr-Latn-ME"/>
        </w:rPr>
        <w:t>/zam</w:t>
      </w:r>
      <w:r w:rsidR="002A29B4" w:rsidRPr="00AF2694">
        <w:rPr>
          <w:sz w:val="22"/>
          <w:szCs w:val="22"/>
          <w:lang w:val="sr-Latn-ME"/>
        </w:rPr>
        <w:t>j</w:t>
      </w:r>
      <w:r w:rsidRPr="00AF2694">
        <w:rPr>
          <w:sz w:val="22"/>
          <w:szCs w:val="22"/>
          <w:lang w:val="sr-Latn-ME"/>
        </w:rPr>
        <w:t>ene hepatocita), kako se i očekivalo sa osnovnom bolešću. U 12. m</w:t>
      </w:r>
      <w:r w:rsidR="002A29B4" w:rsidRPr="00AF2694">
        <w:rPr>
          <w:sz w:val="22"/>
          <w:szCs w:val="22"/>
          <w:lang w:val="sr-Latn-ME"/>
        </w:rPr>
        <w:t>j</w:t>
      </w:r>
      <w:r w:rsidRPr="00AF2694">
        <w:rPr>
          <w:sz w:val="22"/>
          <w:szCs w:val="22"/>
          <w:lang w:val="sr-Latn-ME"/>
        </w:rPr>
        <w:t>esecu, procenat pacijenata sa teškom mikrovezikularnom steatozom je smanjen, s</w:t>
      </w:r>
      <w:r w:rsidR="00F25BE4" w:rsidRPr="00AF2694">
        <w:rPr>
          <w:sz w:val="22"/>
          <w:szCs w:val="22"/>
          <w:lang w:val="sr-Latn-ME"/>
        </w:rPr>
        <w:t xml:space="preserve"> tim da je</w:t>
      </w:r>
      <w:r w:rsidRPr="00AF2694">
        <w:rPr>
          <w:sz w:val="22"/>
          <w:szCs w:val="22"/>
          <w:lang w:val="sr-Latn-ME"/>
        </w:rPr>
        <w:t xml:space="preserve"> 17 od 38 pacijenata (45%) koji su imali &gt; 66% </w:t>
      </w:r>
      <w:r w:rsidR="00F25BE4" w:rsidRPr="00AF2694">
        <w:rPr>
          <w:sz w:val="22"/>
          <w:szCs w:val="22"/>
          <w:lang w:val="sr-Latn-ME"/>
        </w:rPr>
        <w:t>zahvaćenosti</w:t>
      </w:r>
      <w:r w:rsidRPr="00AF2694">
        <w:rPr>
          <w:sz w:val="22"/>
          <w:szCs w:val="22"/>
          <w:lang w:val="sr-Latn-ME"/>
        </w:rPr>
        <w:t>/zam</w:t>
      </w:r>
      <w:r w:rsidR="002A29B4" w:rsidRPr="00AF2694">
        <w:rPr>
          <w:sz w:val="22"/>
          <w:szCs w:val="22"/>
          <w:lang w:val="sr-Latn-ME"/>
        </w:rPr>
        <w:t>j</w:t>
      </w:r>
      <w:r w:rsidRPr="00AF2694">
        <w:rPr>
          <w:sz w:val="22"/>
          <w:szCs w:val="22"/>
          <w:lang w:val="sr-Latn-ME"/>
        </w:rPr>
        <w:t xml:space="preserve">ene hepatocita (skor 4).   </w:t>
      </w:r>
    </w:p>
    <w:p w14:paraId="4A663CC5" w14:textId="77777777" w:rsidR="00251C3A" w:rsidRPr="00AF2694" w:rsidRDefault="00251C3A" w:rsidP="00CF11D6">
      <w:pPr>
        <w:tabs>
          <w:tab w:val="left" w:pos="540"/>
          <w:tab w:val="left" w:pos="567"/>
        </w:tabs>
        <w:jc w:val="both"/>
        <w:rPr>
          <w:bCs/>
          <w:iCs/>
          <w:sz w:val="22"/>
          <w:szCs w:val="22"/>
          <w:u w:val="single"/>
          <w:lang w:val="sr-Latn-ME"/>
        </w:rPr>
      </w:pPr>
    </w:p>
    <w:p w14:paraId="4F3630BA" w14:textId="77777777" w:rsidR="00251C3A" w:rsidRPr="00AF2694" w:rsidRDefault="00251C3A" w:rsidP="00CF11D6">
      <w:pPr>
        <w:tabs>
          <w:tab w:val="left" w:pos="540"/>
          <w:tab w:val="left" w:pos="567"/>
        </w:tabs>
        <w:jc w:val="both"/>
        <w:rPr>
          <w:bCs/>
          <w:iCs/>
          <w:sz w:val="22"/>
          <w:szCs w:val="22"/>
          <w:u w:val="single"/>
          <w:lang w:val="sr-Latn-ME"/>
        </w:rPr>
      </w:pPr>
      <w:r w:rsidRPr="00AF2694">
        <w:rPr>
          <w:sz w:val="22"/>
          <w:szCs w:val="22"/>
          <w:u w:val="single"/>
          <w:lang w:val="sr-Latn-ME"/>
        </w:rPr>
        <w:t>Pedijatrijska populacija</w:t>
      </w:r>
    </w:p>
    <w:p w14:paraId="6CF81D45" w14:textId="77777777" w:rsidR="00251C3A" w:rsidRPr="00AF2694" w:rsidRDefault="00251C3A" w:rsidP="00CF11D6">
      <w:pPr>
        <w:tabs>
          <w:tab w:val="left" w:pos="540"/>
          <w:tab w:val="left" w:pos="567"/>
        </w:tabs>
        <w:jc w:val="both"/>
        <w:rPr>
          <w:sz w:val="22"/>
          <w:szCs w:val="22"/>
          <w:lang w:val="sr-Latn-ME"/>
        </w:rPr>
      </w:pPr>
    </w:p>
    <w:p w14:paraId="0587C7C5" w14:textId="0DA6C568" w:rsidR="00251C3A" w:rsidRPr="00AF2694" w:rsidRDefault="00251C3A" w:rsidP="00CF11D6">
      <w:pPr>
        <w:tabs>
          <w:tab w:val="left" w:pos="540"/>
          <w:tab w:val="left" w:pos="567"/>
        </w:tabs>
        <w:jc w:val="both"/>
        <w:rPr>
          <w:sz w:val="22"/>
          <w:szCs w:val="22"/>
          <w:lang w:val="sr-Latn-ME"/>
        </w:rPr>
      </w:pPr>
      <w:r w:rsidRPr="00AF2694">
        <w:rPr>
          <w:sz w:val="22"/>
          <w:szCs w:val="22"/>
          <w:lang w:val="sr-Latn-ME"/>
        </w:rPr>
        <w:t>Osamdeset osam</w:t>
      </w:r>
      <w:r w:rsidR="00F25BE4" w:rsidRPr="00AF2694">
        <w:rPr>
          <w:sz w:val="22"/>
          <w:szCs w:val="22"/>
          <w:lang w:val="sr-Latn-ME"/>
        </w:rPr>
        <w:t xml:space="preserve"> (88)</w:t>
      </w:r>
      <w:r w:rsidRPr="00AF2694">
        <w:rPr>
          <w:sz w:val="22"/>
          <w:szCs w:val="22"/>
          <w:lang w:val="sr-Latn-ME"/>
        </w:rPr>
        <w:t xml:space="preserve"> od 125 pacijenata (70%) koji su primili sebelipazu alfa tokom kliničkih studija bili su u pedijatrijskom i adolescentnom uzrastu (1 m</w:t>
      </w:r>
      <w:r w:rsidR="002A29B4" w:rsidRPr="00AF2694">
        <w:rPr>
          <w:sz w:val="22"/>
          <w:szCs w:val="22"/>
          <w:lang w:val="sr-Latn-ME"/>
        </w:rPr>
        <w:t>j</w:t>
      </w:r>
      <w:r w:rsidRPr="00AF2694">
        <w:rPr>
          <w:sz w:val="22"/>
          <w:szCs w:val="22"/>
          <w:lang w:val="sr-Latn-ME"/>
        </w:rPr>
        <w:t xml:space="preserve">esec do 18 godina) u trenutku prve doze. Trenutno dostupni podaci opisani su u </w:t>
      </w:r>
      <w:r w:rsidR="002A29B4" w:rsidRPr="00AF2694">
        <w:rPr>
          <w:sz w:val="22"/>
          <w:szCs w:val="22"/>
          <w:lang w:val="sr-Latn-ME"/>
        </w:rPr>
        <w:t>djelovima</w:t>
      </w:r>
      <w:r w:rsidRPr="00AF2694">
        <w:rPr>
          <w:sz w:val="22"/>
          <w:szCs w:val="22"/>
          <w:lang w:val="sr-Latn-ME"/>
        </w:rPr>
        <w:t xml:space="preserve"> 4.8 i 5.1. </w:t>
      </w:r>
    </w:p>
    <w:p w14:paraId="45079307" w14:textId="77777777" w:rsidR="00251C3A" w:rsidRPr="00AF2694" w:rsidRDefault="00251C3A" w:rsidP="00CF11D6">
      <w:pPr>
        <w:tabs>
          <w:tab w:val="left" w:pos="540"/>
          <w:tab w:val="left" w:pos="567"/>
        </w:tabs>
        <w:jc w:val="both"/>
        <w:rPr>
          <w:sz w:val="22"/>
          <w:szCs w:val="22"/>
          <w:lang w:val="sr-Latn-ME"/>
        </w:rPr>
      </w:pPr>
      <w:bookmarkStart w:id="5" w:name="_Hlk35963968"/>
    </w:p>
    <w:p w14:paraId="4EA051CD" w14:textId="01CAA1A3" w:rsidR="00251C3A" w:rsidRPr="00AF2694" w:rsidRDefault="00251C3A" w:rsidP="00CF11D6">
      <w:pPr>
        <w:tabs>
          <w:tab w:val="left" w:pos="540"/>
          <w:tab w:val="left" w:pos="567"/>
        </w:tabs>
        <w:jc w:val="both"/>
        <w:rPr>
          <w:sz w:val="22"/>
          <w:szCs w:val="22"/>
          <w:u w:val="single"/>
          <w:lang w:val="sr-Latn-ME"/>
        </w:rPr>
      </w:pPr>
      <w:r w:rsidRPr="00AF2694">
        <w:rPr>
          <w:sz w:val="22"/>
          <w:szCs w:val="22"/>
          <w:u w:val="single"/>
          <w:lang w:val="sr-Latn-ME"/>
        </w:rPr>
        <w:t xml:space="preserve">Registar </w:t>
      </w:r>
      <w:r w:rsidR="00F25BE4" w:rsidRPr="00AF2694">
        <w:rPr>
          <w:sz w:val="22"/>
          <w:szCs w:val="22"/>
          <w:u w:val="single"/>
          <w:lang w:val="sr-Latn-ME"/>
        </w:rPr>
        <w:t>pacijenata s</w:t>
      </w:r>
      <w:r w:rsidRPr="00AF2694">
        <w:rPr>
          <w:sz w:val="22"/>
          <w:szCs w:val="22"/>
          <w:u w:val="single"/>
          <w:lang w:val="sr-Latn-ME"/>
        </w:rPr>
        <w:t>a deficijencij</w:t>
      </w:r>
      <w:r w:rsidR="00F25BE4" w:rsidRPr="00AF2694">
        <w:rPr>
          <w:sz w:val="22"/>
          <w:szCs w:val="22"/>
          <w:u w:val="single"/>
          <w:lang w:val="sr-Latn-ME"/>
        </w:rPr>
        <w:t>om</w:t>
      </w:r>
      <w:r w:rsidRPr="00AF2694">
        <w:rPr>
          <w:sz w:val="22"/>
          <w:szCs w:val="22"/>
          <w:u w:val="single"/>
          <w:lang w:val="sr-Latn-ME"/>
        </w:rPr>
        <w:t xml:space="preserve"> lizozomalne kisele lipaze</w:t>
      </w:r>
    </w:p>
    <w:p w14:paraId="776F12A4" w14:textId="77777777" w:rsidR="00251C3A" w:rsidRPr="00AF2694" w:rsidRDefault="00251C3A" w:rsidP="00CF11D6">
      <w:pPr>
        <w:tabs>
          <w:tab w:val="left" w:pos="540"/>
          <w:tab w:val="left" w:pos="567"/>
        </w:tabs>
        <w:jc w:val="both"/>
        <w:rPr>
          <w:sz w:val="22"/>
          <w:szCs w:val="22"/>
          <w:u w:val="single"/>
          <w:lang w:val="sr-Latn-ME"/>
        </w:rPr>
      </w:pPr>
    </w:p>
    <w:p w14:paraId="2044DF05" w14:textId="6AAB1ABE" w:rsidR="00251C3A" w:rsidRPr="00AF2694" w:rsidRDefault="00F25BE4" w:rsidP="00CF11D6">
      <w:pPr>
        <w:tabs>
          <w:tab w:val="left" w:pos="540"/>
          <w:tab w:val="left" w:pos="569"/>
        </w:tabs>
        <w:jc w:val="both"/>
        <w:rPr>
          <w:b/>
          <w:bCs/>
          <w:sz w:val="22"/>
          <w:szCs w:val="22"/>
          <w:lang w:val="sr-Latn-ME"/>
        </w:rPr>
      </w:pPr>
      <w:r w:rsidRPr="00AF2694">
        <w:rPr>
          <w:sz w:val="22"/>
          <w:szCs w:val="22"/>
          <w:lang w:val="sr-Latn-ME"/>
        </w:rPr>
        <w:t>Ohrabruju se l</w:t>
      </w:r>
      <w:r w:rsidR="002A29B4" w:rsidRPr="00AF2694">
        <w:rPr>
          <w:sz w:val="22"/>
          <w:szCs w:val="22"/>
          <w:lang w:val="sr-Latn-ME"/>
        </w:rPr>
        <w:t>j</w:t>
      </w:r>
      <w:r w:rsidR="00251C3A" w:rsidRPr="00AF2694">
        <w:rPr>
          <w:sz w:val="22"/>
          <w:szCs w:val="22"/>
          <w:lang w:val="sr-Latn-ME"/>
        </w:rPr>
        <w:t>ekari i zdravstveni radnici da učestvuju i registruju sve pacijente sa dijagnozom deficijencije lizozomalne kisele lipaze u registar za deficijenciju lizozomalne kisele lipaze.</w:t>
      </w:r>
      <w:bookmarkEnd w:id="5"/>
    </w:p>
    <w:p w14:paraId="7EA042F5" w14:textId="77777777" w:rsidR="00251C3A" w:rsidRPr="00AF2694" w:rsidRDefault="00251C3A" w:rsidP="00CF11D6">
      <w:pPr>
        <w:tabs>
          <w:tab w:val="left" w:pos="540"/>
          <w:tab w:val="left" w:pos="569"/>
        </w:tabs>
        <w:jc w:val="both"/>
        <w:rPr>
          <w:b/>
          <w:bCs/>
          <w:sz w:val="22"/>
          <w:szCs w:val="22"/>
          <w:lang w:val="sr-Latn-ME"/>
        </w:rPr>
      </w:pPr>
    </w:p>
    <w:p w14:paraId="45D0155D" w14:textId="77777777" w:rsidR="0072020E" w:rsidRPr="00AF2694" w:rsidRDefault="0072020E" w:rsidP="00CF11D6">
      <w:pPr>
        <w:tabs>
          <w:tab w:val="left" w:pos="540"/>
          <w:tab w:val="left" w:pos="569"/>
        </w:tabs>
        <w:jc w:val="both"/>
        <w:rPr>
          <w:b/>
          <w:bCs/>
          <w:sz w:val="22"/>
          <w:szCs w:val="22"/>
          <w:lang w:val="sr-Latn-ME"/>
        </w:rPr>
      </w:pPr>
      <w:r w:rsidRPr="00AF2694">
        <w:rPr>
          <w:b/>
          <w:bCs/>
          <w:sz w:val="22"/>
          <w:szCs w:val="22"/>
          <w:lang w:val="sr-Latn-ME"/>
        </w:rPr>
        <w:t xml:space="preserve">5.2. </w:t>
      </w:r>
      <w:r w:rsidR="00480FB1" w:rsidRPr="00AF2694">
        <w:rPr>
          <w:b/>
          <w:bCs/>
          <w:sz w:val="22"/>
          <w:szCs w:val="22"/>
          <w:lang w:val="sr-Latn-ME"/>
        </w:rPr>
        <w:tab/>
      </w:r>
      <w:r w:rsidRPr="00AF2694">
        <w:rPr>
          <w:b/>
          <w:bCs/>
          <w:sz w:val="22"/>
          <w:szCs w:val="22"/>
          <w:lang w:val="sr-Latn-ME"/>
        </w:rPr>
        <w:t>Farmakokinetički podaci</w:t>
      </w:r>
      <w:r w:rsidR="003A7059" w:rsidRPr="00AF2694">
        <w:rPr>
          <w:b/>
          <w:bCs/>
          <w:sz w:val="22"/>
          <w:szCs w:val="22"/>
          <w:lang w:val="sr-Latn-ME"/>
        </w:rPr>
        <w:t xml:space="preserve"> </w:t>
      </w:r>
    </w:p>
    <w:p w14:paraId="5AD06D2C" w14:textId="77777777" w:rsidR="0072020E" w:rsidRPr="00AF2694" w:rsidRDefault="0072020E" w:rsidP="00CF11D6">
      <w:pPr>
        <w:tabs>
          <w:tab w:val="left" w:pos="540"/>
          <w:tab w:val="left" w:pos="569"/>
        </w:tabs>
        <w:jc w:val="both"/>
        <w:rPr>
          <w:bCs/>
          <w:sz w:val="22"/>
          <w:szCs w:val="22"/>
          <w:lang w:val="sr-Latn-ME"/>
        </w:rPr>
      </w:pPr>
    </w:p>
    <w:p w14:paraId="03A925C3" w14:textId="332EEA08"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Farmakokinetika sebelipaze alfa kod d</w:t>
      </w:r>
      <w:r w:rsidR="002A29B4" w:rsidRPr="00AF2694">
        <w:rPr>
          <w:bCs/>
          <w:sz w:val="22"/>
          <w:szCs w:val="22"/>
          <w:lang w:val="sr-Latn-ME"/>
        </w:rPr>
        <w:t>j</w:t>
      </w:r>
      <w:r w:rsidRPr="00AF2694">
        <w:rPr>
          <w:bCs/>
          <w:sz w:val="22"/>
          <w:szCs w:val="22"/>
          <w:lang w:val="sr-Latn-ME"/>
        </w:rPr>
        <w:t>ece i odraslih određena je korišćenjem populacione farmakokinetičke analize 102 pacijenta sa deficijencijom lizozomalne kisele lipaze koji su primali intravenske infuzije sebelipaze alfa u okviru 4 kliničke studije: LAL-CL02, LAL-CL03, LAL-CL04 i LAL-CL06 (Tabela 4).</w:t>
      </w:r>
    </w:p>
    <w:p w14:paraId="6D8F67F6" w14:textId="77777777" w:rsidR="002A29B4" w:rsidRPr="00AF2694" w:rsidRDefault="002A29B4" w:rsidP="00CF11D6">
      <w:pPr>
        <w:tabs>
          <w:tab w:val="left" w:pos="540"/>
          <w:tab w:val="left" w:pos="567"/>
        </w:tabs>
        <w:jc w:val="both"/>
        <w:rPr>
          <w:bCs/>
          <w:sz w:val="22"/>
          <w:szCs w:val="22"/>
          <w:lang w:val="sr-Latn-ME"/>
        </w:rPr>
      </w:pPr>
    </w:p>
    <w:p w14:paraId="0B1A693C" w14:textId="135E30AD"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 xml:space="preserve">Predviđeni farmakokinetički </w:t>
      </w:r>
      <w:r w:rsidR="00FA4B48" w:rsidRPr="00AF2694">
        <w:rPr>
          <w:bCs/>
          <w:sz w:val="22"/>
          <w:szCs w:val="22"/>
          <w:lang w:val="sr-Latn-ME"/>
        </w:rPr>
        <w:t xml:space="preserve">parametri </w:t>
      </w:r>
      <w:r w:rsidRPr="00AF2694">
        <w:rPr>
          <w:bCs/>
          <w:sz w:val="22"/>
          <w:szCs w:val="22"/>
          <w:lang w:val="sr-Latn-ME"/>
        </w:rPr>
        <w:t>i parametri izloženosti sebelipaz</w:t>
      </w:r>
      <w:r w:rsidR="00FA4B48" w:rsidRPr="00AF2694">
        <w:rPr>
          <w:bCs/>
          <w:sz w:val="22"/>
          <w:szCs w:val="22"/>
          <w:lang w:val="sr-Latn-ME"/>
        </w:rPr>
        <w:t>i</w:t>
      </w:r>
      <w:r w:rsidRPr="00AF2694">
        <w:rPr>
          <w:bCs/>
          <w:sz w:val="22"/>
          <w:szCs w:val="22"/>
          <w:lang w:val="sr-Latn-ME"/>
        </w:rPr>
        <w:t xml:space="preserve"> alfa </w:t>
      </w:r>
      <w:r w:rsidR="00FA4B48" w:rsidRPr="00AF2694">
        <w:rPr>
          <w:bCs/>
          <w:sz w:val="22"/>
          <w:szCs w:val="22"/>
          <w:lang w:val="sr-Latn-ME"/>
        </w:rPr>
        <w:t>u</w:t>
      </w:r>
      <w:r w:rsidRPr="00AF2694">
        <w:rPr>
          <w:bCs/>
          <w:sz w:val="22"/>
          <w:szCs w:val="22"/>
          <w:lang w:val="sr-Latn-ME"/>
        </w:rPr>
        <w:t xml:space="preserve"> klinički</w:t>
      </w:r>
      <w:r w:rsidR="00FA4B48" w:rsidRPr="00AF2694">
        <w:rPr>
          <w:bCs/>
          <w:sz w:val="22"/>
          <w:szCs w:val="22"/>
          <w:lang w:val="sr-Latn-ME"/>
        </w:rPr>
        <w:t>m</w:t>
      </w:r>
      <w:r w:rsidRPr="00AF2694">
        <w:rPr>
          <w:bCs/>
          <w:sz w:val="22"/>
          <w:szCs w:val="22"/>
          <w:lang w:val="sr-Latn-ME"/>
        </w:rPr>
        <w:t xml:space="preserve"> ispitivanj</w:t>
      </w:r>
      <w:r w:rsidR="00FA4B48" w:rsidRPr="00AF2694">
        <w:rPr>
          <w:bCs/>
          <w:sz w:val="22"/>
          <w:szCs w:val="22"/>
          <w:lang w:val="sr-Latn-ME"/>
        </w:rPr>
        <w:t xml:space="preserve">ima </w:t>
      </w:r>
      <w:r w:rsidRPr="00AF2694">
        <w:rPr>
          <w:bCs/>
          <w:sz w:val="22"/>
          <w:szCs w:val="22"/>
          <w:lang w:val="sr-Latn-ME"/>
        </w:rPr>
        <w:t xml:space="preserve">prikazani su prema starosnim grupama u </w:t>
      </w:r>
      <w:bookmarkStart w:id="6" w:name="IDX"/>
      <w:r w:rsidRPr="00AF2694">
        <w:rPr>
          <w:bCs/>
          <w:sz w:val="22"/>
          <w:szCs w:val="22"/>
          <w:lang w:val="sr-Latn-ME"/>
        </w:rPr>
        <w:fldChar w:fldCharType="begin"/>
      </w:r>
      <w:r w:rsidRPr="00AF2694">
        <w:rPr>
          <w:bCs/>
          <w:sz w:val="22"/>
          <w:szCs w:val="22"/>
          <w:lang w:val="sr-Latn-ME"/>
        </w:rPr>
        <w:instrText>HYPERLINK \l "Table4"</w:instrText>
      </w:r>
      <w:r w:rsidRPr="00AF2694">
        <w:rPr>
          <w:bCs/>
          <w:sz w:val="22"/>
          <w:szCs w:val="22"/>
          <w:lang w:val="sr-Latn-ME"/>
        </w:rPr>
        <w:fldChar w:fldCharType="separate"/>
      </w:r>
      <w:r w:rsidRPr="00AF2694">
        <w:rPr>
          <w:rStyle w:val="Hyperlink"/>
          <w:bCs/>
          <w:sz w:val="22"/>
          <w:szCs w:val="22"/>
          <w:lang w:val="sr-Latn-ME"/>
        </w:rPr>
        <w:t>Tabeli 4</w:t>
      </w:r>
      <w:bookmarkEnd w:id="6"/>
      <w:r w:rsidRPr="00AF2694">
        <w:rPr>
          <w:bCs/>
          <w:sz w:val="22"/>
          <w:szCs w:val="22"/>
          <w:lang w:val="sr-Latn-ME"/>
        </w:rPr>
        <w:fldChar w:fldCharType="end"/>
      </w:r>
      <w:r w:rsidRPr="00AF2694">
        <w:rPr>
          <w:bCs/>
          <w:sz w:val="22"/>
          <w:szCs w:val="22"/>
          <w:lang w:val="sr-Latn-ME"/>
        </w:rPr>
        <w:t xml:space="preserve">. </w:t>
      </w:r>
    </w:p>
    <w:p w14:paraId="1F328C10" w14:textId="77777777" w:rsidR="002A29B4" w:rsidRPr="00AF2694" w:rsidRDefault="002A29B4" w:rsidP="00CF11D6">
      <w:pPr>
        <w:tabs>
          <w:tab w:val="left" w:pos="540"/>
          <w:tab w:val="left" w:pos="567"/>
        </w:tabs>
        <w:jc w:val="both"/>
        <w:rPr>
          <w:bCs/>
          <w:sz w:val="22"/>
          <w:szCs w:val="22"/>
          <w:lang w:val="sr-Latn-ME"/>
        </w:rPr>
      </w:pPr>
    </w:p>
    <w:p w14:paraId="0F43C98A" w14:textId="0D1F4270" w:rsidR="00251C3A" w:rsidRPr="00AF2694" w:rsidRDefault="00251C3A" w:rsidP="00CF11D6">
      <w:pPr>
        <w:tabs>
          <w:tab w:val="left" w:pos="540"/>
          <w:tab w:val="left" w:pos="567"/>
        </w:tabs>
        <w:jc w:val="both"/>
        <w:rPr>
          <w:b/>
          <w:bCs/>
          <w:sz w:val="22"/>
          <w:szCs w:val="22"/>
          <w:lang w:val="sr-Latn-ME"/>
        </w:rPr>
      </w:pPr>
      <w:bookmarkStart w:id="7" w:name="Table4"/>
      <w:r w:rsidRPr="00AF2694">
        <w:rPr>
          <w:b/>
          <w:bCs/>
          <w:sz w:val="22"/>
          <w:szCs w:val="22"/>
          <w:lang w:val="sr-Latn-ME"/>
        </w:rPr>
        <w:t>Tabela 4</w:t>
      </w:r>
      <w:bookmarkEnd w:id="7"/>
      <w:r w:rsidRPr="00AF2694">
        <w:rPr>
          <w:b/>
          <w:bCs/>
          <w:sz w:val="22"/>
          <w:szCs w:val="22"/>
          <w:lang w:val="sr-Latn-ME"/>
        </w:rPr>
        <w:t>:</w:t>
      </w:r>
      <w:r w:rsidRPr="00AF2694">
        <w:rPr>
          <w:b/>
          <w:bCs/>
          <w:sz w:val="22"/>
          <w:szCs w:val="22"/>
          <w:lang w:val="sr-Latn-ME"/>
        </w:rPr>
        <w:tab/>
      </w:r>
      <w:r w:rsidR="00FA4B48" w:rsidRPr="00AF2694">
        <w:rPr>
          <w:b/>
          <w:bCs/>
          <w:sz w:val="22"/>
          <w:szCs w:val="22"/>
          <w:lang w:val="sr-Latn-ME"/>
        </w:rPr>
        <w:t xml:space="preserve">Srednja vrijednost </w:t>
      </w:r>
      <w:r w:rsidRPr="00AF2694">
        <w:rPr>
          <w:b/>
          <w:bCs/>
          <w:sz w:val="22"/>
          <w:szCs w:val="22"/>
          <w:lang w:val="sr-Latn-ME"/>
        </w:rPr>
        <w:t xml:space="preserve">(SD) </w:t>
      </w:r>
      <w:r w:rsidR="00FA4B48" w:rsidRPr="00AF2694">
        <w:rPr>
          <w:b/>
          <w:bCs/>
          <w:sz w:val="22"/>
          <w:szCs w:val="22"/>
          <w:lang w:val="sr-Latn-ME"/>
        </w:rPr>
        <w:t xml:space="preserve">očekivanih </w:t>
      </w:r>
      <w:r w:rsidRPr="00AF2694">
        <w:rPr>
          <w:b/>
          <w:bCs/>
          <w:sz w:val="22"/>
          <w:szCs w:val="22"/>
          <w:lang w:val="sr-Latn-ME"/>
        </w:rPr>
        <w:t>farmakokinetički</w:t>
      </w:r>
      <w:r w:rsidR="00FA4B48" w:rsidRPr="00AF2694">
        <w:rPr>
          <w:b/>
          <w:bCs/>
          <w:sz w:val="22"/>
          <w:szCs w:val="22"/>
          <w:lang w:val="sr-Latn-ME"/>
        </w:rPr>
        <w:t>h</w:t>
      </w:r>
      <w:r w:rsidRPr="00AF2694">
        <w:rPr>
          <w:b/>
          <w:bCs/>
          <w:sz w:val="22"/>
          <w:szCs w:val="22"/>
          <w:lang w:val="sr-Latn-ME"/>
        </w:rPr>
        <w:t xml:space="preserve"> param</w:t>
      </w:r>
      <w:r w:rsidR="00FA4B48" w:rsidRPr="00AF2694">
        <w:rPr>
          <w:b/>
          <w:bCs/>
          <w:sz w:val="22"/>
          <w:szCs w:val="22"/>
          <w:lang w:val="sr-Latn-ME"/>
        </w:rPr>
        <w:t>etara</w:t>
      </w:r>
      <w:r w:rsidRPr="00AF2694">
        <w:rPr>
          <w:b/>
          <w:bCs/>
          <w:sz w:val="22"/>
          <w:szCs w:val="22"/>
          <w:lang w:val="sr-Latn-ME"/>
        </w:rPr>
        <w:t xml:space="preserve"> i </w:t>
      </w:r>
      <w:r w:rsidR="00FA4B48" w:rsidRPr="00AF2694">
        <w:rPr>
          <w:b/>
          <w:bCs/>
          <w:sz w:val="22"/>
          <w:szCs w:val="22"/>
          <w:lang w:val="sr-Latn-ME"/>
        </w:rPr>
        <w:t>parametara</w:t>
      </w:r>
      <w:r w:rsidRPr="00AF2694">
        <w:rPr>
          <w:b/>
          <w:bCs/>
          <w:sz w:val="22"/>
          <w:szCs w:val="22"/>
          <w:lang w:val="sr-Latn-ME"/>
        </w:rPr>
        <w:t xml:space="preserve"> izloženosti nakon ponovljene prim</w:t>
      </w:r>
      <w:r w:rsidR="002A29B4" w:rsidRPr="00AF2694">
        <w:rPr>
          <w:b/>
          <w:bCs/>
          <w:sz w:val="22"/>
          <w:szCs w:val="22"/>
          <w:lang w:val="sr-Latn-ME"/>
        </w:rPr>
        <w:t>j</w:t>
      </w:r>
      <w:r w:rsidRPr="00AF2694">
        <w:rPr>
          <w:b/>
          <w:bCs/>
          <w:sz w:val="22"/>
          <w:szCs w:val="22"/>
          <w:lang w:val="sr-Latn-ME"/>
        </w:rPr>
        <w:t xml:space="preserve">ene sebelipaze alfa u dozi od 1 mg/kg kod pacijenata sa deficijencijom lizozomalne kisele lipaze </w:t>
      </w:r>
      <w:r w:rsidR="00FA4B48" w:rsidRPr="00AF2694">
        <w:rPr>
          <w:b/>
          <w:bCs/>
          <w:sz w:val="22"/>
          <w:szCs w:val="22"/>
          <w:lang w:val="sr-Latn-ME"/>
        </w:rPr>
        <w:t xml:space="preserve">(LAL) </w:t>
      </w:r>
      <w:r w:rsidRPr="00AF2694">
        <w:rPr>
          <w:b/>
          <w:bCs/>
          <w:sz w:val="22"/>
          <w:szCs w:val="22"/>
          <w:lang w:val="sr-Latn-ME"/>
        </w:rPr>
        <w:t>prema starosnoj grupi</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1619"/>
        <w:gridCol w:w="2069"/>
        <w:gridCol w:w="1889"/>
        <w:gridCol w:w="1889"/>
      </w:tblGrid>
      <w:tr w:rsidR="00251C3A" w:rsidRPr="00AF2694" w14:paraId="26223AD3" w14:textId="77777777" w:rsidTr="004B3317">
        <w:trPr>
          <w:trHeight w:val="417"/>
          <w:tblHeader/>
        </w:trPr>
        <w:tc>
          <w:tcPr>
            <w:tcW w:w="1279" w:type="dxa"/>
            <w:tcBorders>
              <w:top w:val="single" w:sz="4" w:space="0" w:color="auto"/>
              <w:left w:val="single" w:sz="4" w:space="0" w:color="auto"/>
              <w:bottom w:val="single" w:sz="4" w:space="0" w:color="auto"/>
              <w:right w:val="single" w:sz="4" w:space="0" w:color="auto"/>
            </w:tcBorders>
            <w:noWrap/>
            <w:vAlign w:val="center"/>
            <w:hideMark/>
          </w:tcPr>
          <w:p w14:paraId="36976316" w14:textId="77777777" w:rsidR="00251C3A" w:rsidRPr="00AF2694" w:rsidRDefault="00251C3A" w:rsidP="00CF11D6">
            <w:pPr>
              <w:tabs>
                <w:tab w:val="left" w:pos="540"/>
                <w:tab w:val="left" w:pos="567"/>
              </w:tabs>
              <w:jc w:val="both"/>
              <w:rPr>
                <w:b/>
                <w:bCs/>
                <w:sz w:val="22"/>
                <w:szCs w:val="22"/>
                <w:lang w:val="sr-Latn-ME"/>
              </w:rPr>
            </w:pPr>
            <w:bookmarkStart w:id="8" w:name="_Hlk40688730"/>
            <w:r w:rsidRPr="00AF2694">
              <w:rPr>
                <w:b/>
                <w:bCs/>
                <w:sz w:val="22"/>
                <w:szCs w:val="22"/>
                <w:lang w:val="sr-Latn-ME"/>
              </w:rPr>
              <w:t>Parametar</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68C1266B" w14:textId="77777777" w:rsidR="00251C3A" w:rsidRPr="00AF2694" w:rsidRDefault="00251C3A" w:rsidP="00CF11D6">
            <w:pPr>
              <w:tabs>
                <w:tab w:val="left" w:pos="540"/>
                <w:tab w:val="left" w:pos="567"/>
              </w:tabs>
              <w:jc w:val="both"/>
              <w:rPr>
                <w:b/>
                <w:bCs/>
                <w:sz w:val="22"/>
                <w:szCs w:val="22"/>
                <w:lang w:val="sr-Latn-ME"/>
              </w:rPr>
            </w:pPr>
            <w:r w:rsidRPr="00AF2694">
              <w:rPr>
                <w:b/>
                <w:bCs/>
                <w:sz w:val="22"/>
                <w:szCs w:val="22"/>
                <w:lang w:val="sr-Latn-ME"/>
              </w:rPr>
              <w:t>Starost &lt;4 godine</w:t>
            </w:r>
            <w:r w:rsidRPr="00AF2694">
              <w:rPr>
                <w:bCs/>
                <w:sz w:val="22"/>
                <w:szCs w:val="22"/>
                <w:lang w:val="sr-Latn-ME"/>
              </w:rPr>
              <w:br/>
            </w:r>
            <w:r w:rsidRPr="00AF2694">
              <w:rPr>
                <w:b/>
                <w:bCs/>
                <w:sz w:val="22"/>
                <w:szCs w:val="22"/>
                <w:lang w:val="sr-Latn-ME"/>
              </w:rPr>
              <w:t>(N = 5)</w:t>
            </w:r>
          </w:p>
        </w:tc>
        <w:tc>
          <w:tcPr>
            <w:tcW w:w="2069" w:type="dxa"/>
            <w:tcBorders>
              <w:top w:val="single" w:sz="4" w:space="0" w:color="auto"/>
              <w:left w:val="single" w:sz="4" w:space="0" w:color="auto"/>
              <w:bottom w:val="single" w:sz="4" w:space="0" w:color="auto"/>
              <w:right w:val="single" w:sz="4" w:space="0" w:color="auto"/>
            </w:tcBorders>
            <w:hideMark/>
          </w:tcPr>
          <w:p w14:paraId="54EBD87F" w14:textId="416EBAD4" w:rsidR="00251C3A" w:rsidRPr="00AF2694" w:rsidRDefault="00251C3A" w:rsidP="00CF11D6">
            <w:pPr>
              <w:tabs>
                <w:tab w:val="left" w:pos="540"/>
                <w:tab w:val="left" w:pos="567"/>
              </w:tabs>
              <w:jc w:val="both"/>
              <w:rPr>
                <w:b/>
                <w:bCs/>
                <w:sz w:val="22"/>
                <w:szCs w:val="22"/>
                <w:lang w:val="sr-Latn-ME"/>
              </w:rPr>
            </w:pPr>
            <w:r w:rsidRPr="00AF2694">
              <w:rPr>
                <w:b/>
                <w:bCs/>
                <w:sz w:val="22"/>
                <w:szCs w:val="22"/>
                <w:lang w:val="sr-Latn-ME"/>
              </w:rPr>
              <w:t>Starost</w:t>
            </w:r>
            <w:r w:rsidR="00FA4B48" w:rsidRPr="00AF2694">
              <w:rPr>
                <w:b/>
                <w:bCs/>
                <w:sz w:val="22"/>
                <w:szCs w:val="22"/>
                <w:lang w:val="sr-Latn-ME"/>
              </w:rPr>
              <w:t xml:space="preserve"> od</w:t>
            </w:r>
            <w:r w:rsidRPr="00AF2694">
              <w:rPr>
                <w:b/>
                <w:bCs/>
                <w:sz w:val="22"/>
                <w:szCs w:val="22"/>
                <w:lang w:val="sr-Latn-ME"/>
              </w:rPr>
              <w:t xml:space="preserve"> 4 do &lt;12 godina</w:t>
            </w:r>
            <w:r w:rsidRPr="00AF2694">
              <w:rPr>
                <w:bCs/>
                <w:sz w:val="22"/>
                <w:szCs w:val="22"/>
                <w:lang w:val="sr-Latn-ME"/>
              </w:rPr>
              <w:br/>
            </w:r>
            <w:r w:rsidRPr="00AF2694">
              <w:rPr>
                <w:b/>
                <w:bCs/>
                <w:sz w:val="22"/>
                <w:szCs w:val="22"/>
                <w:lang w:val="sr-Latn-ME"/>
              </w:rPr>
              <w:t>(N = 32)</w:t>
            </w:r>
          </w:p>
        </w:tc>
        <w:tc>
          <w:tcPr>
            <w:tcW w:w="1889" w:type="dxa"/>
            <w:tcBorders>
              <w:top w:val="single" w:sz="4" w:space="0" w:color="auto"/>
              <w:left w:val="single" w:sz="4" w:space="0" w:color="auto"/>
              <w:bottom w:val="single" w:sz="4" w:space="0" w:color="auto"/>
              <w:right w:val="single" w:sz="4" w:space="0" w:color="auto"/>
            </w:tcBorders>
            <w:hideMark/>
          </w:tcPr>
          <w:p w14:paraId="76DD631D" w14:textId="0B5FBD07" w:rsidR="00251C3A" w:rsidRPr="00AF2694" w:rsidRDefault="00251C3A" w:rsidP="00CF11D6">
            <w:pPr>
              <w:tabs>
                <w:tab w:val="left" w:pos="540"/>
                <w:tab w:val="left" w:pos="567"/>
              </w:tabs>
              <w:jc w:val="both"/>
              <w:rPr>
                <w:b/>
                <w:bCs/>
                <w:sz w:val="22"/>
                <w:szCs w:val="22"/>
                <w:lang w:val="sr-Latn-ME"/>
              </w:rPr>
            </w:pPr>
            <w:r w:rsidRPr="00AF2694">
              <w:rPr>
                <w:b/>
                <w:bCs/>
                <w:sz w:val="22"/>
                <w:szCs w:val="22"/>
                <w:lang w:val="sr-Latn-ME"/>
              </w:rPr>
              <w:t xml:space="preserve">Starost </w:t>
            </w:r>
            <w:r w:rsidR="00FA4B48" w:rsidRPr="00AF2694">
              <w:rPr>
                <w:b/>
                <w:bCs/>
                <w:sz w:val="22"/>
                <w:szCs w:val="22"/>
                <w:lang w:val="sr-Latn-ME"/>
              </w:rPr>
              <w:t xml:space="preserve">od </w:t>
            </w:r>
            <w:r w:rsidRPr="00AF2694">
              <w:rPr>
                <w:b/>
                <w:bCs/>
                <w:sz w:val="22"/>
                <w:szCs w:val="22"/>
                <w:lang w:val="sr-Latn-ME"/>
              </w:rPr>
              <w:t>12 do &lt;18 godina (N=34)</w:t>
            </w:r>
          </w:p>
        </w:tc>
        <w:tc>
          <w:tcPr>
            <w:tcW w:w="1889" w:type="dxa"/>
            <w:tcBorders>
              <w:top w:val="single" w:sz="4" w:space="0" w:color="auto"/>
              <w:left w:val="single" w:sz="4" w:space="0" w:color="auto"/>
              <w:bottom w:val="single" w:sz="4" w:space="0" w:color="auto"/>
              <w:right w:val="single" w:sz="4" w:space="0" w:color="auto"/>
            </w:tcBorders>
            <w:noWrap/>
            <w:vAlign w:val="center"/>
            <w:hideMark/>
          </w:tcPr>
          <w:p w14:paraId="26304DB7" w14:textId="02D90E61" w:rsidR="00251C3A" w:rsidRPr="00AF2694" w:rsidRDefault="00FA4B48" w:rsidP="00CF11D6">
            <w:pPr>
              <w:tabs>
                <w:tab w:val="left" w:pos="540"/>
                <w:tab w:val="left" w:pos="567"/>
              </w:tabs>
              <w:jc w:val="both"/>
              <w:rPr>
                <w:b/>
                <w:bCs/>
                <w:sz w:val="22"/>
                <w:szCs w:val="22"/>
                <w:lang w:val="sr-Latn-ME"/>
              </w:rPr>
            </w:pPr>
            <w:r w:rsidRPr="00AF2694">
              <w:rPr>
                <w:b/>
                <w:bCs/>
                <w:sz w:val="22"/>
                <w:szCs w:val="22"/>
                <w:lang w:val="sr-Latn-ME"/>
              </w:rPr>
              <w:t xml:space="preserve">Starost </w:t>
            </w:r>
            <w:r w:rsidR="00251C3A" w:rsidRPr="00AF2694">
              <w:rPr>
                <w:b/>
                <w:bCs/>
                <w:sz w:val="22"/>
                <w:szCs w:val="22"/>
                <w:lang w:val="sr-Latn-ME"/>
              </w:rPr>
              <w:t>≥18 godina</w:t>
            </w:r>
            <w:r w:rsidR="00251C3A" w:rsidRPr="00AF2694">
              <w:rPr>
                <w:bCs/>
                <w:sz w:val="22"/>
                <w:szCs w:val="22"/>
                <w:lang w:val="sr-Latn-ME"/>
              </w:rPr>
              <w:br/>
            </w:r>
            <w:r w:rsidR="00251C3A" w:rsidRPr="00AF2694">
              <w:rPr>
                <w:b/>
                <w:bCs/>
                <w:sz w:val="22"/>
                <w:szCs w:val="22"/>
                <w:lang w:val="sr-Latn-ME"/>
              </w:rPr>
              <w:t>(N = 31)</w:t>
            </w:r>
          </w:p>
        </w:tc>
      </w:tr>
      <w:tr w:rsidR="00251C3A" w:rsidRPr="00AF2694" w14:paraId="1D5ACDFD" w14:textId="77777777" w:rsidTr="004B3317">
        <w:tc>
          <w:tcPr>
            <w:tcW w:w="1279" w:type="dxa"/>
            <w:tcBorders>
              <w:top w:val="single" w:sz="4" w:space="0" w:color="auto"/>
              <w:left w:val="single" w:sz="4" w:space="0" w:color="auto"/>
              <w:bottom w:val="single" w:sz="4" w:space="0" w:color="auto"/>
              <w:right w:val="single" w:sz="4" w:space="0" w:color="auto"/>
            </w:tcBorders>
            <w:noWrap/>
            <w:hideMark/>
          </w:tcPr>
          <w:p w14:paraId="0A378639" w14:textId="5AF21E9B"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CL (</w:t>
            </w:r>
            <w:r w:rsidR="002A29B4" w:rsidRPr="00AF2694">
              <w:rPr>
                <w:bCs/>
                <w:sz w:val="22"/>
                <w:szCs w:val="22"/>
                <w:lang w:val="sr-Latn-ME"/>
              </w:rPr>
              <w:t>l</w:t>
            </w:r>
            <w:r w:rsidRPr="00AF2694">
              <w:rPr>
                <w:bCs/>
                <w:sz w:val="22"/>
                <w:szCs w:val="22"/>
                <w:lang w:val="sr-Latn-ME"/>
              </w:rPr>
              <w:t>/h)</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0F24FCD2" w14:textId="77777777" w:rsidR="00251C3A" w:rsidRPr="00AF2694" w:rsidRDefault="00251C3A" w:rsidP="00CF11D6">
            <w:pPr>
              <w:tabs>
                <w:tab w:val="left" w:pos="540"/>
                <w:tab w:val="left" w:pos="567"/>
              </w:tabs>
              <w:jc w:val="both"/>
              <w:rPr>
                <w:b/>
                <w:bCs/>
                <w:sz w:val="22"/>
                <w:szCs w:val="22"/>
                <w:lang w:val="sr-Latn-ME"/>
              </w:rPr>
            </w:pPr>
            <w:r w:rsidRPr="00AF2694">
              <w:rPr>
                <w:bCs/>
                <w:sz w:val="22"/>
                <w:szCs w:val="22"/>
                <w:lang w:val="sr-Latn-ME"/>
              </w:rPr>
              <w:t>17,2 (7,07)</w:t>
            </w:r>
          </w:p>
        </w:tc>
        <w:tc>
          <w:tcPr>
            <w:tcW w:w="2069" w:type="dxa"/>
            <w:tcBorders>
              <w:top w:val="single" w:sz="4" w:space="0" w:color="auto"/>
              <w:left w:val="single" w:sz="4" w:space="0" w:color="auto"/>
              <w:bottom w:val="single" w:sz="4" w:space="0" w:color="auto"/>
              <w:right w:val="single" w:sz="4" w:space="0" w:color="auto"/>
            </w:tcBorders>
            <w:vAlign w:val="center"/>
            <w:hideMark/>
          </w:tcPr>
          <w:p w14:paraId="1903BC0A"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22,8 (11,2)</w:t>
            </w:r>
          </w:p>
        </w:tc>
        <w:tc>
          <w:tcPr>
            <w:tcW w:w="1889" w:type="dxa"/>
            <w:tcBorders>
              <w:top w:val="single" w:sz="4" w:space="0" w:color="auto"/>
              <w:left w:val="single" w:sz="4" w:space="0" w:color="auto"/>
              <w:bottom w:val="single" w:sz="4" w:space="0" w:color="auto"/>
              <w:right w:val="single" w:sz="4" w:space="0" w:color="auto"/>
            </w:tcBorders>
            <w:vAlign w:val="center"/>
            <w:hideMark/>
          </w:tcPr>
          <w:p w14:paraId="3F518481"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32,7 (10,8)</w:t>
            </w:r>
          </w:p>
        </w:tc>
        <w:tc>
          <w:tcPr>
            <w:tcW w:w="1889" w:type="dxa"/>
            <w:tcBorders>
              <w:top w:val="single" w:sz="4" w:space="0" w:color="auto"/>
              <w:left w:val="single" w:sz="4" w:space="0" w:color="auto"/>
              <w:bottom w:val="single" w:sz="4" w:space="0" w:color="auto"/>
              <w:right w:val="single" w:sz="4" w:space="0" w:color="auto"/>
            </w:tcBorders>
            <w:noWrap/>
            <w:vAlign w:val="center"/>
            <w:hideMark/>
          </w:tcPr>
          <w:p w14:paraId="35551D89"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37,6 (13,8)</w:t>
            </w:r>
          </w:p>
        </w:tc>
      </w:tr>
      <w:tr w:rsidR="00251C3A" w:rsidRPr="00AF2694" w14:paraId="7267F679" w14:textId="77777777" w:rsidTr="004B3317">
        <w:tc>
          <w:tcPr>
            <w:tcW w:w="1279" w:type="dxa"/>
            <w:tcBorders>
              <w:top w:val="single" w:sz="4" w:space="0" w:color="auto"/>
              <w:left w:val="single" w:sz="4" w:space="0" w:color="auto"/>
              <w:bottom w:val="single" w:sz="4" w:space="0" w:color="auto"/>
              <w:right w:val="single" w:sz="4" w:space="0" w:color="auto"/>
            </w:tcBorders>
            <w:noWrap/>
            <w:hideMark/>
          </w:tcPr>
          <w:p w14:paraId="3F9D25BF" w14:textId="5DB5A658"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Q (</w:t>
            </w:r>
            <w:r w:rsidR="002A29B4" w:rsidRPr="00AF2694">
              <w:rPr>
                <w:bCs/>
                <w:sz w:val="22"/>
                <w:szCs w:val="22"/>
                <w:lang w:val="sr-Latn-ME"/>
              </w:rPr>
              <w:t>l</w:t>
            </w:r>
            <w:r w:rsidRPr="00AF2694">
              <w:rPr>
                <w:bCs/>
                <w:sz w:val="22"/>
                <w:szCs w:val="22"/>
                <w:lang w:val="sr-Latn-ME"/>
              </w:rPr>
              <w:t>/h)</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0ABDEB21" w14:textId="77777777" w:rsidR="00251C3A" w:rsidRPr="00AF2694" w:rsidRDefault="00251C3A" w:rsidP="00CF11D6">
            <w:pPr>
              <w:tabs>
                <w:tab w:val="left" w:pos="540"/>
                <w:tab w:val="left" w:pos="567"/>
              </w:tabs>
              <w:jc w:val="both"/>
              <w:rPr>
                <w:b/>
                <w:bCs/>
                <w:sz w:val="22"/>
                <w:szCs w:val="22"/>
                <w:lang w:val="sr-Latn-ME"/>
              </w:rPr>
            </w:pPr>
            <w:r w:rsidRPr="00AF2694">
              <w:rPr>
                <w:bCs/>
                <w:sz w:val="22"/>
                <w:szCs w:val="22"/>
                <w:lang w:val="sr-Latn-ME"/>
              </w:rPr>
              <w:t>1,96 (0,963)</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2F20331"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1,41 (0,633)</w:t>
            </w:r>
          </w:p>
        </w:tc>
        <w:tc>
          <w:tcPr>
            <w:tcW w:w="1889" w:type="dxa"/>
            <w:tcBorders>
              <w:top w:val="single" w:sz="4" w:space="0" w:color="auto"/>
              <w:left w:val="single" w:sz="4" w:space="0" w:color="auto"/>
              <w:bottom w:val="single" w:sz="4" w:space="0" w:color="auto"/>
              <w:right w:val="single" w:sz="4" w:space="0" w:color="auto"/>
            </w:tcBorders>
            <w:vAlign w:val="center"/>
            <w:hideMark/>
          </w:tcPr>
          <w:p w14:paraId="09713D1B"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1,61 (0,551)</w:t>
            </w:r>
          </w:p>
        </w:tc>
        <w:tc>
          <w:tcPr>
            <w:tcW w:w="1889" w:type="dxa"/>
            <w:tcBorders>
              <w:top w:val="single" w:sz="4" w:space="0" w:color="auto"/>
              <w:left w:val="single" w:sz="4" w:space="0" w:color="auto"/>
              <w:bottom w:val="single" w:sz="4" w:space="0" w:color="auto"/>
              <w:right w:val="single" w:sz="4" w:space="0" w:color="auto"/>
            </w:tcBorders>
            <w:noWrap/>
            <w:vAlign w:val="center"/>
            <w:hideMark/>
          </w:tcPr>
          <w:p w14:paraId="5841E12A"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1,54 (0,594)</w:t>
            </w:r>
          </w:p>
        </w:tc>
      </w:tr>
      <w:tr w:rsidR="00251C3A" w:rsidRPr="00AF2694" w14:paraId="75F7456F" w14:textId="77777777" w:rsidTr="004B3317">
        <w:tc>
          <w:tcPr>
            <w:tcW w:w="1279" w:type="dxa"/>
            <w:tcBorders>
              <w:top w:val="single" w:sz="4" w:space="0" w:color="auto"/>
              <w:left w:val="single" w:sz="4" w:space="0" w:color="auto"/>
              <w:bottom w:val="single" w:sz="4" w:space="0" w:color="auto"/>
              <w:right w:val="single" w:sz="4" w:space="0" w:color="auto"/>
            </w:tcBorders>
            <w:noWrap/>
            <w:hideMark/>
          </w:tcPr>
          <w:p w14:paraId="19678794" w14:textId="5C8E7611"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V</w:t>
            </w:r>
            <w:r w:rsidRPr="00AF2694">
              <w:rPr>
                <w:bCs/>
                <w:sz w:val="22"/>
                <w:szCs w:val="22"/>
                <w:vertAlign w:val="subscript"/>
                <w:lang w:val="sr-Latn-ME"/>
              </w:rPr>
              <w:t xml:space="preserve">c </w:t>
            </w:r>
            <w:r w:rsidRPr="00AF2694">
              <w:rPr>
                <w:bCs/>
                <w:sz w:val="22"/>
                <w:szCs w:val="22"/>
                <w:lang w:val="sr-Latn-ME"/>
              </w:rPr>
              <w:t>(</w:t>
            </w:r>
            <w:r w:rsidR="002A29B4" w:rsidRPr="00AF2694">
              <w:rPr>
                <w:bCs/>
                <w:sz w:val="22"/>
                <w:szCs w:val="22"/>
                <w:lang w:val="sr-Latn-ME"/>
              </w:rPr>
              <w:t>l</w:t>
            </w:r>
            <w:r w:rsidRPr="00AF2694">
              <w:rPr>
                <w:bCs/>
                <w:sz w:val="22"/>
                <w:szCs w:val="22"/>
                <w:lang w:val="sr-Latn-ME"/>
              </w:rPr>
              <w:t>)</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33C909EA" w14:textId="77777777" w:rsidR="00251C3A" w:rsidRPr="00AF2694" w:rsidRDefault="00251C3A" w:rsidP="00CF11D6">
            <w:pPr>
              <w:tabs>
                <w:tab w:val="left" w:pos="540"/>
                <w:tab w:val="left" w:pos="567"/>
              </w:tabs>
              <w:jc w:val="both"/>
              <w:rPr>
                <w:b/>
                <w:bCs/>
                <w:sz w:val="22"/>
                <w:szCs w:val="22"/>
                <w:lang w:val="sr-Latn-ME"/>
              </w:rPr>
            </w:pPr>
            <w:r w:rsidRPr="00AF2694">
              <w:rPr>
                <w:bCs/>
                <w:sz w:val="22"/>
                <w:szCs w:val="22"/>
                <w:lang w:val="sr-Latn-ME"/>
              </w:rPr>
              <w:t>2,06 (1,22)</w:t>
            </w:r>
          </w:p>
        </w:tc>
        <w:tc>
          <w:tcPr>
            <w:tcW w:w="2069" w:type="dxa"/>
            <w:tcBorders>
              <w:top w:val="single" w:sz="4" w:space="0" w:color="auto"/>
              <w:left w:val="single" w:sz="4" w:space="0" w:color="auto"/>
              <w:bottom w:val="single" w:sz="4" w:space="0" w:color="auto"/>
              <w:right w:val="single" w:sz="4" w:space="0" w:color="auto"/>
            </w:tcBorders>
            <w:vAlign w:val="center"/>
            <w:hideMark/>
          </w:tcPr>
          <w:p w14:paraId="428E24FB"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2,72 (1,43)</w:t>
            </w:r>
          </w:p>
        </w:tc>
        <w:tc>
          <w:tcPr>
            <w:tcW w:w="1889" w:type="dxa"/>
            <w:tcBorders>
              <w:top w:val="single" w:sz="4" w:space="0" w:color="auto"/>
              <w:left w:val="single" w:sz="4" w:space="0" w:color="auto"/>
              <w:bottom w:val="single" w:sz="4" w:space="0" w:color="auto"/>
              <w:right w:val="single" w:sz="4" w:space="0" w:color="auto"/>
            </w:tcBorders>
            <w:vAlign w:val="center"/>
            <w:hideMark/>
          </w:tcPr>
          <w:p w14:paraId="622D9C41"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4,06 (2,01)</w:t>
            </w:r>
          </w:p>
        </w:tc>
        <w:tc>
          <w:tcPr>
            <w:tcW w:w="1889" w:type="dxa"/>
            <w:tcBorders>
              <w:top w:val="single" w:sz="4" w:space="0" w:color="auto"/>
              <w:left w:val="single" w:sz="4" w:space="0" w:color="auto"/>
              <w:bottom w:val="single" w:sz="4" w:space="0" w:color="auto"/>
              <w:right w:val="single" w:sz="4" w:space="0" w:color="auto"/>
            </w:tcBorders>
            <w:noWrap/>
            <w:vAlign w:val="center"/>
            <w:hideMark/>
          </w:tcPr>
          <w:p w14:paraId="0AD0591C"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6,01 (5,43)</w:t>
            </w:r>
          </w:p>
        </w:tc>
      </w:tr>
      <w:tr w:rsidR="00251C3A" w:rsidRPr="00AF2694" w14:paraId="1D3CDFBC" w14:textId="77777777" w:rsidTr="004B3317">
        <w:tc>
          <w:tcPr>
            <w:tcW w:w="1279" w:type="dxa"/>
            <w:tcBorders>
              <w:top w:val="single" w:sz="4" w:space="0" w:color="auto"/>
              <w:left w:val="single" w:sz="4" w:space="0" w:color="auto"/>
              <w:bottom w:val="single" w:sz="4" w:space="0" w:color="auto"/>
              <w:right w:val="single" w:sz="4" w:space="0" w:color="auto"/>
            </w:tcBorders>
            <w:noWrap/>
            <w:hideMark/>
          </w:tcPr>
          <w:p w14:paraId="2A2FB15B" w14:textId="1B24063E"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V</w:t>
            </w:r>
            <w:r w:rsidRPr="00AF2694">
              <w:rPr>
                <w:bCs/>
                <w:sz w:val="22"/>
                <w:szCs w:val="22"/>
                <w:vertAlign w:val="subscript"/>
                <w:lang w:val="sr-Latn-ME"/>
              </w:rPr>
              <w:t>ss</w:t>
            </w:r>
            <w:r w:rsidRPr="00AF2694">
              <w:rPr>
                <w:bCs/>
                <w:sz w:val="22"/>
                <w:szCs w:val="22"/>
                <w:lang w:val="sr-Latn-ME"/>
              </w:rPr>
              <w:t xml:space="preserve"> (</w:t>
            </w:r>
            <w:r w:rsidR="002A29B4" w:rsidRPr="00AF2694">
              <w:rPr>
                <w:bCs/>
                <w:sz w:val="22"/>
                <w:szCs w:val="22"/>
                <w:lang w:val="sr-Latn-ME"/>
              </w:rPr>
              <w:t>l</w:t>
            </w:r>
            <w:r w:rsidRPr="00AF2694">
              <w:rPr>
                <w:bCs/>
                <w:sz w:val="22"/>
                <w:szCs w:val="22"/>
                <w:lang w:val="sr-Latn-ME"/>
              </w:rPr>
              <w:t>)</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02B3B79F"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6,13 (1,22)</w:t>
            </w:r>
          </w:p>
        </w:tc>
        <w:tc>
          <w:tcPr>
            <w:tcW w:w="2069" w:type="dxa"/>
            <w:tcBorders>
              <w:top w:val="single" w:sz="4" w:space="0" w:color="auto"/>
              <w:left w:val="single" w:sz="4" w:space="0" w:color="auto"/>
              <w:bottom w:val="single" w:sz="4" w:space="0" w:color="auto"/>
              <w:right w:val="single" w:sz="4" w:space="0" w:color="auto"/>
            </w:tcBorders>
            <w:vAlign w:val="center"/>
            <w:hideMark/>
          </w:tcPr>
          <w:p w14:paraId="4397EDC8"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6,79 (1,43)</w:t>
            </w:r>
          </w:p>
        </w:tc>
        <w:tc>
          <w:tcPr>
            <w:tcW w:w="1889" w:type="dxa"/>
            <w:tcBorders>
              <w:top w:val="single" w:sz="4" w:space="0" w:color="auto"/>
              <w:left w:val="single" w:sz="4" w:space="0" w:color="auto"/>
              <w:bottom w:val="single" w:sz="4" w:space="0" w:color="auto"/>
              <w:right w:val="single" w:sz="4" w:space="0" w:color="auto"/>
            </w:tcBorders>
            <w:vAlign w:val="center"/>
            <w:hideMark/>
          </w:tcPr>
          <w:p w14:paraId="3689F324"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8,13 (2,01)</w:t>
            </w:r>
          </w:p>
        </w:tc>
        <w:tc>
          <w:tcPr>
            <w:tcW w:w="1889" w:type="dxa"/>
            <w:tcBorders>
              <w:top w:val="single" w:sz="4" w:space="0" w:color="auto"/>
              <w:left w:val="single" w:sz="4" w:space="0" w:color="auto"/>
              <w:bottom w:val="single" w:sz="4" w:space="0" w:color="auto"/>
              <w:right w:val="single" w:sz="4" w:space="0" w:color="auto"/>
            </w:tcBorders>
            <w:noWrap/>
            <w:vAlign w:val="center"/>
            <w:hideMark/>
          </w:tcPr>
          <w:p w14:paraId="6541829E"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10,1 (5,43)</w:t>
            </w:r>
          </w:p>
        </w:tc>
      </w:tr>
      <w:tr w:rsidR="00251C3A" w:rsidRPr="00AF2694" w14:paraId="1271F625" w14:textId="77777777" w:rsidTr="004B3317">
        <w:tc>
          <w:tcPr>
            <w:tcW w:w="1279" w:type="dxa"/>
            <w:tcBorders>
              <w:top w:val="single" w:sz="4" w:space="0" w:color="auto"/>
              <w:left w:val="single" w:sz="4" w:space="0" w:color="auto"/>
              <w:bottom w:val="single" w:sz="4" w:space="0" w:color="auto"/>
              <w:right w:val="single" w:sz="4" w:space="0" w:color="auto"/>
            </w:tcBorders>
            <w:noWrap/>
            <w:hideMark/>
          </w:tcPr>
          <w:p w14:paraId="435FFE32"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lastRenderedPageBreak/>
              <w:t>t</w:t>
            </w:r>
            <w:r w:rsidRPr="00AF2694">
              <w:rPr>
                <w:bCs/>
                <w:sz w:val="22"/>
                <w:szCs w:val="22"/>
                <w:vertAlign w:val="subscript"/>
                <w:lang w:val="sr-Latn-ME"/>
              </w:rPr>
              <w:t>½β</w:t>
            </w:r>
            <w:r w:rsidRPr="00AF2694">
              <w:rPr>
                <w:bCs/>
                <w:sz w:val="22"/>
                <w:szCs w:val="22"/>
                <w:lang w:val="sr-Latn-ME"/>
              </w:rPr>
              <w:t xml:space="preserve"> (h)</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54A7A844" w14:textId="77777777" w:rsidR="00251C3A" w:rsidRPr="00AF2694" w:rsidRDefault="00251C3A" w:rsidP="00CF11D6">
            <w:pPr>
              <w:tabs>
                <w:tab w:val="left" w:pos="540"/>
                <w:tab w:val="left" w:pos="567"/>
              </w:tabs>
              <w:jc w:val="both"/>
              <w:rPr>
                <w:b/>
                <w:bCs/>
                <w:sz w:val="22"/>
                <w:szCs w:val="22"/>
                <w:lang w:val="sr-Latn-ME"/>
              </w:rPr>
            </w:pPr>
            <w:r w:rsidRPr="00AF2694">
              <w:rPr>
                <w:bCs/>
                <w:sz w:val="22"/>
                <w:szCs w:val="22"/>
                <w:lang w:val="sr-Latn-ME"/>
              </w:rPr>
              <w:t>1,88 (0,69)</w:t>
            </w:r>
          </w:p>
        </w:tc>
        <w:tc>
          <w:tcPr>
            <w:tcW w:w="2069" w:type="dxa"/>
            <w:tcBorders>
              <w:top w:val="single" w:sz="4" w:space="0" w:color="auto"/>
              <w:left w:val="single" w:sz="4" w:space="0" w:color="auto"/>
              <w:bottom w:val="single" w:sz="4" w:space="0" w:color="auto"/>
              <w:right w:val="single" w:sz="4" w:space="0" w:color="auto"/>
            </w:tcBorders>
            <w:vAlign w:val="center"/>
            <w:hideMark/>
          </w:tcPr>
          <w:p w14:paraId="3EEF2C51"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2,71 (1,63)</w:t>
            </w:r>
          </w:p>
        </w:tc>
        <w:tc>
          <w:tcPr>
            <w:tcW w:w="1889" w:type="dxa"/>
            <w:tcBorders>
              <w:top w:val="single" w:sz="4" w:space="0" w:color="auto"/>
              <w:left w:val="single" w:sz="4" w:space="0" w:color="auto"/>
              <w:bottom w:val="single" w:sz="4" w:space="0" w:color="auto"/>
              <w:right w:val="single" w:sz="4" w:space="0" w:color="auto"/>
            </w:tcBorders>
            <w:vAlign w:val="center"/>
            <w:hideMark/>
          </w:tcPr>
          <w:p w14:paraId="788403AD"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2,18 (1,28)</w:t>
            </w:r>
          </w:p>
        </w:tc>
        <w:tc>
          <w:tcPr>
            <w:tcW w:w="1889" w:type="dxa"/>
            <w:tcBorders>
              <w:top w:val="single" w:sz="4" w:space="0" w:color="auto"/>
              <w:left w:val="single" w:sz="4" w:space="0" w:color="auto"/>
              <w:bottom w:val="single" w:sz="4" w:space="0" w:color="auto"/>
              <w:right w:val="single" w:sz="4" w:space="0" w:color="auto"/>
            </w:tcBorders>
            <w:noWrap/>
            <w:vAlign w:val="center"/>
            <w:hideMark/>
          </w:tcPr>
          <w:p w14:paraId="7B8E0565"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2,24 (1,05)</w:t>
            </w:r>
          </w:p>
        </w:tc>
      </w:tr>
      <w:bookmarkEnd w:id="8"/>
      <w:tr w:rsidR="00251C3A" w:rsidRPr="00AF2694" w14:paraId="75EBB125" w14:textId="77777777" w:rsidTr="004B3317">
        <w:tc>
          <w:tcPr>
            <w:tcW w:w="1279" w:type="dxa"/>
            <w:tcBorders>
              <w:top w:val="single" w:sz="4" w:space="0" w:color="auto"/>
              <w:left w:val="single" w:sz="4" w:space="0" w:color="auto"/>
              <w:bottom w:val="single" w:sz="4" w:space="0" w:color="auto"/>
              <w:right w:val="single" w:sz="4" w:space="0" w:color="auto"/>
            </w:tcBorders>
            <w:noWrap/>
            <w:vAlign w:val="center"/>
            <w:hideMark/>
          </w:tcPr>
          <w:p w14:paraId="38FCA60F" w14:textId="7E4E284B"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AUC</w:t>
            </w:r>
            <w:r w:rsidRPr="00AF2694">
              <w:rPr>
                <w:bCs/>
                <w:sz w:val="22"/>
                <w:szCs w:val="22"/>
                <w:vertAlign w:val="subscript"/>
                <w:lang w:val="sr-Latn-ME"/>
              </w:rPr>
              <w:t>ss</w:t>
            </w:r>
            <w:r w:rsidRPr="00AF2694">
              <w:rPr>
                <w:bCs/>
                <w:sz w:val="22"/>
                <w:szCs w:val="22"/>
                <w:lang w:val="sr-Latn-ME"/>
              </w:rPr>
              <w:t xml:space="preserve"> (ng × h/m</w:t>
            </w:r>
            <w:r w:rsidR="002A29B4" w:rsidRPr="00AF2694">
              <w:rPr>
                <w:bCs/>
                <w:sz w:val="22"/>
                <w:szCs w:val="22"/>
                <w:lang w:val="sr-Latn-ME"/>
              </w:rPr>
              <w:t>l</w:t>
            </w:r>
            <w:r w:rsidRPr="00AF2694">
              <w:rPr>
                <w:bCs/>
                <w:sz w:val="22"/>
                <w:szCs w:val="22"/>
                <w:lang w:val="sr-Latn-ME"/>
              </w:rPr>
              <w:t>)</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4F7B6544" w14:textId="77777777" w:rsidR="00251C3A" w:rsidRPr="00AF2694" w:rsidRDefault="00251C3A" w:rsidP="00CF11D6">
            <w:pPr>
              <w:tabs>
                <w:tab w:val="left" w:pos="540"/>
                <w:tab w:val="left" w:pos="567"/>
              </w:tabs>
              <w:jc w:val="both"/>
              <w:rPr>
                <w:b/>
                <w:bCs/>
                <w:sz w:val="22"/>
                <w:szCs w:val="22"/>
                <w:lang w:val="sr-Latn-ME"/>
              </w:rPr>
            </w:pPr>
            <w:r w:rsidRPr="00AF2694">
              <w:rPr>
                <w:bCs/>
                <w:sz w:val="22"/>
                <w:szCs w:val="22"/>
                <w:lang w:val="sr-Latn-ME"/>
              </w:rPr>
              <w:t>521 (174)</w:t>
            </w:r>
          </w:p>
        </w:tc>
        <w:tc>
          <w:tcPr>
            <w:tcW w:w="2069" w:type="dxa"/>
            <w:tcBorders>
              <w:top w:val="single" w:sz="4" w:space="0" w:color="auto"/>
              <w:left w:val="single" w:sz="4" w:space="0" w:color="auto"/>
              <w:bottom w:val="single" w:sz="4" w:space="0" w:color="auto"/>
              <w:right w:val="single" w:sz="4" w:space="0" w:color="auto"/>
            </w:tcBorders>
            <w:vAlign w:val="center"/>
            <w:hideMark/>
          </w:tcPr>
          <w:p w14:paraId="4BE8B70C"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1410 (774)</w:t>
            </w:r>
          </w:p>
        </w:tc>
        <w:tc>
          <w:tcPr>
            <w:tcW w:w="1889" w:type="dxa"/>
            <w:tcBorders>
              <w:top w:val="single" w:sz="4" w:space="0" w:color="auto"/>
              <w:left w:val="single" w:sz="4" w:space="0" w:color="auto"/>
              <w:bottom w:val="single" w:sz="4" w:space="0" w:color="auto"/>
              <w:right w:val="single" w:sz="4" w:space="0" w:color="auto"/>
            </w:tcBorders>
            <w:vAlign w:val="center"/>
            <w:hideMark/>
          </w:tcPr>
          <w:p w14:paraId="39C31CEE"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1610 (658)</w:t>
            </w:r>
          </w:p>
        </w:tc>
        <w:tc>
          <w:tcPr>
            <w:tcW w:w="1889" w:type="dxa"/>
            <w:tcBorders>
              <w:top w:val="single" w:sz="4" w:space="0" w:color="auto"/>
              <w:left w:val="single" w:sz="4" w:space="0" w:color="auto"/>
              <w:bottom w:val="single" w:sz="4" w:space="0" w:color="auto"/>
              <w:right w:val="single" w:sz="4" w:space="0" w:color="auto"/>
            </w:tcBorders>
            <w:noWrap/>
            <w:vAlign w:val="center"/>
            <w:hideMark/>
          </w:tcPr>
          <w:p w14:paraId="0D399A93"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2060 (793)</w:t>
            </w:r>
          </w:p>
        </w:tc>
      </w:tr>
      <w:tr w:rsidR="00251C3A" w:rsidRPr="00AF2694" w14:paraId="3ABEAA98" w14:textId="77777777" w:rsidTr="004B3317">
        <w:tc>
          <w:tcPr>
            <w:tcW w:w="1279" w:type="dxa"/>
            <w:tcBorders>
              <w:top w:val="single" w:sz="4" w:space="0" w:color="auto"/>
              <w:left w:val="single" w:sz="4" w:space="0" w:color="auto"/>
              <w:bottom w:val="single" w:sz="4" w:space="0" w:color="auto"/>
              <w:right w:val="single" w:sz="4" w:space="0" w:color="auto"/>
            </w:tcBorders>
            <w:noWrap/>
            <w:vAlign w:val="center"/>
            <w:hideMark/>
          </w:tcPr>
          <w:p w14:paraId="6DF7DE09" w14:textId="41169303"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C</w:t>
            </w:r>
            <w:r w:rsidRPr="00AF2694">
              <w:rPr>
                <w:bCs/>
                <w:sz w:val="22"/>
                <w:szCs w:val="22"/>
                <w:vertAlign w:val="subscript"/>
                <w:lang w:val="sr-Latn-ME"/>
              </w:rPr>
              <w:t xml:space="preserve">max,ss </w:t>
            </w:r>
            <w:r w:rsidRPr="00AF2694">
              <w:rPr>
                <w:bCs/>
                <w:sz w:val="22"/>
                <w:szCs w:val="22"/>
                <w:lang w:val="sr-Latn-ME"/>
              </w:rPr>
              <w:t>(ng/m</w:t>
            </w:r>
            <w:r w:rsidR="002A29B4" w:rsidRPr="00AF2694">
              <w:rPr>
                <w:bCs/>
                <w:sz w:val="22"/>
                <w:szCs w:val="22"/>
                <w:lang w:val="sr-Latn-ME"/>
              </w:rPr>
              <w:t>l</w:t>
            </w:r>
            <w:r w:rsidRPr="00AF2694">
              <w:rPr>
                <w:bCs/>
                <w:sz w:val="22"/>
                <w:szCs w:val="22"/>
                <w:lang w:val="sr-Latn-ME"/>
              </w:rPr>
              <w:t>)</w:t>
            </w:r>
          </w:p>
        </w:tc>
        <w:tc>
          <w:tcPr>
            <w:tcW w:w="1619" w:type="dxa"/>
            <w:tcBorders>
              <w:top w:val="single" w:sz="4" w:space="0" w:color="auto"/>
              <w:left w:val="single" w:sz="4" w:space="0" w:color="auto"/>
              <w:bottom w:val="single" w:sz="4" w:space="0" w:color="auto"/>
              <w:right w:val="single" w:sz="4" w:space="0" w:color="auto"/>
            </w:tcBorders>
            <w:noWrap/>
            <w:vAlign w:val="center"/>
            <w:hideMark/>
          </w:tcPr>
          <w:p w14:paraId="590DFA60" w14:textId="77777777" w:rsidR="00251C3A" w:rsidRPr="00AF2694" w:rsidRDefault="00251C3A" w:rsidP="00CF11D6">
            <w:pPr>
              <w:tabs>
                <w:tab w:val="left" w:pos="540"/>
                <w:tab w:val="left" w:pos="567"/>
              </w:tabs>
              <w:jc w:val="both"/>
              <w:rPr>
                <w:b/>
                <w:bCs/>
                <w:sz w:val="22"/>
                <w:szCs w:val="22"/>
                <w:lang w:val="sr-Latn-ME"/>
              </w:rPr>
            </w:pPr>
            <w:r w:rsidRPr="00AF2694">
              <w:rPr>
                <w:bCs/>
                <w:sz w:val="22"/>
                <w:szCs w:val="22"/>
                <w:lang w:val="sr-Latn-ME"/>
              </w:rPr>
              <w:t>247 (80,6)</w:t>
            </w:r>
          </w:p>
        </w:tc>
        <w:tc>
          <w:tcPr>
            <w:tcW w:w="2069" w:type="dxa"/>
            <w:tcBorders>
              <w:top w:val="single" w:sz="4" w:space="0" w:color="auto"/>
              <w:left w:val="single" w:sz="4" w:space="0" w:color="auto"/>
              <w:bottom w:val="single" w:sz="4" w:space="0" w:color="auto"/>
              <w:right w:val="single" w:sz="4" w:space="0" w:color="auto"/>
            </w:tcBorders>
            <w:vAlign w:val="center"/>
            <w:hideMark/>
          </w:tcPr>
          <w:p w14:paraId="084B1F80"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679 (370)</w:t>
            </w:r>
          </w:p>
        </w:tc>
        <w:tc>
          <w:tcPr>
            <w:tcW w:w="1889" w:type="dxa"/>
            <w:tcBorders>
              <w:top w:val="single" w:sz="4" w:space="0" w:color="auto"/>
              <w:left w:val="single" w:sz="4" w:space="0" w:color="auto"/>
              <w:bottom w:val="single" w:sz="4" w:space="0" w:color="auto"/>
              <w:right w:val="single" w:sz="4" w:space="0" w:color="auto"/>
            </w:tcBorders>
            <w:vAlign w:val="center"/>
            <w:hideMark/>
          </w:tcPr>
          <w:p w14:paraId="4504372F"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786 (315)</w:t>
            </w:r>
          </w:p>
        </w:tc>
        <w:tc>
          <w:tcPr>
            <w:tcW w:w="1889" w:type="dxa"/>
            <w:tcBorders>
              <w:top w:val="single" w:sz="4" w:space="0" w:color="auto"/>
              <w:left w:val="single" w:sz="4" w:space="0" w:color="auto"/>
              <w:bottom w:val="single" w:sz="4" w:space="0" w:color="auto"/>
              <w:right w:val="single" w:sz="4" w:space="0" w:color="auto"/>
            </w:tcBorders>
            <w:noWrap/>
            <w:vAlign w:val="center"/>
            <w:hideMark/>
          </w:tcPr>
          <w:p w14:paraId="4DC5DD11"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997 (367)</w:t>
            </w:r>
          </w:p>
        </w:tc>
      </w:tr>
    </w:tbl>
    <w:p w14:paraId="3FA365C1" w14:textId="50102807" w:rsidR="00251C3A" w:rsidRPr="00AF2694" w:rsidRDefault="00251C3A" w:rsidP="00CF11D6">
      <w:pPr>
        <w:tabs>
          <w:tab w:val="left" w:pos="540"/>
          <w:tab w:val="left" w:pos="567"/>
        </w:tabs>
        <w:jc w:val="both"/>
        <w:rPr>
          <w:bCs/>
          <w:sz w:val="22"/>
          <w:szCs w:val="22"/>
          <w:lang w:val="sr-Latn-ME"/>
        </w:rPr>
      </w:pPr>
      <w:bookmarkStart w:id="9" w:name="_Hlk40689641"/>
      <w:r w:rsidRPr="00AF2694">
        <w:rPr>
          <w:bCs/>
          <w:sz w:val="22"/>
          <w:szCs w:val="22"/>
          <w:lang w:val="sr-Latn-ME"/>
        </w:rPr>
        <w:t>Napomena: Proc</w:t>
      </w:r>
      <w:r w:rsidR="002A29B4" w:rsidRPr="00AF2694">
        <w:rPr>
          <w:bCs/>
          <w:sz w:val="22"/>
          <w:szCs w:val="22"/>
          <w:lang w:val="sr-Latn-ME"/>
        </w:rPr>
        <w:t>j</w:t>
      </w:r>
      <w:r w:rsidRPr="00AF2694">
        <w:rPr>
          <w:bCs/>
          <w:sz w:val="22"/>
          <w:szCs w:val="22"/>
          <w:lang w:val="sr-Latn-ME"/>
        </w:rPr>
        <w:t>ene su izvedene iz podataka iz studija LAL CL02, LAL-CL03, LAL CL04, i LAL CL06.</w:t>
      </w:r>
    </w:p>
    <w:p w14:paraId="7A838376" w14:textId="09CBB582" w:rsidR="00251C3A" w:rsidRPr="00AF2694" w:rsidRDefault="00251C3A" w:rsidP="00CF11D6">
      <w:pPr>
        <w:tabs>
          <w:tab w:val="left" w:pos="540"/>
          <w:tab w:val="left" w:pos="567"/>
        </w:tabs>
        <w:jc w:val="both"/>
        <w:rPr>
          <w:bCs/>
          <w:sz w:val="22"/>
          <w:szCs w:val="22"/>
          <w:u w:val="single"/>
          <w:lang w:val="sr-Latn-ME"/>
        </w:rPr>
      </w:pPr>
      <w:r w:rsidRPr="00AF2694">
        <w:rPr>
          <w:bCs/>
          <w:sz w:val="22"/>
          <w:szCs w:val="22"/>
          <w:lang w:val="sr-Latn-ME"/>
        </w:rPr>
        <w:t>AUC</w:t>
      </w:r>
      <w:r w:rsidRPr="00AF2694">
        <w:rPr>
          <w:bCs/>
          <w:sz w:val="22"/>
          <w:szCs w:val="22"/>
          <w:vertAlign w:val="subscript"/>
          <w:lang w:val="sr-Latn-ME"/>
        </w:rPr>
        <w:t>ss</w:t>
      </w:r>
      <w:r w:rsidRPr="00AF2694">
        <w:rPr>
          <w:bCs/>
          <w:sz w:val="22"/>
          <w:szCs w:val="22"/>
          <w:lang w:val="sr-Latn-ME"/>
        </w:rPr>
        <w:t xml:space="preserve"> = površina ispod krive koncentracija-vr</w:t>
      </w:r>
      <w:r w:rsidR="002A29B4" w:rsidRPr="00AF2694">
        <w:rPr>
          <w:bCs/>
          <w:sz w:val="22"/>
          <w:szCs w:val="22"/>
          <w:lang w:val="sr-Latn-ME"/>
        </w:rPr>
        <w:t>ij</w:t>
      </w:r>
      <w:r w:rsidRPr="00AF2694">
        <w:rPr>
          <w:bCs/>
          <w:sz w:val="22"/>
          <w:szCs w:val="22"/>
          <w:lang w:val="sr-Latn-ME"/>
        </w:rPr>
        <w:t>eme u stanju ravnoteže; CL = klirens; C</w:t>
      </w:r>
      <w:r w:rsidRPr="00AF2694">
        <w:rPr>
          <w:bCs/>
          <w:sz w:val="22"/>
          <w:szCs w:val="22"/>
          <w:vertAlign w:val="subscript"/>
          <w:lang w:val="sr-Latn-ME"/>
        </w:rPr>
        <w:t xml:space="preserve">max,ss </w:t>
      </w:r>
      <w:r w:rsidRPr="00AF2694">
        <w:rPr>
          <w:bCs/>
          <w:sz w:val="22"/>
          <w:szCs w:val="22"/>
          <w:lang w:val="sr-Latn-ME"/>
        </w:rPr>
        <w:t>= maksimalna uočena serumska koncentracija u stanju ravnoteže; PK = farmakokinetika; Q = periferni klirens; t</w:t>
      </w:r>
      <w:r w:rsidRPr="00AF2694">
        <w:rPr>
          <w:bCs/>
          <w:sz w:val="22"/>
          <w:szCs w:val="22"/>
          <w:vertAlign w:val="subscript"/>
          <w:lang w:val="sr-Latn-ME"/>
        </w:rPr>
        <w:t>½β</w:t>
      </w:r>
      <w:r w:rsidRPr="00AF2694">
        <w:rPr>
          <w:bCs/>
          <w:sz w:val="22"/>
          <w:szCs w:val="22"/>
          <w:lang w:val="sr-Latn-ME"/>
        </w:rPr>
        <w:t> = terminalno poluvr</w:t>
      </w:r>
      <w:r w:rsidR="004D6AFB" w:rsidRPr="00AF2694">
        <w:rPr>
          <w:bCs/>
          <w:sz w:val="22"/>
          <w:szCs w:val="22"/>
          <w:lang w:val="sr-Latn-ME"/>
        </w:rPr>
        <w:t>ij</w:t>
      </w:r>
      <w:r w:rsidRPr="00AF2694">
        <w:rPr>
          <w:bCs/>
          <w:sz w:val="22"/>
          <w:szCs w:val="22"/>
          <w:lang w:val="sr-Latn-ME"/>
        </w:rPr>
        <w:t>eme eliminacije; Vc = centralni volumen distribucije; Vss = volumen distribucije u stanju ravnoteže</w:t>
      </w:r>
      <w:bookmarkEnd w:id="9"/>
    </w:p>
    <w:p w14:paraId="22574AB8" w14:textId="77777777" w:rsidR="00251C3A" w:rsidRPr="00AF2694" w:rsidRDefault="00251C3A" w:rsidP="00CF11D6">
      <w:pPr>
        <w:tabs>
          <w:tab w:val="left" w:pos="540"/>
          <w:tab w:val="left" w:pos="567"/>
        </w:tabs>
        <w:jc w:val="both"/>
        <w:rPr>
          <w:bCs/>
          <w:sz w:val="22"/>
          <w:szCs w:val="22"/>
          <w:u w:val="single"/>
          <w:lang w:val="sr-Latn-ME"/>
        </w:rPr>
      </w:pPr>
    </w:p>
    <w:p w14:paraId="09DA2A45" w14:textId="77777777" w:rsidR="00251C3A" w:rsidRPr="00AF2694" w:rsidRDefault="00251C3A" w:rsidP="00CF11D6">
      <w:pPr>
        <w:tabs>
          <w:tab w:val="left" w:pos="540"/>
          <w:tab w:val="left" w:pos="567"/>
        </w:tabs>
        <w:jc w:val="both"/>
        <w:rPr>
          <w:bCs/>
          <w:iCs/>
          <w:sz w:val="22"/>
          <w:szCs w:val="22"/>
          <w:u w:val="single"/>
          <w:lang w:val="sr-Latn-ME"/>
        </w:rPr>
      </w:pPr>
      <w:r w:rsidRPr="00AF2694">
        <w:rPr>
          <w:bCs/>
          <w:sz w:val="22"/>
          <w:szCs w:val="22"/>
          <w:u w:val="single"/>
          <w:lang w:val="sr-Latn-ME"/>
        </w:rPr>
        <w:t>Linearnost/nelinearnost</w:t>
      </w:r>
    </w:p>
    <w:p w14:paraId="1194601A" w14:textId="77777777" w:rsidR="00251C3A" w:rsidRPr="00AF2694" w:rsidRDefault="00251C3A" w:rsidP="00CF11D6">
      <w:pPr>
        <w:tabs>
          <w:tab w:val="left" w:pos="540"/>
          <w:tab w:val="left" w:pos="567"/>
        </w:tabs>
        <w:jc w:val="both"/>
        <w:rPr>
          <w:bCs/>
          <w:iCs/>
          <w:sz w:val="22"/>
          <w:szCs w:val="22"/>
          <w:lang w:val="sr-Latn-ME"/>
        </w:rPr>
      </w:pPr>
    </w:p>
    <w:p w14:paraId="0437806B" w14:textId="24DCF1BC"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Zaključak o linearnosti farmakokinetike sebelipaze alfa ne može se don</w:t>
      </w:r>
      <w:r w:rsidR="00860E96" w:rsidRPr="00AF2694">
        <w:rPr>
          <w:bCs/>
          <w:sz w:val="22"/>
          <w:szCs w:val="22"/>
          <w:lang w:val="sr-Latn-ME"/>
        </w:rPr>
        <w:t>ij</w:t>
      </w:r>
      <w:r w:rsidRPr="00AF2694">
        <w:rPr>
          <w:bCs/>
          <w:sz w:val="22"/>
          <w:szCs w:val="22"/>
          <w:lang w:val="sr-Latn-ME"/>
        </w:rPr>
        <w:t xml:space="preserve">eti zbog ograničenih podataka pri </w:t>
      </w:r>
      <w:r w:rsidR="00860E96" w:rsidRPr="00AF2694">
        <w:rPr>
          <w:bCs/>
          <w:sz w:val="22"/>
          <w:szCs w:val="22"/>
          <w:lang w:val="sr-Latn-ME"/>
        </w:rPr>
        <w:t>izloženosti višim dozama</w:t>
      </w:r>
      <w:r w:rsidRPr="00AF2694">
        <w:rPr>
          <w:bCs/>
          <w:sz w:val="22"/>
          <w:szCs w:val="22"/>
          <w:lang w:val="sr-Latn-ME"/>
        </w:rPr>
        <w:t>. Nema akumulacije l</w:t>
      </w:r>
      <w:r w:rsidR="004D6AFB" w:rsidRPr="00AF2694">
        <w:rPr>
          <w:bCs/>
          <w:sz w:val="22"/>
          <w:szCs w:val="22"/>
          <w:lang w:val="sr-Latn-ME"/>
        </w:rPr>
        <w:t>ij</w:t>
      </w:r>
      <w:r w:rsidRPr="00AF2694">
        <w:rPr>
          <w:bCs/>
          <w:sz w:val="22"/>
          <w:szCs w:val="22"/>
          <w:lang w:val="sr-Latn-ME"/>
        </w:rPr>
        <w:t xml:space="preserve">eka nakon doziranja od 1 mg/kg ili 3 mg/kg </w:t>
      </w:r>
      <w:r w:rsidR="00860E96" w:rsidRPr="00AF2694">
        <w:rPr>
          <w:bCs/>
          <w:sz w:val="22"/>
          <w:szCs w:val="22"/>
          <w:lang w:val="sr-Latn-ME"/>
        </w:rPr>
        <w:t xml:space="preserve">jednom na </w:t>
      </w:r>
      <w:r w:rsidRPr="00AF2694">
        <w:rPr>
          <w:bCs/>
          <w:sz w:val="22"/>
          <w:szCs w:val="22"/>
          <w:lang w:val="sr-Latn-ME"/>
        </w:rPr>
        <w:t xml:space="preserve">svake </w:t>
      </w:r>
      <w:r w:rsidR="00860E96" w:rsidRPr="00AF2694">
        <w:rPr>
          <w:bCs/>
          <w:sz w:val="22"/>
          <w:szCs w:val="22"/>
          <w:lang w:val="sr-Latn-ME"/>
        </w:rPr>
        <w:t xml:space="preserve">dvije </w:t>
      </w:r>
      <w:r w:rsidRPr="00AF2694">
        <w:rPr>
          <w:bCs/>
          <w:sz w:val="22"/>
          <w:szCs w:val="22"/>
          <w:lang w:val="sr-Latn-ME"/>
        </w:rPr>
        <w:t>ned</w:t>
      </w:r>
      <w:r w:rsidR="004D6AFB" w:rsidRPr="00AF2694">
        <w:rPr>
          <w:bCs/>
          <w:sz w:val="22"/>
          <w:szCs w:val="22"/>
          <w:lang w:val="sr-Latn-ME"/>
        </w:rPr>
        <w:t>j</w:t>
      </w:r>
      <w:r w:rsidRPr="00AF2694">
        <w:rPr>
          <w:bCs/>
          <w:sz w:val="22"/>
          <w:szCs w:val="22"/>
          <w:lang w:val="sr-Latn-ME"/>
        </w:rPr>
        <w:t>elje, iako su zapažanja o akumulaciji l</w:t>
      </w:r>
      <w:r w:rsidR="004D6AFB" w:rsidRPr="00AF2694">
        <w:rPr>
          <w:bCs/>
          <w:sz w:val="22"/>
          <w:szCs w:val="22"/>
          <w:lang w:val="sr-Latn-ME"/>
        </w:rPr>
        <w:t>ij</w:t>
      </w:r>
      <w:r w:rsidRPr="00AF2694">
        <w:rPr>
          <w:bCs/>
          <w:sz w:val="22"/>
          <w:szCs w:val="22"/>
          <w:lang w:val="sr-Latn-ME"/>
        </w:rPr>
        <w:t>eka pri dozi od 3 mg/kg svake druge ned</w:t>
      </w:r>
      <w:r w:rsidR="004D6AFB" w:rsidRPr="00AF2694">
        <w:rPr>
          <w:bCs/>
          <w:sz w:val="22"/>
          <w:szCs w:val="22"/>
          <w:lang w:val="sr-Latn-ME"/>
        </w:rPr>
        <w:t>j</w:t>
      </w:r>
      <w:r w:rsidRPr="00AF2694">
        <w:rPr>
          <w:bCs/>
          <w:sz w:val="22"/>
          <w:szCs w:val="22"/>
          <w:lang w:val="sr-Latn-ME"/>
        </w:rPr>
        <w:t>elje zasnovana na ograničenom broju pacijenata. Akumulacija nakon doziranja jednom ned</w:t>
      </w:r>
      <w:r w:rsidR="004D6AFB" w:rsidRPr="00AF2694">
        <w:rPr>
          <w:bCs/>
          <w:sz w:val="22"/>
          <w:szCs w:val="22"/>
          <w:lang w:val="sr-Latn-ME"/>
        </w:rPr>
        <w:t>j</w:t>
      </w:r>
      <w:r w:rsidRPr="00AF2694">
        <w:rPr>
          <w:bCs/>
          <w:sz w:val="22"/>
          <w:szCs w:val="22"/>
          <w:lang w:val="sr-Latn-ME"/>
        </w:rPr>
        <w:t>eljno nije očekivana na osnovu relativno brzog klirensa l</w:t>
      </w:r>
      <w:r w:rsidR="004D6AFB" w:rsidRPr="00AF2694">
        <w:rPr>
          <w:bCs/>
          <w:sz w:val="22"/>
          <w:szCs w:val="22"/>
          <w:lang w:val="sr-Latn-ME"/>
        </w:rPr>
        <w:t>ij</w:t>
      </w:r>
      <w:r w:rsidRPr="00AF2694">
        <w:rPr>
          <w:bCs/>
          <w:sz w:val="22"/>
          <w:szCs w:val="22"/>
          <w:lang w:val="sr-Latn-ME"/>
        </w:rPr>
        <w:t>eka.</w:t>
      </w:r>
    </w:p>
    <w:p w14:paraId="60463A79" w14:textId="77777777" w:rsidR="00251C3A" w:rsidRPr="00AF2694" w:rsidRDefault="00251C3A" w:rsidP="00CF11D6">
      <w:pPr>
        <w:tabs>
          <w:tab w:val="left" w:pos="540"/>
          <w:tab w:val="left" w:pos="567"/>
        </w:tabs>
        <w:jc w:val="both"/>
        <w:rPr>
          <w:bCs/>
          <w:sz w:val="22"/>
          <w:szCs w:val="22"/>
          <w:lang w:val="sr-Latn-ME"/>
        </w:rPr>
      </w:pPr>
    </w:p>
    <w:p w14:paraId="013E173E" w14:textId="77777777" w:rsidR="00251C3A" w:rsidRPr="00AF2694" w:rsidRDefault="00251C3A" w:rsidP="00CF11D6">
      <w:pPr>
        <w:tabs>
          <w:tab w:val="left" w:pos="540"/>
          <w:tab w:val="left" w:pos="567"/>
        </w:tabs>
        <w:jc w:val="both"/>
        <w:rPr>
          <w:bCs/>
          <w:sz w:val="22"/>
          <w:szCs w:val="22"/>
          <w:u w:val="single"/>
          <w:lang w:val="sr-Latn-ME"/>
        </w:rPr>
      </w:pPr>
      <w:r w:rsidRPr="00AF2694">
        <w:rPr>
          <w:bCs/>
          <w:sz w:val="22"/>
          <w:szCs w:val="22"/>
          <w:u w:val="single"/>
          <w:lang w:val="sr-Latn-ME"/>
        </w:rPr>
        <w:t>Posebne populacije</w:t>
      </w:r>
    </w:p>
    <w:p w14:paraId="460E4C7C" w14:textId="77777777" w:rsidR="00251C3A" w:rsidRPr="00AF2694" w:rsidRDefault="00251C3A" w:rsidP="00CF11D6">
      <w:pPr>
        <w:tabs>
          <w:tab w:val="left" w:pos="540"/>
          <w:tab w:val="left" w:pos="567"/>
        </w:tabs>
        <w:jc w:val="both"/>
        <w:rPr>
          <w:bCs/>
          <w:sz w:val="22"/>
          <w:szCs w:val="22"/>
          <w:u w:val="single"/>
          <w:lang w:val="sr-Latn-ME"/>
        </w:rPr>
      </w:pPr>
    </w:p>
    <w:p w14:paraId="2D991C46" w14:textId="4B3287E5"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Tokom kovarija</w:t>
      </w:r>
      <w:r w:rsidR="0006389C" w:rsidRPr="00AF2694">
        <w:rPr>
          <w:bCs/>
          <w:sz w:val="22"/>
          <w:szCs w:val="22"/>
          <w:lang w:val="sr-Latn-ME"/>
        </w:rPr>
        <w:t>n</w:t>
      </w:r>
      <w:r w:rsidRPr="00AF2694">
        <w:rPr>
          <w:bCs/>
          <w:sz w:val="22"/>
          <w:szCs w:val="22"/>
          <w:lang w:val="sr-Latn-ME"/>
        </w:rPr>
        <w:t>tne analize populacionog farmakokinetičkog modela za sebelipazu alfa, utvrđeno je da starost, pol i sazr</w:t>
      </w:r>
      <w:r w:rsidR="004D6AFB" w:rsidRPr="00AF2694">
        <w:rPr>
          <w:bCs/>
          <w:sz w:val="22"/>
          <w:szCs w:val="22"/>
          <w:lang w:val="sr-Latn-ME"/>
        </w:rPr>
        <w:t>ij</w:t>
      </w:r>
      <w:r w:rsidRPr="00AF2694">
        <w:rPr>
          <w:bCs/>
          <w:sz w:val="22"/>
          <w:szCs w:val="22"/>
          <w:lang w:val="sr-Latn-ME"/>
        </w:rPr>
        <w:t>evanje enzima nemaju značajan uticaj na CL (klirens l</w:t>
      </w:r>
      <w:r w:rsidR="004D6AFB" w:rsidRPr="00AF2694">
        <w:rPr>
          <w:bCs/>
          <w:sz w:val="22"/>
          <w:szCs w:val="22"/>
          <w:lang w:val="sr-Latn-ME"/>
        </w:rPr>
        <w:t>ij</w:t>
      </w:r>
      <w:r w:rsidRPr="00AF2694">
        <w:rPr>
          <w:bCs/>
          <w:sz w:val="22"/>
          <w:szCs w:val="22"/>
          <w:lang w:val="sr-Latn-ME"/>
        </w:rPr>
        <w:t>eka) i Vc (centralni volumen distribucije) sebelipaze alfa. T</w:t>
      </w:r>
      <w:r w:rsidR="004D6AFB" w:rsidRPr="00AF2694">
        <w:rPr>
          <w:bCs/>
          <w:sz w:val="22"/>
          <w:szCs w:val="22"/>
          <w:lang w:val="sr-Latn-ME"/>
        </w:rPr>
        <w:t>j</w:t>
      </w:r>
      <w:r w:rsidRPr="00AF2694">
        <w:rPr>
          <w:bCs/>
          <w:sz w:val="22"/>
          <w:szCs w:val="22"/>
          <w:lang w:val="sr-Latn-ME"/>
        </w:rPr>
        <w:t>elesna težina i površina t</w:t>
      </w:r>
      <w:r w:rsidR="004D6AFB" w:rsidRPr="00AF2694">
        <w:rPr>
          <w:bCs/>
          <w:sz w:val="22"/>
          <w:szCs w:val="22"/>
          <w:lang w:val="sr-Latn-ME"/>
        </w:rPr>
        <w:t>ij</w:t>
      </w:r>
      <w:r w:rsidRPr="00AF2694">
        <w:rPr>
          <w:bCs/>
          <w:sz w:val="22"/>
          <w:szCs w:val="22"/>
          <w:lang w:val="sr-Latn-ME"/>
        </w:rPr>
        <w:t>ela su značajne kovarija</w:t>
      </w:r>
      <w:r w:rsidR="0006389C" w:rsidRPr="00AF2694">
        <w:rPr>
          <w:bCs/>
          <w:sz w:val="22"/>
          <w:szCs w:val="22"/>
          <w:lang w:val="sr-Latn-ME"/>
        </w:rPr>
        <w:t>nt</w:t>
      </w:r>
      <w:r w:rsidRPr="00AF2694">
        <w:rPr>
          <w:bCs/>
          <w:sz w:val="22"/>
          <w:szCs w:val="22"/>
          <w:lang w:val="sr-Latn-ME"/>
        </w:rPr>
        <w:t>e na CL</w:t>
      </w:r>
      <w:r w:rsidR="00860E96" w:rsidRPr="00AF2694">
        <w:rPr>
          <w:bCs/>
          <w:sz w:val="22"/>
          <w:szCs w:val="22"/>
          <w:lang w:val="sr-Latn-ME"/>
        </w:rPr>
        <w:t xml:space="preserve"> lijeka</w:t>
      </w:r>
      <w:r w:rsidRPr="00AF2694">
        <w:rPr>
          <w:bCs/>
          <w:sz w:val="22"/>
          <w:szCs w:val="22"/>
          <w:lang w:val="sr-Latn-ME"/>
        </w:rPr>
        <w:t xml:space="preserve">. Sebelipaza alfa nije ispitivana kod pacijenata starijih od 65 godina. </w:t>
      </w:r>
    </w:p>
    <w:p w14:paraId="65DE6598" w14:textId="77777777" w:rsidR="00251C3A" w:rsidRPr="00AF2694" w:rsidRDefault="00251C3A" w:rsidP="00CF11D6">
      <w:pPr>
        <w:tabs>
          <w:tab w:val="left" w:pos="540"/>
          <w:tab w:val="left" w:pos="567"/>
        </w:tabs>
        <w:jc w:val="both"/>
        <w:rPr>
          <w:bCs/>
          <w:sz w:val="22"/>
          <w:szCs w:val="22"/>
          <w:lang w:val="sr-Latn-ME"/>
        </w:rPr>
      </w:pPr>
    </w:p>
    <w:p w14:paraId="1FEC72F4" w14:textId="77777777" w:rsidR="00251C3A" w:rsidRPr="00AF2694" w:rsidRDefault="00251C3A" w:rsidP="00CF11D6">
      <w:pPr>
        <w:tabs>
          <w:tab w:val="left" w:pos="540"/>
          <w:tab w:val="left" w:pos="567"/>
        </w:tabs>
        <w:jc w:val="both"/>
        <w:rPr>
          <w:bCs/>
          <w:iCs/>
          <w:sz w:val="22"/>
          <w:szCs w:val="22"/>
          <w:lang w:val="sr-Latn-ME"/>
        </w:rPr>
      </w:pPr>
      <w:r w:rsidRPr="00AF2694">
        <w:rPr>
          <w:bCs/>
          <w:sz w:val="22"/>
          <w:szCs w:val="22"/>
          <w:lang w:val="sr-Latn-ME"/>
        </w:rPr>
        <w:t xml:space="preserve">Postoje ograničene informacije o farmakokinetici sebelipaze alfa kod neevropskih etničkih grupa. </w:t>
      </w:r>
    </w:p>
    <w:p w14:paraId="4D02C259" w14:textId="77777777" w:rsidR="00251C3A" w:rsidRPr="00AF2694" w:rsidRDefault="00251C3A" w:rsidP="00CF11D6">
      <w:pPr>
        <w:tabs>
          <w:tab w:val="left" w:pos="540"/>
          <w:tab w:val="left" w:pos="567"/>
        </w:tabs>
        <w:jc w:val="both"/>
        <w:rPr>
          <w:bCs/>
          <w:sz w:val="22"/>
          <w:szCs w:val="22"/>
          <w:lang w:val="sr-Latn-ME"/>
        </w:rPr>
      </w:pPr>
    </w:p>
    <w:p w14:paraId="7DE6A3A6" w14:textId="77777777"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Sebelipaza alfa je protein i očekuje se da se metabolički razgrađuje putem hidrolize peptida. Zbog toga se ne očekuje da oštećena funkcija jetre utiče na farmakokinetiku sebelipaze alfa. Ne postoje podaci kod pacijenata sa teškom insuficijencijom jetre.</w:t>
      </w:r>
    </w:p>
    <w:p w14:paraId="142116E9" w14:textId="77777777" w:rsidR="00251C3A" w:rsidRPr="00AF2694" w:rsidRDefault="00251C3A" w:rsidP="00CF11D6">
      <w:pPr>
        <w:tabs>
          <w:tab w:val="left" w:pos="540"/>
          <w:tab w:val="left" w:pos="567"/>
        </w:tabs>
        <w:jc w:val="both"/>
        <w:rPr>
          <w:bCs/>
          <w:sz w:val="22"/>
          <w:szCs w:val="22"/>
          <w:lang w:val="sr-Latn-ME"/>
        </w:rPr>
      </w:pPr>
    </w:p>
    <w:p w14:paraId="5478A902" w14:textId="6C944AC8" w:rsidR="00251C3A" w:rsidRPr="00AF2694" w:rsidRDefault="005050C1" w:rsidP="00CF11D6">
      <w:pPr>
        <w:tabs>
          <w:tab w:val="left" w:pos="540"/>
          <w:tab w:val="left" w:pos="567"/>
        </w:tabs>
        <w:jc w:val="both"/>
        <w:rPr>
          <w:bCs/>
          <w:sz w:val="22"/>
          <w:szCs w:val="22"/>
          <w:lang w:val="sr-Latn-ME"/>
        </w:rPr>
      </w:pPr>
      <w:r w:rsidRPr="00AF2694">
        <w:rPr>
          <w:bCs/>
          <w:sz w:val="22"/>
          <w:szCs w:val="22"/>
          <w:lang w:val="sr-Latn-ME"/>
        </w:rPr>
        <w:t>Smatra se da se renalnim putem sebelipaza alfa eliminiše u manjoj mjeri</w:t>
      </w:r>
      <w:r w:rsidR="00251C3A" w:rsidRPr="00AF2694">
        <w:rPr>
          <w:bCs/>
          <w:sz w:val="22"/>
          <w:szCs w:val="22"/>
          <w:lang w:val="sr-Latn-ME"/>
        </w:rPr>
        <w:t>. Ne postoje podaci kod pacijenata sa oštećenjem bubrega.</w:t>
      </w:r>
    </w:p>
    <w:p w14:paraId="33F88CB1" w14:textId="77777777" w:rsidR="00251C3A" w:rsidRPr="00AF2694" w:rsidRDefault="00251C3A" w:rsidP="00CF11D6">
      <w:pPr>
        <w:tabs>
          <w:tab w:val="left" w:pos="540"/>
          <w:tab w:val="left" w:pos="567"/>
        </w:tabs>
        <w:jc w:val="both"/>
        <w:rPr>
          <w:bCs/>
          <w:iCs/>
          <w:sz w:val="22"/>
          <w:szCs w:val="22"/>
          <w:u w:val="single"/>
          <w:lang w:val="sr-Latn-ME"/>
        </w:rPr>
      </w:pPr>
    </w:p>
    <w:p w14:paraId="613A2968" w14:textId="77777777" w:rsidR="00251C3A" w:rsidRPr="00AF2694" w:rsidRDefault="00251C3A" w:rsidP="00CF11D6">
      <w:pPr>
        <w:tabs>
          <w:tab w:val="left" w:pos="540"/>
          <w:tab w:val="left" w:pos="567"/>
        </w:tabs>
        <w:jc w:val="both"/>
        <w:rPr>
          <w:bCs/>
          <w:sz w:val="22"/>
          <w:szCs w:val="22"/>
          <w:u w:val="single"/>
          <w:lang w:val="sr-Latn-ME"/>
        </w:rPr>
      </w:pPr>
      <w:r w:rsidRPr="00AF2694">
        <w:rPr>
          <w:bCs/>
          <w:sz w:val="22"/>
          <w:szCs w:val="22"/>
          <w:u w:val="single"/>
          <w:lang w:val="sr-Latn-ME"/>
        </w:rPr>
        <w:t xml:space="preserve">Imunogenost </w:t>
      </w:r>
    </w:p>
    <w:p w14:paraId="0F536316" w14:textId="77777777" w:rsidR="00251C3A" w:rsidRPr="00AF2694" w:rsidRDefault="00251C3A" w:rsidP="00CF11D6">
      <w:pPr>
        <w:tabs>
          <w:tab w:val="left" w:pos="540"/>
          <w:tab w:val="left" w:pos="567"/>
        </w:tabs>
        <w:jc w:val="both"/>
        <w:rPr>
          <w:bCs/>
          <w:sz w:val="22"/>
          <w:szCs w:val="22"/>
          <w:u w:val="single"/>
          <w:lang w:val="sr-Latn-ME"/>
        </w:rPr>
      </w:pPr>
    </w:p>
    <w:p w14:paraId="516FB4E9" w14:textId="4634E306" w:rsidR="00251C3A" w:rsidRPr="00AF2694" w:rsidRDefault="00251C3A" w:rsidP="00CF11D6">
      <w:pPr>
        <w:tabs>
          <w:tab w:val="left" w:pos="540"/>
          <w:tab w:val="left" w:pos="569"/>
        </w:tabs>
        <w:jc w:val="both"/>
        <w:rPr>
          <w:bCs/>
          <w:sz w:val="22"/>
          <w:szCs w:val="22"/>
          <w:lang w:val="sr-Latn-ME"/>
        </w:rPr>
      </w:pPr>
      <w:r w:rsidRPr="00AF2694">
        <w:rPr>
          <w:bCs/>
          <w:sz w:val="22"/>
          <w:szCs w:val="22"/>
          <w:lang w:val="sr-Latn-ME"/>
        </w:rPr>
        <w:t>Kao i kod svih terapijskih proteina, postoji potencijal za razvoj imunogenosti (vid</w:t>
      </w:r>
      <w:r w:rsidR="004D6AFB" w:rsidRPr="00AF2694">
        <w:rPr>
          <w:bCs/>
          <w:sz w:val="22"/>
          <w:szCs w:val="22"/>
          <w:lang w:val="sr-Latn-ME"/>
        </w:rPr>
        <w:t>j</w:t>
      </w:r>
      <w:r w:rsidRPr="00AF2694">
        <w:rPr>
          <w:bCs/>
          <w:sz w:val="22"/>
          <w:szCs w:val="22"/>
          <w:lang w:val="sr-Latn-ME"/>
        </w:rPr>
        <w:t xml:space="preserve">eti </w:t>
      </w:r>
      <w:r w:rsidR="004D6AFB" w:rsidRPr="00AF2694">
        <w:rPr>
          <w:bCs/>
          <w:sz w:val="22"/>
          <w:szCs w:val="22"/>
          <w:lang w:val="sr-Latn-ME"/>
        </w:rPr>
        <w:t>dio</w:t>
      </w:r>
      <w:r w:rsidRPr="00AF2694">
        <w:rPr>
          <w:bCs/>
          <w:sz w:val="22"/>
          <w:szCs w:val="22"/>
          <w:lang w:val="sr-Latn-ME"/>
        </w:rPr>
        <w:t xml:space="preserve"> 4.8).</w:t>
      </w:r>
    </w:p>
    <w:p w14:paraId="4591C115" w14:textId="77777777" w:rsidR="00251C3A" w:rsidRPr="00AF2694" w:rsidRDefault="00251C3A" w:rsidP="00CF11D6">
      <w:pPr>
        <w:tabs>
          <w:tab w:val="left" w:pos="540"/>
          <w:tab w:val="left" w:pos="569"/>
        </w:tabs>
        <w:jc w:val="both"/>
        <w:rPr>
          <w:bCs/>
          <w:sz w:val="22"/>
          <w:szCs w:val="22"/>
          <w:lang w:val="sr-Latn-ME"/>
        </w:rPr>
      </w:pPr>
    </w:p>
    <w:p w14:paraId="08F90967" w14:textId="77777777" w:rsidR="0072020E" w:rsidRPr="00AF2694" w:rsidRDefault="0072020E" w:rsidP="00CF11D6">
      <w:pPr>
        <w:tabs>
          <w:tab w:val="left" w:pos="540"/>
          <w:tab w:val="left" w:pos="569"/>
        </w:tabs>
        <w:jc w:val="both"/>
        <w:rPr>
          <w:b/>
          <w:bCs/>
          <w:sz w:val="22"/>
          <w:szCs w:val="22"/>
          <w:lang w:val="sr-Latn-ME"/>
        </w:rPr>
      </w:pPr>
      <w:r w:rsidRPr="00AF2694">
        <w:rPr>
          <w:b/>
          <w:bCs/>
          <w:sz w:val="22"/>
          <w:szCs w:val="22"/>
          <w:lang w:val="sr-Latn-ME"/>
        </w:rPr>
        <w:t xml:space="preserve">5.3. </w:t>
      </w:r>
      <w:r w:rsidR="00480FB1" w:rsidRPr="00AF2694">
        <w:rPr>
          <w:b/>
          <w:bCs/>
          <w:sz w:val="22"/>
          <w:szCs w:val="22"/>
          <w:lang w:val="sr-Latn-ME"/>
        </w:rPr>
        <w:tab/>
      </w:r>
      <w:r w:rsidRPr="00AF2694">
        <w:rPr>
          <w:b/>
          <w:bCs/>
          <w:sz w:val="22"/>
          <w:szCs w:val="22"/>
          <w:lang w:val="sr-Latn-ME"/>
        </w:rPr>
        <w:t xml:space="preserve">Pretklinički podaci o bezbjednosti </w:t>
      </w:r>
    </w:p>
    <w:p w14:paraId="54EA74C8" w14:textId="77777777" w:rsidR="00836B35" w:rsidRPr="00AF2694" w:rsidRDefault="00836B35" w:rsidP="00CF11D6">
      <w:pPr>
        <w:tabs>
          <w:tab w:val="left" w:pos="540"/>
          <w:tab w:val="left" w:pos="569"/>
        </w:tabs>
        <w:jc w:val="both"/>
        <w:rPr>
          <w:bCs/>
          <w:sz w:val="22"/>
          <w:szCs w:val="22"/>
          <w:lang w:val="sr-Latn-ME"/>
        </w:rPr>
      </w:pPr>
    </w:p>
    <w:p w14:paraId="51480DAF" w14:textId="6ACD6331"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Pre</w:t>
      </w:r>
      <w:r w:rsidR="005050C1" w:rsidRPr="00AF2694">
        <w:rPr>
          <w:bCs/>
          <w:sz w:val="22"/>
          <w:szCs w:val="22"/>
          <w:lang w:val="sr-Latn-ME"/>
        </w:rPr>
        <w:t>t</w:t>
      </w:r>
      <w:r w:rsidRPr="00AF2694">
        <w:rPr>
          <w:bCs/>
          <w:sz w:val="22"/>
          <w:szCs w:val="22"/>
          <w:lang w:val="sr-Latn-ME"/>
        </w:rPr>
        <w:t xml:space="preserve">klinički podaci ne otkrivaju poseban rizik za ljude na osnovu konvencionalnih studija </w:t>
      </w:r>
      <w:r w:rsidR="005050C1" w:rsidRPr="00AF2694">
        <w:rPr>
          <w:bCs/>
          <w:sz w:val="22"/>
          <w:szCs w:val="22"/>
          <w:lang w:val="sr-Latn-ME"/>
        </w:rPr>
        <w:t>sigurnosne farmakologije</w:t>
      </w:r>
      <w:r w:rsidRPr="00AF2694">
        <w:rPr>
          <w:bCs/>
          <w:sz w:val="22"/>
          <w:szCs w:val="22"/>
          <w:lang w:val="sr-Latn-ME"/>
        </w:rPr>
        <w:t xml:space="preserve">, </w:t>
      </w:r>
      <w:r w:rsidR="005050C1" w:rsidRPr="00AF2694">
        <w:rPr>
          <w:bCs/>
          <w:sz w:val="22"/>
          <w:szCs w:val="22"/>
          <w:lang w:val="sr-Latn-ME"/>
        </w:rPr>
        <w:t>toksičnosti ponovljenih</w:t>
      </w:r>
      <w:r w:rsidRPr="00AF2694">
        <w:rPr>
          <w:bCs/>
          <w:sz w:val="22"/>
          <w:szCs w:val="22"/>
          <w:lang w:val="sr-Latn-ME"/>
        </w:rPr>
        <w:t xml:space="preserve"> doza kod pacova i majmuna, ili plodnosti, embriofetalnog i peri- i postnatalnog razvoja kod pacova i zečeva. Studije hronične toksičnosti kod juvenilnih </w:t>
      </w:r>
      <w:r w:rsidRPr="00AF2694">
        <w:rPr>
          <w:bCs/>
          <w:i/>
          <w:sz w:val="22"/>
          <w:szCs w:val="22"/>
          <w:lang w:val="sr-Latn-ME"/>
        </w:rPr>
        <w:t>cinomolgus</w:t>
      </w:r>
      <w:r w:rsidRPr="00AF2694">
        <w:rPr>
          <w:bCs/>
          <w:sz w:val="22"/>
          <w:szCs w:val="22"/>
          <w:lang w:val="sr-Latn-ME"/>
        </w:rPr>
        <w:t xml:space="preserve"> majmuna ni</w:t>
      </w:r>
      <w:r w:rsidR="005050C1" w:rsidRPr="00AF2694">
        <w:rPr>
          <w:bCs/>
          <w:sz w:val="22"/>
          <w:szCs w:val="22"/>
          <w:lang w:val="sr-Latn-ME"/>
        </w:rPr>
        <w:t>je</w:t>
      </w:r>
      <w:r w:rsidRPr="00AF2694">
        <w:rPr>
          <w:bCs/>
          <w:sz w:val="22"/>
          <w:szCs w:val="22"/>
          <w:lang w:val="sr-Latn-ME"/>
        </w:rPr>
        <w:t>su pokazale toksičnost pri dozama do 3 puta većim od preporučene doze kod dojenčadi i 10 puta većim od preporučene doze kod odraslih/d</w:t>
      </w:r>
      <w:r w:rsidR="004D6AFB" w:rsidRPr="00AF2694">
        <w:rPr>
          <w:bCs/>
          <w:sz w:val="22"/>
          <w:szCs w:val="22"/>
          <w:lang w:val="sr-Latn-ME"/>
        </w:rPr>
        <w:t>j</w:t>
      </w:r>
      <w:r w:rsidRPr="00AF2694">
        <w:rPr>
          <w:bCs/>
          <w:sz w:val="22"/>
          <w:szCs w:val="22"/>
          <w:lang w:val="sr-Latn-ME"/>
        </w:rPr>
        <w:t xml:space="preserve">ece. </w:t>
      </w:r>
      <w:r w:rsidR="005050C1" w:rsidRPr="00AF2694">
        <w:rPr>
          <w:bCs/>
          <w:sz w:val="22"/>
          <w:szCs w:val="22"/>
          <w:lang w:val="sr-Latn-ME"/>
        </w:rPr>
        <w:t>U ispitivanjima embriofetalnog razvoja kod pacova i zečeva nijesu uočeni štetni učinci ni pri dozama najmanje 10 puta većim od doza preporučenih za odrasle/djecu, a ni u ispitivanjima plodnosti te perinatalnog i postnatalnog razvoja kod pacova pri dozama do 10 puta većima od doza preporučenih za odrasle/djecu.</w:t>
      </w:r>
    </w:p>
    <w:p w14:paraId="5441CA3D" w14:textId="77777777" w:rsidR="00251C3A" w:rsidRPr="00AF2694" w:rsidRDefault="00251C3A" w:rsidP="00CF11D6">
      <w:pPr>
        <w:tabs>
          <w:tab w:val="left" w:pos="540"/>
          <w:tab w:val="left" w:pos="567"/>
        </w:tabs>
        <w:jc w:val="both"/>
        <w:rPr>
          <w:bCs/>
          <w:iCs/>
          <w:sz w:val="22"/>
          <w:szCs w:val="22"/>
          <w:lang w:val="sr-Latn-ME"/>
        </w:rPr>
      </w:pPr>
    </w:p>
    <w:p w14:paraId="185D6067" w14:textId="010F967B" w:rsidR="00251C3A" w:rsidRPr="00AF2694" w:rsidRDefault="00251C3A" w:rsidP="00CF11D6">
      <w:pPr>
        <w:tabs>
          <w:tab w:val="left" w:pos="540"/>
          <w:tab w:val="left" w:pos="569"/>
        </w:tabs>
        <w:jc w:val="both"/>
        <w:rPr>
          <w:bCs/>
          <w:iCs/>
          <w:sz w:val="22"/>
          <w:szCs w:val="22"/>
          <w:lang w:val="sr-Latn-ME"/>
        </w:rPr>
      </w:pPr>
      <w:r w:rsidRPr="00AF2694">
        <w:rPr>
          <w:bCs/>
          <w:sz w:val="22"/>
          <w:szCs w:val="22"/>
          <w:lang w:val="sr-Latn-ME"/>
        </w:rPr>
        <w:t>Studije za proc</w:t>
      </w:r>
      <w:r w:rsidR="004D6AFB" w:rsidRPr="00AF2694">
        <w:rPr>
          <w:bCs/>
          <w:sz w:val="22"/>
          <w:szCs w:val="22"/>
          <w:lang w:val="sr-Latn-ME"/>
        </w:rPr>
        <w:t>j</w:t>
      </w:r>
      <w:r w:rsidRPr="00AF2694">
        <w:rPr>
          <w:bCs/>
          <w:sz w:val="22"/>
          <w:szCs w:val="22"/>
          <w:lang w:val="sr-Latn-ME"/>
        </w:rPr>
        <w:t>enu mutagenog i kancerogenog potencijala sebelipaze alfa ni</w:t>
      </w:r>
      <w:r w:rsidR="005050C1" w:rsidRPr="00AF2694">
        <w:rPr>
          <w:bCs/>
          <w:sz w:val="22"/>
          <w:szCs w:val="22"/>
          <w:lang w:val="sr-Latn-ME"/>
        </w:rPr>
        <w:t>je</w:t>
      </w:r>
      <w:r w:rsidRPr="00AF2694">
        <w:rPr>
          <w:bCs/>
          <w:sz w:val="22"/>
          <w:szCs w:val="22"/>
          <w:lang w:val="sr-Latn-ME"/>
        </w:rPr>
        <w:t>su sprovedene.</w:t>
      </w:r>
    </w:p>
    <w:p w14:paraId="418EF79F" w14:textId="3C04E3C6" w:rsidR="00396DFD" w:rsidRPr="00AF2694" w:rsidRDefault="00396DFD" w:rsidP="00480FB1">
      <w:pPr>
        <w:tabs>
          <w:tab w:val="left" w:pos="540"/>
          <w:tab w:val="left" w:pos="569"/>
        </w:tabs>
        <w:rPr>
          <w:b/>
          <w:bCs/>
          <w:sz w:val="22"/>
          <w:szCs w:val="22"/>
          <w:lang w:val="sr-Latn-ME"/>
        </w:rPr>
      </w:pPr>
    </w:p>
    <w:p w14:paraId="22A2F8E0" w14:textId="77777777" w:rsidR="0006389C" w:rsidRPr="00AF2694" w:rsidRDefault="0006389C" w:rsidP="00480FB1">
      <w:pPr>
        <w:tabs>
          <w:tab w:val="left" w:pos="540"/>
          <w:tab w:val="left" w:pos="569"/>
        </w:tabs>
        <w:rPr>
          <w:b/>
          <w:bCs/>
          <w:sz w:val="22"/>
          <w:szCs w:val="22"/>
          <w:lang w:val="sr-Latn-ME"/>
        </w:rPr>
      </w:pPr>
    </w:p>
    <w:p w14:paraId="24BE55DF" w14:textId="77777777" w:rsidR="0072020E" w:rsidRPr="00AF2694" w:rsidRDefault="0072020E" w:rsidP="00480FB1">
      <w:pPr>
        <w:tabs>
          <w:tab w:val="left" w:pos="540"/>
          <w:tab w:val="left" w:pos="569"/>
        </w:tabs>
        <w:rPr>
          <w:b/>
          <w:bCs/>
          <w:sz w:val="22"/>
          <w:szCs w:val="22"/>
          <w:lang w:val="sr-Latn-ME"/>
        </w:rPr>
      </w:pPr>
      <w:r w:rsidRPr="00AF2694">
        <w:rPr>
          <w:b/>
          <w:bCs/>
          <w:sz w:val="22"/>
          <w:szCs w:val="22"/>
          <w:lang w:val="sr-Latn-ME"/>
        </w:rPr>
        <w:lastRenderedPageBreak/>
        <w:t xml:space="preserve">6. </w:t>
      </w:r>
      <w:r w:rsidR="00480FB1" w:rsidRPr="00AF2694">
        <w:rPr>
          <w:b/>
          <w:bCs/>
          <w:sz w:val="22"/>
          <w:szCs w:val="22"/>
          <w:lang w:val="sr-Latn-ME"/>
        </w:rPr>
        <w:tab/>
      </w:r>
      <w:r w:rsidRPr="00AF2694">
        <w:rPr>
          <w:b/>
          <w:bCs/>
          <w:sz w:val="22"/>
          <w:szCs w:val="22"/>
          <w:lang w:val="sr-Latn-ME"/>
        </w:rPr>
        <w:t>FARMACEUTSKI PODACI</w:t>
      </w:r>
    </w:p>
    <w:p w14:paraId="34F10DF3" w14:textId="77777777" w:rsidR="00836B35" w:rsidRPr="00AF2694" w:rsidRDefault="00836B35" w:rsidP="00480FB1">
      <w:pPr>
        <w:tabs>
          <w:tab w:val="left" w:pos="540"/>
          <w:tab w:val="left" w:pos="569"/>
        </w:tabs>
        <w:rPr>
          <w:bCs/>
          <w:sz w:val="22"/>
          <w:szCs w:val="22"/>
          <w:lang w:val="sr-Latn-ME"/>
        </w:rPr>
      </w:pPr>
    </w:p>
    <w:p w14:paraId="1EB0F720" w14:textId="77777777" w:rsidR="0072020E" w:rsidRPr="00AF2694" w:rsidRDefault="0072020E" w:rsidP="00480FB1">
      <w:pPr>
        <w:tabs>
          <w:tab w:val="left" w:pos="540"/>
          <w:tab w:val="left" w:pos="569"/>
        </w:tabs>
        <w:rPr>
          <w:b/>
          <w:bCs/>
          <w:sz w:val="22"/>
          <w:szCs w:val="22"/>
          <w:lang w:val="sr-Latn-ME"/>
        </w:rPr>
      </w:pPr>
      <w:r w:rsidRPr="00AF2694">
        <w:rPr>
          <w:b/>
          <w:bCs/>
          <w:sz w:val="22"/>
          <w:szCs w:val="22"/>
          <w:lang w:val="sr-Latn-ME"/>
        </w:rPr>
        <w:t xml:space="preserve">6.1. </w:t>
      </w:r>
      <w:r w:rsidR="00480FB1" w:rsidRPr="00AF2694">
        <w:rPr>
          <w:b/>
          <w:bCs/>
          <w:sz w:val="22"/>
          <w:szCs w:val="22"/>
          <w:lang w:val="sr-Latn-ME"/>
        </w:rPr>
        <w:tab/>
      </w:r>
      <w:r w:rsidRPr="00AF2694">
        <w:rPr>
          <w:b/>
          <w:bCs/>
          <w:sz w:val="22"/>
          <w:szCs w:val="22"/>
          <w:lang w:val="sr-Latn-ME"/>
        </w:rPr>
        <w:t>Lista pomoćnih supstanci</w:t>
      </w:r>
      <w:r w:rsidR="002E0135" w:rsidRPr="00AF2694">
        <w:rPr>
          <w:b/>
          <w:bCs/>
          <w:sz w:val="22"/>
          <w:szCs w:val="22"/>
          <w:lang w:val="sr-Latn-ME"/>
        </w:rPr>
        <w:t xml:space="preserve"> (ekscipijenasa)</w:t>
      </w:r>
    </w:p>
    <w:p w14:paraId="060543EC" w14:textId="77777777" w:rsidR="0072020E" w:rsidRPr="00AF2694" w:rsidRDefault="0072020E" w:rsidP="00480FB1">
      <w:pPr>
        <w:tabs>
          <w:tab w:val="left" w:pos="540"/>
          <w:tab w:val="left" w:pos="569"/>
        </w:tabs>
        <w:rPr>
          <w:bCs/>
          <w:sz w:val="22"/>
          <w:szCs w:val="22"/>
          <w:lang w:val="sr-Latn-ME"/>
        </w:rPr>
      </w:pPr>
    </w:p>
    <w:p w14:paraId="417E5AFA" w14:textId="2D3F8158" w:rsidR="00251C3A" w:rsidRPr="00AF2694" w:rsidRDefault="00251C3A" w:rsidP="00251C3A">
      <w:pPr>
        <w:tabs>
          <w:tab w:val="left" w:pos="540"/>
          <w:tab w:val="left" w:pos="567"/>
        </w:tabs>
        <w:rPr>
          <w:bCs/>
          <w:sz w:val="22"/>
          <w:szCs w:val="22"/>
          <w:lang w:val="sr-Latn-ME"/>
        </w:rPr>
      </w:pPr>
      <w:r w:rsidRPr="00AF2694">
        <w:rPr>
          <w:bCs/>
          <w:sz w:val="22"/>
          <w:szCs w:val="22"/>
          <w:lang w:val="sr-Latn-ME"/>
        </w:rPr>
        <w:t>Natrijum</w:t>
      </w:r>
      <w:r w:rsidR="005A1774" w:rsidRPr="00AF2694">
        <w:rPr>
          <w:bCs/>
          <w:sz w:val="22"/>
          <w:szCs w:val="22"/>
          <w:lang w:val="sr-Latn-ME"/>
        </w:rPr>
        <w:t xml:space="preserve"> </w:t>
      </w:r>
      <w:r w:rsidRPr="00AF2694">
        <w:rPr>
          <w:bCs/>
          <w:sz w:val="22"/>
          <w:szCs w:val="22"/>
          <w:lang w:val="sr-Latn-ME"/>
        </w:rPr>
        <w:t>citrat</w:t>
      </w:r>
    </w:p>
    <w:p w14:paraId="2774F446" w14:textId="77777777" w:rsidR="00251C3A" w:rsidRPr="00AF2694" w:rsidRDefault="00251C3A" w:rsidP="00251C3A">
      <w:pPr>
        <w:tabs>
          <w:tab w:val="left" w:pos="540"/>
          <w:tab w:val="left" w:pos="567"/>
        </w:tabs>
        <w:rPr>
          <w:bCs/>
          <w:sz w:val="22"/>
          <w:szCs w:val="22"/>
          <w:lang w:val="sr-Latn-ME"/>
        </w:rPr>
      </w:pPr>
      <w:r w:rsidRPr="00AF2694">
        <w:rPr>
          <w:bCs/>
          <w:sz w:val="22"/>
          <w:szCs w:val="22"/>
          <w:lang w:val="sr-Latn-ME"/>
        </w:rPr>
        <w:t>Limunska kiselina monohidrat</w:t>
      </w:r>
    </w:p>
    <w:p w14:paraId="4CCBF7E5" w14:textId="6463409D" w:rsidR="00251C3A" w:rsidRPr="00AF2694" w:rsidRDefault="0006389C" w:rsidP="00251C3A">
      <w:pPr>
        <w:tabs>
          <w:tab w:val="left" w:pos="540"/>
          <w:tab w:val="left" w:pos="567"/>
        </w:tabs>
        <w:rPr>
          <w:bCs/>
          <w:sz w:val="22"/>
          <w:szCs w:val="22"/>
          <w:lang w:val="sr-Latn-ME"/>
        </w:rPr>
      </w:pPr>
      <w:r w:rsidRPr="00AF2694">
        <w:rPr>
          <w:bCs/>
          <w:sz w:val="22"/>
          <w:szCs w:val="22"/>
          <w:lang w:val="sr-Latn-ME"/>
        </w:rPr>
        <w:t>A</w:t>
      </w:r>
      <w:r w:rsidR="00251C3A" w:rsidRPr="00AF2694">
        <w:rPr>
          <w:bCs/>
          <w:sz w:val="22"/>
          <w:szCs w:val="22"/>
          <w:lang w:val="sr-Latn-ME"/>
        </w:rPr>
        <w:t>lbumin</w:t>
      </w:r>
      <w:r w:rsidRPr="00AF2694">
        <w:rPr>
          <w:bCs/>
          <w:sz w:val="22"/>
          <w:szCs w:val="22"/>
          <w:lang w:val="sr-Latn-ME"/>
        </w:rPr>
        <w:t>, humani, serumski</w:t>
      </w:r>
    </w:p>
    <w:p w14:paraId="6C9CE9A2" w14:textId="1AD75441" w:rsidR="00251C3A" w:rsidRPr="00AF2694" w:rsidRDefault="00251C3A" w:rsidP="00480FB1">
      <w:pPr>
        <w:tabs>
          <w:tab w:val="left" w:pos="540"/>
          <w:tab w:val="left" w:pos="569"/>
        </w:tabs>
        <w:rPr>
          <w:bCs/>
          <w:sz w:val="22"/>
          <w:szCs w:val="22"/>
          <w:lang w:val="sr-Latn-ME"/>
        </w:rPr>
      </w:pPr>
      <w:r w:rsidRPr="00AF2694">
        <w:rPr>
          <w:bCs/>
          <w:sz w:val="22"/>
          <w:szCs w:val="22"/>
          <w:lang w:val="sr-Latn-ME"/>
        </w:rPr>
        <w:t>Voda za injekcije</w:t>
      </w:r>
    </w:p>
    <w:p w14:paraId="72F1CE25" w14:textId="77777777" w:rsidR="00251C3A" w:rsidRPr="00AF2694" w:rsidRDefault="00251C3A" w:rsidP="00480FB1">
      <w:pPr>
        <w:tabs>
          <w:tab w:val="left" w:pos="540"/>
          <w:tab w:val="left" w:pos="569"/>
        </w:tabs>
        <w:rPr>
          <w:bCs/>
          <w:sz w:val="22"/>
          <w:szCs w:val="22"/>
          <w:lang w:val="sr-Latn-ME"/>
        </w:rPr>
      </w:pPr>
    </w:p>
    <w:p w14:paraId="130B582E" w14:textId="77777777" w:rsidR="0072020E" w:rsidRPr="00AF2694" w:rsidRDefault="0072020E" w:rsidP="00480FB1">
      <w:pPr>
        <w:tabs>
          <w:tab w:val="left" w:pos="540"/>
          <w:tab w:val="left" w:pos="569"/>
        </w:tabs>
        <w:rPr>
          <w:b/>
          <w:bCs/>
          <w:sz w:val="22"/>
          <w:szCs w:val="22"/>
          <w:lang w:val="sr-Latn-ME"/>
        </w:rPr>
      </w:pPr>
      <w:r w:rsidRPr="00AF2694">
        <w:rPr>
          <w:b/>
          <w:bCs/>
          <w:sz w:val="22"/>
          <w:szCs w:val="22"/>
          <w:lang w:val="sr-Latn-ME"/>
        </w:rPr>
        <w:t xml:space="preserve">6.2. </w:t>
      </w:r>
      <w:r w:rsidR="00480FB1" w:rsidRPr="00AF2694">
        <w:rPr>
          <w:b/>
          <w:bCs/>
          <w:sz w:val="22"/>
          <w:szCs w:val="22"/>
          <w:lang w:val="sr-Latn-ME"/>
        </w:rPr>
        <w:tab/>
      </w:r>
      <w:r w:rsidRPr="00AF2694">
        <w:rPr>
          <w:b/>
          <w:bCs/>
          <w:sz w:val="22"/>
          <w:szCs w:val="22"/>
          <w:lang w:val="sr-Latn-ME"/>
        </w:rPr>
        <w:t>Inkompatibilnost</w:t>
      </w:r>
      <w:r w:rsidR="002846DB" w:rsidRPr="00AF2694">
        <w:rPr>
          <w:b/>
          <w:bCs/>
          <w:sz w:val="22"/>
          <w:szCs w:val="22"/>
          <w:lang w:val="sr-Latn-ME"/>
        </w:rPr>
        <w:t>i</w:t>
      </w:r>
    </w:p>
    <w:p w14:paraId="35428CF7" w14:textId="77777777" w:rsidR="0072020E" w:rsidRPr="00AF2694" w:rsidRDefault="0072020E" w:rsidP="00480FB1">
      <w:pPr>
        <w:tabs>
          <w:tab w:val="left" w:pos="540"/>
          <w:tab w:val="left" w:pos="569"/>
        </w:tabs>
        <w:rPr>
          <w:bCs/>
          <w:sz w:val="22"/>
          <w:szCs w:val="22"/>
          <w:lang w:val="sr-Latn-ME"/>
        </w:rPr>
      </w:pPr>
    </w:p>
    <w:p w14:paraId="53AE0296" w14:textId="785C92A4" w:rsidR="00251C3A" w:rsidRPr="00AF2694" w:rsidRDefault="00251C3A" w:rsidP="00480FB1">
      <w:pPr>
        <w:tabs>
          <w:tab w:val="left" w:pos="540"/>
          <w:tab w:val="left" w:pos="569"/>
        </w:tabs>
        <w:rPr>
          <w:bCs/>
          <w:sz w:val="22"/>
          <w:szCs w:val="22"/>
          <w:lang w:val="sr-Latn-ME"/>
        </w:rPr>
      </w:pPr>
      <w:r w:rsidRPr="00AF2694">
        <w:rPr>
          <w:bCs/>
          <w:sz w:val="22"/>
          <w:szCs w:val="22"/>
          <w:lang w:val="sr-Latn-ME"/>
        </w:rPr>
        <w:t>U odsustvu studija kompatibilnosti, ovaj l</w:t>
      </w:r>
      <w:r w:rsidR="004D6AFB" w:rsidRPr="00AF2694">
        <w:rPr>
          <w:bCs/>
          <w:sz w:val="22"/>
          <w:szCs w:val="22"/>
          <w:lang w:val="sr-Latn-ME"/>
        </w:rPr>
        <w:t>ij</w:t>
      </w:r>
      <w:r w:rsidRPr="00AF2694">
        <w:rPr>
          <w:bCs/>
          <w:sz w:val="22"/>
          <w:szCs w:val="22"/>
          <w:lang w:val="sr-Latn-ME"/>
        </w:rPr>
        <w:t>ek se ne sm</w:t>
      </w:r>
      <w:r w:rsidR="004D6AFB" w:rsidRPr="00AF2694">
        <w:rPr>
          <w:bCs/>
          <w:sz w:val="22"/>
          <w:szCs w:val="22"/>
          <w:lang w:val="sr-Latn-ME"/>
        </w:rPr>
        <w:t>ij</w:t>
      </w:r>
      <w:r w:rsidRPr="00AF2694">
        <w:rPr>
          <w:bCs/>
          <w:sz w:val="22"/>
          <w:szCs w:val="22"/>
          <w:lang w:val="sr-Latn-ME"/>
        </w:rPr>
        <w:t>e m</w:t>
      </w:r>
      <w:r w:rsidR="004D6AFB" w:rsidRPr="00AF2694">
        <w:rPr>
          <w:bCs/>
          <w:sz w:val="22"/>
          <w:szCs w:val="22"/>
          <w:lang w:val="sr-Latn-ME"/>
        </w:rPr>
        <w:t>ij</w:t>
      </w:r>
      <w:r w:rsidRPr="00AF2694">
        <w:rPr>
          <w:bCs/>
          <w:sz w:val="22"/>
          <w:szCs w:val="22"/>
          <w:lang w:val="sr-Latn-ME"/>
        </w:rPr>
        <w:t>ešati sa drugim l</w:t>
      </w:r>
      <w:r w:rsidR="004D6AFB" w:rsidRPr="00AF2694">
        <w:rPr>
          <w:bCs/>
          <w:sz w:val="22"/>
          <w:szCs w:val="22"/>
          <w:lang w:val="sr-Latn-ME"/>
        </w:rPr>
        <w:t>j</w:t>
      </w:r>
      <w:r w:rsidRPr="00AF2694">
        <w:rPr>
          <w:bCs/>
          <w:sz w:val="22"/>
          <w:szCs w:val="22"/>
          <w:lang w:val="sr-Latn-ME"/>
        </w:rPr>
        <w:t>ekovima.</w:t>
      </w:r>
    </w:p>
    <w:p w14:paraId="5E97A384" w14:textId="77777777" w:rsidR="00251C3A" w:rsidRPr="00AF2694" w:rsidRDefault="00251C3A" w:rsidP="00480FB1">
      <w:pPr>
        <w:tabs>
          <w:tab w:val="left" w:pos="540"/>
          <w:tab w:val="left" w:pos="569"/>
        </w:tabs>
        <w:rPr>
          <w:bCs/>
          <w:sz w:val="22"/>
          <w:szCs w:val="22"/>
          <w:lang w:val="sr-Latn-ME"/>
        </w:rPr>
      </w:pPr>
    </w:p>
    <w:p w14:paraId="5526B8AB" w14:textId="77777777" w:rsidR="0072020E" w:rsidRPr="00AF2694" w:rsidRDefault="0072020E" w:rsidP="00480FB1">
      <w:pPr>
        <w:tabs>
          <w:tab w:val="left" w:pos="540"/>
          <w:tab w:val="left" w:pos="569"/>
        </w:tabs>
        <w:rPr>
          <w:b/>
          <w:bCs/>
          <w:sz w:val="22"/>
          <w:szCs w:val="22"/>
          <w:lang w:val="sr-Latn-ME"/>
        </w:rPr>
      </w:pPr>
      <w:r w:rsidRPr="00AF2694">
        <w:rPr>
          <w:b/>
          <w:bCs/>
          <w:sz w:val="22"/>
          <w:szCs w:val="22"/>
          <w:lang w:val="sr-Latn-ME"/>
        </w:rPr>
        <w:t>6.3.</w:t>
      </w:r>
      <w:r w:rsidR="00C05DF8" w:rsidRPr="00AF2694">
        <w:rPr>
          <w:b/>
          <w:bCs/>
          <w:sz w:val="22"/>
          <w:szCs w:val="22"/>
          <w:lang w:val="sr-Latn-ME"/>
        </w:rPr>
        <w:t xml:space="preserve"> </w:t>
      </w:r>
      <w:r w:rsidR="00480FB1" w:rsidRPr="00AF2694">
        <w:rPr>
          <w:b/>
          <w:bCs/>
          <w:sz w:val="22"/>
          <w:szCs w:val="22"/>
          <w:lang w:val="sr-Latn-ME"/>
        </w:rPr>
        <w:tab/>
      </w:r>
      <w:r w:rsidRPr="00AF2694">
        <w:rPr>
          <w:b/>
          <w:bCs/>
          <w:sz w:val="22"/>
          <w:szCs w:val="22"/>
          <w:lang w:val="sr-Latn-ME"/>
        </w:rPr>
        <w:t>Rok upotrebe</w:t>
      </w:r>
    </w:p>
    <w:p w14:paraId="49876943" w14:textId="77777777" w:rsidR="0072020E" w:rsidRPr="00AF2694" w:rsidRDefault="0072020E" w:rsidP="00480FB1">
      <w:pPr>
        <w:tabs>
          <w:tab w:val="left" w:pos="540"/>
          <w:tab w:val="left" w:pos="569"/>
        </w:tabs>
        <w:rPr>
          <w:bCs/>
          <w:sz w:val="22"/>
          <w:szCs w:val="22"/>
          <w:lang w:val="sr-Latn-ME"/>
        </w:rPr>
      </w:pPr>
    </w:p>
    <w:p w14:paraId="2BF1F027" w14:textId="3B13C686" w:rsidR="00251C3A" w:rsidRPr="00AF2694" w:rsidRDefault="00251C3A" w:rsidP="00251C3A">
      <w:pPr>
        <w:tabs>
          <w:tab w:val="left" w:pos="540"/>
          <w:tab w:val="left" w:pos="567"/>
        </w:tabs>
        <w:rPr>
          <w:bCs/>
          <w:sz w:val="22"/>
          <w:szCs w:val="22"/>
          <w:lang w:val="sr-Latn-ME"/>
        </w:rPr>
      </w:pPr>
      <w:r w:rsidRPr="00AF2694">
        <w:rPr>
          <w:bCs/>
          <w:sz w:val="22"/>
          <w:szCs w:val="22"/>
          <w:lang w:val="sr-Latn-ME"/>
        </w:rPr>
        <w:t>Neotvoren</w:t>
      </w:r>
      <w:r w:rsidR="00754C04" w:rsidRPr="00AF2694">
        <w:rPr>
          <w:bCs/>
          <w:sz w:val="22"/>
          <w:szCs w:val="22"/>
          <w:lang w:val="sr-Latn-ME"/>
        </w:rPr>
        <w:t>a</w:t>
      </w:r>
      <w:r w:rsidRPr="00AF2694">
        <w:rPr>
          <w:bCs/>
          <w:sz w:val="22"/>
          <w:szCs w:val="22"/>
          <w:lang w:val="sr-Latn-ME"/>
        </w:rPr>
        <w:t xml:space="preserve"> bočic</w:t>
      </w:r>
      <w:r w:rsidR="00754C04" w:rsidRPr="00AF2694">
        <w:rPr>
          <w:bCs/>
          <w:sz w:val="22"/>
          <w:szCs w:val="22"/>
          <w:lang w:val="sr-Latn-ME"/>
        </w:rPr>
        <w:t>a</w:t>
      </w:r>
      <w:r w:rsidRPr="00AF2694">
        <w:rPr>
          <w:bCs/>
          <w:sz w:val="22"/>
          <w:szCs w:val="22"/>
          <w:lang w:val="sr-Latn-ME"/>
        </w:rPr>
        <w:t xml:space="preserve">: 2 godine. </w:t>
      </w:r>
    </w:p>
    <w:p w14:paraId="7CAE31DE" w14:textId="77777777" w:rsidR="00754C04" w:rsidRPr="00AF2694" w:rsidRDefault="00754C04" w:rsidP="00251C3A">
      <w:pPr>
        <w:tabs>
          <w:tab w:val="left" w:pos="540"/>
          <w:tab w:val="left" w:pos="567"/>
        </w:tabs>
        <w:rPr>
          <w:bCs/>
          <w:sz w:val="22"/>
          <w:szCs w:val="22"/>
          <w:lang w:val="sr-Latn-ME"/>
        </w:rPr>
      </w:pPr>
    </w:p>
    <w:p w14:paraId="4593DA97" w14:textId="68ED7E43" w:rsidR="00754C04" w:rsidRPr="00AF2694" w:rsidRDefault="00754C04" w:rsidP="00251C3A">
      <w:pPr>
        <w:tabs>
          <w:tab w:val="left" w:pos="540"/>
          <w:tab w:val="left" w:pos="567"/>
        </w:tabs>
        <w:rPr>
          <w:bCs/>
          <w:sz w:val="22"/>
          <w:szCs w:val="22"/>
          <w:lang w:val="sr-Latn-ME"/>
        </w:rPr>
      </w:pPr>
      <w:r w:rsidRPr="00AF2694">
        <w:rPr>
          <w:bCs/>
          <w:sz w:val="22"/>
          <w:szCs w:val="22"/>
          <w:u w:val="single"/>
          <w:lang w:val="sr-Latn-ME"/>
        </w:rPr>
        <w:t xml:space="preserve">Rok upotrebe lijeka </w:t>
      </w:r>
      <w:r w:rsidR="00E615A3" w:rsidRPr="00AF2694">
        <w:rPr>
          <w:bCs/>
          <w:sz w:val="22"/>
          <w:szCs w:val="22"/>
          <w:u w:val="single"/>
          <w:lang w:val="sr-Latn-ME"/>
        </w:rPr>
        <w:t>nakon</w:t>
      </w:r>
      <w:r w:rsidR="00251C3A" w:rsidRPr="00AF2694">
        <w:rPr>
          <w:bCs/>
          <w:sz w:val="22"/>
          <w:szCs w:val="22"/>
          <w:u w:val="single"/>
          <w:lang w:val="sr-Latn-ME"/>
        </w:rPr>
        <w:t xml:space="preserve"> razblaživanja</w:t>
      </w:r>
      <w:r w:rsidRPr="00AF2694">
        <w:rPr>
          <w:bCs/>
          <w:sz w:val="22"/>
          <w:szCs w:val="22"/>
          <w:u w:val="single"/>
          <w:lang w:val="sr-Latn-ME"/>
        </w:rPr>
        <w:t>:</w:t>
      </w:r>
    </w:p>
    <w:p w14:paraId="6227C969" w14:textId="19B249E0" w:rsidR="00251C3A" w:rsidRPr="00AF2694" w:rsidRDefault="00754C04" w:rsidP="00CF11D6">
      <w:pPr>
        <w:tabs>
          <w:tab w:val="left" w:pos="540"/>
          <w:tab w:val="left" w:pos="567"/>
        </w:tabs>
        <w:jc w:val="both"/>
        <w:rPr>
          <w:bCs/>
          <w:sz w:val="22"/>
          <w:szCs w:val="22"/>
          <w:lang w:val="sr-Latn-ME"/>
        </w:rPr>
      </w:pPr>
      <w:r w:rsidRPr="00AF2694">
        <w:rPr>
          <w:bCs/>
          <w:sz w:val="22"/>
          <w:szCs w:val="22"/>
          <w:lang w:val="sr-Latn-ME"/>
        </w:rPr>
        <w:t>Dokazana je h</w:t>
      </w:r>
      <w:r w:rsidR="00251C3A" w:rsidRPr="00AF2694">
        <w:rPr>
          <w:bCs/>
          <w:sz w:val="22"/>
          <w:szCs w:val="22"/>
          <w:lang w:val="sr-Latn-ME"/>
        </w:rPr>
        <w:t xml:space="preserve">emijska i fizička stabilnost </w:t>
      </w:r>
      <w:r w:rsidRPr="00AF2694">
        <w:rPr>
          <w:bCs/>
          <w:sz w:val="22"/>
          <w:szCs w:val="22"/>
          <w:lang w:val="sr-Latn-ME"/>
        </w:rPr>
        <w:t>lijeka, u toku upotrebe,</w:t>
      </w:r>
      <w:r w:rsidR="00251C3A" w:rsidRPr="00AF2694">
        <w:rPr>
          <w:bCs/>
          <w:sz w:val="22"/>
          <w:szCs w:val="22"/>
          <w:lang w:val="sr-Latn-ME"/>
        </w:rPr>
        <w:t xml:space="preserve"> u periodu do 24 sata na temperaturi </w:t>
      </w:r>
      <w:r w:rsidRPr="00AF2694">
        <w:rPr>
          <w:bCs/>
          <w:sz w:val="22"/>
          <w:szCs w:val="22"/>
          <w:lang w:val="sr-Latn-ME"/>
        </w:rPr>
        <w:t xml:space="preserve">od </w:t>
      </w:r>
      <w:r w:rsidR="00251C3A" w:rsidRPr="00AF2694">
        <w:rPr>
          <w:bCs/>
          <w:sz w:val="22"/>
          <w:szCs w:val="22"/>
          <w:lang w:val="sr-Latn-ME"/>
        </w:rPr>
        <w:t xml:space="preserve">2°C do 8°C ili </w:t>
      </w:r>
      <w:r w:rsidRPr="00AF2694">
        <w:rPr>
          <w:bCs/>
          <w:sz w:val="22"/>
          <w:szCs w:val="22"/>
          <w:lang w:val="sr-Latn-ME"/>
        </w:rPr>
        <w:t xml:space="preserve">u periodu </w:t>
      </w:r>
      <w:r w:rsidR="00251C3A" w:rsidRPr="00AF2694">
        <w:rPr>
          <w:bCs/>
          <w:sz w:val="22"/>
          <w:szCs w:val="22"/>
          <w:lang w:val="sr-Latn-ME"/>
        </w:rPr>
        <w:t>do 12 sati na temperatur</w:t>
      </w:r>
      <w:r w:rsidRPr="00AF2694">
        <w:rPr>
          <w:bCs/>
          <w:sz w:val="22"/>
          <w:szCs w:val="22"/>
          <w:lang w:val="sr-Latn-ME"/>
        </w:rPr>
        <w:t>i</w:t>
      </w:r>
      <w:r w:rsidR="00251C3A" w:rsidRPr="00AF2694">
        <w:rPr>
          <w:bCs/>
          <w:sz w:val="22"/>
          <w:szCs w:val="22"/>
          <w:lang w:val="sr-Latn-ME"/>
        </w:rPr>
        <w:t xml:space="preserve"> </w:t>
      </w:r>
      <w:r w:rsidRPr="00AF2694">
        <w:rPr>
          <w:bCs/>
          <w:sz w:val="22"/>
          <w:szCs w:val="22"/>
          <w:lang w:val="sr-Latn-ME"/>
        </w:rPr>
        <w:t xml:space="preserve">do </w:t>
      </w:r>
      <w:r w:rsidR="00251C3A" w:rsidRPr="00AF2694">
        <w:rPr>
          <w:bCs/>
          <w:sz w:val="22"/>
          <w:szCs w:val="22"/>
          <w:lang w:val="sr-Latn-ME"/>
        </w:rPr>
        <w:t>25°C.</w:t>
      </w:r>
    </w:p>
    <w:p w14:paraId="1E5F58AA" w14:textId="16467266"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Sa mikrobiološke tačke gledišta, razblaženi rastvor treba upotr</w:t>
      </w:r>
      <w:r w:rsidR="004D6AFB" w:rsidRPr="00AF2694">
        <w:rPr>
          <w:bCs/>
          <w:sz w:val="22"/>
          <w:szCs w:val="22"/>
          <w:lang w:val="sr-Latn-ME"/>
        </w:rPr>
        <w:t>ij</w:t>
      </w:r>
      <w:r w:rsidRPr="00AF2694">
        <w:rPr>
          <w:bCs/>
          <w:sz w:val="22"/>
          <w:szCs w:val="22"/>
          <w:lang w:val="sr-Latn-ME"/>
        </w:rPr>
        <w:t>ebiti</w:t>
      </w:r>
      <w:r w:rsidR="00754C04" w:rsidRPr="00AF2694">
        <w:rPr>
          <w:bCs/>
          <w:sz w:val="22"/>
          <w:szCs w:val="22"/>
          <w:lang w:val="sr-Latn-ME"/>
        </w:rPr>
        <w:t xml:space="preserve"> odmah</w:t>
      </w:r>
      <w:r w:rsidRPr="00AF2694">
        <w:rPr>
          <w:bCs/>
          <w:sz w:val="22"/>
          <w:szCs w:val="22"/>
          <w:lang w:val="sr-Latn-ME"/>
        </w:rPr>
        <w:t>. Ukoliko se ne upotr</w:t>
      </w:r>
      <w:r w:rsidR="004D6AFB" w:rsidRPr="00AF2694">
        <w:rPr>
          <w:bCs/>
          <w:sz w:val="22"/>
          <w:szCs w:val="22"/>
          <w:lang w:val="sr-Latn-ME"/>
        </w:rPr>
        <w:t>ij</w:t>
      </w:r>
      <w:r w:rsidRPr="00AF2694">
        <w:rPr>
          <w:bCs/>
          <w:sz w:val="22"/>
          <w:szCs w:val="22"/>
          <w:lang w:val="sr-Latn-ME"/>
        </w:rPr>
        <w:t xml:space="preserve">ebi odmah, </w:t>
      </w:r>
      <w:r w:rsidR="00754C04" w:rsidRPr="00AF2694">
        <w:rPr>
          <w:bCs/>
          <w:sz w:val="22"/>
          <w:szCs w:val="22"/>
          <w:lang w:val="sr-Latn-ME"/>
        </w:rPr>
        <w:t xml:space="preserve">vrijeme </w:t>
      </w:r>
      <w:r w:rsidRPr="00AF2694">
        <w:rPr>
          <w:bCs/>
          <w:sz w:val="22"/>
          <w:szCs w:val="22"/>
          <w:lang w:val="sr-Latn-ME"/>
        </w:rPr>
        <w:t xml:space="preserve">i uslovi </w:t>
      </w:r>
      <w:r w:rsidR="00754C04" w:rsidRPr="00AF2694">
        <w:rPr>
          <w:bCs/>
          <w:sz w:val="22"/>
          <w:szCs w:val="22"/>
          <w:lang w:val="sr-Latn-ME"/>
        </w:rPr>
        <w:t xml:space="preserve">čuvanja lijeka </w:t>
      </w:r>
      <w:r w:rsidRPr="00AF2694">
        <w:rPr>
          <w:bCs/>
          <w:sz w:val="22"/>
          <w:szCs w:val="22"/>
          <w:lang w:val="sr-Latn-ME"/>
        </w:rPr>
        <w:t>pr</w:t>
      </w:r>
      <w:r w:rsidR="004D6AFB" w:rsidRPr="00AF2694">
        <w:rPr>
          <w:bCs/>
          <w:sz w:val="22"/>
          <w:szCs w:val="22"/>
          <w:lang w:val="sr-Latn-ME"/>
        </w:rPr>
        <w:t>ij</w:t>
      </w:r>
      <w:r w:rsidRPr="00AF2694">
        <w:rPr>
          <w:bCs/>
          <w:sz w:val="22"/>
          <w:szCs w:val="22"/>
          <w:lang w:val="sr-Latn-ME"/>
        </w:rPr>
        <w:t xml:space="preserve">e upotrebe odgovornost su korisnika i </w:t>
      </w:r>
      <w:r w:rsidR="00754C04" w:rsidRPr="00AF2694">
        <w:rPr>
          <w:bCs/>
          <w:sz w:val="22"/>
          <w:szCs w:val="22"/>
          <w:lang w:val="sr-Latn-ME"/>
        </w:rPr>
        <w:t>isti ne bi smjeli biti</w:t>
      </w:r>
      <w:r w:rsidRPr="00AF2694">
        <w:rPr>
          <w:bCs/>
          <w:sz w:val="22"/>
          <w:szCs w:val="22"/>
          <w:lang w:val="sr-Latn-ME"/>
        </w:rPr>
        <w:t xml:space="preserve"> duž</w:t>
      </w:r>
      <w:r w:rsidR="00754C04" w:rsidRPr="00AF2694">
        <w:rPr>
          <w:bCs/>
          <w:sz w:val="22"/>
          <w:szCs w:val="22"/>
          <w:lang w:val="sr-Latn-ME"/>
        </w:rPr>
        <w:t>i</w:t>
      </w:r>
      <w:r w:rsidRPr="00AF2694">
        <w:rPr>
          <w:bCs/>
          <w:sz w:val="22"/>
          <w:szCs w:val="22"/>
          <w:lang w:val="sr-Latn-ME"/>
        </w:rPr>
        <w:t xml:space="preserve"> od 24 sata na </w:t>
      </w:r>
      <w:r w:rsidR="00754C04" w:rsidRPr="00AF2694">
        <w:rPr>
          <w:bCs/>
          <w:sz w:val="22"/>
          <w:szCs w:val="22"/>
          <w:lang w:val="sr-Latn-ME"/>
        </w:rPr>
        <w:t xml:space="preserve">temperaturi od </w:t>
      </w:r>
      <w:r w:rsidRPr="00AF2694">
        <w:rPr>
          <w:bCs/>
          <w:sz w:val="22"/>
          <w:szCs w:val="22"/>
          <w:lang w:val="sr-Latn-ME"/>
        </w:rPr>
        <w:t xml:space="preserve">2°C do 8°C ili 12 sati </w:t>
      </w:r>
      <w:r w:rsidR="00754C04" w:rsidRPr="00AF2694">
        <w:rPr>
          <w:bCs/>
          <w:sz w:val="22"/>
          <w:szCs w:val="22"/>
          <w:lang w:val="sr-Latn-ME"/>
        </w:rPr>
        <w:t xml:space="preserve">na temperaturi do </w:t>
      </w:r>
      <w:r w:rsidRPr="00AF2694">
        <w:rPr>
          <w:bCs/>
          <w:sz w:val="22"/>
          <w:szCs w:val="22"/>
          <w:lang w:val="sr-Latn-ME"/>
        </w:rPr>
        <w:t xml:space="preserve">25°C, osim ako je razblaživanje </w:t>
      </w:r>
      <w:r w:rsidR="00754C04" w:rsidRPr="00AF2694">
        <w:rPr>
          <w:bCs/>
          <w:sz w:val="22"/>
          <w:szCs w:val="22"/>
          <w:lang w:val="sr-Latn-ME"/>
        </w:rPr>
        <w:t xml:space="preserve">sprovedeno </w:t>
      </w:r>
      <w:r w:rsidRPr="00AF2694">
        <w:rPr>
          <w:bCs/>
          <w:sz w:val="22"/>
          <w:szCs w:val="22"/>
          <w:lang w:val="sr-Latn-ME"/>
        </w:rPr>
        <w:t xml:space="preserve">u kontrolisanim i </w:t>
      </w:r>
      <w:r w:rsidR="00754C04" w:rsidRPr="00AF2694">
        <w:rPr>
          <w:bCs/>
          <w:sz w:val="22"/>
          <w:szCs w:val="22"/>
          <w:lang w:val="sr-Latn-ME"/>
        </w:rPr>
        <w:t xml:space="preserve">validiranim </w:t>
      </w:r>
      <w:r w:rsidRPr="00AF2694">
        <w:rPr>
          <w:bCs/>
          <w:sz w:val="22"/>
          <w:szCs w:val="22"/>
          <w:lang w:val="sr-Latn-ME"/>
        </w:rPr>
        <w:t>aseptičnim uslovima.</w:t>
      </w:r>
    </w:p>
    <w:p w14:paraId="65954E83" w14:textId="77777777" w:rsidR="00251C3A" w:rsidRPr="00AF2694" w:rsidRDefault="00251C3A" w:rsidP="00480FB1">
      <w:pPr>
        <w:tabs>
          <w:tab w:val="left" w:pos="540"/>
          <w:tab w:val="left" w:pos="569"/>
        </w:tabs>
        <w:rPr>
          <w:bCs/>
          <w:sz w:val="22"/>
          <w:szCs w:val="22"/>
          <w:lang w:val="sr-Latn-ME"/>
        </w:rPr>
      </w:pPr>
    </w:p>
    <w:p w14:paraId="6ADE13D1" w14:textId="77777777" w:rsidR="0072020E" w:rsidRPr="00AF2694" w:rsidRDefault="0072020E" w:rsidP="00480FB1">
      <w:pPr>
        <w:tabs>
          <w:tab w:val="left" w:pos="540"/>
          <w:tab w:val="left" w:pos="569"/>
        </w:tabs>
        <w:rPr>
          <w:b/>
          <w:bCs/>
          <w:sz w:val="22"/>
          <w:szCs w:val="22"/>
          <w:lang w:val="sr-Latn-ME"/>
        </w:rPr>
      </w:pPr>
      <w:r w:rsidRPr="00AF2694">
        <w:rPr>
          <w:b/>
          <w:bCs/>
          <w:sz w:val="22"/>
          <w:szCs w:val="22"/>
          <w:lang w:val="sr-Latn-ME"/>
        </w:rPr>
        <w:t xml:space="preserve">6.4. </w:t>
      </w:r>
      <w:r w:rsidR="00480FB1" w:rsidRPr="00AF2694">
        <w:rPr>
          <w:b/>
          <w:bCs/>
          <w:sz w:val="22"/>
          <w:szCs w:val="22"/>
          <w:lang w:val="sr-Latn-ME"/>
        </w:rPr>
        <w:tab/>
      </w:r>
      <w:r w:rsidRPr="00AF2694">
        <w:rPr>
          <w:b/>
          <w:bCs/>
          <w:sz w:val="22"/>
          <w:szCs w:val="22"/>
          <w:lang w:val="sr-Latn-ME"/>
        </w:rPr>
        <w:t>Posebne mjere upozorenja pri čuvanju</w:t>
      </w:r>
      <w:r w:rsidR="00F8570A" w:rsidRPr="00AF2694">
        <w:rPr>
          <w:b/>
          <w:bCs/>
          <w:sz w:val="22"/>
          <w:szCs w:val="22"/>
          <w:lang w:val="sr-Latn-ME"/>
        </w:rPr>
        <w:t xml:space="preserve"> lijeka</w:t>
      </w:r>
    </w:p>
    <w:p w14:paraId="64AB2904" w14:textId="77777777" w:rsidR="00EC2532" w:rsidRPr="00AF2694" w:rsidRDefault="00EC2532" w:rsidP="00480FB1">
      <w:pPr>
        <w:tabs>
          <w:tab w:val="left" w:pos="540"/>
          <w:tab w:val="left" w:pos="569"/>
        </w:tabs>
        <w:rPr>
          <w:bCs/>
          <w:sz w:val="22"/>
          <w:szCs w:val="22"/>
          <w:lang w:val="sr-Latn-ME"/>
        </w:rPr>
      </w:pPr>
    </w:p>
    <w:p w14:paraId="5AB97827" w14:textId="14E09765" w:rsidR="00251C3A" w:rsidRPr="00AF2694" w:rsidRDefault="00754C04" w:rsidP="00CF11D6">
      <w:pPr>
        <w:tabs>
          <w:tab w:val="left" w:pos="540"/>
          <w:tab w:val="left" w:pos="567"/>
        </w:tabs>
        <w:jc w:val="both"/>
        <w:rPr>
          <w:bCs/>
          <w:sz w:val="22"/>
          <w:szCs w:val="22"/>
          <w:lang w:val="sr-Latn-ME"/>
        </w:rPr>
      </w:pPr>
      <w:r w:rsidRPr="00AF2694">
        <w:rPr>
          <w:bCs/>
          <w:sz w:val="22"/>
          <w:szCs w:val="22"/>
          <w:lang w:val="sr-Latn-ME"/>
        </w:rPr>
        <w:t xml:space="preserve">Čuvati </w:t>
      </w:r>
      <w:r w:rsidR="00251C3A" w:rsidRPr="00AF2694">
        <w:rPr>
          <w:bCs/>
          <w:sz w:val="22"/>
          <w:szCs w:val="22"/>
          <w:lang w:val="sr-Latn-ME"/>
        </w:rPr>
        <w:t xml:space="preserve">u frižideru (2°C do 8°C). </w:t>
      </w:r>
    </w:p>
    <w:p w14:paraId="184360CA" w14:textId="5C42299D"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Ne zamrzava</w:t>
      </w:r>
      <w:r w:rsidR="005A1774" w:rsidRPr="00AF2694">
        <w:rPr>
          <w:bCs/>
          <w:sz w:val="22"/>
          <w:szCs w:val="22"/>
          <w:lang w:val="sr-Latn-ME"/>
        </w:rPr>
        <w:t>ti</w:t>
      </w:r>
      <w:r w:rsidRPr="00AF2694">
        <w:rPr>
          <w:bCs/>
          <w:sz w:val="22"/>
          <w:szCs w:val="22"/>
          <w:lang w:val="sr-Latn-ME"/>
        </w:rPr>
        <w:t xml:space="preserve">. </w:t>
      </w:r>
      <w:r w:rsidR="008C1965" w:rsidRPr="00AF2694">
        <w:rPr>
          <w:bCs/>
          <w:sz w:val="22"/>
          <w:szCs w:val="22"/>
          <w:lang w:val="sr-Latn-ME"/>
        </w:rPr>
        <w:t>Ne mućkati.</w:t>
      </w:r>
    </w:p>
    <w:p w14:paraId="6BE4D915" w14:textId="7283D19F" w:rsidR="00251C3A" w:rsidRPr="00AF2694" w:rsidRDefault="00251C3A" w:rsidP="00CF11D6">
      <w:pPr>
        <w:tabs>
          <w:tab w:val="left" w:pos="540"/>
          <w:tab w:val="left" w:pos="567"/>
        </w:tabs>
        <w:jc w:val="both"/>
        <w:rPr>
          <w:bCs/>
          <w:sz w:val="22"/>
          <w:szCs w:val="22"/>
          <w:lang w:val="sr-Latn-ME"/>
        </w:rPr>
      </w:pPr>
      <w:r w:rsidRPr="00AF2694">
        <w:rPr>
          <w:bCs/>
          <w:sz w:val="22"/>
          <w:szCs w:val="22"/>
          <w:lang w:val="sr-Latn-ME"/>
        </w:rPr>
        <w:t>Čuva</w:t>
      </w:r>
      <w:r w:rsidR="005A1774" w:rsidRPr="00AF2694">
        <w:rPr>
          <w:bCs/>
          <w:sz w:val="22"/>
          <w:szCs w:val="22"/>
          <w:lang w:val="sr-Latn-ME"/>
        </w:rPr>
        <w:t>ti</w:t>
      </w:r>
      <w:r w:rsidRPr="00AF2694">
        <w:rPr>
          <w:bCs/>
          <w:sz w:val="22"/>
          <w:szCs w:val="22"/>
          <w:lang w:val="sr-Latn-ME"/>
        </w:rPr>
        <w:t xml:space="preserve"> u originalnom pakovanju </w:t>
      </w:r>
      <w:r w:rsidR="005A1774" w:rsidRPr="00AF2694">
        <w:rPr>
          <w:bCs/>
          <w:sz w:val="22"/>
          <w:szCs w:val="22"/>
          <w:lang w:val="sr-Latn-ME"/>
        </w:rPr>
        <w:t>ra</w:t>
      </w:r>
      <w:r w:rsidR="00754C04" w:rsidRPr="00AF2694">
        <w:rPr>
          <w:bCs/>
          <w:sz w:val="22"/>
          <w:szCs w:val="22"/>
          <w:lang w:val="sr-Latn-ME"/>
        </w:rPr>
        <w:t>d</w:t>
      </w:r>
      <w:r w:rsidR="005A1774" w:rsidRPr="00AF2694">
        <w:rPr>
          <w:bCs/>
          <w:sz w:val="22"/>
          <w:szCs w:val="22"/>
          <w:lang w:val="sr-Latn-ME"/>
        </w:rPr>
        <w:t>i</w:t>
      </w:r>
      <w:r w:rsidRPr="00AF2694">
        <w:rPr>
          <w:bCs/>
          <w:sz w:val="22"/>
          <w:szCs w:val="22"/>
          <w:lang w:val="sr-Latn-ME"/>
        </w:rPr>
        <w:t xml:space="preserve"> zaštit</w:t>
      </w:r>
      <w:r w:rsidR="005A1774" w:rsidRPr="00AF2694">
        <w:rPr>
          <w:bCs/>
          <w:sz w:val="22"/>
          <w:szCs w:val="22"/>
          <w:lang w:val="sr-Latn-ME"/>
        </w:rPr>
        <w:t>e</w:t>
      </w:r>
      <w:r w:rsidRPr="00AF2694">
        <w:rPr>
          <w:bCs/>
          <w:sz w:val="22"/>
          <w:szCs w:val="22"/>
          <w:lang w:val="sr-Latn-ME"/>
        </w:rPr>
        <w:t xml:space="preserve"> od sv</w:t>
      </w:r>
      <w:r w:rsidR="004D6AFB" w:rsidRPr="00AF2694">
        <w:rPr>
          <w:bCs/>
          <w:sz w:val="22"/>
          <w:szCs w:val="22"/>
          <w:lang w:val="sr-Latn-ME"/>
        </w:rPr>
        <w:t>j</w:t>
      </w:r>
      <w:r w:rsidRPr="00AF2694">
        <w:rPr>
          <w:bCs/>
          <w:sz w:val="22"/>
          <w:szCs w:val="22"/>
          <w:lang w:val="sr-Latn-ME"/>
        </w:rPr>
        <w:t>etlosti.</w:t>
      </w:r>
    </w:p>
    <w:p w14:paraId="4568E135" w14:textId="77777777" w:rsidR="00251C3A" w:rsidRPr="00AF2694" w:rsidRDefault="00251C3A" w:rsidP="00CF11D6">
      <w:pPr>
        <w:tabs>
          <w:tab w:val="left" w:pos="540"/>
          <w:tab w:val="left" w:pos="567"/>
        </w:tabs>
        <w:jc w:val="both"/>
        <w:rPr>
          <w:bCs/>
          <w:sz w:val="22"/>
          <w:szCs w:val="22"/>
          <w:lang w:val="sr-Latn-ME"/>
        </w:rPr>
      </w:pPr>
    </w:p>
    <w:p w14:paraId="70F2B316" w14:textId="5D315BA4" w:rsidR="00251C3A" w:rsidRPr="00AF2694" w:rsidRDefault="00754C04" w:rsidP="00CF11D6">
      <w:pPr>
        <w:tabs>
          <w:tab w:val="left" w:pos="540"/>
          <w:tab w:val="left" w:pos="569"/>
        </w:tabs>
        <w:jc w:val="both"/>
        <w:rPr>
          <w:bCs/>
          <w:sz w:val="22"/>
          <w:szCs w:val="22"/>
          <w:lang w:val="sr-Latn-ME"/>
        </w:rPr>
      </w:pPr>
      <w:r w:rsidRPr="00AF2694">
        <w:rPr>
          <w:bCs/>
          <w:sz w:val="22"/>
          <w:szCs w:val="22"/>
          <w:lang w:val="sr-Latn-ME"/>
        </w:rPr>
        <w:t xml:space="preserve">Za uslove </w:t>
      </w:r>
      <w:r w:rsidR="00251C3A" w:rsidRPr="00AF2694">
        <w:rPr>
          <w:bCs/>
          <w:sz w:val="22"/>
          <w:szCs w:val="22"/>
          <w:lang w:val="sr-Latn-ME"/>
        </w:rPr>
        <w:t>čuvanj</w:t>
      </w:r>
      <w:r w:rsidRPr="00AF2694">
        <w:rPr>
          <w:bCs/>
          <w:sz w:val="22"/>
          <w:szCs w:val="22"/>
          <w:lang w:val="sr-Latn-ME"/>
        </w:rPr>
        <w:t>a lijeka</w:t>
      </w:r>
      <w:r w:rsidR="00251C3A" w:rsidRPr="00AF2694">
        <w:rPr>
          <w:bCs/>
          <w:sz w:val="22"/>
          <w:szCs w:val="22"/>
          <w:lang w:val="sr-Latn-ME"/>
        </w:rPr>
        <w:t xml:space="preserve"> nakon razblaživanja</w:t>
      </w:r>
      <w:r w:rsidRPr="00AF2694">
        <w:rPr>
          <w:bCs/>
          <w:sz w:val="22"/>
          <w:szCs w:val="22"/>
          <w:lang w:val="sr-Latn-ME"/>
        </w:rPr>
        <w:t>, vidjeti dio</w:t>
      </w:r>
      <w:r w:rsidR="00251C3A" w:rsidRPr="00AF2694">
        <w:rPr>
          <w:bCs/>
          <w:sz w:val="22"/>
          <w:szCs w:val="22"/>
          <w:lang w:val="sr-Latn-ME"/>
        </w:rPr>
        <w:t xml:space="preserve"> 6.3.</w:t>
      </w:r>
    </w:p>
    <w:p w14:paraId="43D8441A" w14:textId="77777777" w:rsidR="00251C3A" w:rsidRPr="00AF2694" w:rsidRDefault="00251C3A" w:rsidP="00480FB1">
      <w:pPr>
        <w:tabs>
          <w:tab w:val="left" w:pos="540"/>
          <w:tab w:val="left" w:pos="569"/>
        </w:tabs>
        <w:rPr>
          <w:bCs/>
          <w:sz w:val="22"/>
          <w:szCs w:val="22"/>
          <w:lang w:val="sr-Latn-ME"/>
        </w:rPr>
      </w:pPr>
    </w:p>
    <w:p w14:paraId="15517478" w14:textId="77777777" w:rsidR="0072020E" w:rsidRPr="00AF2694" w:rsidRDefault="0072020E" w:rsidP="00480FB1">
      <w:pPr>
        <w:tabs>
          <w:tab w:val="left" w:pos="540"/>
          <w:tab w:val="left" w:pos="569"/>
        </w:tabs>
        <w:rPr>
          <w:b/>
          <w:bCs/>
          <w:sz w:val="22"/>
          <w:szCs w:val="22"/>
          <w:lang w:val="sr-Latn-ME"/>
        </w:rPr>
      </w:pPr>
      <w:r w:rsidRPr="00AF2694">
        <w:rPr>
          <w:b/>
          <w:bCs/>
          <w:sz w:val="22"/>
          <w:szCs w:val="22"/>
          <w:lang w:val="sr-Latn-ME"/>
        </w:rPr>
        <w:t xml:space="preserve">6.5. </w:t>
      </w:r>
      <w:r w:rsidR="00480FB1" w:rsidRPr="00AF2694">
        <w:rPr>
          <w:b/>
          <w:bCs/>
          <w:sz w:val="22"/>
          <w:szCs w:val="22"/>
          <w:lang w:val="sr-Latn-ME"/>
        </w:rPr>
        <w:tab/>
      </w:r>
      <w:r w:rsidR="002846DB" w:rsidRPr="00AF2694">
        <w:rPr>
          <w:b/>
          <w:bCs/>
          <w:sz w:val="22"/>
          <w:szCs w:val="22"/>
          <w:lang w:val="sr-Latn-ME"/>
        </w:rPr>
        <w:t xml:space="preserve">Vrsta i sadržaj </w:t>
      </w:r>
      <w:r w:rsidR="00F8570A" w:rsidRPr="00AF2694">
        <w:rPr>
          <w:b/>
          <w:bCs/>
          <w:sz w:val="22"/>
          <w:szCs w:val="22"/>
          <w:lang w:val="sr-Latn-ME"/>
        </w:rPr>
        <w:t>pakovanja</w:t>
      </w:r>
      <w:r w:rsidR="00C06864" w:rsidRPr="00AF2694">
        <w:rPr>
          <w:b/>
          <w:bCs/>
          <w:sz w:val="22"/>
          <w:szCs w:val="22"/>
          <w:lang w:val="sr-Latn-ME"/>
        </w:rPr>
        <w:t xml:space="preserve"> </w:t>
      </w:r>
    </w:p>
    <w:p w14:paraId="70EDD64A" w14:textId="77777777" w:rsidR="0072020E" w:rsidRPr="00AF2694" w:rsidRDefault="0072020E" w:rsidP="00480FB1">
      <w:pPr>
        <w:tabs>
          <w:tab w:val="left" w:pos="540"/>
          <w:tab w:val="left" w:pos="569"/>
        </w:tabs>
        <w:rPr>
          <w:bCs/>
          <w:sz w:val="22"/>
          <w:szCs w:val="22"/>
          <w:lang w:val="sr-Latn-ME"/>
        </w:rPr>
      </w:pPr>
    </w:p>
    <w:p w14:paraId="3C084C12" w14:textId="3DAA45DF" w:rsidR="00251C3A" w:rsidRPr="00AF2694" w:rsidRDefault="00E615A3" w:rsidP="00CF11D6">
      <w:pPr>
        <w:tabs>
          <w:tab w:val="left" w:pos="540"/>
          <w:tab w:val="left" w:pos="567"/>
        </w:tabs>
        <w:jc w:val="both"/>
        <w:rPr>
          <w:bCs/>
          <w:sz w:val="22"/>
          <w:szCs w:val="22"/>
          <w:lang w:val="sr-Latn-ME"/>
        </w:rPr>
      </w:pPr>
      <w:r w:rsidRPr="00AF2694">
        <w:rPr>
          <w:bCs/>
          <w:sz w:val="22"/>
          <w:szCs w:val="22"/>
          <w:lang w:val="sr-Latn-ME"/>
        </w:rPr>
        <w:t>Unutrašnje pakovanje lijeka je p</w:t>
      </w:r>
      <w:r w:rsidR="00251C3A" w:rsidRPr="00AF2694">
        <w:rPr>
          <w:bCs/>
          <w:sz w:val="22"/>
          <w:szCs w:val="22"/>
          <w:lang w:val="sr-Latn-ME"/>
        </w:rPr>
        <w:t>rovidna staklena bočica (</w:t>
      </w:r>
      <w:r w:rsidRPr="00AF2694">
        <w:rPr>
          <w:bCs/>
          <w:sz w:val="22"/>
          <w:szCs w:val="22"/>
          <w:lang w:val="sr-Latn-ME"/>
        </w:rPr>
        <w:t>staklo t</w:t>
      </w:r>
      <w:r w:rsidR="00251C3A" w:rsidRPr="00AF2694">
        <w:rPr>
          <w:bCs/>
          <w:sz w:val="22"/>
          <w:szCs w:val="22"/>
          <w:lang w:val="sr-Latn-ME"/>
        </w:rPr>
        <w:t xml:space="preserve">ip I) </w:t>
      </w:r>
      <w:r w:rsidRPr="00AF2694">
        <w:rPr>
          <w:bCs/>
          <w:sz w:val="22"/>
          <w:szCs w:val="22"/>
          <w:lang w:val="sr-Latn-ME"/>
        </w:rPr>
        <w:t xml:space="preserve">zatvorena </w:t>
      </w:r>
      <w:r w:rsidR="00251C3A" w:rsidRPr="00AF2694">
        <w:rPr>
          <w:bCs/>
          <w:sz w:val="22"/>
          <w:szCs w:val="22"/>
          <w:lang w:val="sr-Latn-ME"/>
        </w:rPr>
        <w:t xml:space="preserve">silikonskim čepom od butil gume i aluminijumskim </w:t>
      </w:r>
      <w:r w:rsidRPr="00AF2694">
        <w:rPr>
          <w:bCs/>
          <w:sz w:val="22"/>
          <w:szCs w:val="22"/>
          <w:lang w:val="sr-Latn-ME"/>
        </w:rPr>
        <w:t xml:space="preserve">prstenom </w:t>
      </w:r>
      <w:r w:rsidR="00251C3A" w:rsidRPr="00AF2694">
        <w:rPr>
          <w:bCs/>
          <w:sz w:val="22"/>
          <w:szCs w:val="22"/>
          <w:lang w:val="sr-Latn-ME"/>
        </w:rPr>
        <w:t xml:space="preserve">sa </w:t>
      </w:r>
      <w:r w:rsidRPr="00AF2694">
        <w:rPr>
          <w:bCs/>
          <w:sz w:val="22"/>
          <w:szCs w:val="22"/>
          <w:lang w:val="sr-Latn-ME"/>
        </w:rPr>
        <w:t xml:space="preserve">plastičnom </w:t>
      </w:r>
      <w:r w:rsidRPr="00AF2694">
        <w:rPr>
          <w:bCs/>
          <w:i/>
          <w:sz w:val="22"/>
          <w:szCs w:val="22"/>
          <w:lang w:val="sr-Latn-ME"/>
        </w:rPr>
        <w:t xml:space="preserve">flip-off </w:t>
      </w:r>
      <w:r w:rsidRPr="00AF2694">
        <w:rPr>
          <w:bCs/>
          <w:sz w:val="22"/>
          <w:szCs w:val="22"/>
          <w:lang w:val="sr-Latn-ME"/>
        </w:rPr>
        <w:t>kapicom</w:t>
      </w:r>
      <w:r w:rsidR="00251C3A" w:rsidRPr="00AF2694">
        <w:rPr>
          <w:bCs/>
          <w:sz w:val="22"/>
          <w:szCs w:val="22"/>
          <w:lang w:val="sr-Latn-ME"/>
        </w:rPr>
        <w:t>, koja sadrži 10 ml koncentrata</w:t>
      </w:r>
      <w:r w:rsidRPr="00AF2694">
        <w:rPr>
          <w:bCs/>
          <w:sz w:val="22"/>
          <w:szCs w:val="22"/>
          <w:lang w:val="sr-Latn-ME"/>
        </w:rPr>
        <w:t xml:space="preserve"> za rastvor za infuziju</w:t>
      </w:r>
      <w:r w:rsidR="00251C3A" w:rsidRPr="00AF2694">
        <w:rPr>
          <w:bCs/>
          <w:sz w:val="22"/>
          <w:szCs w:val="22"/>
          <w:lang w:val="sr-Latn-ME"/>
        </w:rPr>
        <w:t>.</w:t>
      </w:r>
    </w:p>
    <w:p w14:paraId="255B35DE" w14:textId="77777777" w:rsidR="00251C3A" w:rsidRPr="00AF2694" w:rsidRDefault="00251C3A" w:rsidP="00251C3A">
      <w:pPr>
        <w:tabs>
          <w:tab w:val="left" w:pos="540"/>
          <w:tab w:val="left" w:pos="567"/>
        </w:tabs>
        <w:rPr>
          <w:bCs/>
          <w:sz w:val="22"/>
          <w:szCs w:val="22"/>
          <w:lang w:val="sr-Latn-ME"/>
        </w:rPr>
      </w:pPr>
    </w:p>
    <w:p w14:paraId="7AA5649B" w14:textId="4847522E" w:rsidR="00251C3A" w:rsidRPr="00AF2694" w:rsidRDefault="00E615A3" w:rsidP="00CF11D6">
      <w:pPr>
        <w:tabs>
          <w:tab w:val="left" w:pos="540"/>
          <w:tab w:val="left" w:pos="569"/>
        </w:tabs>
        <w:jc w:val="both"/>
        <w:rPr>
          <w:bCs/>
          <w:sz w:val="22"/>
          <w:szCs w:val="22"/>
          <w:lang w:val="sr-Latn-ME"/>
        </w:rPr>
      </w:pPr>
      <w:r w:rsidRPr="00AF2694">
        <w:rPr>
          <w:bCs/>
          <w:sz w:val="22"/>
          <w:szCs w:val="22"/>
          <w:lang w:val="sr-Latn-ME"/>
        </w:rPr>
        <w:t>Spoljašnje pakovanje lijeka je složiva kartonska kutija u kojoj se nalazi</w:t>
      </w:r>
      <w:r w:rsidR="00251C3A" w:rsidRPr="00AF2694">
        <w:rPr>
          <w:bCs/>
          <w:sz w:val="22"/>
          <w:szCs w:val="22"/>
          <w:lang w:val="sr-Latn-ME"/>
        </w:rPr>
        <w:t xml:space="preserve"> 1 bočica</w:t>
      </w:r>
      <w:r w:rsidRPr="00AF2694">
        <w:rPr>
          <w:bCs/>
          <w:sz w:val="22"/>
          <w:szCs w:val="22"/>
          <w:lang w:val="sr-Latn-ME"/>
        </w:rPr>
        <w:t xml:space="preserve"> i Uputstvo za lijek</w:t>
      </w:r>
      <w:r w:rsidR="00251C3A" w:rsidRPr="00AF2694">
        <w:rPr>
          <w:bCs/>
          <w:sz w:val="22"/>
          <w:szCs w:val="22"/>
          <w:lang w:val="sr-Latn-ME"/>
        </w:rPr>
        <w:t>.</w:t>
      </w:r>
    </w:p>
    <w:p w14:paraId="5B753F3F" w14:textId="77777777" w:rsidR="00251C3A" w:rsidRPr="00AF2694" w:rsidRDefault="00251C3A" w:rsidP="00480FB1">
      <w:pPr>
        <w:tabs>
          <w:tab w:val="left" w:pos="540"/>
          <w:tab w:val="left" w:pos="569"/>
        </w:tabs>
        <w:rPr>
          <w:bCs/>
          <w:sz w:val="22"/>
          <w:szCs w:val="22"/>
          <w:lang w:val="sr-Latn-ME"/>
        </w:rPr>
      </w:pPr>
    </w:p>
    <w:p w14:paraId="6F42C5A6" w14:textId="77777777" w:rsidR="002846DB" w:rsidRPr="00AF2694" w:rsidRDefault="0072020E" w:rsidP="00480FB1">
      <w:pPr>
        <w:tabs>
          <w:tab w:val="left" w:pos="540"/>
          <w:tab w:val="left" w:pos="569"/>
        </w:tabs>
        <w:rPr>
          <w:b/>
          <w:bCs/>
          <w:sz w:val="22"/>
          <w:szCs w:val="22"/>
          <w:lang w:val="sr-Latn-ME"/>
        </w:rPr>
      </w:pPr>
      <w:r w:rsidRPr="00AF2694">
        <w:rPr>
          <w:b/>
          <w:bCs/>
          <w:sz w:val="22"/>
          <w:szCs w:val="22"/>
          <w:lang w:val="sr-Latn-ME"/>
        </w:rPr>
        <w:t xml:space="preserve">6.6. </w:t>
      </w:r>
      <w:r w:rsidR="00480FB1" w:rsidRPr="00AF2694">
        <w:rPr>
          <w:b/>
          <w:bCs/>
          <w:sz w:val="22"/>
          <w:szCs w:val="22"/>
          <w:lang w:val="sr-Latn-ME"/>
        </w:rPr>
        <w:tab/>
      </w:r>
      <w:r w:rsidRPr="00AF2694">
        <w:rPr>
          <w:b/>
          <w:bCs/>
          <w:color w:val="000000"/>
          <w:sz w:val="22"/>
          <w:szCs w:val="22"/>
          <w:lang w:val="sr-Latn-ME"/>
        </w:rPr>
        <w:t>Posebne mjere opreza pri odlaganju materijala koji treba odbaciti nakon primjene lijeka</w:t>
      </w:r>
      <w:r w:rsidRPr="00AF2694">
        <w:rPr>
          <w:b/>
          <w:bCs/>
          <w:sz w:val="22"/>
          <w:szCs w:val="22"/>
          <w:lang w:val="sr-Latn-ME"/>
        </w:rPr>
        <w:t xml:space="preserve"> </w:t>
      </w:r>
      <w:r w:rsidR="00310F03" w:rsidRPr="00AF2694">
        <w:rPr>
          <w:b/>
          <w:bCs/>
          <w:sz w:val="22"/>
          <w:szCs w:val="22"/>
          <w:lang w:val="sr-Latn-ME"/>
        </w:rPr>
        <w:t>(i druga uputs</w:t>
      </w:r>
      <w:r w:rsidR="004109FA" w:rsidRPr="00AF2694">
        <w:rPr>
          <w:b/>
          <w:bCs/>
          <w:sz w:val="22"/>
          <w:szCs w:val="22"/>
          <w:lang w:val="sr-Latn-ME"/>
        </w:rPr>
        <w:t>t</w:t>
      </w:r>
      <w:r w:rsidR="00310F03" w:rsidRPr="00AF2694">
        <w:rPr>
          <w:b/>
          <w:bCs/>
          <w:sz w:val="22"/>
          <w:szCs w:val="22"/>
          <w:lang w:val="sr-Latn-ME"/>
        </w:rPr>
        <w:t xml:space="preserve">va za rukovanje lijekom) </w:t>
      </w:r>
    </w:p>
    <w:p w14:paraId="6FA55961" w14:textId="77777777" w:rsidR="00B66A70" w:rsidRPr="00AF2694" w:rsidRDefault="00B66A70" w:rsidP="00480FB1">
      <w:pPr>
        <w:tabs>
          <w:tab w:val="left" w:pos="540"/>
          <w:tab w:val="left" w:pos="569"/>
        </w:tabs>
        <w:rPr>
          <w:b/>
          <w:bCs/>
          <w:sz w:val="22"/>
          <w:szCs w:val="22"/>
          <w:lang w:val="sr-Latn-ME"/>
        </w:rPr>
      </w:pPr>
    </w:p>
    <w:p w14:paraId="77A36FAB" w14:textId="4794B543" w:rsidR="00251C3A" w:rsidRPr="00AF2694" w:rsidRDefault="00251C3A" w:rsidP="00CF11D6">
      <w:pPr>
        <w:tabs>
          <w:tab w:val="left" w:pos="540"/>
          <w:tab w:val="left" w:pos="567"/>
        </w:tabs>
        <w:jc w:val="both"/>
        <w:rPr>
          <w:sz w:val="22"/>
          <w:szCs w:val="22"/>
          <w:lang w:val="sr-Latn-ME"/>
        </w:rPr>
      </w:pPr>
      <w:r w:rsidRPr="00AF2694">
        <w:rPr>
          <w:sz w:val="22"/>
          <w:szCs w:val="22"/>
          <w:lang w:val="sr-Latn-ME"/>
        </w:rPr>
        <w:t>Svaka bočica l</w:t>
      </w:r>
      <w:r w:rsidR="004D6AFB" w:rsidRPr="00AF2694">
        <w:rPr>
          <w:sz w:val="22"/>
          <w:szCs w:val="22"/>
          <w:lang w:val="sr-Latn-ME"/>
        </w:rPr>
        <w:t>ij</w:t>
      </w:r>
      <w:r w:rsidRPr="00AF2694">
        <w:rPr>
          <w:sz w:val="22"/>
          <w:szCs w:val="22"/>
          <w:lang w:val="sr-Latn-ME"/>
        </w:rPr>
        <w:t>eka KANUMA je nam</w:t>
      </w:r>
      <w:r w:rsidR="004D6AFB" w:rsidRPr="00AF2694">
        <w:rPr>
          <w:sz w:val="22"/>
          <w:szCs w:val="22"/>
          <w:lang w:val="sr-Latn-ME"/>
        </w:rPr>
        <w:t>ij</w:t>
      </w:r>
      <w:r w:rsidRPr="00AF2694">
        <w:rPr>
          <w:sz w:val="22"/>
          <w:szCs w:val="22"/>
          <w:lang w:val="sr-Latn-ME"/>
        </w:rPr>
        <w:t>enjena samo za jednokratnu upotrebu. L</w:t>
      </w:r>
      <w:r w:rsidR="004D6AFB" w:rsidRPr="00AF2694">
        <w:rPr>
          <w:sz w:val="22"/>
          <w:szCs w:val="22"/>
          <w:lang w:val="sr-Latn-ME"/>
        </w:rPr>
        <w:t>ij</w:t>
      </w:r>
      <w:r w:rsidRPr="00AF2694">
        <w:rPr>
          <w:sz w:val="22"/>
          <w:szCs w:val="22"/>
          <w:lang w:val="sr-Latn-ME"/>
        </w:rPr>
        <w:t xml:space="preserve">ek KANUMA </w:t>
      </w:r>
      <w:r w:rsidR="00E615A3" w:rsidRPr="00AF2694">
        <w:rPr>
          <w:sz w:val="22"/>
          <w:szCs w:val="22"/>
          <w:lang w:val="sr-Latn-ME"/>
        </w:rPr>
        <w:t xml:space="preserve">se mora </w:t>
      </w:r>
      <w:r w:rsidRPr="00AF2694">
        <w:rPr>
          <w:sz w:val="22"/>
          <w:szCs w:val="22"/>
          <w:lang w:val="sr-Latn-ME"/>
        </w:rPr>
        <w:t xml:space="preserve">razblažiti </w:t>
      </w:r>
      <w:r w:rsidR="00E615A3" w:rsidRPr="00AF2694">
        <w:rPr>
          <w:sz w:val="22"/>
          <w:szCs w:val="22"/>
          <w:lang w:val="sr-Latn-ME"/>
        </w:rPr>
        <w:t xml:space="preserve">0.9% (9 mg/ml) </w:t>
      </w:r>
      <w:r w:rsidRPr="00AF2694">
        <w:rPr>
          <w:sz w:val="22"/>
          <w:szCs w:val="22"/>
          <w:lang w:val="sr-Latn-ME"/>
        </w:rPr>
        <w:t>rastvorom</w:t>
      </w:r>
      <w:r w:rsidR="00E615A3" w:rsidRPr="00AF2694">
        <w:rPr>
          <w:sz w:val="22"/>
          <w:szCs w:val="22"/>
          <w:lang w:val="sr-Latn-ME"/>
        </w:rPr>
        <w:t xml:space="preserve"> za infuziju</w:t>
      </w:r>
      <w:r w:rsidRPr="00AF2694">
        <w:rPr>
          <w:sz w:val="22"/>
          <w:szCs w:val="22"/>
          <w:lang w:val="sr-Latn-ME"/>
        </w:rPr>
        <w:t xml:space="preserve"> natrijum hlorida</w:t>
      </w:r>
      <w:r w:rsidR="00E615A3" w:rsidRPr="00AF2694">
        <w:rPr>
          <w:sz w:val="22"/>
          <w:szCs w:val="22"/>
          <w:lang w:val="sr-Latn-ME"/>
        </w:rPr>
        <w:t xml:space="preserve"> uz korišćenje</w:t>
      </w:r>
      <w:r w:rsidRPr="00AF2694">
        <w:rPr>
          <w:sz w:val="22"/>
          <w:szCs w:val="22"/>
          <w:lang w:val="sr-Latn-ME"/>
        </w:rPr>
        <w:t xml:space="preserve"> aseptičn</w:t>
      </w:r>
      <w:r w:rsidR="00E615A3" w:rsidRPr="00AF2694">
        <w:rPr>
          <w:sz w:val="22"/>
          <w:szCs w:val="22"/>
          <w:lang w:val="sr-Latn-ME"/>
        </w:rPr>
        <w:t>e</w:t>
      </w:r>
      <w:r w:rsidRPr="00AF2694">
        <w:rPr>
          <w:sz w:val="22"/>
          <w:szCs w:val="22"/>
          <w:lang w:val="sr-Latn-ME"/>
        </w:rPr>
        <w:t xml:space="preserve"> tehnik</w:t>
      </w:r>
      <w:r w:rsidR="00E615A3" w:rsidRPr="00AF2694">
        <w:rPr>
          <w:sz w:val="22"/>
          <w:szCs w:val="22"/>
          <w:lang w:val="sr-Latn-ME"/>
        </w:rPr>
        <w:t>e</w:t>
      </w:r>
      <w:r w:rsidRPr="00AF2694">
        <w:rPr>
          <w:sz w:val="22"/>
          <w:szCs w:val="22"/>
          <w:lang w:val="sr-Latn-ME"/>
        </w:rPr>
        <w:t xml:space="preserve">. </w:t>
      </w:r>
    </w:p>
    <w:p w14:paraId="53FFF977" w14:textId="7A38F970" w:rsidR="00251C3A" w:rsidRPr="00AF2694" w:rsidRDefault="00251C3A" w:rsidP="00CF11D6">
      <w:pPr>
        <w:tabs>
          <w:tab w:val="left" w:pos="540"/>
          <w:tab w:val="left" w:pos="567"/>
        </w:tabs>
        <w:jc w:val="both"/>
        <w:rPr>
          <w:sz w:val="22"/>
          <w:szCs w:val="22"/>
          <w:lang w:val="sr-Latn-ME"/>
        </w:rPr>
      </w:pPr>
      <w:r w:rsidRPr="00AF2694">
        <w:rPr>
          <w:sz w:val="22"/>
          <w:szCs w:val="22"/>
          <w:lang w:val="sr-Latn-ME"/>
        </w:rPr>
        <w:t xml:space="preserve">Razblaženi rastvor treba </w:t>
      </w:r>
      <w:r w:rsidR="00E615A3" w:rsidRPr="00AF2694">
        <w:rPr>
          <w:sz w:val="22"/>
          <w:szCs w:val="22"/>
          <w:lang w:val="sr-Latn-ME"/>
        </w:rPr>
        <w:t xml:space="preserve">primijeniti pacijentu </w:t>
      </w:r>
      <w:r w:rsidR="000D3060" w:rsidRPr="00AF2694">
        <w:rPr>
          <w:sz w:val="22"/>
          <w:szCs w:val="22"/>
          <w:lang w:val="sr-Latn-ME"/>
        </w:rPr>
        <w:t>pomoću infuzionog seta koji slabo veže proteine, opremljenog ugrađenim filterom od 0,2 μm koji slabo veže proteine, a ima površinu veću od 4,5 cm</w:t>
      </w:r>
      <w:r w:rsidR="000D3060" w:rsidRPr="00AF2694">
        <w:rPr>
          <w:sz w:val="22"/>
          <w:szCs w:val="22"/>
          <w:vertAlign w:val="superscript"/>
          <w:lang w:val="sr-Latn-ME"/>
        </w:rPr>
        <w:t xml:space="preserve">2 </w:t>
      </w:r>
      <w:r w:rsidR="000D3060" w:rsidRPr="00AF2694">
        <w:rPr>
          <w:sz w:val="22"/>
          <w:szCs w:val="22"/>
          <w:lang w:val="sr-Latn-ME"/>
        </w:rPr>
        <w:t>(zavisno o dostupnosti) kako bi se izbjeglo začepljenje filtera.</w:t>
      </w:r>
      <w:r w:rsidR="000D3060" w:rsidRPr="00AF2694" w:rsidDel="000D3060">
        <w:rPr>
          <w:sz w:val="22"/>
          <w:szCs w:val="22"/>
          <w:lang w:val="sr-Latn-ME"/>
        </w:rPr>
        <w:t xml:space="preserve"> </w:t>
      </w:r>
    </w:p>
    <w:p w14:paraId="1E123E4C" w14:textId="77777777" w:rsidR="00251C3A" w:rsidRPr="00AF2694" w:rsidRDefault="00251C3A" w:rsidP="00CF11D6">
      <w:pPr>
        <w:tabs>
          <w:tab w:val="left" w:pos="540"/>
          <w:tab w:val="left" w:pos="567"/>
        </w:tabs>
        <w:jc w:val="both"/>
        <w:rPr>
          <w:sz w:val="22"/>
          <w:szCs w:val="22"/>
          <w:lang w:val="sr-Latn-ME"/>
        </w:rPr>
      </w:pPr>
    </w:p>
    <w:p w14:paraId="3CECAAF3" w14:textId="77777777" w:rsidR="00251C3A" w:rsidRPr="00AF2694" w:rsidRDefault="00251C3A" w:rsidP="00CF11D6">
      <w:pPr>
        <w:tabs>
          <w:tab w:val="left" w:pos="540"/>
          <w:tab w:val="left" w:pos="567"/>
        </w:tabs>
        <w:jc w:val="both"/>
        <w:rPr>
          <w:sz w:val="22"/>
          <w:szCs w:val="22"/>
          <w:u w:val="single"/>
          <w:lang w:val="sr-Latn-ME"/>
        </w:rPr>
      </w:pPr>
      <w:r w:rsidRPr="00AF2694">
        <w:rPr>
          <w:sz w:val="22"/>
          <w:szCs w:val="22"/>
          <w:u w:val="single"/>
          <w:lang w:val="sr-Latn-ME"/>
        </w:rPr>
        <w:t xml:space="preserve">Priprema infuzije sebelipaze alfa </w:t>
      </w:r>
    </w:p>
    <w:p w14:paraId="5E66EEBD" w14:textId="77777777" w:rsidR="00251C3A" w:rsidRPr="00AF2694" w:rsidRDefault="00251C3A" w:rsidP="00CF11D6">
      <w:pPr>
        <w:tabs>
          <w:tab w:val="left" w:pos="540"/>
          <w:tab w:val="left" w:pos="567"/>
        </w:tabs>
        <w:jc w:val="both"/>
        <w:rPr>
          <w:sz w:val="22"/>
          <w:szCs w:val="22"/>
          <w:u w:val="single"/>
          <w:lang w:val="sr-Latn-ME"/>
        </w:rPr>
      </w:pPr>
    </w:p>
    <w:p w14:paraId="31B32209" w14:textId="2BD161B7" w:rsidR="000D3060" w:rsidRPr="00AF2694" w:rsidRDefault="00251C3A" w:rsidP="00CF11D6">
      <w:pPr>
        <w:rPr>
          <w:sz w:val="22"/>
          <w:szCs w:val="22"/>
          <w:lang w:val="sr-Latn-ME"/>
        </w:rPr>
      </w:pPr>
      <w:r w:rsidRPr="00AF2694">
        <w:rPr>
          <w:sz w:val="22"/>
          <w:szCs w:val="22"/>
          <w:lang w:val="sr-Latn-ME"/>
        </w:rPr>
        <w:t>L</w:t>
      </w:r>
      <w:r w:rsidR="004D6AFB" w:rsidRPr="00AF2694">
        <w:rPr>
          <w:sz w:val="22"/>
          <w:szCs w:val="22"/>
          <w:lang w:val="sr-Latn-ME"/>
        </w:rPr>
        <w:t>ij</w:t>
      </w:r>
      <w:r w:rsidRPr="00AF2694">
        <w:rPr>
          <w:sz w:val="22"/>
          <w:szCs w:val="22"/>
          <w:lang w:val="sr-Latn-ME"/>
        </w:rPr>
        <w:t xml:space="preserve">ek KANUMA treba pripremiti i </w:t>
      </w:r>
      <w:r w:rsidR="000D3060" w:rsidRPr="00AF2694">
        <w:rPr>
          <w:sz w:val="22"/>
          <w:szCs w:val="22"/>
          <w:lang w:val="sr-Latn-ME"/>
        </w:rPr>
        <w:t xml:space="preserve">primijeniti </w:t>
      </w:r>
      <w:r w:rsidRPr="00AF2694">
        <w:rPr>
          <w:sz w:val="22"/>
          <w:szCs w:val="22"/>
          <w:lang w:val="sr-Latn-ME"/>
        </w:rPr>
        <w:t>u skladu sa sl</w:t>
      </w:r>
      <w:r w:rsidR="004D6AFB" w:rsidRPr="00AF2694">
        <w:rPr>
          <w:sz w:val="22"/>
          <w:szCs w:val="22"/>
          <w:lang w:val="sr-Latn-ME"/>
        </w:rPr>
        <w:t>j</w:t>
      </w:r>
      <w:r w:rsidRPr="00AF2694">
        <w:rPr>
          <w:sz w:val="22"/>
          <w:szCs w:val="22"/>
          <w:lang w:val="sr-Latn-ME"/>
        </w:rPr>
        <w:t xml:space="preserve">edećim </w:t>
      </w:r>
      <w:r w:rsidR="000D3060" w:rsidRPr="00AF2694">
        <w:rPr>
          <w:sz w:val="22"/>
          <w:szCs w:val="22"/>
          <w:lang w:val="sr-Latn-ME"/>
        </w:rPr>
        <w:t>uputstvom</w:t>
      </w:r>
      <w:r w:rsidRPr="00AF2694">
        <w:rPr>
          <w:sz w:val="22"/>
          <w:szCs w:val="22"/>
          <w:lang w:val="sr-Latn-ME"/>
        </w:rPr>
        <w:t xml:space="preserve">. </w:t>
      </w:r>
      <w:r w:rsidR="000D3060" w:rsidRPr="00AF2694">
        <w:rPr>
          <w:sz w:val="22"/>
          <w:szCs w:val="22"/>
          <w:lang w:val="sr-Latn-ME"/>
        </w:rPr>
        <w:t>Potrebno je koristiti aseptičnu tehniku.</w:t>
      </w:r>
      <w:r w:rsidR="000D3060" w:rsidRPr="00AF2694" w:rsidDel="000D3060">
        <w:rPr>
          <w:sz w:val="22"/>
          <w:szCs w:val="22"/>
          <w:lang w:val="sr-Latn-ME"/>
        </w:rPr>
        <w:t xml:space="preserve"> </w:t>
      </w:r>
    </w:p>
    <w:p w14:paraId="176B3075" w14:textId="77777777" w:rsidR="00710A62" w:rsidRPr="00AF2694" w:rsidRDefault="00710A62" w:rsidP="00CF11D6">
      <w:pPr>
        <w:rPr>
          <w:sz w:val="22"/>
          <w:szCs w:val="22"/>
          <w:lang w:val="sr-Latn-ME"/>
        </w:rPr>
      </w:pPr>
    </w:p>
    <w:p w14:paraId="3F5FA06A" w14:textId="71C2CF2C" w:rsidR="000D3060" w:rsidRPr="00AF2694" w:rsidRDefault="000D3060" w:rsidP="00CF11D6">
      <w:pPr>
        <w:pStyle w:val="ListParagraph"/>
        <w:numPr>
          <w:ilvl w:val="0"/>
          <w:numId w:val="15"/>
        </w:numPr>
        <w:jc w:val="both"/>
        <w:rPr>
          <w:sz w:val="22"/>
          <w:szCs w:val="22"/>
          <w:lang w:val="sr-Latn-ME"/>
        </w:rPr>
      </w:pPr>
      <w:r w:rsidRPr="00AF2694">
        <w:rPr>
          <w:sz w:val="22"/>
          <w:szCs w:val="22"/>
          <w:lang w:val="sr-Latn-ME"/>
        </w:rPr>
        <w:t>Potrebno je odrediti broj bočica koje treba razblažiti za infuziju</w:t>
      </w:r>
      <w:r w:rsidRPr="00AF2694" w:rsidDel="000D3060">
        <w:rPr>
          <w:sz w:val="22"/>
          <w:szCs w:val="22"/>
          <w:lang w:val="sr-Latn-ME"/>
        </w:rPr>
        <w:t xml:space="preserve"> </w:t>
      </w:r>
      <w:r w:rsidR="00251C3A" w:rsidRPr="00AF2694">
        <w:rPr>
          <w:sz w:val="22"/>
          <w:szCs w:val="22"/>
          <w:lang w:val="sr-Latn-ME"/>
        </w:rPr>
        <w:t>na osnovu težine pacijenta i propisane doze.</w:t>
      </w:r>
    </w:p>
    <w:p w14:paraId="587EB31A" w14:textId="030F7D35" w:rsidR="000D3060" w:rsidRPr="00AF2694" w:rsidRDefault="00251C3A" w:rsidP="00CF11D6">
      <w:pPr>
        <w:pStyle w:val="ListParagraph"/>
        <w:numPr>
          <w:ilvl w:val="0"/>
          <w:numId w:val="15"/>
        </w:numPr>
        <w:jc w:val="both"/>
        <w:rPr>
          <w:sz w:val="22"/>
          <w:szCs w:val="22"/>
          <w:lang w:val="sr-Latn-ME"/>
        </w:rPr>
      </w:pPr>
      <w:r w:rsidRPr="00AF2694">
        <w:rPr>
          <w:sz w:val="22"/>
          <w:szCs w:val="22"/>
          <w:lang w:val="sr-Latn-ME"/>
        </w:rPr>
        <w:lastRenderedPageBreak/>
        <w:t xml:space="preserve">Preporučuje se </w:t>
      </w:r>
      <w:r w:rsidR="000D3060" w:rsidRPr="00AF2694">
        <w:rPr>
          <w:sz w:val="22"/>
          <w:szCs w:val="22"/>
          <w:lang w:val="sr-Latn-ME"/>
        </w:rPr>
        <w:t>ostaviti</w:t>
      </w:r>
      <w:r w:rsidRPr="00AF2694">
        <w:rPr>
          <w:sz w:val="22"/>
          <w:szCs w:val="22"/>
          <w:lang w:val="sr-Latn-ME"/>
        </w:rPr>
        <w:t xml:space="preserve"> </w:t>
      </w:r>
      <w:r w:rsidR="000D3060" w:rsidRPr="00AF2694">
        <w:rPr>
          <w:sz w:val="22"/>
          <w:szCs w:val="22"/>
          <w:lang w:val="sr-Latn-ME"/>
        </w:rPr>
        <w:t xml:space="preserve">bočice sa </w:t>
      </w:r>
      <w:r w:rsidRPr="00AF2694">
        <w:rPr>
          <w:sz w:val="22"/>
          <w:szCs w:val="22"/>
          <w:lang w:val="sr-Latn-ME"/>
        </w:rPr>
        <w:t>l</w:t>
      </w:r>
      <w:r w:rsidR="004D6AFB" w:rsidRPr="00AF2694">
        <w:rPr>
          <w:sz w:val="22"/>
          <w:szCs w:val="22"/>
          <w:lang w:val="sr-Latn-ME"/>
        </w:rPr>
        <w:t>ij</w:t>
      </w:r>
      <w:r w:rsidRPr="00AF2694">
        <w:rPr>
          <w:sz w:val="22"/>
          <w:szCs w:val="22"/>
          <w:lang w:val="sr-Latn-ME"/>
        </w:rPr>
        <w:t>ek</w:t>
      </w:r>
      <w:r w:rsidR="000D3060" w:rsidRPr="00AF2694">
        <w:rPr>
          <w:sz w:val="22"/>
          <w:szCs w:val="22"/>
          <w:lang w:val="sr-Latn-ME"/>
        </w:rPr>
        <w:t>om</w:t>
      </w:r>
      <w:r w:rsidRPr="00AF2694">
        <w:rPr>
          <w:sz w:val="22"/>
          <w:szCs w:val="22"/>
          <w:lang w:val="sr-Latn-ME"/>
        </w:rPr>
        <w:t xml:space="preserve"> KANUMA da dostignu temperaturu između 15°C i 25°C pr</w:t>
      </w:r>
      <w:r w:rsidR="004D6AFB" w:rsidRPr="00AF2694">
        <w:rPr>
          <w:sz w:val="22"/>
          <w:szCs w:val="22"/>
          <w:lang w:val="sr-Latn-ME"/>
        </w:rPr>
        <w:t>ij</w:t>
      </w:r>
      <w:r w:rsidRPr="00AF2694">
        <w:rPr>
          <w:sz w:val="22"/>
          <w:szCs w:val="22"/>
          <w:lang w:val="sr-Latn-ME"/>
        </w:rPr>
        <w:t>e razblaživanja</w:t>
      </w:r>
      <w:r w:rsidR="000D3060" w:rsidRPr="00AF2694">
        <w:rPr>
          <w:sz w:val="22"/>
          <w:szCs w:val="22"/>
          <w:lang w:val="sr-Latn-ME"/>
        </w:rPr>
        <w:t>,</w:t>
      </w:r>
      <w:r w:rsidRPr="00AF2694">
        <w:rPr>
          <w:sz w:val="22"/>
          <w:szCs w:val="22"/>
          <w:lang w:val="sr-Latn-ME"/>
        </w:rPr>
        <w:t xml:space="preserve"> kako bi se minimizirala mogućnost formiranja </w:t>
      </w:r>
      <w:r w:rsidR="000D3060" w:rsidRPr="00AF2694">
        <w:rPr>
          <w:sz w:val="22"/>
          <w:szCs w:val="22"/>
          <w:lang w:val="sr-Latn-ME"/>
        </w:rPr>
        <w:t xml:space="preserve">proteinskih </w:t>
      </w:r>
      <w:r w:rsidRPr="00AF2694">
        <w:rPr>
          <w:sz w:val="22"/>
          <w:szCs w:val="22"/>
          <w:lang w:val="sr-Latn-ME"/>
        </w:rPr>
        <w:t xml:space="preserve">čestica sebelipaze alfa u rastvoru. Bočice </w:t>
      </w:r>
      <w:r w:rsidR="000D3060" w:rsidRPr="00AF2694">
        <w:rPr>
          <w:sz w:val="22"/>
          <w:szCs w:val="22"/>
          <w:lang w:val="sr-Latn-ME"/>
        </w:rPr>
        <w:t>se ne smiju ostaviti</w:t>
      </w:r>
      <w:r w:rsidRPr="00AF2694">
        <w:rPr>
          <w:sz w:val="22"/>
          <w:szCs w:val="22"/>
          <w:lang w:val="sr-Latn-ME"/>
        </w:rPr>
        <w:t xml:space="preserve"> van frižidera duže od 24 sata pr</w:t>
      </w:r>
      <w:r w:rsidR="004D6AFB" w:rsidRPr="00AF2694">
        <w:rPr>
          <w:sz w:val="22"/>
          <w:szCs w:val="22"/>
          <w:lang w:val="sr-Latn-ME"/>
        </w:rPr>
        <w:t>ij</w:t>
      </w:r>
      <w:r w:rsidRPr="00AF2694">
        <w:rPr>
          <w:sz w:val="22"/>
          <w:szCs w:val="22"/>
          <w:lang w:val="sr-Latn-ME"/>
        </w:rPr>
        <w:t xml:space="preserve">e razblaživanja za infuziju. Bočice </w:t>
      </w:r>
      <w:r w:rsidR="000D3060" w:rsidRPr="00AF2694">
        <w:rPr>
          <w:sz w:val="22"/>
          <w:szCs w:val="22"/>
          <w:lang w:val="sr-Latn-ME"/>
        </w:rPr>
        <w:t>se ne smiju</w:t>
      </w:r>
      <w:r w:rsidRPr="00AF2694">
        <w:rPr>
          <w:sz w:val="22"/>
          <w:szCs w:val="22"/>
          <w:lang w:val="sr-Latn-ME"/>
        </w:rPr>
        <w:t xml:space="preserve"> zamrzavati, gr</w:t>
      </w:r>
      <w:r w:rsidR="004D6AFB" w:rsidRPr="00AF2694">
        <w:rPr>
          <w:sz w:val="22"/>
          <w:szCs w:val="22"/>
          <w:lang w:val="sr-Latn-ME"/>
        </w:rPr>
        <w:t>i</w:t>
      </w:r>
      <w:r w:rsidRPr="00AF2694">
        <w:rPr>
          <w:sz w:val="22"/>
          <w:szCs w:val="22"/>
          <w:lang w:val="sr-Latn-ME"/>
        </w:rPr>
        <w:t>jati ili podgr</w:t>
      </w:r>
      <w:r w:rsidR="004D6AFB" w:rsidRPr="00AF2694">
        <w:rPr>
          <w:sz w:val="22"/>
          <w:szCs w:val="22"/>
          <w:lang w:val="sr-Latn-ME"/>
        </w:rPr>
        <w:t>ija</w:t>
      </w:r>
      <w:r w:rsidRPr="00AF2694">
        <w:rPr>
          <w:sz w:val="22"/>
          <w:szCs w:val="22"/>
          <w:lang w:val="sr-Latn-ME"/>
        </w:rPr>
        <w:t>vati u mikrotalasnoj</w:t>
      </w:r>
      <w:r w:rsidR="000D3060" w:rsidRPr="00AF2694">
        <w:rPr>
          <w:sz w:val="22"/>
          <w:szCs w:val="22"/>
          <w:lang w:val="sr-Latn-ME"/>
        </w:rPr>
        <w:t xml:space="preserve"> pećnici</w:t>
      </w:r>
      <w:r w:rsidRPr="00AF2694">
        <w:rPr>
          <w:sz w:val="22"/>
          <w:szCs w:val="22"/>
          <w:lang w:val="sr-Latn-ME"/>
        </w:rPr>
        <w:t xml:space="preserve"> i treba da budu zaštićene od sv</w:t>
      </w:r>
      <w:r w:rsidR="004D6AFB" w:rsidRPr="00AF2694">
        <w:rPr>
          <w:sz w:val="22"/>
          <w:szCs w:val="22"/>
          <w:lang w:val="sr-Latn-ME"/>
        </w:rPr>
        <w:t>j</w:t>
      </w:r>
      <w:r w:rsidRPr="00AF2694">
        <w:rPr>
          <w:sz w:val="22"/>
          <w:szCs w:val="22"/>
          <w:lang w:val="sr-Latn-ME"/>
        </w:rPr>
        <w:t>etl</w:t>
      </w:r>
      <w:r w:rsidR="00B96AF5" w:rsidRPr="00AF2694">
        <w:rPr>
          <w:sz w:val="22"/>
          <w:szCs w:val="22"/>
          <w:lang w:val="sr-Latn-ME"/>
        </w:rPr>
        <w:t>osti</w:t>
      </w:r>
      <w:r w:rsidRPr="00AF2694">
        <w:rPr>
          <w:sz w:val="22"/>
          <w:szCs w:val="22"/>
          <w:lang w:val="sr-Latn-ME"/>
        </w:rPr>
        <w:t>.</w:t>
      </w:r>
    </w:p>
    <w:p w14:paraId="30CF4CD8" w14:textId="0442FDB3" w:rsidR="000D3060" w:rsidRPr="00AF2694" w:rsidRDefault="00251C3A" w:rsidP="00CF11D6">
      <w:pPr>
        <w:pStyle w:val="ListParagraph"/>
        <w:numPr>
          <w:ilvl w:val="0"/>
          <w:numId w:val="15"/>
        </w:numPr>
        <w:jc w:val="both"/>
        <w:rPr>
          <w:sz w:val="22"/>
          <w:szCs w:val="22"/>
          <w:lang w:val="sr-Latn-ME"/>
        </w:rPr>
      </w:pPr>
      <w:r w:rsidRPr="00AF2694">
        <w:rPr>
          <w:sz w:val="22"/>
          <w:szCs w:val="22"/>
          <w:lang w:val="sr-Latn-ME"/>
        </w:rPr>
        <w:t xml:space="preserve">Bočice </w:t>
      </w:r>
      <w:r w:rsidR="000D3060" w:rsidRPr="00AF2694">
        <w:rPr>
          <w:sz w:val="22"/>
          <w:szCs w:val="22"/>
          <w:lang w:val="sr-Latn-ME"/>
        </w:rPr>
        <w:t xml:space="preserve">se </w:t>
      </w:r>
      <w:r w:rsidRPr="00AF2694">
        <w:rPr>
          <w:sz w:val="22"/>
          <w:szCs w:val="22"/>
          <w:lang w:val="sr-Latn-ME"/>
        </w:rPr>
        <w:t xml:space="preserve">ne </w:t>
      </w:r>
      <w:r w:rsidR="000D3060" w:rsidRPr="00AF2694">
        <w:rPr>
          <w:sz w:val="22"/>
          <w:szCs w:val="22"/>
          <w:lang w:val="sr-Latn-ME"/>
        </w:rPr>
        <w:t xml:space="preserve">smiju </w:t>
      </w:r>
      <w:r w:rsidRPr="00AF2694">
        <w:rPr>
          <w:sz w:val="22"/>
          <w:szCs w:val="22"/>
          <w:lang w:val="sr-Latn-ME"/>
        </w:rPr>
        <w:t>mućkati. Pr</w:t>
      </w:r>
      <w:r w:rsidR="004D6AFB" w:rsidRPr="00AF2694">
        <w:rPr>
          <w:sz w:val="22"/>
          <w:szCs w:val="22"/>
          <w:lang w:val="sr-Latn-ME"/>
        </w:rPr>
        <w:t>ij</w:t>
      </w:r>
      <w:r w:rsidRPr="00AF2694">
        <w:rPr>
          <w:sz w:val="22"/>
          <w:szCs w:val="22"/>
          <w:lang w:val="sr-Latn-ME"/>
        </w:rPr>
        <w:t xml:space="preserve">e razblaživanja, koncentrat u bočicama treba vizuelno pregledati; koncentrat treba da bude bistar do blago opalescentan, bezbojan do blago obojen (žut). </w:t>
      </w:r>
      <w:r w:rsidR="000D3060" w:rsidRPr="00AF2694">
        <w:rPr>
          <w:sz w:val="22"/>
          <w:szCs w:val="22"/>
          <w:lang w:val="sr-Latn-ME"/>
        </w:rPr>
        <w:t xml:space="preserve">Budući da je lijek proteinskog sastava, moguća je lagana flokulacija koncentrata u bočici (npr. tanka prozirna vlakna) i to je prihvatljivo za primjenu. </w:t>
      </w:r>
    </w:p>
    <w:p w14:paraId="384B4B77" w14:textId="5C512A44" w:rsidR="000D3060" w:rsidRPr="00AF2694" w:rsidRDefault="000D3060" w:rsidP="00CF11D6">
      <w:pPr>
        <w:pStyle w:val="ListParagraph"/>
        <w:numPr>
          <w:ilvl w:val="0"/>
          <w:numId w:val="15"/>
        </w:numPr>
        <w:jc w:val="both"/>
        <w:rPr>
          <w:sz w:val="22"/>
          <w:szCs w:val="22"/>
          <w:lang w:val="sr-Latn-ME"/>
        </w:rPr>
      </w:pPr>
      <w:r w:rsidRPr="00AF2694">
        <w:rPr>
          <w:sz w:val="22"/>
          <w:szCs w:val="22"/>
          <w:lang w:val="sr-Latn-ME"/>
        </w:rPr>
        <w:t>Nemojte koristiti koncentrat ako je zamućen ili ako su u njemu prisutne strane čestice.</w:t>
      </w:r>
    </w:p>
    <w:p w14:paraId="2D26D0FC" w14:textId="61863B24" w:rsidR="00251C3A" w:rsidRPr="00AF2694" w:rsidRDefault="000D3060" w:rsidP="00CF11D6">
      <w:pPr>
        <w:pStyle w:val="ListParagraph"/>
        <w:numPr>
          <w:ilvl w:val="0"/>
          <w:numId w:val="15"/>
        </w:numPr>
        <w:jc w:val="both"/>
        <w:rPr>
          <w:sz w:val="22"/>
          <w:szCs w:val="22"/>
          <w:lang w:val="sr-Latn-ME"/>
        </w:rPr>
      </w:pPr>
      <w:r w:rsidRPr="00AF2694">
        <w:rPr>
          <w:sz w:val="22"/>
          <w:szCs w:val="22"/>
          <w:lang w:val="sr-Latn-ME"/>
        </w:rPr>
        <w:t xml:space="preserve">Iz svake bočice treba polako izvući do 10 ml koncentrata </w:t>
      </w:r>
      <w:r w:rsidR="00251C3A" w:rsidRPr="00AF2694">
        <w:rPr>
          <w:sz w:val="22"/>
          <w:szCs w:val="22"/>
          <w:lang w:val="sr-Latn-ME"/>
        </w:rPr>
        <w:t xml:space="preserve">i razblažiti </w:t>
      </w:r>
      <w:r w:rsidR="00700D52" w:rsidRPr="00AF2694">
        <w:rPr>
          <w:sz w:val="22"/>
          <w:szCs w:val="22"/>
          <w:lang w:val="sr-Latn-ME"/>
        </w:rPr>
        <w:t>0.9% (9 mg/ml) rastvorom za infuziju natrijum hlorida</w:t>
      </w:r>
      <w:r w:rsidR="00251C3A" w:rsidRPr="00AF2694">
        <w:rPr>
          <w:sz w:val="22"/>
          <w:szCs w:val="22"/>
          <w:lang w:val="sr-Latn-ME"/>
        </w:rPr>
        <w:t xml:space="preserve">. </w:t>
      </w:r>
      <w:r w:rsidR="00700D52" w:rsidRPr="00AF2694">
        <w:rPr>
          <w:sz w:val="22"/>
          <w:szCs w:val="22"/>
          <w:lang w:val="sr-Latn-ME"/>
        </w:rPr>
        <w:t>Z</w:t>
      </w:r>
      <w:r w:rsidR="00251C3A" w:rsidRPr="00AF2694">
        <w:rPr>
          <w:sz w:val="22"/>
          <w:szCs w:val="22"/>
          <w:lang w:val="sr-Latn-ME"/>
        </w:rPr>
        <w:t>a preporučene ukupne zapremine infuzije prema opsegu težine</w:t>
      </w:r>
      <w:r w:rsidR="00700D52" w:rsidRPr="00AF2694">
        <w:rPr>
          <w:sz w:val="22"/>
          <w:szCs w:val="22"/>
          <w:lang w:val="sr-Latn-ME"/>
        </w:rPr>
        <w:t>, vidjeti Tabelu 5</w:t>
      </w:r>
      <w:r w:rsidR="00251C3A" w:rsidRPr="00AF2694">
        <w:rPr>
          <w:sz w:val="22"/>
          <w:szCs w:val="22"/>
          <w:lang w:val="sr-Latn-ME"/>
        </w:rPr>
        <w:t>. Rastvor treba</w:t>
      </w:r>
      <w:r w:rsidR="00700D52" w:rsidRPr="00AF2694">
        <w:rPr>
          <w:sz w:val="22"/>
          <w:szCs w:val="22"/>
          <w:lang w:val="sr-Latn-ME"/>
        </w:rPr>
        <w:t xml:space="preserve"> lagano</w:t>
      </w:r>
      <w:r w:rsidR="00251C3A" w:rsidRPr="00AF2694">
        <w:rPr>
          <w:sz w:val="22"/>
          <w:szCs w:val="22"/>
          <w:lang w:val="sr-Latn-ME"/>
        </w:rPr>
        <w:t xml:space="preserve"> p</w:t>
      </w:r>
      <w:r w:rsidR="00700D52" w:rsidRPr="00AF2694">
        <w:rPr>
          <w:sz w:val="22"/>
          <w:szCs w:val="22"/>
          <w:lang w:val="sr-Latn-ME"/>
        </w:rPr>
        <w:t>r</w:t>
      </w:r>
      <w:r w:rsidR="00251C3A" w:rsidRPr="00AF2694">
        <w:rPr>
          <w:sz w:val="22"/>
          <w:szCs w:val="22"/>
          <w:lang w:val="sr-Latn-ME"/>
        </w:rPr>
        <w:t>om</w:t>
      </w:r>
      <w:r w:rsidR="004D6AFB" w:rsidRPr="00AF2694">
        <w:rPr>
          <w:sz w:val="22"/>
          <w:szCs w:val="22"/>
          <w:lang w:val="sr-Latn-ME"/>
        </w:rPr>
        <w:t>ij</w:t>
      </w:r>
      <w:r w:rsidR="00251C3A" w:rsidRPr="00AF2694">
        <w:rPr>
          <w:sz w:val="22"/>
          <w:szCs w:val="22"/>
          <w:lang w:val="sr-Latn-ME"/>
        </w:rPr>
        <w:t>ešati, a ne mućkati.</w:t>
      </w:r>
    </w:p>
    <w:p w14:paraId="13E8B1E5" w14:textId="77777777" w:rsidR="004D6AFB" w:rsidRPr="00AF2694" w:rsidRDefault="004D6AFB" w:rsidP="00251C3A">
      <w:pPr>
        <w:tabs>
          <w:tab w:val="left" w:pos="540"/>
          <w:tab w:val="left" w:pos="567"/>
        </w:tabs>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500"/>
        <w:gridCol w:w="2192"/>
        <w:gridCol w:w="2190"/>
        <w:gridCol w:w="2191"/>
      </w:tblGrid>
      <w:tr w:rsidR="00251C3A" w:rsidRPr="00AF2694" w14:paraId="343D56E3" w14:textId="77777777" w:rsidTr="004B3317">
        <w:trPr>
          <w:cantSplit/>
          <w:trHeight w:val="340"/>
        </w:trPr>
        <w:tc>
          <w:tcPr>
            <w:tcW w:w="9134" w:type="dxa"/>
            <w:gridSpan w:val="4"/>
            <w:tcBorders>
              <w:top w:val="nil"/>
              <w:left w:val="nil"/>
              <w:right w:val="nil"/>
            </w:tcBorders>
            <w:tcMar>
              <w:top w:w="0" w:type="dxa"/>
              <w:left w:w="108" w:type="dxa"/>
              <w:bottom w:w="0" w:type="dxa"/>
              <w:right w:w="108" w:type="dxa"/>
            </w:tcMar>
            <w:vAlign w:val="center"/>
          </w:tcPr>
          <w:p w14:paraId="4B37BC3D" w14:textId="77777777" w:rsidR="00251C3A" w:rsidRPr="00AF2694" w:rsidRDefault="00251C3A" w:rsidP="00251C3A">
            <w:pPr>
              <w:tabs>
                <w:tab w:val="left" w:pos="540"/>
                <w:tab w:val="left" w:pos="567"/>
              </w:tabs>
              <w:rPr>
                <w:b/>
                <w:sz w:val="22"/>
                <w:szCs w:val="22"/>
                <w:lang w:val="sr-Latn-ME"/>
              </w:rPr>
            </w:pPr>
            <w:r w:rsidRPr="00AF2694">
              <w:rPr>
                <w:b/>
                <w:bCs/>
                <w:sz w:val="22"/>
                <w:szCs w:val="22"/>
                <w:lang w:val="sr-Latn-ME"/>
              </w:rPr>
              <w:t>Tabela 5: Preporučene zapremine infuzije*</w:t>
            </w:r>
          </w:p>
        </w:tc>
      </w:tr>
      <w:tr w:rsidR="00251C3A" w:rsidRPr="00AF2694" w14:paraId="2D266AFD" w14:textId="77777777" w:rsidTr="004B3317">
        <w:trPr>
          <w:cantSplit/>
          <w:trHeight w:val="340"/>
        </w:trPr>
        <w:tc>
          <w:tcPr>
            <w:tcW w:w="2521" w:type="dxa"/>
            <w:vMerge w:val="restart"/>
            <w:tcMar>
              <w:top w:w="0" w:type="dxa"/>
              <w:left w:w="108" w:type="dxa"/>
              <w:bottom w:w="0" w:type="dxa"/>
              <w:right w:w="108" w:type="dxa"/>
            </w:tcMar>
            <w:vAlign w:val="center"/>
          </w:tcPr>
          <w:p w14:paraId="303B1D6E" w14:textId="77777777" w:rsidR="00251C3A" w:rsidRPr="00AF2694" w:rsidRDefault="00251C3A" w:rsidP="00CF11D6">
            <w:pPr>
              <w:tabs>
                <w:tab w:val="left" w:pos="540"/>
                <w:tab w:val="left" w:pos="567"/>
              </w:tabs>
              <w:jc w:val="center"/>
              <w:rPr>
                <w:b/>
                <w:sz w:val="22"/>
                <w:szCs w:val="22"/>
                <w:lang w:val="sr-Latn-ME"/>
              </w:rPr>
            </w:pPr>
            <w:r w:rsidRPr="00AF2694">
              <w:rPr>
                <w:b/>
                <w:bCs/>
                <w:sz w:val="22"/>
                <w:szCs w:val="22"/>
                <w:lang w:val="sr-Latn-ME"/>
              </w:rPr>
              <w:t>Opseg težine (kg)</w:t>
            </w:r>
          </w:p>
        </w:tc>
        <w:tc>
          <w:tcPr>
            <w:tcW w:w="2204" w:type="dxa"/>
            <w:tcMar>
              <w:top w:w="0" w:type="dxa"/>
              <w:left w:w="108" w:type="dxa"/>
              <w:bottom w:w="0" w:type="dxa"/>
              <w:right w:w="108" w:type="dxa"/>
            </w:tcMar>
          </w:tcPr>
          <w:p w14:paraId="66E4CC11" w14:textId="77777777" w:rsidR="00251C3A" w:rsidRPr="00AF2694" w:rsidRDefault="00251C3A" w:rsidP="00CF11D6">
            <w:pPr>
              <w:tabs>
                <w:tab w:val="left" w:pos="540"/>
                <w:tab w:val="left" w:pos="567"/>
              </w:tabs>
              <w:jc w:val="center"/>
              <w:rPr>
                <w:b/>
                <w:sz w:val="22"/>
                <w:szCs w:val="22"/>
                <w:lang w:val="sr-Latn-ME"/>
              </w:rPr>
            </w:pPr>
            <w:r w:rsidRPr="00AF2694">
              <w:rPr>
                <w:b/>
                <w:bCs/>
                <w:sz w:val="22"/>
                <w:szCs w:val="22"/>
                <w:lang w:val="sr-Latn-ME"/>
              </w:rPr>
              <w:t>Doza od 1 mg/kg</w:t>
            </w:r>
          </w:p>
        </w:tc>
        <w:tc>
          <w:tcPr>
            <w:tcW w:w="2204" w:type="dxa"/>
          </w:tcPr>
          <w:p w14:paraId="72759079" w14:textId="77777777" w:rsidR="00251C3A" w:rsidRPr="00AF2694" w:rsidRDefault="00251C3A" w:rsidP="00CF11D6">
            <w:pPr>
              <w:tabs>
                <w:tab w:val="left" w:pos="540"/>
                <w:tab w:val="left" w:pos="567"/>
              </w:tabs>
              <w:jc w:val="center"/>
              <w:rPr>
                <w:b/>
                <w:sz w:val="22"/>
                <w:szCs w:val="22"/>
                <w:lang w:val="sr-Latn-ME"/>
              </w:rPr>
            </w:pPr>
            <w:r w:rsidRPr="00AF2694">
              <w:rPr>
                <w:b/>
                <w:bCs/>
                <w:sz w:val="22"/>
                <w:szCs w:val="22"/>
                <w:lang w:val="sr-Latn-ME"/>
              </w:rPr>
              <w:t>Doza od 3 mg/kg</w:t>
            </w:r>
          </w:p>
        </w:tc>
        <w:tc>
          <w:tcPr>
            <w:tcW w:w="2205" w:type="dxa"/>
          </w:tcPr>
          <w:p w14:paraId="23346C2B" w14:textId="77777777" w:rsidR="00251C3A" w:rsidRPr="00AF2694" w:rsidRDefault="00251C3A" w:rsidP="00CF11D6">
            <w:pPr>
              <w:tabs>
                <w:tab w:val="left" w:pos="540"/>
                <w:tab w:val="left" w:pos="567"/>
              </w:tabs>
              <w:jc w:val="center"/>
              <w:rPr>
                <w:b/>
                <w:sz w:val="22"/>
                <w:szCs w:val="22"/>
                <w:lang w:val="sr-Latn-ME"/>
              </w:rPr>
            </w:pPr>
            <w:r w:rsidRPr="00AF2694">
              <w:rPr>
                <w:b/>
                <w:bCs/>
                <w:sz w:val="22"/>
                <w:szCs w:val="22"/>
                <w:lang w:val="sr-Latn-ME"/>
              </w:rPr>
              <w:t>Doza od 5 mg/kg**</w:t>
            </w:r>
          </w:p>
        </w:tc>
      </w:tr>
      <w:tr w:rsidR="00251C3A" w:rsidRPr="00AF2694" w14:paraId="05EAB4CE" w14:textId="77777777" w:rsidTr="004B3317">
        <w:trPr>
          <w:cantSplit/>
          <w:trHeight w:val="340"/>
        </w:trPr>
        <w:tc>
          <w:tcPr>
            <w:tcW w:w="2521" w:type="dxa"/>
            <w:vMerge/>
            <w:tcMar>
              <w:top w:w="0" w:type="dxa"/>
              <w:left w:w="108" w:type="dxa"/>
              <w:bottom w:w="0" w:type="dxa"/>
              <w:right w:w="108" w:type="dxa"/>
            </w:tcMar>
            <w:vAlign w:val="center"/>
          </w:tcPr>
          <w:p w14:paraId="35E33CAF" w14:textId="77777777" w:rsidR="00251C3A" w:rsidRPr="00AF2694" w:rsidRDefault="00251C3A" w:rsidP="00CF11D6">
            <w:pPr>
              <w:tabs>
                <w:tab w:val="left" w:pos="540"/>
                <w:tab w:val="left" w:pos="567"/>
              </w:tabs>
              <w:jc w:val="center"/>
              <w:rPr>
                <w:b/>
                <w:sz w:val="22"/>
                <w:szCs w:val="22"/>
                <w:lang w:val="sr-Latn-ME"/>
              </w:rPr>
            </w:pPr>
          </w:p>
        </w:tc>
        <w:tc>
          <w:tcPr>
            <w:tcW w:w="2204" w:type="dxa"/>
            <w:tcMar>
              <w:top w:w="0" w:type="dxa"/>
              <w:left w:w="108" w:type="dxa"/>
              <w:bottom w:w="0" w:type="dxa"/>
              <w:right w:w="108" w:type="dxa"/>
            </w:tcMar>
            <w:vAlign w:val="center"/>
          </w:tcPr>
          <w:p w14:paraId="699BD811" w14:textId="77777777" w:rsidR="00251C3A" w:rsidRPr="00AF2694" w:rsidRDefault="00251C3A" w:rsidP="00CF11D6">
            <w:pPr>
              <w:tabs>
                <w:tab w:val="left" w:pos="540"/>
                <w:tab w:val="left" w:pos="567"/>
              </w:tabs>
              <w:jc w:val="center"/>
              <w:rPr>
                <w:b/>
                <w:sz w:val="22"/>
                <w:szCs w:val="22"/>
                <w:lang w:val="sr-Latn-ME"/>
              </w:rPr>
            </w:pPr>
            <w:r w:rsidRPr="00AF2694">
              <w:rPr>
                <w:b/>
                <w:bCs/>
                <w:sz w:val="22"/>
                <w:szCs w:val="22"/>
                <w:lang w:val="sr-Latn-ME"/>
              </w:rPr>
              <w:t>Ukupna zapremina infuzije (ml)</w:t>
            </w:r>
          </w:p>
        </w:tc>
        <w:tc>
          <w:tcPr>
            <w:tcW w:w="2204" w:type="dxa"/>
            <w:vAlign w:val="center"/>
          </w:tcPr>
          <w:p w14:paraId="1ABD03DB" w14:textId="7A9FBB76" w:rsidR="00251C3A" w:rsidRPr="00AF2694" w:rsidRDefault="00251C3A" w:rsidP="00CF11D6">
            <w:pPr>
              <w:tabs>
                <w:tab w:val="left" w:pos="540"/>
                <w:tab w:val="left" w:pos="567"/>
              </w:tabs>
              <w:jc w:val="center"/>
              <w:rPr>
                <w:b/>
                <w:sz w:val="22"/>
                <w:szCs w:val="22"/>
                <w:lang w:val="sr-Latn-ME"/>
              </w:rPr>
            </w:pPr>
            <w:r w:rsidRPr="00AF2694">
              <w:rPr>
                <w:b/>
                <w:bCs/>
                <w:sz w:val="22"/>
                <w:szCs w:val="22"/>
                <w:lang w:val="sr-Latn-ME"/>
              </w:rPr>
              <w:t>Ukupna zapremina infuzije (m</w:t>
            </w:r>
            <w:r w:rsidR="004D6AFB" w:rsidRPr="00AF2694">
              <w:rPr>
                <w:b/>
                <w:bCs/>
                <w:sz w:val="22"/>
                <w:szCs w:val="22"/>
                <w:lang w:val="sr-Latn-ME"/>
              </w:rPr>
              <w:t>l</w:t>
            </w:r>
            <w:r w:rsidRPr="00AF2694">
              <w:rPr>
                <w:b/>
                <w:bCs/>
                <w:sz w:val="22"/>
                <w:szCs w:val="22"/>
                <w:lang w:val="sr-Latn-ME"/>
              </w:rPr>
              <w:t>)</w:t>
            </w:r>
          </w:p>
        </w:tc>
        <w:tc>
          <w:tcPr>
            <w:tcW w:w="2205" w:type="dxa"/>
            <w:vAlign w:val="center"/>
          </w:tcPr>
          <w:p w14:paraId="6049AFD0" w14:textId="73D38087" w:rsidR="00251C3A" w:rsidRPr="00AF2694" w:rsidRDefault="00251C3A" w:rsidP="00CF11D6">
            <w:pPr>
              <w:tabs>
                <w:tab w:val="left" w:pos="540"/>
                <w:tab w:val="left" w:pos="567"/>
              </w:tabs>
              <w:jc w:val="center"/>
              <w:rPr>
                <w:b/>
                <w:sz w:val="22"/>
                <w:szCs w:val="22"/>
                <w:lang w:val="sr-Latn-ME"/>
              </w:rPr>
            </w:pPr>
            <w:r w:rsidRPr="00AF2694">
              <w:rPr>
                <w:b/>
                <w:bCs/>
                <w:sz w:val="22"/>
                <w:szCs w:val="22"/>
                <w:lang w:val="sr-Latn-ME"/>
              </w:rPr>
              <w:t>Ukupna zapremina infuzije (m</w:t>
            </w:r>
            <w:r w:rsidR="004D6AFB" w:rsidRPr="00AF2694">
              <w:rPr>
                <w:b/>
                <w:bCs/>
                <w:sz w:val="22"/>
                <w:szCs w:val="22"/>
                <w:lang w:val="sr-Latn-ME"/>
              </w:rPr>
              <w:t>l</w:t>
            </w:r>
            <w:r w:rsidRPr="00AF2694">
              <w:rPr>
                <w:b/>
                <w:bCs/>
                <w:sz w:val="22"/>
                <w:szCs w:val="22"/>
                <w:lang w:val="sr-Latn-ME"/>
              </w:rPr>
              <w:t>)</w:t>
            </w:r>
          </w:p>
        </w:tc>
      </w:tr>
      <w:tr w:rsidR="00251C3A" w:rsidRPr="00AF2694" w14:paraId="0BDDBDE8" w14:textId="77777777" w:rsidTr="004B3317">
        <w:trPr>
          <w:cantSplit/>
          <w:trHeight w:val="340"/>
        </w:trPr>
        <w:tc>
          <w:tcPr>
            <w:tcW w:w="2521" w:type="dxa"/>
            <w:tcMar>
              <w:top w:w="0" w:type="dxa"/>
              <w:left w:w="108" w:type="dxa"/>
              <w:bottom w:w="0" w:type="dxa"/>
              <w:right w:w="108" w:type="dxa"/>
            </w:tcMar>
            <w:vAlign w:val="center"/>
          </w:tcPr>
          <w:p w14:paraId="1826E814"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1–2,9</w:t>
            </w:r>
          </w:p>
        </w:tc>
        <w:tc>
          <w:tcPr>
            <w:tcW w:w="2204" w:type="dxa"/>
            <w:tcMar>
              <w:top w:w="0" w:type="dxa"/>
              <w:left w:w="108" w:type="dxa"/>
              <w:bottom w:w="0" w:type="dxa"/>
              <w:right w:w="108" w:type="dxa"/>
            </w:tcMar>
            <w:vAlign w:val="center"/>
          </w:tcPr>
          <w:p w14:paraId="27A2054F"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4</w:t>
            </w:r>
          </w:p>
        </w:tc>
        <w:tc>
          <w:tcPr>
            <w:tcW w:w="2204" w:type="dxa"/>
            <w:vAlign w:val="center"/>
          </w:tcPr>
          <w:p w14:paraId="0DB26A77"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8</w:t>
            </w:r>
          </w:p>
        </w:tc>
        <w:tc>
          <w:tcPr>
            <w:tcW w:w="2205" w:type="dxa"/>
            <w:vAlign w:val="center"/>
          </w:tcPr>
          <w:p w14:paraId="10AB04A4"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12</w:t>
            </w:r>
          </w:p>
        </w:tc>
      </w:tr>
      <w:tr w:rsidR="00251C3A" w:rsidRPr="00AF2694" w14:paraId="1FB2576A" w14:textId="77777777" w:rsidTr="004B3317">
        <w:trPr>
          <w:cantSplit/>
          <w:trHeight w:val="340"/>
        </w:trPr>
        <w:tc>
          <w:tcPr>
            <w:tcW w:w="2521" w:type="dxa"/>
            <w:tcMar>
              <w:top w:w="0" w:type="dxa"/>
              <w:left w:w="108" w:type="dxa"/>
              <w:bottom w:w="0" w:type="dxa"/>
              <w:right w:w="108" w:type="dxa"/>
            </w:tcMar>
            <w:vAlign w:val="center"/>
          </w:tcPr>
          <w:p w14:paraId="54CB14D8"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3–5,9</w:t>
            </w:r>
          </w:p>
        </w:tc>
        <w:tc>
          <w:tcPr>
            <w:tcW w:w="2204" w:type="dxa"/>
            <w:tcMar>
              <w:top w:w="0" w:type="dxa"/>
              <w:left w:w="108" w:type="dxa"/>
              <w:bottom w:w="0" w:type="dxa"/>
              <w:right w:w="108" w:type="dxa"/>
            </w:tcMar>
            <w:vAlign w:val="center"/>
          </w:tcPr>
          <w:p w14:paraId="0DEB78B7"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6</w:t>
            </w:r>
          </w:p>
        </w:tc>
        <w:tc>
          <w:tcPr>
            <w:tcW w:w="2204" w:type="dxa"/>
            <w:vAlign w:val="center"/>
          </w:tcPr>
          <w:p w14:paraId="1D82BA95"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12</w:t>
            </w:r>
          </w:p>
        </w:tc>
        <w:tc>
          <w:tcPr>
            <w:tcW w:w="2205" w:type="dxa"/>
            <w:vAlign w:val="center"/>
          </w:tcPr>
          <w:p w14:paraId="3B3C9F26"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20</w:t>
            </w:r>
          </w:p>
        </w:tc>
      </w:tr>
      <w:tr w:rsidR="00251C3A" w:rsidRPr="00AF2694" w14:paraId="171283D1" w14:textId="77777777" w:rsidTr="004B3317">
        <w:trPr>
          <w:cantSplit/>
          <w:trHeight w:val="340"/>
        </w:trPr>
        <w:tc>
          <w:tcPr>
            <w:tcW w:w="2521" w:type="dxa"/>
            <w:tcMar>
              <w:top w:w="0" w:type="dxa"/>
              <w:left w:w="108" w:type="dxa"/>
              <w:bottom w:w="0" w:type="dxa"/>
              <w:right w:w="108" w:type="dxa"/>
            </w:tcMar>
            <w:vAlign w:val="center"/>
          </w:tcPr>
          <w:p w14:paraId="17D0327C"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6–10,9</w:t>
            </w:r>
          </w:p>
        </w:tc>
        <w:tc>
          <w:tcPr>
            <w:tcW w:w="2204" w:type="dxa"/>
            <w:tcMar>
              <w:top w:w="0" w:type="dxa"/>
              <w:left w:w="108" w:type="dxa"/>
              <w:bottom w:w="0" w:type="dxa"/>
              <w:right w:w="108" w:type="dxa"/>
            </w:tcMar>
            <w:vAlign w:val="center"/>
          </w:tcPr>
          <w:p w14:paraId="292D82A2"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10</w:t>
            </w:r>
          </w:p>
        </w:tc>
        <w:tc>
          <w:tcPr>
            <w:tcW w:w="2204" w:type="dxa"/>
            <w:vAlign w:val="center"/>
          </w:tcPr>
          <w:p w14:paraId="51F9548C"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25</w:t>
            </w:r>
          </w:p>
        </w:tc>
        <w:tc>
          <w:tcPr>
            <w:tcW w:w="2205" w:type="dxa"/>
            <w:vAlign w:val="center"/>
          </w:tcPr>
          <w:p w14:paraId="652D5493"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50</w:t>
            </w:r>
          </w:p>
        </w:tc>
      </w:tr>
      <w:tr w:rsidR="00251C3A" w:rsidRPr="00AF2694" w14:paraId="2CDBD93B" w14:textId="77777777" w:rsidTr="004B3317">
        <w:trPr>
          <w:cantSplit/>
          <w:trHeight w:val="340"/>
        </w:trPr>
        <w:tc>
          <w:tcPr>
            <w:tcW w:w="2521" w:type="dxa"/>
            <w:tcMar>
              <w:top w:w="0" w:type="dxa"/>
              <w:left w:w="108" w:type="dxa"/>
              <w:bottom w:w="0" w:type="dxa"/>
              <w:right w:w="108" w:type="dxa"/>
            </w:tcMar>
            <w:vAlign w:val="center"/>
          </w:tcPr>
          <w:p w14:paraId="3C57986E"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11–24,9</w:t>
            </w:r>
          </w:p>
        </w:tc>
        <w:tc>
          <w:tcPr>
            <w:tcW w:w="2204" w:type="dxa"/>
            <w:tcMar>
              <w:top w:w="0" w:type="dxa"/>
              <w:left w:w="108" w:type="dxa"/>
              <w:bottom w:w="0" w:type="dxa"/>
              <w:right w:w="108" w:type="dxa"/>
            </w:tcMar>
            <w:vAlign w:val="center"/>
          </w:tcPr>
          <w:p w14:paraId="077F93F3"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25</w:t>
            </w:r>
          </w:p>
        </w:tc>
        <w:tc>
          <w:tcPr>
            <w:tcW w:w="2204" w:type="dxa"/>
            <w:vAlign w:val="center"/>
          </w:tcPr>
          <w:p w14:paraId="445B788A"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50</w:t>
            </w:r>
          </w:p>
        </w:tc>
        <w:tc>
          <w:tcPr>
            <w:tcW w:w="2205" w:type="dxa"/>
            <w:vAlign w:val="center"/>
          </w:tcPr>
          <w:p w14:paraId="042C26DF"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150</w:t>
            </w:r>
          </w:p>
        </w:tc>
      </w:tr>
      <w:tr w:rsidR="00251C3A" w:rsidRPr="00AF2694" w14:paraId="31EE85EC" w14:textId="77777777" w:rsidTr="004B3317">
        <w:trPr>
          <w:cantSplit/>
          <w:trHeight w:val="340"/>
        </w:trPr>
        <w:tc>
          <w:tcPr>
            <w:tcW w:w="2521" w:type="dxa"/>
            <w:tcMar>
              <w:top w:w="0" w:type="dxa"/>
              <w:left w:w="108" w:type="dxa"/>
              <w:bottom w:w="0" w:type="dxa"/>
              <w:right w:w="108" w:type="dxa"/>
            </w:tcMar>
            <w:vAlign w:val="center"/>
          </w:tcPr>
          <w:p w14:paraId="09298A53"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25–49,9</w:t>
            </w:r>
          </w:p>
        </w:tc>
        <w:tc>
          <w:tcPr>
            <w:tcW w:w="2204" w:type="dxa"/>
            <w:tcMar>
              <w:top w:w="0" w:type="dxa"/>
              <w:left w:w="108" w:type="dxa"/>
              <w:bottom w:w="0" w:type="dxa"/>
              <w:right w:w="108" w:type="dxa"/>
            </w:tcMar>
            <w:vAlign w:val="center"/>
          </w:tcPr>
          <w:p w14:paraId="19AC361F"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50</w:t>
            </w:r>
          </w:p>
        </w:tc>
        <w:tc>
          <w:tcPr>
            <w:tcW w:w="2204" w:type="dxa"/>
            <w:vAlign w:val="center"/>
          </w:tcPr>
          <w:p w14:paraId="7EA4FDED"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100</w:t>
            </w:r>
          </w:p>
        </w:tc>
        <w:tc>
          <w:tcPr>
            <w:tcW w:w="2205" w:type="dxa"/>
            <w:vAlign w:val="center"/>
          </w:tcPr>
          <w:p w14:paraId="1AAE75EB"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250</w:t>
            </w:r>
          </w:p>
        </w:tc>
      </w:tr>
      <w:tr w:rsidR="00251C3A" w:rsidRPr="00AF2694" w14:paraId="7FCA1C56" w14:textId="77777777" w:rsidTr="004B3317">
        <w:trPr>
          <w:cantSplit/>
          <w:trHeight w:val="340"/>
        </w:trPr>
        <w:tc>
          <w:tcPr>
            <w:tcW w:w="2521" w:type="dxa"/>
            <w:tcMar>
              <w:top w:w="0" w:type="dxa"/>
              <w:left w:w="108" w:type="dxa"/>
              <w:bottom w:w="0" w:type="dxa"/>
              <w:right w:w="108" w:type="dxa"/>
            </w:tcMar>
            <w:vAlign w:val="center"/>
          </w:tcPr>
          <w:p w14:paraId="26948880"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50–99,9</w:t>
            </w:r>
          </w:p>
        </w:tc>
        <w:tc>
          <w:tcPr>
            <w:tcW w:w="2204" w:type="dxa"/>
            <w:tcMar>
              <w:top w:w="0" w:type="dxa"/>
              <w:left w:w="108" w:type="dxa"/>
              <w:bottom w:w="0" w:type="dxa"/>
              <w:right w:w="108" w:type="dxa"/>
            </w:tcMar>
            <w:vAlign w:val="center"/>
          </w:tcPr>
          <w:p w14:paraId="2B456135"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100</w:t>
            </w:r>
          </w:p>
        </w:tc>
        <w:tc>
          <w:tcPr>
            <w:tcW w:w="2204" w:type="dxa"/>
            <w:vAlign w:val="center"/>
          </w:tcPr>
          <w:p w14:paraId="1FAEE567"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250</w:t>
            </w:r>
          </w:p>
        </w:tc>
        <w:tc>
          <w:tcPr>
            <w:tcW w:w="2205" w:type="dxa"/>
            <w:vAlign w:val="center"/>
          </w:tcPr>
          <w:p w14:paraId="13A36E46"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500</w:t>
            </w:r>
          </w:p>
        </w:tc>
      </w:tr>
      <w:tr w:rsidR="00251C3A" w:rsidRPr="00AF2694" w14:paraId="1CBDD02F" w14:textId="77777777" w:rsidTr="004B3317">
        <w:trPr>
          <w:cantSplit/>
          <w:trHeight w:val="340"/>
        </w:trPr>
        <w:tc>
          <w:tcPr>
            <w:tcW w:w="2521" w:type="dxa"/>
            <w:tcMar>
              <w:top w:w="0" w:type="dxa"/>
              <w:left w:w="108" w:type="dxa"/>
              <w:bottom w:w="0" w:type="dxa"/>
              <w:right w:w="108" w:type="dxa"/>
            </w:tcMar>
            <w:vAlign w:val="center"/>
          </w:tcPr>
          <w:p w14:paraId="07AE1631"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100–120,9</w:t>
            </w:r>
          </w:p>
        </w:tc>
        <w:tc>
          <w:tcPr>
            <w:tcW w:w="2204" w:type="dxa"/>
            <w:tcMar>
              <w:top w:w="0" w:type="dxa"/>
              <w:left w:w="108" w:type="dxa"/>
              <w:bottom w:w="0" w:type="dxa"/>
              <w:right w:w="108" w:type="dxa"/>
            </w:tcMar>
            <w:vAlign w:val="center"/>
          </w:tcPr>
          <w:p w14:paraId="3C960E86"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250</w:t>
            </w:r>
          </w:p>
        </w:tc>
        <w:tc>
          <w:tcPr>
            <w:tcW w:w="2204" w:type="dxa"/>
            <w:vAlign w:val="center"/>
          </w:tcPr>
          <w:p w14:paraId="63B7F169"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500</w:t>
            </w:r>
          </w:p>
        </w:tc>
        <w:tc>
          <w:tcPr>
            <w:tcW w:w="2205" w:type="dxa"/>
            <w:vAlign w:val="center"/>
          </w:tcPr>
          <w:p w14:paraId="22B534F8" w14:textId="77777777" w:rsidR="00251C3A" w:rsidRPr="00AF2694" w:rsidRDefault="00251C3A" w:rsidP="00CF11D6">
            <w:pPr>
              <w:tabs>
                <w:tab w:val="left" w:pos="540"/>
                <w:tab w:val="left" w:pos="567"/>
              </w:tabs>
              <w:jc w:val="center"/>
              <w:rPr>
                <w:sz w:val="22"/>
                <w:szCs w:val="22"/>
                <w:lang w:val="sr-Latn-ME"/>
              </w:rPr>
            </w:pPr>
            <w:r w:rsidRPr="00AF2694">
              <w:rPr>
                <w:sz w:val="22"/>
                <w:szCs w:val="22"/>
                <w:lang w:val="sr-Latn-ME"/>
              </w:rPr>
              <w:t>600</w:t>
            </w:r>
          </w:p>
        </w:tc>
      </w:tr>
    </w:tbl>
    <w:p w14:paraId="38E8567E" w14:textId="257F6AED" w:rsidR="00251C3A" w:rsidRPr="00AF2694" w:rsidRDefault="00251C3A" w:rsidP="00CF11D6">
      <w:pPr>
        <w:tabs>
          <w:tab w:val="left" w:pos="540"/>
          <w:tab w:val="left" w:pos="567"/>
        </w:tabs>
        <w:jc w:val="both"/>
        <w:rPr>
          <w:sz w:val="22"/>
          <w:szCs w:val="22"/>
          <w:lang w:val="sr-Latn-ME"/>
        </w:rPr>
      </w:pPr>
      <w:r w:rsidRPr="00AF2694">
        <w:rPr>
          <w:sz w:val="22"/>
          <w:szCs w:val="22"/>
          <w:lang w:val="sr-Latn-ME"/>
        </w:rPr>
        <w:t xml:space="preserve">* Zapremina infuzije treba da bude zasnovana na propisanoj dozi i treba da bude pripremljena </w:t>
      </w:r>
      <w:r w:rsidR="00700D52" w:rsidRPr="00AF2694">
        <w:rPr>
          <w:sz w:val="22"/>
          <w:szCs w:val="22"/>
          <w:lang w:val="sr-Latn-ME"/>
        </w:rPr>
        <w:t xml:space="preserve">tako da </w:t>
      </w:r>
      <w:r w:rsidRPr="00AF2694">
        <w:rPr>
          <w:sz w:val="22"/>
          <w:szCs w:val="22"/>
          <w:lang w:val="sr-Latn-ME"/>
        </w:rPr>
        <w:t>konačn</w:t>
      </w:r>
      <w:r w:rsidR="00700D52" w:rsidRPr="00AF2694">
        <w:rPr>
          <w:sz w:val="22"/>
          <w:szCs w:val="22"/>
          <w:lang w:val="sr-Latn-ME"/>
        </w:rPr>
        <w:t>a</w:t>
      </w:r>
      <w:r w:rsidRPr="00AF2694">
        <w:rPr>
          <w:sz w:val="22"/>
          <w:szCs w:val="22"/>
          <w:lang w:val="sr-Latn-ME"/>
        </w:rPr>
        <w:t xml:space="preserve"> koncentracij</w:t>
      </w:r>
      <w:r w:rsidR="00700D52" w:rsidRPr="00AF2694">
        <w:rPr>
          <w:sz w:val="22"/>
          <w:szCs w:val="22"/>
          <w:lang w:val="sr-Latn-ME"/>
        </w:rPr>
        <w:t>a</w:t>
      </w:r>
      <w:r w:rsidRPr="00AF2694">
        <w:rPr>
          <w:sz w:val="22"/>
          <w:szCs w:val="22"/>
          <w:lang w:val="sr-Latn-ME"/>
        </w:rPr>
        <w:t xml:space="preserve"> sebelipaze alfa </w:t>
      </w:r>
      <w:r w:rsidR="00700D52" w:rsidRPr="00AF2694">
        <w:rPr>
          <w:sz w:val="22"/>
          <w:szCs w:val="22"/>
          <w:lang w:val="sr-Latn-ME"/>
        </w:rPr>
        <w:t xml:space="preserve">bude </w:t>
      </w:r>
      <w:r w:rsidRPr="00AF2694">
        <w:rPr>
          <w:sz w:val="22"/>
          <w:szCs w:val="22"/>
          <w:lang w:val="sr-Latn-ME"/>
        </w:rPr>
        <w:t>0,1–1,5 mg/ml.</w:t>
      </w:r>
    </w:p>
    <w:p w14:paraId="444AFB30" w14:textId="2435C111" w:rsidR="00251C3A" w:rsidRPr="00AF2694" w:rsidRDefault="00251C3A" w:rsidP="00CF11D6">
      <w:pPr>
        <w:tabs>
          <w:tab w:val="left" w:pos="540"/>
          <w:tab w:val="left" w:pos="567"/>
        </w:tabs>
        <w:jc w:val="both"/>
        <w:rPr>
          <w:sz w:val="22"/>
          <w:szCs w:val="22"/>
          <w:lang w:val="sr-Latn-ME"/>
        </w:rPr>
      </w:pPr>
      <w:r w:rsidRPr="00AF2694">
        <w:rPr>
          <w:sz w:val="22"/>
          <w:szCs w:val="22"/>
          <w:lang w:val="sr-Latn-ME"/>
        </w:rPr>
        <w:t xml:space="preserve"> ** Za pacijente sa LAL deficijencijom koja je prisutna u prvih 6 m</w:t>
      </w:r>
      <w:r w:rsidR="004D6AFB" w:rsidRPr="00AF2694">
        <w:rPr>
          <w:sz w:val="22"/>
          <w:szCs w:val="22"/>
          <w:lang w:val="sr-Latn-ME"/>
        </w:rPr>
        <w:t>j</w:t>
      </w:r>
      <w:r w:rsidRPr="00AF2694">
        <w:rPr>
          <w:sz w:val="22"/>
          <w:szCs w:val="22"/>
          <w:lang w:val="sr-Latn-ME"/>
        </w:rPr>
        <w:t xml:space="preserve">eseci života, </w:t>
      </w:r>
      <w:r w:rsidR="00700D52" w:rsidRPr="00AF2694">
        <w:rPr>
          <w:sz w:val="22"/>
          <w:szCs w:val="22"/>
          <w:lang w:val="sr-Latn-ME"/>
        </w:rPr>
        <w:t xml:space="preserve">a </w:t>
      </w:r>
      <w:r w:rsidRPr="00AF2694">
        <w:rPr>
          <w:sz w:val="22"/>
          <w:szCs w:val="22"/>
          <w:lang w:val="sr-Latn-ME"/>
        </w:rPr>
        <w:t xml:space="preserve">koji ne </w:t>
      </w:r>
      <w:r w:rsidR="00700D52" w:rsidRPr="00AF2694">
        <w:rPr>
          <w:sz w:val="22"/>
          <w:szCs w:val="22"/>
          <w:lang w:val="sr-Latn-ME"/>
        </w:rPr>
        <w:t xml:space="preserve">postignu </w:t>
      </w:r>
      <w:r w:rsidRPr="00AF2694">
        <w:rPr>
          <w:sz w:val="22"/>
          <w:szCs w:val="22"/>
          <w:lang w:val="sr-Latn-ME"/>
        </w:rPr>
        <w:t>optimalan klinički odgovor sa dozom od 3 mg/kg.</w:t>
      </w:r>
    </w:p>
    <w:p w14:paraId="0B932AFF" w14:textId="77777777" w:rsidR="00251C3A" w:rsidRPr="00AF2694" w:rsidRDefault="00251C3A" w:rsidP="00251C3A">
      <w:pPr>
        <w:tabs>
          <w:tab w:val="left" w:pos="540"/>
          <w:tab w:val="left" w:pos="567"/>
        </w:tabs>
        <w:rPr>
          <w:sz w:val="22"/>
          <w:szCs w:val="22"/>
          <w:lang w:val="sr-Latn-ME"/>
        </w:rPr>
      </w:pPr>
    </w:p>
    <w:p w14:paraId="27E521D9" w14:textId="143CD8BE" w:rsidR="00251C3A" w:rsidRPr="00AF2694" w:rsidRDefault="00E615A3" w:rsidP="00CF11D6">
      <w:pPr>
        <w:tabs>
          <w:tab w:val="left" w:pos="540"/>
          <w:tab w:val="left" w:pos="567"/>
        </w:tabs>
        <w:jc w:val="both"/>
        <w:rPr>
          <w:sz w:val="22"/>
          <w:szCs w:val="22"/>
          <w:lang w:val="sr-Latn-ME"/>
        </w:rPr>
      </w:pPr>
      <w:r w:rsidRPr="00AF2694">
        <w:rPr>
          <w:sz w:val="22"/>
          <w:szCs w:val="22"/>
          <w:lang w:val="sr-Latn-ME"/>
        </w:rPr>
        <w:t xml:space="preserve">Svu neiskorišćenu količinu lijeka ili otpadnog materijala nakon njegove upotrebe treba ukloniti u skladu sa važećim propisima. </w:t>
      </w:r>
    </w:p>
    <w:p w14:paraId="3562C39E" w14:textId="3BFD08DF" w:rsidR="0072020E" w:rsidRPr="00AF2694" w:rsidRDefault="0072020E" w:rsidP="00480FB1">
      <w:pPr>
        <w:tabs>
          <w:tab w:val="left" w:pos="540"/>
          <w:tab w:val="left" w:pos="569"/>
        </w:tabs>
        <w:rPr>
          <w:bCs/>
          <w:sz w:val="22"/>
          <w:szCs w:val="22"/>
          <w:lang w:val="sr-Latn-ME"/>
        </w:rPr>
      </w:pPr>
    </w:p>
    <w:p w14:paraId="754A1459" w14:textId="77777777" w:rsidR="00E615A3" w:rsidRPr="00AF2694" w:rsidRDefault="00E615A3" w:rsidP="00480FB1">
      <w:pPr>
        <w:tabs>
          <w:tab w:val="left" w:pos="540"/>
          <w:tab w:val="left" w:pos="569"/>
        </w:tabs>
        <w:rPr>
          <w:bCs/>
          <w:sz w:val="22"/>
          <w:szCs w:val="22"/>
          <w:lang w:val="sr-Latn-ME"/>
        </w:rPr>
      </w:pPr>
    </w:p>
    <w:p w14:paraId="28F75519" w14:textId="77777777" w:rsidR="00F8570A" w:rsidRPr="00AF2694" w:rsidRDefault="0072020E" w:rsidP="00480FB1">
      <w:pPr>
        <w:tabs>
          <w:tab w:val="left" w:pos="540"/>
          <w:tab w:val="left" w:pos="569"/>
        </w:tabs>
        <w:rPr>
          <w:b/>
          <w:bCs/>
          <w:sz w:val="22"/>
          <w:szCs w:val="22"/>
          <w:lang w:val="sr-Latn-ME"/>
        </w:rPr>
      </w:pPr>
      <w:r w:rsidRPr="00AF2694">
        <w:rPr>
          <w:b/>
          <w:bCs/>
          <w:sz w:val="22"/>
          <w:szCs w:val="22"/>
          <w:lang w:val="sr-Latn-ME"/>
        </w:rPr>
        <w:t xml:space="preserve">7. </w:t>
      </w:r>
      <w:r w:rsidR="00480FB1" w:rsidRPr="00AF2694">
        <w:rPr>
          <w:b/>
          <w:bCs/>
          <w:sz w:val="22"/>
          <w:szCs w:val="22"/>
          <w:lang w:val="sr-Latn-ME"/>
        </w:rPr>
        <w:tab/>
      </w:r>
      <w:r w:rsidRPr="00AF2694">
        <w:rPr>
          <w:b/>
          <w:bCs/>
          <w:sz w:val="22"/>
          <w:szCs w:val="22"/>
          <w:lang w:val="sr-Latn-ME"/>
        </w:rPr>
        <w:t>NOSILAC DOZVOLE</w:t>
      </w:r>
      <w:r w:rsidR="00483928" w:rsidRPr="00AF2694">
        <w:rPr>
          <w:b/>
          <w:bCs/>
          <w:sz w:val="22"/>
          <w:szCs w:val="22"/>
          <w:lang w:val="sr-Latn-ME"/>
        </w:rPr>
        <w:t xml:space="preserve"> </w:t>
      </w:r>
    </w:p>
    <w:p w14:paraId="33886B9C" w14:textId="77777777" w:rsidR="00C61BE0" w:rsidRPr="00AF2694" w:rsidRDefault="00C61BE0" w:rsidP="00480FB1">
      <w:pPr>
        <w:tabs>
          <w:tab w:val="left" w:pos="540"/>
          <w:tab w:val="left" w:pos="569"/>
        </w:tabs>
        <w:rPr>
          <w:bCs/>
          <w:sz w:val="22"/>
          <w:szCs w:val="22"/>
          <w:lang w:val="sr-Latn-ME"/>
        </w:rPr>
      </w:pPr>
    </w:p>
    <w:p w14:paraId="6046B447" w14:textId="7C211E81" w:rsidR="00AD539E" w:rsidRPr="00AF2694" w:rsidRDefault="00AD539E" w:rsidP="00AD539E">
      <w:pPr>
        <w:tabs>
          <w:tab w:val="left" w:pos="540"/>
          <w:tab w:val="left" w:pos="569"/>
        </w:tabs>
        <w:rPr>
          <w:bCs/>
          <w:sz w:val="22"/>
          <w:szCs w:val="22"/>
          <w:lang w:val="sr-Latn-ME"/>
        </w:rPr>
      </w:pPr>
      <w:r w:rsidRPr="00AF2694">
        <w:rPr>
          <w:bCs/>
          <w:sz w:val="22"/>
          <w:szCs w:val="22"/>
          <w:lang w:val="sr-Latn-ME"/>
        </w:rPr>
        <w:t>Glosarij d.o.o.</w:t>
      </w:r>
      <w:r w:rsidR="00E615A3" w:rsidRPr="00AF2694">
        <w:rPr>
          <w:bCs/>
          <w:sz w:val="22"/>
          <w:szCs w:val="22"/>
          <w:lang w:val="sr-Latn-ME"/>
        </w:rPr>
        <w:t>,</w:t>
      </w:r>
    </w:p>
    <w:p w14:paraId="5ACD0E00" w14:textId="0D3C4FC7" w:rsidR="00AD539E" w:rsidRPr="00AF2694" w:rsidRDefault="00AD539E" w:rsidP="00480FB1">
      <w:pPr>
        <w:tabs>
          <w:tab w:val="left" w:pos="540"/>
          <w:tab w:val="left" w:pos="569"/>
        </w:tabs>
        <w:rPr>
          <w:bCs/>
          <w:sz w:val="22"/>
          <w:szCs w:val="22"/>
          <w:lang w:val="sr-Latn-ME"/>
        </w:rPr>
      </w:pPr>
      <w:r w:rsidRPr="00AF2694">
        <w:rPr>
          <w:bCs/>
          <w:sz w:val="22"/>
          <w:szCs w:val="22"/>
          <w:lang w:val="sr-Latn-ME"/>
        </w:rPr>
        <w:t>Vojislavljevića 76</w:t>
      </w:r>
      <w:r w:rsidR="00E615A3" w:rsidRPr="00AF2694">
        <w:rPr>
          <w:bCs/>
          <w:sz w:val="22"/>
          <w:szCs w:val="22"/>
          <w:lang w:val="sr-Latn-ME"/>
        </w:rPr>
        <w:t xml:space="preserve">, </w:t>
      </w:r>
      <w:r w:rsidRPr="00AF2694">
        <w:rPr>
          <w:bCs/>
          <w:sz w:val="22"/>
          <w:szCs w:val="22"/>
          <w:lang w:val="sr-Latn-ME"/>
        </w:rPr>
        <w:t>81 000 Podgorica</w:t>
      </w:r>
      <w:r w:rsidR="00E615A3" w:rsidRPr="00AF2694">
        <w:rPr>
          <w:bCs/>
          <w:sz w:val="22"/>
          <w:szCs w:val="22"/>
          <w:lang w:val="sr-Latn-ME"/>
        </w:rPr>
        <w:t xml:space="preserve">, </w:t>
      </w:r>
      <w:r w:rsidRPr="00AF2694">
        <w:rPr>
          <w:bCs/>
          <w:sz w:val="22"/>
          <w:szCs w:val="22"/>
          <w:lang w:val="sr-Latn-ME"/>
        </w:rPr>
        <w:t>Crna Gora</w:t>
      </w:r>
    </w:p>
    <w:p w14:paraId="13951D1C" w14:textId="62083177" w:rsidR="00C37FD7" w:rsidRPr="00AF2694" w:rsidRDefault="00C37FD7" w:rsidP="00480FB1">
      <w:pPr>
        <w:tabs>
          <w:tab w:val="left" w:pos="540"/>
          <w:tab w:val="left" w:pos="569"/>
        </w:tabs>
        <w:rPr>
          <w:bCs/>
          <w:sz w:val="22"/>
          <w:szCs w:val="22"/>
          <w:lang w:val="sr-Latn-ME"/>
        </w:rPr>
      </w:pPr>
    </w:p>
    <w:p w14:paraId="6F5E91A5" w14:textId="77777777" w:rsidR="00E615A3" w:rsidRPr="00AF2694" w:rsidRDefault="00E615A3" w:rsidP="00480FB1">
      <w:pPr>
        <w:tabs>
          <w:tab w:val="left" w:pos="540"/>
          <w:tab w:val="left" w:pos="569"/>
        </w:tabs>
        <w:rPr>
          <w:bCs/>
          <w:sz w:val="22"/>
          <w:szCs w:val="22"/>
          <w:lang w:val="sr-Latn-ME"/>
        </w:rPr>
      </w:pPr>
    </w:p>
    <w:p w14:paraId="5A8A820E" w14:textId="77777777" w:rsidR="0072020E" w:rsidRPr="00AF2694" w:rsidRDefault="0072020E" w:rsidP="00480FB1">
      <w:pPr>
        <w:tabs>
          <w:tab w:val="left" w:pos="540"/>
          <w:tab w:val="left" w:pos="569"/>
        </w:tabs>
        <w:rPr>
          <w:b/>
          <w:bCs/>
          <w:sz w:val="22"/>
          <w:szCs w:val="22"/>
          <w:lang w:val="sr-Latn-ME"/>
        </w:rPr>
      </w:pPr>
      <w:r w:rsidRPr="00AF2694">
        <w:rPr>
          <w:b/>
          <w:bCs/>
          <w:sz w:val="22"/>
          <w:szCs w:val="22"/>
          <w:lang w:val="sr-Latn-ME"/>
        </w:rPr>
        <w:t xml:space="preserve">8. </w:t>
      </w:r>
      <w:r w:rsidR="00480FB1" w:rsidRPr="00AF2694">
        <w:rPr>
          <w:b/>
          <w:bCs/>
          <w:sz w:val="22"/>
          <w:szCs w:val="22"/>
          <w:lang w:val="sr-Latn-ME"/>
        </w:rPr>
        <w:tab/>
      </w:r>
      <w:r w:rsidRPr="00AF2694">
        <w:rPr>
          <w:b/>
          <w:bCs/>
          <w:sz w:val="22"/>
          <w:szCs w:val="22"/>
          <w:lang w:val="sr-Latn-ME"/>
        </w:rPr>
        <w:t>BROJ DOZVOLE</w:t>
      </w:r>
      <w:r w:rsidR="008A6D43" w:rsidRPr="00AF2694">
        <w:rPr>
          <w:b/>
          <w:bCs/>
          <w:sz w:val="22"/>
          <w:szCs w:val="22"/>
          <w:lang w:val="sr-Latn-ME"/>
        </w:rPr>
        <w:t xml:space="preserve"> ZA STAVLJANJE LIJEKA U PROMET</w:t>
      </w:r>
    </w:p>
    <w:p w14:paraId="0EAC267C" w14:textId="15E95B5B" w:rsidR="0072020E" w:rsidRPr="00AF2694" w:rsidRDefault="0072020E" w:rsidP="00480FB1">
      <w:pPr>
        <w:tabs>
          <w:tab w:val="left" w:pos="540"/>
          <w:tab w:val="left" w:pos="569"/>
        </w:tabs>
        <w:rPr>
          <w:bCs/>
          <w:sz w:val="22"/>
          <w:szCs w:val="22"/>
          <w:lang w:val="sr-Latn-ME"/>
        </w:rPr>
      </w:pPr>
    </w:p>
    <w:p w14:paraId="346260F7" w14:textId="78137623" w:rsidR="00E615A3" w:rsidRPr="00AF2694" w:rsidRDefault="00AF2694" w:rsidP="00480FB1">
      <w:pPr>
        <w:tabs>
          <w:tab w:val="left" w:pos="540"/>
          <w:tab w:val="left" w:pos="569"/>
        </w:tabs>
        <w:rPr>
          <w:sz w:val="22"/>
          <w:szCs w:val="22"/>
          <w:lang w:val="sr-Latn-ME" w:eastAsia="sr-Latn-ME"/>
        </w:rPr>
      </w:pPr>
      <w:r w:rsidRPr="00AF2694">
        <w:rPr>
          <w:sz w:val="22"/>
          <w:szCs w:val="22"/>
          <w:lang w:val="sr-Latn-ME" w:eastAsia="sr-Latn-ME"/>
        </w:rPr>
        <w:t xml:space="preserve">2030/25/1613 – 8958 </w:t>
      </w:r>
    </w:p>
    <w:p w14:paraId="1DA80C36" w14:textId="77777777" w:rsidR="00AF2694" w:rsidRPr="00AF2694" w:rsidRDefault="00AF2694" w:rsidP="00480FB1">
      <w:pPr>
        <w:tabs>
          <w:tab w:val="left" w:pos="540"/>
          <w:tab w:val="left" w:pos="569"/>
        </w:tabs>
        <w:rPr>
          <w:bCs/>
          <w:sz w:val="22"/>
          <w:szCs w:val="22"/>
          <w:lang w:val="sr-Latn-ME"/>
        </w:rPr>
      </w:pPr>
    </w:p>
    <w:p w14:paraId="7D4D1CE3" w14:textId="77777777" w:rsidR="00F45F77" w:rsidRPr="00AF2694" w:rsidRDefault="00F45F77" w:rsidP="00480FB1">
      <w:pPr>
        <w:tabs>
          <w:tab w:val="left" w:pos="540"/>
          <w:tab w:val="left" w:pos="569"/>
        </w:tabs>
        <w:rPr>
          <w:bCs/>
          <w:sz w:val="22"/>
          <w:szCs w:val="22"/>
          <w:lang w:val="sr-Latn-ME"/>
        </w:rPr>
      </w:pPr>
    </w:p>
    <w:p w14:paraId="125A395D" w14:textId="77777777" w:rsidR="0072020E" w:rsidRPr="00AF2694" w:rsidRDefault="0072020E" w:rsidP="00480FB1">
      <w:pPr>
        <w:tabs>
          <w:tab w:val="left" w:pos="540"/>
          <w:tab w:val="left" w:pos="569"/>
        </w:tabs>
        <w:rPr>
          <w:b/>
          <w:bCs/>
          <w:sz w:val="22"/>
          <w:szCs w:val="22"/>
          <w:lang w:val="sr-Latn-ME"/>
        </w:rPr>
      </w:pPr>
      <w:r w:rsidRPr="00AF2694">
        <w:rPr>
          <w:b/>
          <w:bCs/>
          <w:sz w:val="22"/>
          <w:szCs w:val="22"/>
          <w:lang w:val="sr-Latn-ME"/>
        </w:rPr>
        <w:t xml:space="preserve">9. </w:t>
      </w:r>
      <w:r w:rsidR="00480FB1" w:rsidRPr="00AF2694">
        <w:rPr>
          <w:b/>
          <w:bCs/>
          <w:sz w:val="22"/>
          <w:szCs w:val="22"/>
          <w:lang w:val="sr-Latn-ME"/>
        </w:rPr>
        <w:tab/>
      </w:r>
      <w:r w:rsidRPr="00AF2694">
        <w:rPr>
          <w:b/>
          <w:bCs/>
          <w:sz w:val="22"/>
          <w:szCs w:val="22"/>
          <w:lang w:val="sr-Latn-ME"/>
        </w:rPr>
        <w:t xml:space="preserve">DATUM </w:t>
      </w:r>
      <w:r w:rsidR="00C05DF8" w:rsidRPr="00AF2694">
        <w:rPr>
          <w:b/>
          <w:bCs/>
          <w:sz w:val="22"/>
          <w:szCs w:val="22"/>
          <w:lang w:val="sr-Latn-ME"/>
        </w:rPr>
        <w:t xml:space="preserve">PRVE </w:t>
      </w:r>
      <w:r w:rsidR="008A6D43" w:rsidRPr="00AF2694">
        <w:rPr>
          <w:b/>
          <w:bCs/>
          <w:sz w:val="22"/>
          <w:szCs w:val="22"/>
          <w:lang w:val="sr-Latn-ME"/>
        </w:rPr>
        <w:t>DOZVOLE</w:t>
      </w:r>
      <w:r w:rsidR="00C05DF8" w:rsidRPr="00AF2694">
        <w:rPr>
          <w:b/>
          <w:bCs/>
          <w:sz w:val="22"/>
          <w:szCs w:val="22"/>
          <w:lang w:val="sr-Latn-ME"/>
        </w:rPr>
        <w:t>/OBNOVE DOZVOLE</w:t>
      </w:r>
      <w:r w:rsidR="008A6D43" w:rsidRPr="00AF2694">
        <w:rPr>
          <w:b/>
          <w:bCs/>
          <w:sz w:val="22"/>
          <w:szCs w:val="22"/>
          <w:lang w:val="sr-Latn-ME"/>
        </w:rPr>
        <w:t xml:space="preserve"> ZA STAVLJANJE LIJEKA U PROMET</w:t>
      </w:r>
    </w:p>
    <w:p w14:paraId="2A5752DE" w14:textId="5B0F2A0E" w:rsidR="0072020E" w:rsidRPr="00AF2694" w:rsidRDefault="0072020E" w:rsidP="00480FB1">
      <w:pPr>
        <w:tabs>
          <w:tab w:val="left" w:pos="540"/>
          <w:tab w:val="left" w:pos="569"/>
        </w:tabs>
        <w:rPr>
          <w:bCs/>
          <w:sz w:val="22"/>
          <w:szCs w:val="22"/>
          <w:lang w:val="sr-Latn-ME"/>
        </w:rPr>
      </w:pPr>
    </w:p>
    <w:p w14:paraId="6FCD428F" w14:textId="6556DEB0" w:rsidR="00E615A3" w:rsidRPr="00AF2694" w:rsidRDefault="00AF2694" w:rsidP="00480FB1">
      <w:pPr>
        <w:tabs>
          <w:tab w:val="left" w:pos="540"/>
          <w:tab w:val="left" w:pos="569"/>
        </w:tabs>
        <w:rPr>
          <w:sz w:val="22"/>
          <w:szCs w:val="22"/>
          <w:lang w:val="sr-Latn-ME" w:eastAsia="sr-Latn-ME"/>
        </w:rPr>
      </w:pPr>
      <w:r w:rsidRPr="00AF2694">
        <w:rPr>
          <w:sz w:val="22"/>
          <w:szCs w:val="22"/>
          <w:lang w:val="sr-Latn-ME" w:eastAsia="sr-Latn-ME"/>
        </w:rPr>
        <w:t>01.04.2025. godine</w:t>
      </w:r>
    </w:p>
    <w:p w14:paraId="50A9EF10" w14:textId="77777777" w:rsidR="00AF2694" w:rsidRPr="00AF2694" w:rsidRDefault="00AF2694" w:rsidP="00480FB1">
      <w:pPr>
        <w:tabs>
          <w:tab w:val="left" w:pos="540"/>
          <w:tab w:val="left" w:pos="569"/>
        </w:tabs>
        <w:rPr>
          <w:bCs/>
          <w:sz w:val="22"/>
          <w:szCs w:val="22"/>
          <w:lang w:val="sr-Latn-ME"/>
        </w:rPr>
      </w:pPr>
    </w:p>
    <w:p w14:paraId="7312DD52" w14:textId="77777777" w:rsidR="00836B35" w:rsidRPr="00AF2694" w:rsidRDefault="00836B35" w:rsidP="00480FB1">
      <w:pPr>
        <w:tabs>
          <w:tab w:val="left" w:pos="540"/>
          <w:tab w:val="left" w:pos="569"/>
        </w:tabs>
        <w:rPr>
          <w:bCs/>
          <w:sz w:val="22"/>
          <w:szCs w:val="22"/>
          <w:lang w:val="sr-Latn-ME"/>
        </w:rPr>
      </w:pPr>
    </w:p>
    <w:p w14:paraId="35C1885A" w14:textId="77777777" w:rsidR="003F6A59" w:rsidRPr="00AF2694" w:rsidRDefault="0072020E" w:rsidP="00C05DF8">
      <w:pPr>
        <w:tabs>
          <w:tab w:val="left" w:pos="540"/>
          <w:tab w:val="left" w:pos="569"/>
        </w:tabs>
        <w:ind w:left="540" w:hanging="540"/>
        <w:rPr>
          <w:bCs/>
          <w:sz w:val="22"/>
          <w:szCs w:val="22"/>
          <w:lang w:val="sr-Latn-ME"/>
        </w:rPr>
      </w:pPr>
      <w:r w:rsidRPr="00AF2694">
        <w:rPr>
          <w:b/>
          <w:bCs/>
          <w:sz w:val="22"/>
          <w:szCs w:val="22"/>
          <w:lang w:val="sr-Latn-ME"/>
        </w:rPr>
        <w:t xml:space="preserve">10. </w:t>
      </w:r>
      <w:r w:rsidR="00480FB1" w:rsidRPr="00AF2694">
        <w:rPr>
          <w:b/>
          <w:bCs/>
          <w:sz w:val="22"/>
          <w:szCs w:val="22"/>
          <w:lang w:val="sr-Latn-ME"/>
        </w:rPr>
        <w:tab/>
      </w:r>
      <w:r w:rsidR="002846DB" w:rsidRPr="00AF2694">
        <w:rPr>
          <w:b/>
          <w:bCs/>
          <w:sz w:val="22"/>
          <w:szCs w:val="22"/>
          <w:lang w:val="sr-Latn-ME"/>
        </w:rPr>
        <w:t>D</w:t>
      </w:r>
      <w:r w:rsidR="00EC2532" w:rsidRPr="00AF2694">
        <w:rPr>
          <w:b/>
          <w:bCs/>
          <w:sz w:val="22"/>
          <w:szCs w:val="22"/>
          <w:lang w:val="sr-Latn-ME"/>
        </w:rPr>
        <w:t xml:space="preserve">ATUM REVIZIJE TEKSTA </w:t>
      </w:r>
    </w:p>
    <w:p w14:paraId="772BA7E4" w14:textId="042473C0" w:rsidR="003F6A59" w:rsidRPr="00AF2694" w:rsidRDefault="003F6A59" w:rsidP="00DE3F5C">
      <w:pPr>
        <w:rPr>
          <w:sz w:val="22"/>
          <w:szCs w:val="22"/>
          <w:lang w:val="sr-Latn-ME"/>
        </w:rPr>
      </w:pPr>
    </w:p>
    <w:p w14:paraId="057935D1" w14:textId="7806B426" w:rsidR="00AF2694" w:rsidRPr="00AF2694" w:rsidRDefault="00AF2694" w:rsidP="00DE3F5C">
      <w:pPr>
        <w:rPr>
          <w:sz w:val="22"/>
          <w:szCs w:val="22"/>
          <w:lang w:val="sr-Latn-ME"/>
        </w:rPr>
      </w:pPr>
      <w:r w:rsidRPr="00AF2694">
        <w:rPr>
          <w:sz w:val="22"/>
          <w:szCs w:val="22"/>
          <w:lang w:val="sr-Latn-ME"/>
        </w:rPr>
        <w:t>April, 2025. godine</w:t>
      </w:r>
    </w:p>
    <w:sectPr w:rsidR="00AF2694" w:rsidRPr="00AF2694"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2AD50" w14:textId="77777777" w:rsidR="00001E22" w:rsidRDefault="00001E22">
      <w:r>
        <w:separator/>
      </w:r>
    </w:p>
  </w:endnote>
  <w:endnote w:type="continuationSeparator" w:id="0">
    <w:p w14:paraId="605CF718" w14:textId="77777777" w:rsidR="00001E22" w:rsidRDefault="0000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254A" w14:textId="4F5BBC3F" w:rsidR="000D3060" w:rsidRPr="00B23F69" w:rsidRDefault="000D3060"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F2694">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F2694">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6DA81" w14:textId="77777777" w:rsidR="00001E22" w:rsidRDefault="00001E22">
      <w:r>
        <w:separator/>
      </w:r>
    </w:p>
  </w:footnote>
  <w:footnote w:type="continuationSeparator" w:id="0">
    <w:p w14:paraId="5098E202" w14:textId="77777777" w:rsidR="00001E22" w:rsidRDefault="00001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75pt;height:14.2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B140B1"/>
    <w:multiLevelType w:val="hybridMultilevel"/>
    <w:tmpl w:val="ECECB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1352AE"/>
    <w:multiLevelType w:val="hybridMultilevel"/>
    <w:tmpl w:val="6EF42A0E"/>
    <w:lvl w:ilvl="0" w:tplc="90E665A8">
      <w:start w:val="1"/>
      <w:numFmt w:val="bullet"/>
      <w:lvlText w:val="-"/>
      <w:lvlJc w:val="left"/>
      <w:pPr>
        <w:ind w:left="720" w:hanging="360"/>
      </w:pPr>
    </w:lvl>
    <w:lvl w:ilvl="1" w:tplc="4A449154" w:tentative="1">
      <w:start w:val="1"/>
      <w:numFmt w:val="bullet"/>
      <w:lvlText w:val="o"/>
      <w:lvlJc w:val="left"/>
      <w:pPr>
        <w:ind w:left="1440" w:hanging="360"/>
      </w:pPr>
      <w:rPr>
        <w:rFonts w:ascii="Courier New" w:hAnsi="Courier New" w:hint="default"/>
      </w:rPr>
    </w:lvl>
    <w:lvl w:ilvl="2" w:tplc="D482FAA6" w:tentative="1">
      <w:start w:val="1"/>
      <w:numFmt w:val="bullet"/>
      <w:lvlText w:val=""/>
      <w:lvlJc w:val="left"/>
      <w:pPr>
        <w:ind w:left="2160" w:hanging="360"/>
      </w:pPr>
      <w:rPr>
        <w:rFonts w:ascii="Wingdings" w:hAnsi="Wingdings" w:hint="default"/>
      </w:rPr>
    </w:lvl>
    <w:lvl w:ilvl="3" w:tplc="4462AFBE" w:tentative="1">
      <w:start w:val="1"/>
      <w:numFmt w:val="bullet"/>
      <w:lvlText w:val=""/>
      <w:lvlJc w:val="left"/>
      <w:pPr>
        <w:ind w:left="2880" w:hanging="360"/>
      </w:pPr>
      <w:rPr>
        <w:rFonts w:ascii="Symbol" w:hAnsi="Symbol" w:hint="default"/>
      </w:rPr>
    </w:lvl>
    <w:lvl w:ilvl="4" w:tplc="967ECA34" w:tentative="1">
      <w:start w:val="1"/>
      <w:numFmt w:val="bullet"/>
      <w:lvlText w:val="o"/>
      <w:lvlJc w:val="left"/>
      <w:pPr>
        <w:ind w:left="3600" w:hanging="360"/>
      </w:pPr>
      <w:rPr>
        <w:rFonts w:ascii="Courier New" w:hAnsi="Courier New" w:hint="default"/>
      </w:rPr>
    </w:lvl>
    <w:lvl w:ilvl="5" w:tplc="B290B618" w:tentative="1">
      <w:start w:val="1"/>
      <w:numFmt w:val="bullet"/>
      <w:lvlText w:val=""/>
      <w:lvlJc w:val="left"/>
      <w:pPr>
        <w:ind w:left="4320" w:hanging="360"/>
      </w:pPr>
      <w:rPr>
        <w:rFonts w:ascii="Wingdings" w:hAnsi="Wingdings" w:hint="default"/>
      </w:rPr>
    </w:lvl>
    <w:lvl w:ilvl="6" w:tplc="4C908E08" w:tentative="1">
      <w:start w:val="1"/>
      <w:numFmt w:val="bullet"/>
      <w:lvlText w:val=""/>
      <w:lvlJc w:val="left"/>
      <w:pPr>
        <w:ind w:left="5040" w:hanging="360"/>
      </w:pPr>
      <w:rPr>
        <w:rFonts w:ascii="Symbol" w:hAnsi="Symbol" w:hint="default"/>
      </w:rPr>
    </w:lvl>
    <w:lvl w:ilvl="7" w:tplc="3A6244CA" w:tentative="1">
      <w:start w:val="1"/>
      <w:numFmt w:val="bullet"/>
      <w:lvlText w:val="o"/>
      <w:lvlJc w:val="left"/>
      <w:pPr>
        <w:ind w:left="5760" w:hanging="360"/>
      </w:pPr>
      <w:rPr>
        <w:rFonts w:ascii="Courier New" w:hAnsi="Courier New" w:hint="default"/>
      </w:rPr>
    </w:lvl>
    <w:lvl w:ilvl="8" w:tplc="8AB8444A" w:tentative="1">
      <w:start w:val="1"/>
      <w:numFmt w:val="bullet"/>
      <w:lvlText w:val=""/>
      <w:lvlJc w:val="left"/>
      <w:pPr>
        <w:ind w:left="6480" w:hanging="360"/>
      </w:pPr>
      <w:rPr>
        <w:rFonts w:ascii="Wingdings" w:hAnsi="Wingdings" w:hint="default"/>
      </w:r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418D77A3"/>
    <w:multiLevelType w:val="hybridMultilevel"/>
    <w:tmpl w:val="19DA00D2"/>
    <w:lvl w:ilvl="0" w:tplc="794CE2B8">
      <w:start w:val="1"/>
      <w:numFmt w:val="lowerLetter"/>
      <w:lvlText w:val="%1."/>
      <w:lvlJc w:val="left"/>
      <w:pPr>
        <w:ind w:left="720" w:hanging="360"/>
      </w:pPr>
      <w:rPr>
        <w:rFonts w:cs="Times New Roman" w:hint="default"/>
      </w:rPr>
    </w:lvl>
    <w:lvl w:ilvl="1" w:tplc="3CC6C812" w:tentative="1">
      <w:start w:val="1"/>
      <w:numFmt w:val="lowerLetter"/>
      <w:lvlText w:val="%2."/>
      <w:lvlJc w:val="left"/>
      <w:pPr>
        <w:ind w:left="1440" w:hanging="360"/>
      </w:pPr>
    </w:lvl>
    <w:lvl w:ilvl="2" w:tplc="DFE60416" w:tentative="1">
      <w:start w:val="1"/>
      <w:numFmt w:val="lowerRoman"/>
      <w:lvlText w:val="%3."/>
      <w:lvlJc w:val="right"/>
      <w:pPr>
        <w:ind w:left="2160" w:hanging="180"/>
      </w:pPr>
    </w:lvl>
    <w:lvl w:ilvl="3" w:tplc="00BA268C" w:tentative="1">
      <w:start w:val="1"/>
      <w:numFmt w:val="decimal"/>
      <w:lvlText w:val="%4."/>
      <w:lvlJc w:val="left"/>
      <w:pPr>
        <w:ind w:left="2880" w:hanging="360"/>
      </w:pPr>
    </w:lvl>
    <w:lvl w:ilvl="4" w:tplc="1DEC54F0" w:tentative="1">
      <w:start w:val="1"/>
      <w:numFmt w:val="lowerLetter"/>
      <w:lvlText w:val="%5."/>
      <w:lvlJc w:val="left"/>
      <w:pPr>
        <w:ind w:left="3600" w:hanging="360"/>
      </w:pPr>
    </w:lvl>
    <w:lvl w:ilvl="5" w:tplc="E29CFDF0" w:tentative="1">
      <w:start w:val="1"/>
      <w:numFmt w:val="lowerRoman"/>
      <w:lvlText w:val="%6."/>
      <w:lvlJc w:val="right"/>
      <w:pPr>
        <w:ind w:left="4320" w:hanging="180"/>
      </w:pPr>
    </w:lvl>
    <w:lvl w:ilvl="6" w:tplc="964A00F0" w:tentative="1">
      <w:start w:val="1"/>
      <w:numFmt w:val="decimal"/>
      <w:lvlText w:val="%7."/>
      <w:lvlJc w:val="left"/>
      <w:pPr>
        <w:ind w:left="5040" w:hanging="360"/>
      </w:pPr>
    </w:lvl>
    <w:lvl w:ilvl="7" w:tplc="3C085FC6" w:tentative="1">
      <w:start w:val="1"/>
      <w:numFmt w:val="lowerLetter"/>
      <w:lvlText w:val="%8."/>
      <w:lvlJc w:val="left"/>
      <w:pPr>
        <w:ind w:left="5760" w:hanging="360"/>
      </w:pPr>
    </w:lvl>
    <w:lvl w:ilvl="8" w:tplc="CA7EC8A8" w:tentative="1">
      <w:start w:val="1"/>
      <w:numFmt w:val="lowerRoman"/>
      <w:lvlText w:val="%9."/>
      <w:lvlJc w:val="right"/>
      <w:pPr>
        <w:ind w:left="648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E423628"/>
    <w:multiLevelType w:val="hybridMultilevel"/>
    <w:tmpl w:val="C5C0E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1"/>
  </w:num>
  <w:num w:numId="5">
    <w:abstractNumId w:val="5"/>
  </w:num>
  <w:num w:numId="6">
    <w:abstractNumId w:val="1"/>
  </w:num>
  <w:num w:numId="7">
    <w:abstractNumId w:val="10"/>
  </w:num>
  <w:num w:numId="8">
    <w:abstractNumId w:val="3"/>
  </w:num>
  <w:num w:numId="9">
    <w:abstractNumId w:val="8"/>
  </w:num>
  <w:num w:numId="10">
    <w:abstractNumId w:val="14"/>
  </w:num>
  <w:num w:numId="11">
    <w:abstractNumId w:val="7"/>
  </w:num>
  <w:num w:numId="12">
    <w:abstractNumId w:val="6"/>
  </w:num>
  <w:num w:numId="13">
    <w:abstractNumId w:val="9"/>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E22"/>
    <w:rsid w:val="000176CA"/>
    <w:rsid w:val="00033469"/>
    <w:rsid w:val="00036FA0"/>
    <w:rsid w:val="0003793F"/>
    <w:rsid w:val="00045130"/>
    <w:rsid w:val="0005679C"/>
    <w:rsid w:val="00057E35"/>
    <w:rsid w:val="0006389C"/>
    <w:rsid w:val="00074724"/>
    <w:rsid w:val="00075E28"/>
    <w:rsid w:val="00076726"/>
    <w:rsid w:val="00080303"/>
    <w:rsid w:val="00083D02"/>
    <w:rsid w:val="000A3F58"/>
    <w:rsid w:val="000C310A"/>
    <w:rsid w:val="000D2343"/>
    <w:rsid w:val="000D3060"/>
    <w:rsid w:val="000D3449"/>
    <w:rsid w:val="000D425A"/>
    <w:rsid w:val="000D4385"/>
    <w:rsid w:val="000D60CC"/>
    <w:rsid w:val="000E2084"/>
    <w:rsid w:val="000E6F55"/>
    <w:rsid w:val="000F77FA"/>
    <w:rsid w:val="00107BF7"/>
    <w:rsid w:val="00126F53"/>
    <w:rsid w:val="00135A14"/>
    <w:rsid w:val="0014766D"/>
    <w:rsid w:val="001536CC"/>
    <w:rsid w:val="001A3FBA"/>
    <w:rsid w:val="001A5518"/>
    <w:rsid w:val="001A69B7"/>
    <w:rsid w:val="001B1C6A"/>
    <w:rsid w:val="001C1263"/>
    <w:rsid w:val="001C1417"/>
    <w:rsid w:val="001E2C2B"/>
    <w:rsid w:val="001E390B"/>
    <w:rsid w:val="001F42FB"/>
    <w:rsid w:val="001F719A"/>
    <w:rsid w:val="002031B3"/>
    <w:rsid w:val="00215931"/>
    <w:rsid w:val="00224C91"/>
    <w:rsid w:val="00227BDB"/>
    <w:rsid w:val="00234CB1"/>
    <w:rsid w:val="002352F8"/>
    <w:rsid w:val="002510A5"/>
    <w:rsid w:val="00251C3A"/>
    <w:rsid w:val="00254A0A"/>
    <w:rsid w:val="00266046"/>
    <w:rsid w:val="0027303E"/>
    <w:rsid w:val="002846DB"/>
    <w:rsid w:val="00284CCD"/>
    <w:rsid w:val="002A29B4"/>
    <w:rsid w:val="002C6637"/>
    <w:rsid w:val="002E0135"/>
    <w:rsid w:val="002E37A5"/>
    <w:rsid w:val="00310F03"/>
    <w:rsid w:val="003247D2"/>
    <w:rsid w:val="003445C1"/>
    <w:rsid w:val="00355B61"/>
    <w:rsid w:val="00362686"/>
    <w:rsid w:val="00371510"/>
    <w:rsid w:val="00396DFD"/>
    <w:rsid w:val="003A7059"/>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51314"/>
    <w:rsid w:val="00452E9D"/>
    <w:rsid w:val="004534C7"/>
    <w:rsid w:val="004671AA"/>
    <w:rsid w:val="00471DF8"/>
    <w:rsid w:val="00480FB1"/>
    <w:rsid w:val="00483928"/>
    <w:rsid w:val="00486D35"/>
    <w:rsid w:val="004B3317"/>
    <w:rsid w:val="004C331F"/>
    <w:rsid w:val="004C45E5"/>
    <w:rsid w:val="004D6103"/>
    <w:rsid w:val="004D6AFB"/>
    <w:rsid w:val="004E3BCE"/>
    <w:rsid w:val="004E70AD"/>
    <w:rsid w:val="004F0E97"/>
    <w:rsid w:val="004F17E2"/>
    <w:rsid w:val="0050068B"/>
    <w:rsid w:val="00501DD1"/>
    <w:rsid w:val="005050C1"/>
    <w:rsid w:val="00511C47"/>
    <w:rsid w:val="00515C21"/>
    <w:rsid w:val="00530BD7"/>
    <w:rsid w:val="00545CD2"/>
    <w:rsid w:val="005476F3"/>
    <w:rsid w:val="00572527"/>
    <w:rsid w:val="00573E40"/>
    <w:rsid w:val="0057589D"/>
    <w:rsid w:val="00576348"/>
    <w:rsid w:val="00585D52"/>
    <w:rsid w:val="005A0B2E"/>
    <w:rsid w:val="005A1774"/>
    <w:rsid w:val="005A23D2"/>
    <w:rsid w:val="005A36CB"/>
    <w:rsid w:val="005B49B8"/>
    <w:rsid w:val="005C0741"/>
    <w:rsid w:val="005C5EF4"/>
    <w:rsid w:val="005D433F"/>
    <w:rsid w:val="005E2E0B"/>
    <w:rsid w:val="005E67AD"/>
    <w:rsid w:val="005E7A7D"/>
    <w:rsid w:val="00602457"/>
    <w:rsid w:val="00644FC3"/>
    <w:rsid w:val="00646BD1"/>
    <w:rsid w:val="006561C2"/>
    <w:rsid w:val="00671CB3"/>
    <w:rsid w:val="00674BAF"/>
    <w:rsid w:val="00682200"/>
    <w:rsid w:val="00692BF6"/>
    <w:rsid w:val="006A1351"/>
    <w:rsid w:val="006A1497"/>
    <w:rsid w:val="006B0BD1"/>
    <w:rsid w:val="006B533B"/>
    <w:rsid w:val="006B5404"/>
    <w:rsid w:val="006B6503"/>
    <w:rsid w:val="006D20A5"/>
    <w:rsid w:val="006D37BF"/>
    <w:rsid w:val="00700D52"/>
    <w:rsid w:val="00702E22"/>
    <w:rsid w:val="00710A62"/>
    <w:rsid w:val="0072020E"/>
    <w:rsid w:val="00754902"/>
    <w:rsid w:val="00754C04"/>
    <w:rsid w:val="00786071"/>
    <w:rsid w:val="0079643E"/>
    <w:rsid w:val="007A3ECB"/>
    <w:rsid w:val="007D7BB3"/>
    <w:rsid w:val="007E31E9"/>
    <w:rsid w:val="007F05E3"/>
    <w:rsid w:val="007F661E"/>
    <w:rsid w:val="00822931"/>
    <w:rsid w:val="00824AB9"/>
    <w:rsid w:val="00836B35"/>
    <w:rsid w:val="00843BDE"/>
    <w:rsid w:val="00860E96"/>
    <w:rsid w:val="0087588C"/>
    <w:rsid w:val="0089705C"/>
    <w:rsid w:val="008A6D43"/>
    <w:rsid w:val="008B2A61"/>
    <w:rsid w:val="008B491E"/>
    <w:rsid w:val="008C1965"/>
    <w:rsid w:val="008C1A28"/>
    <w:rsid w:val="008C2E98"/>
    <w:rsid w:val="008E49BD"/>
    <w:rsid w:val="008E53E9"/>
    <w:rsid w:val="008E5771"/>
    <w:rsid w:val="008E7F6A"/>
    <w:rsid w:val="008F4ACF"/>
    <w:rsid w:val="00924166"/>
    <w:rsid w:val="00940B9B"/>
    <w:rsid w:val="00950F03"/>
    <w:rsid w:val="00953573"/>
    <w:rsid w:val="0095676E"/>
    <w:rsid w:val="00956983"/>
    <w:rsid w:val="00963CE3"/>
    <w:rsid w:val="00963CF0"/>
    <w:rsid w:val="00964BB1"/>
    <w:rsid w:val="00972357"/>
    <w:rsid w:val="009775D9"/>
    <w:rsid w:val="00981B38"/>
    <w:rsid w:val="00997175"/>
    <w:rsid w:val="009A1847"/>
    <w:rsid w:val="009B062A"/>
    <w:rsid w:val="009E739D"/>
    <w:rsid w:val="009E7C6F"/>
    <w:rsid w:val="009F0572"/>
    <w:rsid w:val="009F1793"/>
    <w:rsid w:val="009F2D23"/>
    <w:rsid w:val="00A01D69"/>
    <w:rsid w:val="00A02335"/>
    <w:rsid w:val="00A46C9A"/>
    <w:rsid w:val="00A619F3"/>
    <w:rsid w:val="00A62A73"/>
    <w:rsid w:val="00A70E0E"/>
    <w:rsid w:val="00A734B7"/>
    <w:rsid w:val="00A87FF6"/>
    <w:rsid w:val="00AA0A3B"/>
    <w:rsid w:val="00AA2763"/>
    <w:rsid w:val="00AA33B6"/>
    <w:rsid w:val="00AB50CA"/>
    <w:rsid w:val="00AB6D64"/>
    <w:rsid w:val="00AC53CE"/>
    <w:rsid w:val="00AD0384"/>
    <w:rsid w:val="00AD2193"/>
    <w:rsid w:val="00AD539E"/>
    <w:rsid w:val="00AF19F4"/>
    <w:rsid w:val="00AF2694"/>
    <w:rsid w:val="00AF2AC7"/>
    <w:rsid w:val="00AF74CE"/>
    <w:rsid w:val="00B20684"/>
    <w:rsid w:val="00B208DB"/>
    <w:rsid w:val="00B23F69"/>
    <w:rsid w:val="00B42C9D"/>
    <w:rsid w:val="00B460FA"/>
    <w:rsid w:val="00B60619"/>
    <w:rsid w:val="00B66A70"/>
    <w:rsid w:val="00B67366"/>
    <w:rsid w:val="00B80EE1"/>
    <w:rsid w:val="00B84135"/>
    <w:rsid w:val="00B96AF5"/>
    <w:rsid w:val="00C04D34"/>
    <w:rsid w:val="00C05DF8"/>
    <w:rsid w:val="00C06864"/>
    <w:rsid w:val="00C10F54"/>
    <w:rsid w:val="00C23D8D"/>
    <w:rsid w:val="00C37AA3"/>
    <w:rsid w:val="00C37FD7"/>
    <w:rsid w:val="00C43419"/>
    <w:rsid w:val="00C44CF3"/>
    <w:rsid w:val="00C537FE"/>
    <w:rsid w:val="00C61BE0"/>
    <w:rsid w:val="00C65DC8"/>
    <w:rsid w:val="00C6707E"/>
    <w:rsid w:val="00C70B0E"/>
    <w:rsid w:val="00C715C4"/>
    <w:rsid w:val="00C773CA"/>
    <w:rsid w:val="00C83785"/>
    <w:rsid w:val="00C87FA8"/>
    <w:rsid w:val="00C90852"/>
    <w:rsid w:val="00C94C0D"/>
    <w:rsid w:val="00CA1FEB"/>
    <w:rsid w:val="00CA4E2A"/>
    <w:rsid w:val="00CC523E"/>
    <w:rsid w:val="00CD4F85"/>
    <w:rsid w:val="00CD6F02"/>
    <w:rsid w:val="00CE246D"/>
    <w:rsid w:val="00CF07A0"/>
    <w:rsid w:val="00CF11D6"/>
    <w:rsid w:val="00CF3E03"/>
    <w:rsid w:val="00CF4983"/>
    <w:rsid w:val="00D0082A"/>
    <w:rsid w:val="00D21455"/>
    <w:rsid w:val="00D23E74"/>
    <w:rsid w:val="00D47634"/>
    <w:rsid w:val="00D635F6"/>
    <w:rsid w:val="00D709B3"/>
    <w:rsid w:val="00D74CD2"/>
    <w:rsid w:val="00DA2ED6"/>
    <w:rsid w:val="00DB1D55"/>
    <w:rsid w:val="00DB76B8"/>
    <w:rsid w:val="00DC2EA1"/>
    <w:rsid w:val="00DD6AAF"/>
    <w:rsid w:val="00DE3F5C"/>
    <w:rsid w:val="00DF1D20"/>
    <w:rsid w:val="00E21324"/>
    <w:rsid w:val="00E246B9"/>
    <w:rsid w:val="00E31FEA"/>
    <w:rsid w:val="00E45169"/>
    <w:rsid w:val="00E47787"/>
    <w:rsid w:val="00E51C30"/>
    <w:rsid w:val="00E615A3"/>
    <w:rsid w:val="00E64180"/>
    <w:rsid w:val="00E7235D"/>
    <w:rsid w:val="00E74AEE"/>
    <w:rsid w:val="00E868E5"/>
    <w:rsid w:val="00E91805"/>
    <w:rsid w:val="00E9237A"/>
    <w:rsid w:val="00E939FA"/>
    <w:rsid w:val="00E94A4D"/>
    <w:rsid w:val="00EA5765"/>
    <w:rsid w:val="00EC2532"/>
    <w:rsid w:val="00EC4D4F"/>
    <w:rsid w:val="00EC6A0A"/>
    <w:rsid w:val="00ED7812"/>
    <w:rsid w:val="00EF3B86"/>
    <w:rsid w:val="00F25BE4"/>
    <w:rsid w:val="00F317E9"/>
    <w:rsid w:val="00F34554"/>
    <w:rsid w:val="00F35B68"/>
    <w:rsid w:val="00F45F77"/>
    <w:rsid w:val="00F5167F"/>
    <w:rsid w:val="00F52258"/>
    <w:rsid w:val="00F8570A"/>
    <w:rsid w:val="00F91C7B"/>
    <w:rsid w:val="00FA4B48"/>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D7E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UnresolvedMention1">
    <w:name w:val="Unresolved Mention1"/>
    <w:basedOn w:val="DefaultParagraphFont"/>
    <w:uiPriority w:val="99"/>
    <w:semiHidden/>
    <w:unhideWhenUsed/>
    <w:rsid w:val="00251C3A"/>
    <w:rPr>
      <w:color w:val="605E5C"/>
      <w:shd w:val="clear" w:color="auto" w:fill="E1DFDD"/>
    </w:rPr>
  </w:style>
  <w:style w:type="paragraph" w:styleId="ListParagraph">
    <w:name w:val="List Paragraph"/>
    <w:basedOn w:val="Normal"/>
    <w:uiPriority w:val="34"/>
    <w:qFormat/>
    <w:rsid w:val="000D3060"/>
    <w:pPr>
      <w:ind w:left="720"/>
      <w:contextualSpacing/>
    </w:pPr>
  </w:style>
  <w:style w:type="paragraph" w:styleId="Revision">
    <w:name w:val="Revision"/>
    <w:hidden/>
    <w:uiPriority w:val="99"/>
    <w:semiHidden/>
    <w:rsid w:val="000C310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BA7E5-9085-4566-9166-AC0D6A71E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7039</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47073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4</cp:revision>
  <cp:lastPrinted>2023-02-09T08:16:00Z</cp:lastPrinted>
  <dcterms:created xsi:type="dcterms:W3CDTF">2025-03-31T11:49:00Z</dcterms:created>
  <dcterms:modified xsi:type="dcterms:W3CDTF">2025-04-01T07:15:00Z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