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CFD965" w14:textId="161C4D2E" w:rsidR="003B2D3A" w:rsidRPr="00CC61C2" w:rsidRDefault="003B2D3A" w:rsidP="000D120B">
      <w:pPr>
        <w:jc w:val="center"/>
        <w:rPr>
          <w:b/>
          <w:bCs/>
          <w:iCs/>
          <w:szCs w:val="22"/>
          <w:u w:val="single"/>
        </w:rPr>
      </w:pPr>
      <w:r w:rsidRPr="00CC61C2">
        <w:rPr>
          <w:b/>
          <w:bCs/>
          <w:iCs/>
          <w:szCs w:val="22"/>
          <w:u w:val="single"/>
        </w:rPr>
        <w:t>SAŽETAK KARAKTERISTIKA LIJEKA</w:t>
      </w:r>
    </w:p>
    <w:p w14:paraId="078CD34E" w14:textId="0E998C9D" w:rsidR="00D86BB7" w:rsidRDefault="00D86BB7" w:rsidP="00D86BB7">
      <w:pPr>
        <w:jc w:val="both"/>
        <w:rPr>
          <w:b/>
          <w:szCs w:val="22"/>
          <w:highlight w:val="cyan"/>
        </w:rPr>
      </w:pPr>
    </w:p>
    <w:p w14:paraId="33B41C48" w14:textId="77777777" w:rsidR="003B2D3A" w:rsidRPr="00CC61C2" w:rsidRDefault="003B2D3A" w:rsidP="00D86BB7">
      <w:pPr>
        <w:jc w:val="both"/>
        <w:rPr>
          <w:b/>
          <w:szCs w:val="22"/>
          <w:highlight w:val="cyan"/>
        </w:rPr>
      </w:pPr>
    </w:p>
    <w:p w14:paraId="40931899" w14:textId="77777777" w:rsidR="00D86BB7" w:rsidRPr="00CC61C2" w:rsidRDefault="00D86BB7" w:rsidP="00D86BB7">
      <w:pPr>
        <w:jc w:val="both"/>
        <w:rPr>
          <w:b/>
          <w:szCs w:val="22"/>
          <w:highlight w:val="cyan"/>
        </w:rPr>
      </w:pPr>
    </w:p>
    <w:p w14:paraId="66238770" w14:textId="77777777" w:rsidR="00D86BB7" w:rsidRPr="00CC61C2" w:rsidRDefault="00D86BB7" w:rsidP="00D86BB7">
      <w:pPr>
        <w:tabs>
          <w:tab w:val="left" w:pos="284"/>
        </w:tabs>
        <w:jc w:val="both"/>
        <w:rPr>
          <w:b/>
          <w:bCs/>
          <w:szCs w:val="22"/>
        </w:rPr>
      </w:pPr>
      <w:bookmarkStart w:id="0" w:name="Tab"/>
      <w:bookmarkEnd w:id="0"/>
      <w:r w:rsidRPr="00CC61C2">
        <w:rPr>
          <w:b/>
          <w:szCs w:val="22"/>
        </w:rPr>
        <w:t>1. NAZIV LIJEKA</w:t>
      </w:r>
    </w:p>
    <w:p w14:paraId="7C0FB611" w14:textId="77777777" w:rsidR="00D86BB7" w:rsidRPr="00CC61C2" w:rsidRDefault="00D86BB7" w:rsidP="00D86BB7">
      <w:pPr>
        <w:widowControl w:val="0"/>
        <w:tabs>
          <w:tab w:val="left" w:pos="833"/>
        </w:tabs>
        <w:ind w:left="37"/>
        <w:jc w:val="both"/>
        <w:rPr>
          <w:szCs w:val="22"/>
        </w:rPr>
      </w:pPr>
    </w:p>
    <w:p w14:paraId="01C896FA" w14:textId="77777777" w:rsidR="00D86BB7" w:rsidRPr="00CC61C2" w:rsidRDefault="00D86BB7" w:rsidP="00D86BB7">
      <w:pPr>
        <w:widowControl w:val="0"/>
        <w:tabs>
          <w:tab w:val="left" w:pos="833"/>
        </w:tabs>
        <w:ind w:left="37"/>
        <w:jc w:val="both"/>
        <w:rPr>
          <w:szCs w:val="22"/>
        </w:rPr>
      </w:pPr>
      <w:r w:rsidRPr="00CC61C2">
        <w:rPr>
          <w:szCs w:val="22"/>
        </w:rPr>
        <w:t>Amlewel, 2 mg + 0,625 mg + 5 mg, tableta</w:t>
      </w:r>
    </w:p>
    <w:p w14:paraId="07549E69" w14:textId="77777777" w:rsidR="00D86BB7" w:rsidRPr="00CC61C2" w:rsidRDefault="00D86BB7" w:rsidP="00D86BB7">
      <w:pPr>
        <w:widowControl w:val="0"/>
        <w:tabs>
          <w:tab w:val="left" w:pos="833"/>
        </w:tabs>
        <w:ind w:left="37"/>
        <w:jc w:val="both"/>
        <w:rPr>
          <w:szCs w:val="22"/>
        </w:rPr>
      </w:pPr>
      <w:r w:rsidRPr="00CC61C2">
        <w:rPr>
          <w:szCs w:val="22"/>
        </w:rPr>
        <w:t>Amlewel, 4 mg + 1,25 mg + 5 mg, tableta</w:t>
      </w:r>
    </w:p>
    <w:p w14:paraId="544DCE5B" w14:textId="77777777" w:rsidR="00D86BB7" w:rsidRPr="00CC61C2" w:rsidRDefault="00D86BB7" w:rsidP="00D86BB7">
      <w:pPr>
        <w:widowControl w:val="0"/>
        <w:tabs>
          <w:tab w:val="left" w:pos="833"/>
        </w:tabs>
        <w:ind w:left="37"/>
        <w:jc w:val="both"/>
        <w:rPr>
          <w:szCs w:val="22"/>
        </w:rPr>
      </w:pPr>
      <w:r w:rsidRPr="00CC61C2">
        <w:rPr>
          <w:szCs w:val="22"/>
        </w:rPr>
        <w:t>Amlewel, 4 mg + 1,25 mg + 10 mg, tableta</w:t>
      </w:r>
    </w:p>
    <w:p w14:paraId="47F249F9" w14:textId="77777777" w:rsidR="00D86BB7" w:rsidRPr="00CC61C2" w:rsidRDefault="00D86BB7" w:rsidP="00D86BB7">
      <w:pPr>
        <w:widowControl w:val="0"/>
        <w:tabs>
          <w:tab w:val="left" w:pos="833"/>
        </w:tabs>
        <w:ind w:left="37"/>
        <w:jc w:val="both"/>
        <w:rPr>
          <w:szCs w:val="22"/>
        </w:rPr>
      </w:pPr>
      <w:r w:rsidRPr="00CC61C2">
        <w:rPr>
          <w:szCs w:val="22"/>
        </w:rPr>
        <w:t>Amlewel, 8 mg + 2,5 mg + 5 mg, tableta</w:t>
      </w:r>
    </w:p>
    <w:p w14:paraId="350CA69B" w14:textId="77777777" w:rsidR="00D86BB7" w:rsidRPr="00CC61C2" w:rsidRDefault="00D86BB7" w:rsidP="00D86BB7">
      <w:pPr>
        <w:widowControl w:val="0"/>
        <w:tabs>
          <w:tab w:val="left" w:pos="833"/>
        </w:tabs>
        <w:ind w:left="37"/>
        <w:jc w:val="both"/>
        <w:rPr>
          <w:szCs w:val="22"/>
        </w:rPr>
      </w:pPr>
      <w:r w:rsidRPr="00CC61C2">
        <w:rPr>
          <w:szCs w:val="22"/>
        </w:rPr>
        <w:t>Amlewel, 8 mg + 2,5 mg + 10 mg, tableta</w:t>
      </w:r>
    </w:p>
    <w:p w14:paraId="41605749" w14:textId="77777777" w:rsidR="00D86BB7" w:rsidRPr="00CC61C2" w:rsidRDefault="00D86BB7" w:rsidP="00D86BB7">
      <w:pPr>
        <w:tabs>
          <w:tab w:val="left" w:pos="284"/>
        </w:tabs>
        <w:jc w:val="both"/>
        <w:rPr>
          <w:szCs w:val="22"/>
        </w:rPr>
      </w:pPr>
    </w:p>
    <w:p w14:paraId="2801503B" w14:textId="77777777" w:rsidR="00D86BB7" w:rsidRPr="00CC61C2" w:rsidRDefault="00D86BB7" w:rsidP="00D86BB7">
      <w:pPr>
        <w:tabs>
          <w:tab w:val="left" w:pos="284"/>
        </w:tabs>
        <w:jc w:val="both"/>
        <w:rPr>
          <w:szCs w:val="22"/>
        </w:rPr>
      </w:pPr>
      <w:r w:rsidRPr="00CC61C2">
        <w:rPr>
          <w:szCs w:val="22"/>
        </w:rPr>
        <w:t>INN: perindopril, indapamid, amlodipin</w:t>
      </w:r>
    </w:p>
    <w:p w14:paraId="556FB090" w14:textId="77777777" w:rsidR="00D86BB7" w:rsidRPr="00CC61C2" w:rsidRDefault="00D86BB7" w:rsidP="00D86BB7">
      <w:pPr>
        <w:tabs>
          <w:tab w:val="left" w:pos="284"/>
        </w:tabs>
        <w:jc w:val="both"/>
        <w:rPr>
          <w:b/>
          <w:szCs w:val="22"/>
        </w:rPr>
      </w:pPr>
    </w:p>
    <w:p w14:paraId="38D568F1" w14:textId="77777777" w:rsidR="00D86BB7" w:rsidRPr="00CC61C2" w:rsidRDefault="00D86BB7" w:rsidP="00D86BB7">
      <w:pPr>
        <w:tabs>
          <w:tab w:val="left" w:pos="284"/>
        </w:tabs>
        <w:jc w:val="both"/>
        <w:rPr>
          <w:b/>
          <w:szCs w:val="22"/>
        </w:rPr>
      </w:pPr>
    </w:p>
    <w:p w14:paraId="6E27BD37" w14:textId="77777777" w:rsidR="00D86BB7" w:rsidRPr="00CC61C2" w:rsidRDefault="00D86BB7" w:rsidP="00D86BB7">
      <w:pPr>
        <w:tabs>
          <w:tab w:val="left" w:pos="284"/>
        </w:tabs>
        <w:jc w:val="both"/>
        <w:rPr>
          <w:b/>
          <w:bCs/>
          <w:szCs w:val="22"/>
        </w:rPr>
      </w:pPr>
      <w:r w:rsidRPr="00CC61C2">
        <w:rPr>
          <w:b/>
          <w:szCs w:val="22"/>
        </w:rPr>
        <w:t>2. KVALITATIVNI I KVANTITATIVNI SASTAV</w:t>
      </w:r>
    </w:p>
    <w:p w14:paraId="0592D4C1" w14:textId="0C4D9DFF" w:rsidR="00D86BB7" w:rsidRPr="00CC61C2" w:rsidRDefault="00D86BB7" w:rsidP="00D86BB7">
      <w:pPr>
        <w:tabs>
          <w:tab w:val="left" w:pos="284"/>
        </w:tabs>
        <w:jc w:val="both"/>
        <w:rPr>
          <w:szCs w:val="22"/>
        </w:rPr>
      </w:pPr>
    </w:p>
    <w:p w14:paraId="18B2F6C9" w14:textId="5DD51A07" w:rsidR="001A45C5" w:rsidRPr="003D4FBA" w:rsidRDefault="001A45C5" w:rsidP="00D86BB7">
      <w:pPr>
        <w:tabs>
          <w:tab w:val="left" w:pos="284"/>
        </w:tabs>
        <w:jc w:val="both"/>
        <w:rPr>
          <w:szCs w:val="22"/>
          <w:u w:val="single"/>
        </w:rPr>
      </w:pPr>
      <w:r w:rsidRPr="003D4FBA">
        <w:rPr>
          <w:szCs w:val="22"/>
          <w:u w:val="single"/>
        </w:rPr>
        <w:t>Amlewel, 2 mg + 0,625 mg + 5 mg, tableta</w:t>
      </w:r>
    </w:p>
    <w:p w14:paraId="6CF8A7A2" w14:textId="2B35DD80" w:rsidR="00D86BB7" w:rsidRPr="00CC61C2" w:rsidRDefault="00DE6E3B" w:rsidP="00D86BB7">
      <w:pPr>
        <w:widowControl w:val="0"/>
        <w:tabs>
          <w:tab w:val="center" w:pos="4536"/>
          <w:tab w:val="right" w:pos="9072"/>
        </w:tabs>
        <w:jc w:val="both"/>
        <w:rPr>
          <w:rFonts w:eastAsia="Calibri"/>
          <w:bCs/>
          <w:szCs w:val="22"/>
        </w:rPr>
      </w:pPr>
      <w:r w:rsidRPr="00CC61C2">
        <w:rPr>
          <w:rFonts w:eastAsia="Calibri"/>
          <w:bCs/>
          <w:szCs w:val="22"/>
        </w:rPr>
        <w:t>Svaka</w:t>
      </w:r>
      <w:r w:rsidR="003F23C2" w:rsidRPr="00CC61C2">
        <w:rPr>
          <w:rFonts w:eastAsia="Calibri"/>
          <w:bCs/>
          <w:szCs w:val="22"/>
        </w:rPr>
        <w:t xml:space="preserve"> </w:t>
      </w:r>
      <w:r w:rsidR="00D86BB7" w:rsidRPr="00CC61C2">
        <w:rPr>
          <w:rFonts w:eastAsia="Calibri"/>
          <w:bCs/>
          <w:szCs w:val="22"/>
        </w:rPr>
        <w:t xml:space="preserve">tableta sadrži 2 mg perindopril </w:t>
      </w:r>
      <w:r w:rsidR="00D86BB7" w:rsidRPr="00CC61C2">
        <w:rPr>
          <w:rFonts w:eastAsia="Calibri"/>
          <w:bCs/>
          <w:i/>
          <w:szCs w:val="22"/>
        </w:rPr>
        <w:t>terc-</w:t>
      </w:r>
      <w:r w:rsidR="00D86BB7" w:rsidRPr="00CC61C2">
        <w:rPr>
          <w:rFonts w:eastAsia="Calibri"/>
          <w:bCs/>
          <w:szCs w:val="22"/>
        </w:rPr>
        <w:t xml:space="preserve">butilamina, 0,625 mg indapamida i 5 mg amlodipina </w:t>
      </w:r>
      <w:r w:rsidR="008A78E4">
        <w:rPr>
          <w:rFonts w:eastAsia="Calibri"/>
          <w:bCs/>
          <w:szCs w:val="22"/>
        </w:rPr>
        <w:t>(</w:t>
      </w:r>
      <w:r w:rsidR="00D86BB7" w:rsidRPr="00CC61C2">
        <w:rPr>
          <w:rFonts w:eastAsia="Calibri"/>
          <w:bCs/>
          <w:szCs w:val="22"/>
        </w:rPr>
        <w:t>u obliku amlodipin besilata</w:t>
      </w:r>
      <w:r w:rsidR="008A78E4">
        <w:rPr>
          <w:rFonts w:eastAsia="Calibri"/>
          <w:bCs/>
          <w:szCs w:val="22"/>
        </w:rPr>
        <w:t>)</w:t>
      </w:r>
      <w:r w:rsidR="00D86BB7" w:rsidRPr="00CC61C2">
        <w:rPr>
          <w:rFonts w:eastAsia="Calibri"/>
          <w:bCs/>
          <w:szCs w:val="22"/>
        </w:rPr>
        <w:t>.</w:t>
      </w:r>
    </w:p>
    <w:p w14:paraId="1A43E28C" w14:textId="63776413" w:rsidR="00D86BB7" w:rsidRPr="00053A8F" w:rsidRDefault="00D86BB7" w:rsidP="00D86BB7">
      <w:pPr>
        <w:widowControl w:val="0"/>
        <w:tabs>
          <w:tab w:val="center" w:pos="4536"/>
          <w:tab w:val="right" w:pos="9072"/>
        </w:tabs>
        <w:jc w:val="both"/>
        <w:rPr>
          <w:rFonts w:eastAsia="Calibri"/>
          <w:bCs/>
          <w:szCs w:val="22"/>
        </w:rPr>
      </w:pPr>
    </w:p>
    <w:p w14:paraId="764725D5" w14:textId="25DB7C9A" w:rsidR="001A45C5" w:rsidRPr="003D4FBA" w:rsidRDefault="001A45C5" w:rsidP="00D86BB7">
      <w:pPr>
        <w:widowControl w:val="0"/>
        <w:tabs>
          <w:tab w:val="center" w:pos="4536"/>
          <w:tab w:val="right" w:pos="9072"/>
        </w:tabs>
        <w:jc w:val="both"/>
        <w:rPr>
          <w:rFonts w:eastAsia="Calibri"/>
          <w:bCs/>
          <w:szCs w:val="22"/>
          <w:u w:val="single"/>
        </w:rPr>
      </w:pPr>
      <w:r w:rsidRPr="003D4FBA">
        <w:rPr>
          <w:rFonts w:eastAsia="Calibri"/>
          <w:bCs/>
          <w:szCs w:val="22"/>
          <w:u w:val="single"/>
        </w:rPr>
        <w:t>Amlewel, 4 mg + 1,25 mg + 5 mg, tableta</w:t>
      </w:r>
    </w:p>
    <w:p w14:paraId="3956CF87" w14:textId="4C7F3398" w:rsidR="00D86BB7" w:rsidRPr="00CC61C2" w:rsidRDefault="00DE6E3B" w:rsidP="00D86BB7">
      <w:pPr>
        <w:widowControl w:val="0"/>
        <w:tabs>
          <w:tab w:val="center" w:pos="4536"/>
          <w:tab w:val="right" w:pos="9072"/>
        </w:tabs>
        <w:jc w:val="both"/>
        <w:rPr>
          <w:rFonts w:eastAsia="Calibri"/>
          <w:bCs/>
          <w:szCs w:val="22"/>
        </w:rPr>
      </w:pPr>
      <w:r w:rsidRPr="00CC61C2">
        <w:rPr>
          <w:rFonts w:eastAsia="Calibri"/>
          <w:bCs/>
          <w:szCs w:val="22"/>
        </w:rPr>
        <w:t>Svaka</w:t>
      </w:r>
      <w:r w:rsidR="00D86BB7" w:rsidRPr="00CC61C2">
        <w:rPr>
          <w:rFonts w:eastAsia="Calibri"/>
          <w:bCs/>
          <w:szCs w:val="22"/>
        </w:rPr>
        <w:t xml:space="preserve"> tableta sadrži 4 mg perindopril </w:t>
      </w:r>
      <w:r w:rsidR="00D86BB7" w:rsidRPr="00CC61C2">
        <w:rPr>
          <w:rFonts w:eastAsia="Calibri"/>
          <w:bCs/>
          <w:i/>
          <w:szCs w:val="22"/>
        </w:rPr>
        <w:t>terc-</w:t>
      </w:r>
      <w:r w:rsidR="00D86BB7" w:rsidRPr="00CC61C2">
        <w:rPr>
          <w:rFonts w:eastAsia="Calibri"/>
          <w:bCs/>
          <w:szCs w:val="22"/>
        </w:rPr>
        <w:t xml:space="preserve">butilamina, 1,25 mg indapamida i 5 mg amlodipina </w:t>
      </w:r>
      <w:r w:rsidR="008A78E4">
        <w:rPr>
          <w:rFonts w:eastAsia="Calibri"/>
          <w:bCs/>
          <w:szCs w:val="22"/>
        </w:rPr>
        <w:t>(</w:t>
      </w:r>
      <w:r w:rsidR="00D86BB7" w:rsidRPr="00CC61C2">
        <w:rPr>
          <w:rFonts w:eastAsia="Calibri"/>
          <w:bCs/>
          <w:szCs w:val="22"/>
        </w:rPr>
        <w:t>u obliku amlodipin besilata</w:t>
      </w:r>
      <w:r w:rsidR="008A78E4">
        <w:rPr>
          <w:rFonts w:eastAsia="Calibri"/>
          <w:bCs/>
          <w:szCs w:val="22"/>
        </w:rPr>
        <w:t>)</w:t>
      </w:r>
      <w:r w:rsidR="00D86BB7" w:rsidRPr="00CC61C2">
        <w:rPr>
          <w:rFonts w:eastAsia="Calibri"/>
          <w:bCs/>
          <w:szCs w:val="22"/>
        </w:rPr>
        <w:t>.</w:t>
      </w:r>
    </w:p>
    <w:p w14:paraId="5264507F" w14:textId="3FC801A7" w:rsidR="00D86BB7" w:rsidRPr="00CC61C2" w:rsidRDefault="00D86BB7" w:rsidP="00D86BB7">
      <w:pPr>
        <w:widowControl w:val="0"/>
        <w:tabs>
          <w:tab w:val="center" w:pos="4536"/>
          <w:tab w:val="right" w:pos="9072"/>
        </w:tabs>
        <w:jc w:val="both"/>
        <w:rPr>
          <w:rFonts w:eastAsia="Calibri"/>
          <w:bCs/>
          <w:szCs w:val="22"/>
        </w:rPr>
      </w:pPr>
    </w:p>
    <w:p w14:paraId="76F44419" w14:textId="13B92D90" w:rsidR="001A45C5" w:rsidRPr="003D4FBA" w:rsidRDefault="001A45C5" w:rsidP="00D86BB7">
      <w:pPr>
        <w:widowControl w:val="0"/>
        <w:tabs>
          <w:tab w:val="center" w:pos="4536"/>
          <w:tab w:val="right" w:pos="9072"/>
        </w:tabs>
        <w:jc w:val="both"/>
        <w:rPr>
          <w:rFonts w:eastAsia="Calibri"/>
          <w:bCs/>
          <w:szCs w:val="22"/>
          <w:u w:val="single"/>
        </w:rPr>
      </w:pPr>
      <w:r w:rsidRPr="003D4FBA">
        <w:rPr>
          <w:rFonts w:eastAsia="Calibri"/>
          <w:bCs/>
          <w:szCs w:val="22"/>
          <w:u w:val="single"/>
        </w:rPr>
        <w:t>Amlewel, 4 mg + 1,25 mg + 10 mg, tableta</w:t>
      </w:r>
    </w:p>
    <w:p w14:paraId="6D710BE6" w14:textId="448F6E97" w:rsidR="00D86BB7" w:rsidRPr="00CC61C2" w:rsidRDefault="00DE6E3B" w:rsidP="00D86BB7">
      <w:pPr>
        <w:widowControl w:val="0"/>
        <w:tabs>
          <w:tab w:val="center" w:pos="4536"/>
          <w:tab w:val="right" w:pos="9072"/>
        </w:tabs>
        <w:jc w:val="both"/>
        <w:rPr>
          <w:rFonts w:eastAsia="Calibri"/>
          <w:bCs/>
          <w:szCs w:val="22"/>
        </w:rPr>
      </w:pPr>
      <w:r w:rsidRPr="00CC61C2">
        <w:rPr>
          <w:rFonts w:eastAsia="Calibri"/>
          <w:bCs/>
          <w:szCs w:val="22"/>
        </w:rPr>
        <w:t>Svaka</w:t>
      </w:r>
      <w:r w:rsidRPr="00CC61C2" w:rsidDel="003F23C2">
        <w:rPr>
          <w:rFonts w:eastAsia="Calibri"/>
          <w:bCs/>
          <w:szCs w:val="22"/>
        </w:rPr>
        <w:t xml:space="preserve"> </w:t>
      </w:r>
      <w:r w:rsidR="00D86BB7" w:rsidRPr="00CC61C2">
        <w:rPr>
          <w:rFonts w:eastAsia="Calibri"/>
          <w:bCs/>
          <w:szCs w:val="22"/>
        </w:rPr>
        <w:t xml:space="preserve">tableta sadrži 4 mg perindopril </w:t>
      </w:r>
      <w:r w:rsidR="00D86BB7" w:rsidRPr="00CC61C2">
        <w:rPr>
          <w:rFonts w:eastAsia="Calibri"/>
          <w:bCs/>
          <w:i/>
          <w:szCs w:val="22"/>
        </w:rPr>
        <w:t>terc-</w:t>
      </w:r>
      <w:r w:rsidR="00D86BB7" w:rsidRPr="00CC61C2">
        <w:rPr>
          <w:rFonts w:eastAsia="Calibri"/>
          <w:bCs/>
          <w:szCs w:val="22"/>
        </w:rPr>
        <w:t xml:space="preserve">butilamina, 1,25 mg indapamida i 10 mg amlodipina </w:t>
      </w:r>
      <w:r w:rsidR="008A78E4">
        <w:rPr>
          <w:rFonts w:eastAsia="Calibri"/>
          <w:bCs/>
          <w:szCs w:val="22"/>
        </w:rPr>
        <w:t>(</w:t>
      </w:r>
      <w:r w:rsidR="00D86BB7" w:rsidRPr="00CC61C2">
        <w:rPr>
          <w:rFonts w:eastAsia="Calibri"/>
          <w:bCs/>
          <w:szCs w:val="22"/>
        </w:rPr>
        <w:t>u obliku amlodipin besilata</w:t>
      </w:r>
      <w:r w:rsidR="008A78E4">
        <w:rPr>
          <w:rFonts w:eastAsia="Calibri"/>
          <w:bCs/>
          <w:szCs w:val="22"/>
        </w:rPr>
        <w:t>)</w:t>
      </w:r>
      <w:r w:rsidR="00D86BB7" w:rsidRPr="00CC61C2">
        <w:rPr>
          <w:rFonts w:eastAsia="Calibri"/>
          <w:bCs/>
          <w:szCs w:val="22"/>
        </w:rPr>
        <w:t>.</w:t>
      </w:r>
    </w:p>
    <w:p w14:paraId="24E268BF" w14:textId="22603ACF" w:rsidR="00D86BB7" w:rsidRPr="00CC61C2" w:rsidRDefault="00D86BB7" w:rsidP="00D86BB7">
      <w:pPr>
        <w:widowControl w:val="0"/>
        <w:tabs>
          <w:tab w:val="center" w:pos="4536"/>
          <w:tab w:val="right" w:pos="9072"/>
        </w:tabs>
        <w:jc w:val="both"/>
        <w:rPr>
          <w:rFonts w:eastAsia="Calibri"/>
          <w:bCs/>
          <w:szCs w:val="22"/>
        </w:rPr>
      </w:pPr>
    </w:p>
    <w:p w14:paraId="60BCCECB" w14:textId="22A63B22" w:rsidR="001A45C5" w:rsidRPr="003D4FBA" w:rsidRDefault="001A45C5" w:rsidP="00D86BB7">
      <w:pPr>
        <w:widowControl w:val="0"/>
        <w:tabs>
          <w:tab w:val="center" w:pos="4536"/>
          <w:tab w:val="right" w:pos="9072"/>
        </w:tabs>
        <w:jc w:val="both"/>
        <w:rPr>
          <w:rFonts w:eastAsia="Calibri"/>
          <w:bCs/>
          <w:szCs w:val="22"/>
          <w:u w:val="single"/>
        </w:rPr>
      </w:pPr>
      <w:r w:rsidRPr="003D4FBA">
        <w:rPr>
          <w:rFonts w:eastAsia="Calibri"/>
          <w:bCs/>
          <w:szCs w:val="22"/>
          <w:u w:val="single"/>
        </w:rPr>
        <w:t>Amlewel, 8 mg + 2,5 mg + 5 mg, tableta</w:t>
      </w:r>
    </w:p>
    <w:p w14:paraId="1CD93A56" w14:textId="4D9269CD" w:rsidR="00D86BB7" w:rsidRPr="00CC61C2" w:rsidRDefault="00DE6E3B" w:rsidP="00D86BB7">
      <w:pPr>
        <w:widowControl w:val="0"/>
        <w:tabs>
          <w:tab w:val="center" w:pos="4536"/>
          <w:tab w:val="right" w:pos="9072"/>
        </w:tabs>
        <w:jc w:val="both"/>
        <w:rPr>
          <w:rFonts w:eastAsia="Calibri"/>
          <w:bCs/>
          <w:szCs w:val="22"/>
        </w:rPr>
      </w:pPr>
      <w:r w:rsidRPr="00CC61C2">
        <w:rPr>
          <w:rFonts w:eastAsia="Calibri"/>
          <w:bCs/>
          <w:szCs w:val="22"/>
        </w:rPr>
        <w:t xml:space="preserve">Svaka </w:t>
      </w:r>
      <w:r w:rsidR="00D86BB7" w:rsidRPr="00CC61C2">
        <w:rPr>
          <w:rFonts w:eastAsia="Calibri"/>
          <w:bCs/>
          <w:szCs w:val="22"/>
        </w:rPr>
        <w:t xml:space="preserve">tableta sadrži 8 mg perindopril </w:t>
      </w:r>
      <w:r w:rsidR="00D86BB7" w:rsidRPr="00CC61C2">
        <w:rPr>
          <w:rFonts w:eastAsia="Calibri"/>
          <w:bCs/>
          <w:i/>
          <w:szCs w:val="22"/>
        </w:rPr>
        <w:t>terc-</w:t>
      </w:r>
      <w:r w:rsidR="00D86BB7" w:rsidRPr="00CC61C2">
        <w:rPr>
          <w:rFonts w:eastAsia="Calibri"/>
          <w:bCs/>
          <w:szCs w:val="22"/>
        </w:rPr>
        <w:t xml:space="preserve">butilamina, 2,5 mg indapamida i 5 mg amlodipina </w:t>
      </w:r>
      <w:r w:rsidR="008A78E4">
        <w:rPr>
          <w:rFonts w:eastAsia="Calibri"/>
          <w:bCs/>
          <w:szCs w:val="22"/>
        </w:rPr>
        <w:t>(</w:t>
      </w:r>
      <w:r w:rsidR="00D86BB7" w:rsidRPr="00CC61C2">
        <w:rPr>
          <w:rFonts w:eastAsia="Calibri"/>
          <w:bCs/>
          <w:szCs w:val="22"/>
        </w:rPr>
        <w:t>u obliku amlodipin besilata</w:t>
      </w:r>
      <w:r w:rsidR="008A78E4">
        <w:rPr>
          <w:rFonts w:eastAsia="Calibri"/>
          <w:bCs/>
          <w:szCs w:val="22"/>
        </w:rPr>
        <w:t>)</w:t>
      </w:r>
      <w:r w:rsidR="00D86BB7" w:rsidRPr="00CC61C2">
        <w:rPr>
          <w:rFonts w:eastAsia="Calibri"/>
          <w:bCs/>
          <w:szCs w:val="22"/>
        </w:rPr>
        <w:t>.</w:t>
      </w:r>
    </w:p>
    <w:p w14:paraId="549FABA4" w14:textId="7B1D9E30" w:rsidR="00D86BB7" w:rsidRPr="00CC61C2" w:rsidRDefault="00D86BB7" w:rsidP="00D86BB7">
      <w:pPr>
        <w:widowControl w:val="0"/>
        <w:tabs>
          <w:tab w:val="center" w:pos="4536"/>
          <w:tab w:val="right" w:pos="9072"/>
        </w:tabs>
        <w:jc w:val="both"/>
        <w:rPr>
          <w:rFonts w:eastAsia="Calibri"/>
          <w:bCs/>
          <w:szCs w:val="22"/>
        </w:rPr>
      </w:pPr>
    </w:p>
    <w:p w14:paraId="3A4A8BA7" w14:textId="3B8755A5" w:rsidR="001A45C5" w:rsidRPr="003D4FBA" w:rsidRDefault="001A45C5" w:rsidP="00D86BB7">
      <w:pPr>
        <w:widowControl w:val="0"/>
        <w:tabs>
          <w:tab w:val="center" w:pos="4536"/>
          <w:tab w:val="right" w:pos="9072"/>
        </w:tabs>
        <w:jc w:val="both"/>
        <w:rPr>
          <w:rFonts w:eastAsia="Calibri"/>
          <w:bCs/>
          <w:szCs w:val="22"/>
          <w:u w:val="single"/>
        </w:rPr>
      </w:pPr>
      <w:r w:rsidRPr="003D4FBA">
        <w:rPr>
          <w:rFonts w:eastAsia="Calibri"/>
          <w:bCs/>
          <w:szCs w:val="22"/>
          <w:u w:val="single"/>
        </w:rPr>
        <w:t>Amlewel, 8 mg + 2,5 mg + 10 mg, tableta</w:t>
      </w:r>
    </w:p>
    <w:p w14:paraId="0C88877A" w14:textId="04F1BA3D" w:rsidR="00D86BB7" w:rsidRPr="00CC61C2" w:rsidRDefault="00DE6E3B" w:rsidP="00D86BB7">
      <w:pPr>
        <w:widowControl w:val="0"/>
        <w:tabs>
          <w:tab w:val="center" w:pos="4536"/>
          <w:tab w:val="right" w:pos="9072"/>
        </w:tabs>
        <w:jc w:val="both"/>
        <w:rPr>
          <w:rFonts w:eastAsia="Calibri"/>
          <w:bCs/>
          <w:szCs w:val="22"/>
        </w:rPr>
      </w:pPr>
      <w:r w:rsidRPr="00CC61C2">
        <w:rPr>
          <w:rFonts w:eastAsia="Calibri"/>
          <w:bCs/>
          <w:szCs w:val="22"/>
        </w:rPr>
        <w:t>Svaka</w:t>
      </w:r>
      <w:r w:rsidR="003F23C2" w:rsidRPr="00CC61C2" w:rsidDel="003F23C2">
        <w:rPr>
          <w:rFonts w:eastAsia="Calibri"/>
          <w:bCs/>
          <w:szCs w:val="22"/>
        </w:rPr>
        <w:t xml:space="preserve"> </w:t>
      </w:r>
      <w:r w:rsidR="00D86BB7" w:rsidRPr="00CC61C2">
        <w:rPr>
          <w:rFonts w:eastAsia="Calibri"/>
          <w:bCs/>
          <w:szCs w:val="22"/>
        </w:rPr>
        <w:t xml:space="preserve">tableta sadrži 8 mg perindopril </w:t>
      </w:r>
      <w:r w:rsidR="00D86BB7" w:rsidRPr="00CC61C2">
        <w:rPr>
          <w:rFonts w:eastAsia="Calibri"/>
          <w:bCs/>
          <w:i/>
          <w:szCs w:val="22"/>
        </w:rPr>
        <w:t>terc-</w:t>
      </w:r>
      <w:r w:rsidR="00D86BB7" w:rsidRPr="00CC61C2">
        <w:rPr>
          <w:rFonts w:eastAsia="Calibri"/>
          <w:bCs/>
          <w:szCs w:val="22"/>
        </w:rPr>
        <w:t xml:space="preserve">butilamina, 2,5 mg indapamida i 10 mg amlodipina </w:t>
      </w:r>
      <w:r w:rsidR="008A78E4">
        <w:rPr>
          <w:rFonts w:eastAsia="Calibri"/>
          <w:bCs/>
          <w:szCs w:val="22"/>
        </w:rPr>
        <w:t>(</w:t>
      </w:r>
      <w:r w:rsidR="00D86BB7" w:rsidRPr="00CC61C2">
        <w:rPr>
          <w:rFonts w:eastAsia="Calibri"/>
          <w:bCs/>
          <w:szCs w:val="22"/>
        </w:rPr>
        <w:t>u obliku amlodipin besilata</w:t>
      </w:r>
      <w:r w:rsidR="008A78E4">
        <w:rPr>
          <w:rFonts w:eastAsia="Calibri"/>
          <w:bCs/>
          <w:szCs w:val="22"/>
        </w:rPr>
        <w:t>)</w:t>
      </w:r>
      <w:r w:rsidR="00D86BB7" w:rsidRPr="00CC61C2">
        <w:rPr>
          <w:rFonts w:eastAsia="Calibri"/>
          <w:bCs/>
          <w:szCs w:val="22"/>
        </w:rPr>
        <w:t>.</w:t>
      </w:r>
    </w:p>
    <w:p w14:paraId="6CC1FF13" w14:textId="77777777" w:rsidR="00D86BB7" w:rsidRPr="00CC61C2" w:rsidRDefault="00D86BB7" w:rsidP="00D86BB7">
      <w:pPr>
        <w:tabs>
          <w:tab w:val="left" w:pos="284"/>
        </w:tabs>
        <w:jc w:val="both"/>
        <w:rPr>
          <w:rFonts w:eastAsia="Calibri"/>
          <w:bCs/>
          <w:szCs w:val="22"/>
        </w:rPr>
      </w:pPr>
    </w:p>
    <w:p w14:paraId="69637F19" w14:textId="77777777" w:rsidR="00D86BB7" w:rsidRPr="00CC61C2" w:rsidRDefault="00D86BB7" w:rsidP="00D86BB7">
      <w:pPr>
        <w:widowControl w:val="0"/>
        <w:jc w:val="both"/>
        <w:rPr>
          <w:szCs w:val="22"/>
          <w:lang w:eastAsia="hr-HR"/>
        </w:rPr>
      </w:pPr>
      <w:r w:rsidRPr="00CC61C2">
        <w:rPr>
          <w:szCs w:val="22"/>
          <w:lang w:eastAsia="hr-HR"/>
        </w:rPr>
        <w:t>Za spisak svih ekscipijenasa, pogledati dio 6.1.</w:t>
      </w:r>
    </w:p>
    <w:p w14:paraId="290FE462" w14:textId="77777777" w:rsidR="00D86BB7" w:rsidRPr="00CC61C2" w:rsidRDefault="00D86BB7" w:rsidP="00D86BB7">
      <w:pPr>
        <w:tabs>
          <w:tab w:val="left" w:pos="284"/>
        </w:tabs>
        <w:jc w:val="both"/>
        <w:rPr>
          <w:szCs w:val="22"/>
        </w:rPr>
      </w:pPr>
    </w:p>
    <w:p w14:paraId="61B95892" w14:textId="77777777" w:rsidR="00D86BB7" w:rsidRPr="00CC61C2" w:rsidRDefault="00D86BB7" w:rsidP="00D86BB7">
      <w:pPr>
        <w:tabs>
          <w:tab w:val="left" w:pos="284"/>
        </w:tabs>
        <w:jc w:val="both"/>
        <w:rPr>
          <w:szCs w:val="22"/>
        </w:rPr>
      </w:pPr>
    </w:p>
    <w:p w14:paraId="1E87B222" w14:textId="77777777" w:rsidR="00D86BB7" w:rsidRPr="00CC61C2" w:rsidRDefault="00D86BB7" w:rsidP="00D86BB7">
      <w:pPr>
        <w:tabs>
          <w:tab w:val="left" w:pos="284"/>
        </w:tabs>
        <w:jc w:val="both"/>
        <w:rPr>
          <w:b/>
          <w:bCs/>
          <w:szCs w:val="22"/>
        </w:rPr>
      </w:pPr>
      <w:r w:rsidRPr="00CC61C2">
        <w:rPr>
          <w:b/>
          <w:szCs w:val="22"/>
        </w:rPr>
        <w:t>3. FARMACEUTSKI OBLIK</w:t>
      </w:r>
    </w:p>
    <w:p w14:paraId="56C974B4" w14:textId="77777777" w:rsidR="00D86BB7" w:rsidRPr="00CC61C2" w:rsidRDefault="00D86BB7" w:rsidP="00D86BB7">
      <w:pPr>
        <w:tabs>
          <w:tab w:val="left" w:pos="284"/>
        </w:tabs>
        <w:jc w:val="both"/>
        <w:rPr>
          <w:szCs w:val="22"/>
        </w:rPr>
      </w:pPr>
    </w:p>
    <w:p w14:paraId="098EF9A2" w14:textId="77777777" w:rsidR="00D86BB7" w:rsidRPr="00CC61C2" w:rsidRDefault="00D86BB7" w:rsidP="00D86BB7">
      <w:pPr>
        <w:tabs>
          <w:tab w:val="left" w:pos="284"/>
        </w:tabs>
        <w:jc w:val="both"/>
        <w:rPr>
          <w:i/>
          <w:szCs w:val="22"/>
        </w:rPr>
      </w:pPr>
      <w:r w:rsidRPr="00CC61C2">
        <w:rPr>
          <w:szCs w:val="22"/>
        </w:rPr>
        <w:t>Tableta.</w:t>
      </w:r>
    </w:p>
    <w:p w14:paraId="4D0B5FF7" w14:textId="77777777" w:rsidR="00D86BB7" w:rsidRPr="00CC61C2" w:rsidRDefault="00D86BB7" w:rsidP="00D86BB7">
      <w:pPr>
        <w:widowControl w:val="0"/>
        <w:tabs>
          <w:tab w:val="left" w:pos="833"/>
        </w:tabs>
        <w:jc w:val="both"/>
        <w:rPr>
          <w:szCs w:val="22"/>
          <w:u w:val="single"/>
        </w:rPr>
      </w:pPr>
    </w:p>
    <w:p w14:paraId="486D75B3" w14:textId="624F442B" w:rsidR="00D86BB7" w:rsidRPr="00CC61C2" w:rsidRDefault="00D86BB7" w:rsidP="00D86BB7">
      <w:pPr>
        <w:widowControl w:val="0"/>
        <w:tabs>
          <w:tab w:val="left" w:pos="833"/>
        </w:tabs>
        <w:jc w:val="both"/>
        <w:rPr>
          <w:szCs w:val="22"/>
          <w:u w:val="single"/>
        </w:rPr>
      </w:pPr>
      <w:r w:rsidRPr="00CC61C2">
        <w:rPr>
          <w:szCs w:val="22"/>
          <w:u w:val="single"/>
        </w:rPr>
        <w:t>Amlewel 2 mg + 0,625 mg + 5 mg</w:t>
      </w:r>
      <w:r w:rsidR="00204707">
        <w:rPr>
          <w:szCs w:val="22"/>
          <w:u w:val="single"/>
        </w:rPr>
        <w:t>, tableta</w:t>
      </w:r>
    </w:p>
    <w:p w14:paraId="2A492E3E" w14:textId="1DAC8813" w:rsidR="00D86BB7" w:rsidRPr="00CC61C2" w:rsidRDefault="00D86BB7" w:rsidP="00D86BB7">
      <w:pPr>
        <w:widowControl w:val="0"/>
        <w:jc w:val="both"/>
        <w:rPr>
          <w:noProof/>
          <w:szCs w:val="22"/>
        </w:rPr>
      </w:pPr>
      <w:r w:rsidRPr="00CC61C2">
        <w:rPr>
          <w:szCs w:val="22"/>
        </w:rPr>
        <w:t xml:space="preserve">Bijele do skoro bijele, ovalne, bikonveksne tablete sa podionom crtom sa jedne strane, dužine 9 mm. </w:t>
      </w:r>
      <w:r w:rsidRPr="00CC61C2">
        <w:rPr>
          <w:noProof/>
          <w:szCs w:val="22"/>
        </w:rPr>
        <w:t xml:space="preserve">Podiona crta služi samo </w:t>
      </w:r>
      <w:r w:rsidR="003B2D3A">
        <w:rPr>
          <w:noProof/>
          <w:szCs w:val="22"/>
        </w:rPr>
        <w:t>d</w:t>
      </w:r>
      <w:r w:rsidRPr="00CC61C2">
        <w:rPr>
          <w:noProof/>
          <w:szCs w:val="22"/>
        </w:rPr>
        <w:t>a olakša lomljenj</w:t>
      </w:r>
      <w:r w:rsidR="003B2D3A">
        <w:rPr>
          <w:noProof/>
          <w:szCs w:val="22"/>
        </w:rPr>
        <w:t>e</w:t>
      </w:r>
      <w:r w:rsidRPr="00CC61C2">
        <w:rPr>
          <w:noProof/>
          <w:szCs w:val="22"/>
        </w:rPr>
        <w:t xml:space="preserve"> tablete zbog lakšeg gutanja, a ne za podjelu na jednake doze.</w:t>
      </w:r>
    </w:p>
    <w:p w14:paraId="547FCEAC" w14:textId="77777777" w:rsidR="00D86BB7" w:rsidRPr="00CC61C2" w:rsidRDefault="00D86BB7" w:rsidP="00D86BB7">
      <w:pPr>
        <w:widowControl w:val="0"/>
        <w:tabs>
          <w:tab w:val="left" w:pos="833"/>
        </w:tabs>
        <w:jc w:val="both"/>
        <w:rPr>
          <w:szCs w:val="22"/>
        </w:rPr>
      </w:pPr>
    </w:p>
    <w:p w14:paraId="462887A2" w14:textId="189656B5" w:rsidR="00D86BB7" w:rsidRPr="00CC61C2" w:rsidRDefault="00D86BB7" w:rsidP="00D86BB7">
      <w:pPr>
        <w:widowControl w:val="0"/>
        <w:tabs>
          <w:tab w:val="left" w:pos="833"/>
        </w:tabs>
        <w:jc w:val="both"/>
        <w:rPr>
          <w:szCs w:val="22"/>
          <w:u w:val="single"/>
        </w:rPr>
      </w:pPr>
      <w:r w:rsidRPr="00CC61C2">
        <w:rPr>
          <w:szCs w:val="22"/>
          <w:u w:val="single"/>
        </w:rPr>
        <w:t>Amlewel 4 mg + 1,25 mg + 5 mg</w:t>
      </w:r>
      <w:r w:rsidR="00204707">
        <w:rPr>
          <w:szCs w:val="22"/>
          <w:u w:val="single"/>
        </w:rPr>
        <w:t>, tableta</w:t>
      </w:r>
    </w:p>
    <w:p w14:paraId="1BE821F4" w14:textId="77777777" w:rsidR="00D86BB7" w:rsidRPr="00CC61C2" w:rsidRDefault="00D86BB7" w:rsidP="00D86BB7">
      <w:pPr>
        <w:widowControl w:val="0"/>
        <w:tabs>
          <w:tab w:val="left" w:pos="833"/>
        </w:tabs>
        <w:jc w:val="both"/>
        <w:rPr>
          <w:szCs w:val="22"/>
        </w:rPr>
      </w:pPr>
      <w:r w:rsidRPr="00CC61C2">
        <w:rPr>
          <w:szCs w:val="22"/>
        </w:rPr>
        <w:t>Bijele do skoro bijele, okrugle, blago bikonveksne tablete sa zakošenim ivicama, prečnika 7 mm.</w:t>
      </w:r>
    </w:p>
    <w:p w14:paraId="336B47C9" w14:textId="77777777" w:rsidR="00D86BB7" w:rsidRPr="00CC61C2" w:rsidRDefault="00D86BB7" w:rsidP="00D86BB7">
      <w:pPr>
        <w:widowControl w:val="0"/>
        <w:tabs>
          <w:tab w:val="left" w:pos="833"/>
        </w:tabs>
        <w:jc w:val="both"/>
        <w:rPr>
          <w:szCs w:val="22"/>
        </w:rPr>
      </w:pPr>
    </w:p>
    <w:p w14:paraId="35ADC210" w14:textId="0524B7CB" w:rsidR="00D86BB7" w:rsidRPr="00CC61C2" w:rsidRDefault="00D86BB7" w:rsidP="00D86BB7">
      <w:pPr>
        <w:widowControl w:val="0"/>
        <w:tabs>
          <w:tab w:val="left" w:pos="833"/>
        </w:tabs>
        <w:jc w:val="both"/>
        <w:rPr>
          <w:szCs w:val="22"/>
          <w:u w:val="single"/>
        </w:rPr>
      </w:pPr>
      <w:r w:rsidRPr="00CC61C2">
        <w:rPr>
          <w:szCs w:val="22"/>
          <w:u w:val="single"/>
        </w:rPr>
        <w:t>Amlewel 4 mg + 1,25 mg + 10 mg</w:t>
      </w:r>
      <w:r w:rsidR="00204707">
        <w:rPr>
          <w:szCs w:val="22"/>
          <w:u w:val="single"/>
        </w:rPr>
        <w:t xml:space="preserve">, tableta </w:t>
      </w:r>
    </w:p>
    <w:p w14:paraId="65FAA3B2" w14:textId="63B59B6B" w:rsidR="00D86BB7" w:rsidRPr="00CC61C2" w:rsidRDefault="00D86BB7" w:rsidP="00D86BB7">
      <w:pPr>
        <w:widowControl w:val="0"/>
        <w:tabs>
          <w:tab w:val="left" w:pos="833"/>
        </w:tabs>
        <w:jc w:val="both"/>
        <w:rPr>
          <w:szCs w:val="22"/>
        </w:rPr>
      </w:pPr>
      <w:r w:rsidRPr="00CC61C2">
        <w:rPr>
          <w:szCs w:val="22"/>
        </w:rPr>
        <w:t xml:space="preserve">Bijele do skoro bijele, ovalne, bikonveksne tablete sa podionom crtom sa jedne strane, dužine 12 mm. </w:t>
      </w:r>
      <w:r w:rsidRPr="00CC61C2">
        <w:rPr>
          <w:noProof/>
          <w:szCs w:val="22"/>
        </w:rPr>
        <w:t xml:space="preserve">Podiona crta služi samo </w:t>
      </w:r>
      <w:r w:rsidR="003B2D3A">
        <w:rPr>
          <w:noProof/>
          <w:szCs w:val="22"/>
        </w:rPr>
        <w:t>d</w:t>
      </w:r>
      <w:r w:rsidRPr="00CC61C2">
        <w:rPr>
          <w:noProof/>
          <w:szCs w:val="22"/>
        </w:rPr>
        <w:t>a olakša lomljenja tablete zbog lakšeg gutanja, a ne za podjelu na jednake doze.</w:t>
      </w:r>
    </w:p>
    <w:p w14:paraId="12C26A09" w14:textId="64D73732" w:rsidR="00D86BB7" w:rsidRPr="00CC61C2" w:rsidRDefault="00D86BB7" w:rsidP="00D86BB7">
      <w:pPr>
        <w:widowControl w:val="0"/>
        <w:tabs>
          <w:tab w:val="left" w:pos="833"/>
        </w:tabs>
        <w:jc w:val="both"/>
        <w:rPr>
          <w:szCs w:val="22"/>
          <w:u w:val="single"/>
        </w:rPr>
      </w:pPr>
      <w:r w:rsidRPr="00CC61C2">
        <w:rPr>
          <w:szCs w:val="22"/>
          <w:u w:val="single"/>
        </w:rPr>
        <w:lastRenderedPageBreak/>
        <w:t>Amlewel 8 mg + 2,5 mg + 5 mg</w:t>
      </w:r>
      <w:r w:rsidR="00204707">
        <w:rPr>
          <w:szCs w:val="22"/>
          <w:u w:val="single"/>
        </w:rPr>
        <w:t>, tableta</w:t>
      </w:r>
    </w:p>
    <w:p w14:paraId="476A8873" w14:textId="77777777" w:rsidR="00D86BB7" w:rsidRPr="00CC61C2" w:rsidRDefault="00D86BB7" w:rsidP="00D86BB7">
      <w:pPr>
        <w:widowControl w:val="0"/>
        <w:tabs>
          <w:tab w:val="left" w:pos="833"/>
        </w:tabs>
        <w:jc w:val="both"/>
        <w:rPr>
          <w:szCs w:val="22"/>
        </w:rPr>
      </w:pPr>
      <w:r w:rsidRPr="00CC61C2">
        <w:rPr>
          <w:szCs w:val="22"/>
        </w:rPr>
        <w:t>Bijele do skoro bijele, okrugle, bikonveksne tablete sa zakošenim ivicama, prečnika 9 mm.</w:t>
      </w:r>
    </w:p>
    <w:p w14:paraId="5D0191EC" w14:textId="77777777" w:rsidR="00D86BB7" w:rsidRPr="00CC61C2" w:rsidRDefault="00D86BB7" w:rsidP="00D86BB7">
      <w:pPr>
        <w:widowControl w:val="0"/>
        <w:tabs>
          <w:tab w:val="left" w:pos="833"/>
        </w:tabs>
        <w:ind w:left="37"/>
        <w:jc w:val="both"/>
        <w:rPr>
          <w:szCs w:val="22"/>
        </w:rPr>
      </w:pPr>
    </w:p>
    <w:p w14:paraId="2047E506" w14:textId="38367620" w:rsidR="00D86BB7" w:rsidRPr="00CC61C2" w:rsidRDefault="00D86BB7" w:rsidP="00D86BB7">
      <w:pPr>
        <w:widowControl w:val="0"/>
        <w:tabs>
          <w:tab w:val="left" w:pos="833"/>
        </w:tabs>
        <w:jc w:val="both"/>
        <w:rPr>
          <w:szCs w:val="22"/>
          <w:u w:val="single"/>
        </w:rPr>
      </w:pPr>
      <w:r w:rsidRPr="00CC61C2">
        <w:rPr>
          <w:szCs w:val="22"/>
          <w:u w:val="single"/>
        </w:rPr>
        <w:t>Amlewel 8 mg + 2,5 mg + 10 mg</w:t>
      </w:r>
      <w:r w:rsidR="00204707">
        <w:rPr>
          <w:szCs w:val="22"/>
          <w:u w:val="single"/>
        </w:rPr>
        <w:t>, tableta</w:t>
      </w:r>
    </w:p>
    <w:p w14:paraId="0129EC4D" w14:textId="0BF7F9BF" w:rsidR="00D86BB7" w:rsidRPr="00CC61C2" w:rsidRDefault="00D86BB7" w:rsidP="00D86BB7">
      <w:pPr>
        <w:widowControl w:val="0"/>
        <w:tabs>
          <w:tab w:val="left" w:pos="833"/>
        </w:tabs>
        <w:jc w:val="both"/>
        <w:rPr>
          <w:noProof/>
          <w:szCs w:val="22"/>
        </w:rPr>
      </w:pPr>
      <w:r w:rsidRPr="00CC61C2">
        <w:rPr>
          <w:szCs w:val="22"/>
        </w:rPr>
        <w:t xml:space="preserve">Bijele do skoro bijele, okrugle, bikonveksne tablete, sa podionom crtom sa jedne strane i zakošenim ivicama, prečnika 9 mm. </w:t>
      </w:r>
      <w:r w:rsidRPr="00CC61C2">
        <w:rPr>
          <w:noProof/>
          <w:szCs w:val="22"/>
        </w:rPr>
        <w:t xml:space="preserve">Podiona crta služi samo </w:t>
      </w:r>
      <w:r w:rsidR="003B2D3A">
        <w:rPr>
          <w:noProof/>
          <w:szCs w:val="22"/>
        </w:rPr>
        <w:t>d</w:t>
      </w:r>
      <w:r w:rsidRPr="00CC61C2">
        <w:rPr>
          <w:noProof/>
          <w:szCs w:val="22"/>
        </w:rPr>
        <w:t>a olakša lomljenj</w:t>
      </w:r>
      <w:r w:rsidR="003B2D3A">
        <w:rPr>
          <w:noProof/>
          <w:szCs w:val="22"/>
        </w:rPr>
        <w:t>e</w:t>
      </w:r>
      <w:r w:rsidRPr="00CC61C2">
        <w:rPr>
          <w:noProof/>
          <w:szCs w:val="22"/>
        </w:rPr>
        <w:t xml:space="preserve"> tablete zbog lakšeg gutanja, a ne za podjelu na jednake doze.</w:t>
      </w:r>
    </w:p>
    <w:p w14:paraId="405B06A3" w14:textId="77777777" w:rsidR="00D86BB7" w:rsidRPr="00CC61C2" w:rsidRDefault="00D86BB7" w:rsidP="00D86BB7">
      <w:pPr>
        <w:widowControl w:val="0"/>
        <w:tabs>
          <w:tab w:val="left" w:pos="833"/>
        </w:tabs>
        <w:jc w:val="both"/>
        <w:rPr>
          <w:szCs w:val="22"/>
        </w:rPr>
      </w:pPr>
    </w:p>
    <w:p w14:paraId="7F1A6BAF" w14:textId="77777777" w:rsidR="00D86BB7" w:rsidRPr="00CC61C2" w:rsidRDefault="00D86BB7" w:rsidP="00D86BB7">
      <w:pPr>
        <w:widowControl w:val="0"/>
        <w:tabs>
          <w:tab w:val="left" w:pos="833"/>
        </w:tabs>
        <w:jc w:val="both"/>
        <w:rPr>
          <w:szCs w:val="22"/>
        </w:rPr>
      </w:pPr>
    </w:p>
    <w:p w14:paraId="33A22763" w14:textId="77777777" w:rsidR="00D86BB7" w:rsidRPr="00CC61C2" w:rsidRDefault="00D86BB7" w:rsidP="000D120B">
      <w:pPr>
        <w:tabs>
          <w:tab w:val="left" w:pos="284"/>
        </w:tabs>
        <w:jc w:val="both"/>
        <w:rPr>
          <w:b/>
          <w:bCs/>
          <w:szCs w:val="22"/>
        </w:rPr>
      </w:pPr>
      <w:r w:rsidRPr="00CC61C2">
        <w:rPr>
          <w:b/>
          <w:szCs w:val="22"/>
        </w:rPr>
        <w:t>4. KLINIČKI PODACI</w:t>
      </w:r>
    </w:p>
    <w:p w14:paraId="6ECDE2E5" w14:textId="77777777" w:rsidR="00D86BB7" w:rsidRPr="00CC61C2" w:rsidRDefault="00D86BB7" w:rsidP="000D120B">
      <w:pPr>
        <w:tabs>
          <w:tab w:val="left" w:pos="284"/>
        </w:tabs>
        <w:jc w:val="both"/>
        <w:rPr>
          <w:b/>
          <w:szCs w:val="22"/>
        </w:rPr>
      </w:pPr>
    </w:p>
    <w:p w14:paraId="6B86548A" w14:textId="77777777" w:rsidR="00D86BB7" w:rsidRPr="00CC61C2" w:rsidRDefault="00D86BB7" w:rsidP="000D120B">
      <w:pPr>
        <w:tabs>
          <w:tab w:val="left" w:pos="284"/>
        </w:tabs>
        <w:jc w:val="both"/>
        <w:rPr>
          <w:b/>
          <w:bCs/>
          <w:szCs w:val="22"/>
        </w:rPr>
      </w:pPr>
      <w:r w:rsidRPr="00CC61C2">
        <w:rPr>
          <w:b/>
          <w:szCs w:val="22"/>
        </w:rPr>
        <w:t>4.1. Terapijske indikacije</w:t>
      </w:r>
    </w:p>
    <w:p w14:paraId="1B661AF6" w14:textId="77777777" w:rsidR="00D86BB7" w:rsidRPr="00CC61C2" w:rsidRDefault="00D86BB7" w:rsidP="000D120B">
      <w:pPr>
        <w:tabs>
          <w:tab w:val="clear" w:pos="567"/>
          <w:tab w:val="left" w:pos="540"/>
          <w:tab w:val="left" w:pos="569"/>
        </w:tabs>
        <w:jc w:val="both"/>
        <w:rPr>
          <w:szCs w:val="22"/>
        </w:rPr>
      </w:pPr>
    </w:p>
    <w:p w14:paraId="37250757" w14:textId="5B4ADC10" w:rsidR="00D86BB7" w:rsidRPr="00CC61C2" w:rsidRDefault="00D86BB7" w:rsidP="000D120B">
      <w:pPr>
        <w:tabs>
          <w:tab w:val="clear" w:pos="567"/>
          <w:tab w:val="left" w:pos="540"/>
          <w:tab w:val="left" w:pos="569"/>
        </w:tabs>
        <w:jc w:val="both"/>
        <w:rPr>
          <w:bCs/>
          <w:szCs w:val="22"/>
        </w:rPr>
      </w:pPr>
      <w:r w:rsidRPr="00CC61C2">
        <w:rPr>
          <w:szCs w:val="22"/>
        </w:rPr>
        <w:t>Lijek Amlewel je indikovan za liječenje esencijalne hipertenzije kao supstituciona terapija kod pacijenata čiji je krvni pritisak već kontrolisan kombinacijom perindopril/indapamida i amlodipina, datim istovremeno i u istim dozama</w:t>
      </w:r>
      <w:r w:rsidR="000D120B" w:rsidRPr="00CC61C2">
        <w:rPr>
          <w:szCs w:val="22"/>
        </w:rPr>
        <w:t xml:space="preserve"> kao u ovoj kombinaciji</w:t>
      </w:r>
      <w:r w:rsidRPr="00CC61C2">
        <w:rPr>
          <w:szCs w:val="22"/>
        </w:rPr>
        <w:t>.</w:t>
      </w:r>
    </w:p>
    <w:p w14:paraId="22976262" w14:textId="77777777" w:rsidR="00D86BB7" w:rsidRPr="00CC61C2" w:rsidRDefault="00D86BB7" w:rsidP="000D120B">
      <w:pPr>
        <w:tabs>
          <w:tab w:val="left" w:pos="284"/>
        </w:tabs>
        <w:jc w:val="both"/>
        <w:rPr>
          <w:b/>
          <w:szCs w:val="22"/>
        </w:rPr>
      </w:pPr>
    </w:p>
    <w:p w14:paraId="24A611E9" w14:textId="77777777" w:rsidR="00D86BB7" w:rsidRPr="00CC61C2" w:rsidRDefault="00D86BB7" w:rsidP="000D120B">
      <w:pPr>
        <w:tabs>
          <w:tab w:val="left" w:pos="284"/>
        </w:tabs>
        <w:jc w:val="both"/>
        <w:rPr>
          <w:b/>
          <w:bCs/>
          <w:szCs w:val="22"/>
        </w:rPr>
      </w:pPr>
      <w:r w:rsidRPr="00CC61C2">
        <w:rPr>
          <w:b/>
          <w:szCs w:val="22"/>
        </w:rPr>
        <w:t>4.2. Doziranje i način primjene</w:t>
      </w:r>
    </w:p>
    <w:p w14:paraId="1209D5FD" w14:textId="77777777" w:rsidR="00D86BB7" w:rsidRPr="00CC61C2" w:rsidRDefault="00D86BB7" w:rsidP="000D120B">
      <w:pPr>
        <w:widowControl w:val="0"/>
        <w:jc w:val="both"/>
        <w:rPr>
          <w:i/>
          <w:szCs w:val="22"/>
          <w:highlight w:val="yellow"/>
        </w:rPr>
      </w:pPr>
    </w:p>
    <w:p w14:paraId="1E63032F" w14:textId="77777777" w:rsidR="00D86BB7" w:rsidRPr="00CC61C2" w:rsidRDefault="00D86BB7" w:rsidP="000D120B">
      <w:pPr>
        <w:jc w:val="both"/>
        <w:rPr>
          <w:bCs/>
          <w:iCs/>
          <w:noProof/>
          <w:szCs w:val="22"/>
          <w:u w:val="single"/>
        </w:rPr>
      </w:pPr>
      <w:r w:rsidRPr="00CC61C2">
        <w:rPr>
          <w:bCs/>
          <w:iCs/>
          <w:noProof/>
          <w:szCs w:val="22"/>
          <w:u w:val="single"/>
        </w:rPr>
        <w:t>Doziranje</w:t>
      </w:r>
    </w:p>
    <w:p w14:paraId="577DE55C" w14:textId="77777777" w:rsidR="00D86BB7" w:rsidRPr="00CC61C2" w:rsidRDefault="00D86BB7" w:rsidP="000D120B">
      <w:pPr>
        <w:jc w:val="both"/>
        <w:rPr>
          <w:bCs/>
          <w:iCs/>
          <w:noProof/>
          <w:szCs w:val="22"/>
        </w:rPr>
      </w:pPr>
      <w:r w:rsidRPr="00CC61C2">
        <w:rPr>
          <w:szCs w:val="22"/>
        </w:rPr>
        <w:t>Jedna tableta dnevno u obliku pojedinačne doze.</w:t>
      </w:r>
    </w:p>
    <w:p w14:paraId="13D4D89C" w14:textId="77777777" w:rsidR="00D86BB7" w:rsidRPr="00CC61C2" w:rsidRDefault="00D86BB7" w:rsidP="000D120B">
      <w:pPr>
        <w:tabs>
          <w:tab w:val="clear" w:pos="567"/>
          <w:tab w:val="left" w:pos="569"/>
        </w:tabs>
        <w:jc w:val="both"/>
        <w:rPr>
          <w:noProof/>
          <w:szCs w:val="22"/>
        </w:rPr>
      </w:pPr>
      <w:r w:rsidRPr="00CC61C2">
        <w:rPr>
          <w:bCs/>
          <w:iCs/>
          <w:noProof/>
          <w:szCs w:val="22"/>
        </w:rPr>
        <w:t xml:space="preserve">Kombinacija fiksnih doza nije pogodna kao inicijalna terapija. </w:t>
      </w:r>
      <w:r w:rsidRPr="00CC61C2">
        <w:rPr>
          <w:bCs/>
          <w:noProof/>
          <w:szCs w:val="22"/>
        </w:rPr>
        <w:t>Ukoliko je potrebno izmijeniti doziranje, titraciju bi trebalo izvršiti individualnim komponentama</w:t>
      </w:r>
      <w:r w:rsidRPr="00CC61C2">
        <w:rPr>
          <w:noProof/>
          <w:szCs w:val="22"/>
        </w:rPr>
        <w:t>.</w:t>
      </w:r>
    </w:p>
    <w:p w14:paraId="67869882" w14:textId="77777777" w:rsidR="00D86BB7" w:rsidRPr="00CC61C2" w:rsidRDefault="00D86BB7" w:rsidP="000D120B">
      <w:pPr>
        <w:tabs>
          <w:tab w:val="center" w:pos="4536"/>
          <w:tab w:val="right" w:pos="9072"/>
        </w:tabs>
        <w:jc w:val="both"/>
        <w:rPr>
          <w:szCs w:val="22"/>
        </w:rPr>
      </w:pPr>
    </w:p>
    <w:p w14:paraId="3195AA24" w14:textId="77777777" w:rsidR="00D86BB7" w:rsidRPr="00CC61C2" w:rsidRDefault="00D86BB7" w:rsidP="000D120B">
      <w:pPr>
        <w:tabs>
          <w:tab w:val="center" w:pos="4536"/>
          <w:tab w:val="right" w:pos="9072"/>
        </w:tabs>
        <w:jc w:val="both"/>
        <w:rPr>
          <w:szCs w:val="22"/>
        </w:rPr>
      </w:pPr>
      <w:r w:rsidRPr="00CC61C2">
        <w:rPr>
          <w:szCs w:val="22"/>
        </w:rPr>
        <w:t>Maksimalna preporučena doza lijeka Amlewel je 8 mg + 2,5 mg + 10 mg dnevno.</w:t>
      </w:r>
    </w:p>
    <w:p w14:paraId="55ACE4AB" w14:textId="77777777" w:rsidR="00D86BB7" w:rsidRPr="00CC61C2" w:rsidRDefault="00D86BB7" w:rsidP="000D120B">
      <w:pPr>
        <w:tabs>
          <w:tab w:val="center" w:pos="4536"/>
          <w:tab w:val="right" w:pos="9072"/>
        </w:tabs>
        <w:jc w:val="both"/>
        <w:rPr>
          <w:szCs w:val="22"/>
        </w:rPr>
      </w:pPr>
    </w:p>
    <w:p w14:paraId="64CD59CC" w14:textId="73971795" w:rsidR="00D86BB7" w:rsidRPr="00CC61C2" w:rsidRDefault="00D86BB7" w:rsidP="000D120B">
      <w:pPr>
        <w:jc w:val="both"/>
        <w:rPr>
          <w:i/>
          <w:szCs w:val="22"/>
        </w:rPr>
      </w:pPr>
      <w:r w:rsidRPr="00CC61C2">
        <w:rPr>
          <w:bCs/>
          <w:i/>
          <w:szCs w:val="22"/>
        </w:rPr>
        <w:t>Pacijenti sa oštećenom funkcijom bubrega i stariji pacijenti (vidjeti d</w:t>
      </w:r>
      <w:r w:rsidR="000D120B" w:rsidRPr="00CC61C2">
        <w:rPr>
          <w:bCs/>
          <w:i/>
          <w:szCs w:val="22"/>
        </w:rPr>
        <w:t>jelove</w:t>
      </w:r>
      <w:r w:rsidRPr="00CC61C2">
        <w:rPr>
          <w:bCs/>
          <w:i/>
          <w:szCs w:val="22"/>
        </w:rPr>
        <w:t xml:space="preserve"> 4.4 i 5.2)</w:t>
      </w:r>
    </w:p>
    <w:p w14:paraId="34FAD39B" w14:textId="77777777" w:rsidR="00D86BB7" w:rsidRPr="00CC61C2" w:rsidRDefault="00D86BB7" w:rsidP="000D120B">
      <w:pPr>
        <w:autoSpaceDE w:val="0"/>
        <w:autoSpaceDN w:val="0"/>
        <w:adjustRightInd w:val="0"/>
        <w:jc w:val="both"/>
        <w:rPr>
          <w:bCs/>
          <w:iCs/>
          <w:szCs w:val="22"/>
        </w:rPr>
      </w:pPr>
      <w:r w:rsidRPr="00CC61C2">
        <w:rPr>
          <w:szCs w:val="22"/>
        </w:rPr>
        <w:t>Eliminacija perindoprilata je usporena kod starijih pacijenata i pacijenata sa insuficijencijom bubrega. Dakle, uobičajena kontrola treba da obuhvati često praćenje kreatinina i kalijuma.</w:t>
      </w:r>
      <w:r w:rsidRPr="00CC61C2">
        <w:rPr>
          <w:bCs/>
          <w:iCs/>
          <w:szCs w:val="22"/>
        </w:rPr>
        <w:t xml:space="preserve">  </w:t>
      </w:r>
    </w:p>
    <w:p w14:paraId="1594BBC0" w14:textId="77777777" w:rsidR="00D86BB7" w:rsidRPr="00CC61C2" w:rsidRDefault="00D86BB7" w:rsidP="000D120B">
      <w:pPr>
        <w:tabs>
          <w:tab w:val="center" w:pos="4536"/>
          <w:tab w:val="right" w:pos="9072"/>
        </w:tabs>
        <w:jc w:val="both"/>
        <w:rPr>
          <w:color w:val="00B0F0"/>
          <w:szCs w:val="22"/>
        </w:rPr>
      </w:pPr>
      <w:r w:rsidRPr="00CC61C2">
        <w:rPr>
          <w:szCs w:val="22"/>
        </w:rPr>
        <w:t>Kod pacijenata sa teškim oštećenjem funkcije bubrega (klirens kreatinina (Cl</w:t>
      </w:r>
      <w:r w:rsidRPr="003D4FBA">
        <w:rPr>
          <w:szCs w:val="22"/>
          <w:vertAlign w:val="subscript"/>
        </w:rPr>
        <w:t>cr</w:t>
      </w:r>
      <w:r w:rsidRPr="00CC61C2">
        <w:rPr>
          <w:szCs w:val="22"/>
        </w:rPr>
        <w:t>) ispod 30 ml/min), liječenje lijekom Amlewel je kontraindikovano.</w:t>
      </w:r>
      <w:r w:rsidRPr="00CC61C2">
        <w:rPr>
          <w:color w:val="00B0F0"/>
          <w:szCs w:val="22"/>
        </w:rPr>
        <w:t xml:space="preserve"> </w:t>
      </w:r>
    </w:p>
    <w:p w14:paraId="05F37172" w14:textId="77777777" w:rsidR="00D86BB7" w:rsidRPr="00CC61C2" w:rsidRDefault="00D86BB7" w:rsidP="000D120B">
      <w:pPr>
        <w:widowControl w:val="0"/>
        <w:tabs>
          <w:tab w:val="left" w:pos="833"/>
        </w:tabs>
        <w:jc w:val="both"/>
        <w:rPr>
          <w:szCs w:val="22"/>
          <w:u w:val="single"/>
        </w:rPr>
      </w:pPr>
    </w:p>
    <w:p w14:paraId="6753DAD5" w14:textId="1395F27C" w:rsidR="00D86BB7" w:rsidRPr="00CC61C2" w:rsidRDefault="00D86BB7" w:rsidP="000D120B">
      <w:pPr>
        <w:widowControl w:val="0"/>
        <w:tabs>
          <w:tab w:val="left" w:pos="833"/>
        </w:tabs>
        <w:jc w:val="both"/>
        <w:rPr>
          <w:szCs w:val="22"/>
          <w:u w:val="single"/>
        </w:rPr>
      </w:pPr>
      <w:r w:rsidRPr="00CC61C2">
        <w:rPr>
          <w:szCs w:val="22"/>
          <w:u w:val="single"/>
        </w:rPr>
        <w:t>Amlewel</w:t>
      </w:r>
      <w:r w:rsidR="00C00A45">
        <w:rPr>
          <w:szCs w:val="22"/>
          <w:u w:val="single"/>
        </w:rPr>
        <w:t>,</w:t>
      </w:r>
      <w:r w:rsidRPr="00CC61C2">
        <w:rPr>
          <w:szCs w:val="22"/>
          <w:u w:val="single"/>
        </w:rPr>
        <w:t xml:space="preserve"> 8 mg + 2,5 mg + 5 mg</w:t>
      </w:r>
      <w:r w:rsidR="00204707">
        <w:rPr>
          <w:szCs w:val="22"/>
          <w:u w:val="single"/>
        </w:rPr>
        <w:t>, tableta</w:t>
      </w:r>
    </w:p>
    <w:p w14:paraId="16FF14F8" w14:textId="66177C3E" w:rsidR="00D86BB7" w:rsidRPr="00CC61C2" w:rsidRDefault="00D86BB7" w:rsidP="000D120B">
      <w:pPr>
        <w:widowControl w:val="0"/>
        <w:tabs>
          <w:tab w:val="left" w:pos="833"/>
        </w:tabs>
        <w:jc w:val="both"/>
        <w:rPr>
          <w:szCs w:val="22"/>
          <w:u w:val="single"/>
        </w:rPr>
      </w:pPr>
      <w:r w:rsidRPr="00CC61C2">
        <w:rPr>
          <w:szCs w:val="22"/>
          <w:u w:val="single"/>
        </w:rPr>
        <w:t>Amlewel</w:t>
      </w:r>
      <w:r w:rsidR="00C00A45">
        <w:rPr>
          <w:szCs w:val="22"/>
          <w:u w:val="single"/>
        </w:rPr>
        <w:t>,</w:t>
      </w:r>
      <w:r w:rsidRPr="00CC61C2">
        <w:rPr>
          <w:szCs w:val="22"/>
          <w:u w:val="single"/>
        </w:rPr>
        <w:t xml:space="preserve"> 8 mg + 2,5 mg + 10 mg</w:t>
      </w:r>
      <w:r w:rsidR="00204707">
        <w:rPr>
          <w:szCs w:val="22"/>
          <w:u w:val="single"/>
        </w:rPr>
        <w:t xml:space="preserve">, tableta </w:t>
      </w:r>
    </w:p>
    <w:p w14:paraId="52D41DAC" w14:textId="77777777" w:rsidR="00D86BB7" w:rsidRPr="00CC61C2" w:rsidRDefault="00D86BB7" w:rsidP="000D120B">
      <w:pPr>
        <w:tabs>
          <w:tab w:val="center" w:pos="4536"/>
          <w:tab w:val="right" w:pos="9072"/>
        </w:tabs>
        <w:jc w:val="both"/>
        <w:rPr>
          <w:color w:val="000000"/>
          <w:szCs w:val="22"/>
        </w:rPr>
      </w:pPr>
      <w:r w:rsidRPr="00CC61C2">
        <w:rPr>
          <w:color w:val="000000"/>
          <w:szCs w:val="22"/>
        </w:rPr>
        <w:t>Jačine 8 mg + 2.5 mg + 5 mg i 8 mg + 2.5 mg + 10 mg su kontraindikovane kod teške i umjerene insuficijencije bubrega (klirens kreatinina ispod 60 ml/min).</w:t>
      </w:r>
    </w:p>
    <w:p w14:paraId="2E833670" w14:textId="77777777" w:rsidR="00D86BB7" w:rsidRPr="00CC61C2" w:rsidRDefault="00D86BB7" w:rsidP="000D120B">
      <w:pPr>
        <w:tabs>
          <w:tab w:val="center" w:pos="4536"/>
          <w:tab w:val="right" w:pos="9072"/>
        </w:tabs>
        <w:jc w:val="both"/>
        <w:rPr>
          <w:color w:val="00B0F0"/>
          <w:szCs w:val="22"/>
        </w:rPr>
      </w:pPr>
    </w:p>
    <w:p w14:paraId="7ACC3030" w14:textId="77777777" w:rsidR="00D86BB7" w:rsidRPr="00CC61C2" w:rsidRDefault="00D86BB7" w:rsidP="000D120B">
      <w:pPr>
        <w:widowControl w:val="0"/>
        <w:autoSpaceDE w:val="0"/>
        <w:autoSpaceDN w:val="0"/>
        <w:adjustRightInd w:val="0"/>
        <w:jc w:val="both"/>
        <w:rPr>
          <w:szCs w:val="22"/>
        </w:rPr>
      </w:pPr>
      <w:r w:rsidRPr="00CC61C2">
        <w:rPr>
          <w:szCs w:val="22"/>
        </w:rPr>
        <w:t>Lijek Amlewel se može primijeniti kod pacijenata sa Cl</w:t>
      </w:r>
      <w:r w:rsidRPr="003D4FBA">
        <w:rPr>
          <w:szCs w:val="22"/>
          <w:vertAlign w:val="subscript"/>
        </w:rPr>
        <w:t>cr</w:t>
      </w:r>
      <w:r w:rsidRPr="00CC61C2">
        <w:rPr>
          <w:szCs w:val="22"/>
        </w:rPr>
        <w:t xml:space="preserve"> ≥ 60 ml/min. Kod ovih pacijenata se preporučuje individualna titracija doze sa monokomponentama.</w:t>
      </w:r>
    </w:p>
    <w:p w14:paraId="0661A8E9" w14:textId="2DD763D8" w:rsidR="00D86BB7" w:rsidRPr="00CC61C2" w:rsidRDefault="00D86BB7" w:rsidP="000D120B">
      <w:pPr>
        <w:widowControl w:val="0"/>
        <w:autoSpaceDE w:val="0"/>
        <w:autoSpaceDN w:val="0"/>
        <w:adjustRightInd w:val="0"/>
        <w:jc w:val="both"/>
        <w:rPr>
          <w:szCs w:val="22"/>
        </w:rPr>
      </w:pPr>
      <w:r w:rsidRPr="00CC61C2">
        <w:rPr>
          <w:szCs w:val="22"/>
        </w:rPr>
        <w:t>Promjene u koncentraciji amlodipina u plazmi ni</w:t>
      </w:r>
      <w:r w:rsidR="000D120B" w:rsidRPr="00CC61C2">
        <w:rPr>
          <w:szCs w:val="22"/>
        </w:rPr>
        <w:t>je</w:t>
      </w:r>
      <w:r w:rsidRPr="00CC61C2">
        <w:rPr>
          <w:szCs w:val="22"/>
        </w:rPr>
        <w:t>su u korelaciji sa stepenom oštećenja bubrega.</w:t>
      </w:r>
    </w:p>
    <w:p w14:paraId="6B99B5B4" w14:textId="77777777" w:rsidR="00D86BB7" w:rsidRPr="00CC61C2" w:rsidRDefault="00D86BB7" w:rsidP="000D120B">
      <w:pPr>
        <w:widowControl w:val="0"/>
        <w:autoSpaceDE w:val="0"/>
        <w:autoSpaceDN w:val="0"/>
        <w:adjustRightInd w:val="0"/>
        <w:jc w:val="both"/>
        <w:rPr>
          <w:szCs w:val="22"/>
        </w:rPr>
      </w:pPr>
      <w:r w:rsidRPr="00CC61C2">
        <w:rPr>
          <w:szCs w:val="22"/>
        </w:rPr>
        <w:t>Amlodipin se ne može dijalizirati.</w:t>
      </w:r>
    </w:p>
    <w:p w14:paraId="02DCAA0A" w14:textId="77777777" w:rsidR="00D86BB7" w:rsidRPr="00CC61C2" w:rsidRDefault="00D86BB7" w:rsidP="000D120B">
      <w:pPr>
        <w:tabs>
          <w:tab w:val="center" w:pos="4536"/>
          <w:tab w:val="right" w:pos="9072"/>
        </w:tabs>
        <w:jc w:val="both"/>
        <w:rPr>
          <w:color w:val="00B0F0"/>
          <w:szCs w:val="22"/>
        </w:rPr>
      </w:pPr>
    </w:p>
    <w:p w14:paraId="6673E79F" w14:textId="77777777" w:rsidR="00D86BB7" w:rsidRPr="00CC61C2" w:rsidRDefault="00D86BB7" w:rsidP="000D120B">
      <w:pPr>
        <w:tabs>
          <w:tab w:val="num" w:pos="1296"/>
        </w:tabs>
        <w:jc w:val="both"/>
        <w:outlineLvl w:val="6"/>
        <w:rPr>
          <w:bCs/>
          <w:i/>
          <w:iCs/>
          <w:szCs w:val="22"/>
        </w:rPr>
      </w:pPr>
      <w:r w:rsidRPr="00CC61C2">
        <w:rPr>
          <w:bCs/>
          <w:i/>
          <w:iCs/>
          <w:szCs w:val="22"/>
        </w:rPr>
        <w:t>Pacijenti sa oštećenom funkcijom jetre (vidjeti djelove 4.4 i 5.2)</w:t>
      </w:r>
    </w:p>
    <w:p w14:paraId="07899C21" w14:textId="77777777" w:rsidR="00D86BB7" w:rsidRPr="00CC61C2" w:rsidRDefault="00D86BB7" w:rsidP="000D120B">
      <w:pPr>
        <w:tabs>
          <w:tab w:val="left" w:pos="284"/>
        </w:tabs>
        <w:jc w:val="both"/>
        <w:rPr>
          <w:szCs w:val="22"/>
        </w:rPr>
      </w:pPr>
      <w:r w:rsidRPr="00CC61C2">
        <w:rPr>
          <w:szCs w:val="22"/>
        </w:rPr>
        <w:t>Kod teškog oštećenja jetre, lijek Amlewel je kontraindikovan.</w:t>
      </w:r>
    </w:p>
    <w:p w14:paraId="45374E8B" w14:textId="77777777" w:rsidR="00D86BB7" w:rsidRPr="00CC61C2" w:rsidRDefault="00D86BB7" w:rsidP="000D120B">
      <w:pPr>
        <w:tabs>
          <w:tab w:val="center" w:pos="4536"/>
          <w:tab w:val="right" w:pos="9072"/>
        </w:tabs>
        <w:jc w:val="both"/>
        <w:rPr>
          <w:szCs w:val="22"/>
        </w:rPr>
      </w:pPr>
      <w:r w:rsidRPr="00CC61C2">
        <w:rPr>
          <w:szCs w:val="22"/>
        </w:rPr>
        <w:t xml:space="preserve">Režim doziranja kod pacijenata sa blagim do umjerenim oštećenjem funkcije jetre još uvijek nije utvrđen. Zbog toga se liječenje započinje nižim dozama amlodipina i prema potrebi oprezno povisuje. </w:t>
      </w:r>
    </w:p>
    <w:p w14:paraId="75CCF8F1" w14:textId="77777777" w:rsidR="00D86BB7" w:rsidRPr="00CC61C2" w:rsidRDefault="00D86BB7" w:rsidP="000D120B">
      <w:pPr>
        <w:widowControl w:val="0"/>
        <w:jc w:val="both"/>
        <w:rPr>
          <w:i/>
          <w:szCs w:val="22"/>
        </w:rPr>
      </w:pPr>
    </w:p>
    <w:p w14:paraId="53773C92" w14:textId="77777777" w:rsidR="00D86BB7" w:rsidRPr="00CC61C2" w:rsidRDefault="00D86BB7" w:rsidP="000D120B">
      <w:pPr>
        <w:widowControl w:val="0"/>
        <w:jc w:val="both"/>
        <w:rPr>
          <w:i/>
          <w:szCs w:val="22"/>
        </w:rPr>
      </w:pPr>
      <w:r w:rsidRPr="00CC61C2">
        <w:rPr>
          <w:i/>
          <w:szCs w:val="22"/>
        </w:rPr>
        <w:t>Pedijatrijska populacija</w:t>
      </w:r>
    </w:p>
    <w:p w14:paraId="205B932B" w14:textId="77777777" w:rsidR="00D86BB7" w:rsidRPr="00CC61C2" w:rsidRDefault="00D86BB7" w:rsidP="000D120B">
      <w:pPr>
        <w:tabs>
          <w:tab w:val="left" w:pos="284"/>
        </w:tabs>
        <w:jc w:val="both"/>
        <w:rPr>
          <w:szCs w:val="22"/>
        </w:rPr>
      </w:pPr>
      <w:r w:rsidRPr="00CC61C2">
        <w:rPr>
          <w:szCs w:val="22"/>
        </w:rPr>
        <w:t>Efikasnost i bezbjednost lijeka Amlewel kod djece i adolescenata nije utvrđena. Podaci nijesu raspoloživi.</w:t>
      </w:r>
    </w:p>
    <w:p w14:paraId="7429A233" w14:textId="77777777" w:rsidR="00D86BB7" w:rsidRPr="00CC61C2" w:rsidRDefault="00D86BB7" w:rsidP="000D120B">
      <w:pPr>
        <w:tabs>
          <w:tab w:val="left" w:pos="284"/>
        </w:tabs>
        <w:jc w:val="both"/>
        <w:rPr>
          <w:szCs w:val="22"/>
        </w:rPr>
      </w:pPr>
    </w:p>
    <w:p w14:paraId="7C406699" w14:textId="77777777" w:rsidR="00D86BB7" w:rsidRPr="00CC61C2" w:rsidRDefault="00D86BB7" w:rsidP="000D120B">
      <w:pPr>
        <w:autoSpaceDE w:val="0"/>
        <w:autoSpaceDN w:val="0"/>
        <w:adjustRightInd w:val="0"/>
        <w:jc w:val="both"/>
        <w:rPr>
          <w:b/>
          <w:snapToGrid w:val="0"/>
          <w:szCs w:val="22"/>
          <w:lang w:eastAsia="sr-Latn-CS"/>
        </w:rPr>
      </w:pPr>
      <w:r w:rsidRPr="00CC61C2">
        <w:rPr>
          <w:b/>
          <w:snapToGrid w:val="0"/>
          <w:szCs w:val="22"/>
          <w:lang w:eastAsia="sr-Latn-CS"/>
        </w:rPr>
        <w:t>Način primjene</w:t>
      </w:r>
    </w:p>
    <w:p w14:paraId="4DAD0753" w14:textId="77777777" w:rsidR="00D86BB7" w:rsidRPr="00CC61C2" w:rsidRDefault="00D86BB7" w:rsidP="000D120B">
      <w:pPr>
        <w:jc w:val="both"/>
        <w:rPr>
          <w:szCs w:val="22"/>
        </w:rPr>
      </w:pPr>
      <w:r w:rsidRPr="00CC61C2">
        <w:rPr>
          <w:szCs w:val="22"/>
        </w:rPr>
        <w:t>Lijek se uzima oralno.</w:t>
      </w:r>
    </w:p>
    <w:p w14:paraId="01FECBDB" w14:textId="0A0CCF29" w:rsidR="00D86BB7" w:rsidRDefault="00D86BB7" w:rsidP="000D120B">
      <w:pPr>
        <w:tabs>
          <w:tab w:val="left" w:pos="4845"/>
        </w:tabs>
        <w:jc w:val="both"/>
        <w:rPr>
          <w:szCs w:val="22"/>
        </w:rPr>
      </w:pPr>
      <w:r w:rsidRPr="00CC61C2">
        <w:rPr>
          <w:szCs w:val="22"/>
        </w:rPr>
        <w:t>Jedna tableta dnevno kao pojedinačna doza, lijek je najbolje uzimati ujutru, prije obroka (vidjeti dio 5.2.).</w:t>
      </w:r>
    </w:p>
    <w:p w14:paraId="287405C1" w14:textId="77777777" w:rsidR="009D6AD4" w:rsidRPr="00CC61C2" w:rsidRDefault="009D6AD4" w:rsidP="000D120B">
      <w:pPr>
        <w:tabs>
          <w:tab w:val="left" w:pos="4845"/>
        </w:tabs>
        <w:jc w:val="both"/>
        <w:rPr>
          <w:szCs w:val="22"/>
        </w:rPr>
      </w:pPr>
    </w:p>
    <w:p w14:paraId="5C1CD7A5" w14:textId="77777777" w:rsidR="00D86BB7" w:rsidRPr="00CC61C2" w:rsidRDefault="00D86BB7" w:rsidP="000D120B">
      <w:pPr>
        <w:tabs>
          <w:tab w:val="left" w:pos="284"/>
        </w:tabs>
        <w:jc w:val="both"/>
        <w:rPr>
          <w:b/>
          <w:szCs w:val="22"/>
        </w:rPr>
      </w:pPr>
      <w:r w:rsidRPr="00CC61C2">
        <w:rPr>
          <w:b/>
          <w:szCs w:val="22"/>
        </w:rPr>
        <w:lastRenderedPageBreak/>
        <w:t>4.3. Kontraindikacije</w:t>
      </w:r>
    </w:p>
    <w:p w14:paraId="5989B2D3" w14:textId="77777777" w:rsidR="00D86BB7" w:rsidRPr="00CC61C2" w:rsidRDefault="00D86BB7" w:rsidP="000D120B">
      <w:pPr>
        <w:tabs>
          <w:tab w:val="left" w:pos="284"/>
        </w:tabs>
        <w:jc w:val="both"/>
        <w:rPr>
          <w:b/>
          <w:bCs/>
          <w:szCs w:val="22"/>
        </w:rPr>
      </w:pPr>
    </w:p>
    <w:p w14:paraId="129E3959" w14:textId="0670AEF6" w:rsidR="00D86BB7" w:rsidRPr="00CC61C2" w:rsidRDefault="00D86BB7" w:rsidP="000D120B">
      <w:pPr>
        <w:numPr>
          <w:ilvl w:val="0"/>
          <w:numId w:val="8"/>
        </w:numPr>
        <w:tabs>
          <w:tab w:val="clear" w:pos="567"/>
          <w:tab w:val="left" w:pos="284"/>
        </w:tabs>
        <w:spacing w:line="240" w:lineRule="auto"/>
        <w:jc w:val="both"/>
        <w:rPr>
          <w:szCs w:val="22"/>
        </w:rPr>
      </w:pPr>
      <w:r w:rsidRPr="00CC61C2">
        <w:rPr>
          <w:szCs w:val="22"/>
        </w:rPr>
        <w:t xml:space="preserve">Preosjetljivost na aktivne supstance, druge sulfonamide, derivate dihidropiridina, neki drugi ACE inhibitor ili na bilo koju od pomoćnih supstanci lijeka navedenih u </w:t>
      </w:r>
      <w:r w:rsidR="000D120B" w:rsidRPr="00CC61C2">
        <w:rPr>
          <w:szCs w:val="22"/>
        </w:rPr>
        <w:t>dijelu</w:t>
      </w:r>
      <w:r w:rsidRPr="00CC61C2">
        <w:rPr>
          <w:szCs w:val="22"/>
        </w:rPr>
        <w:t xml:space="preserve"> 6.1;</w:t>
      </w:r>
    </w:p>
    <w:p w14:paraId="5B0AC600" w14:textId="2BF4C259" w:rsidR="00D86BB7" w:rsidRPr="00CC61C2" w:rsidRDefault="00D86BB7" w:rsidP="000D120B">
      <w:pPr>
        <w:numPr>
          <w:ilvl w:val="0"/>
          <w:numId w:val="8"/>
        </w:numPr>
        <w:tabs>
          <w:tab w:val="clear" w:pos="567"/>
          <w:tab w:val="left" w:pos="284"/>
        </w:tabs>
        <w:spacing w:line="240" w:lineRule="auto"/>
        <w:jc w:val="both"/>
        <w:rPr>
          <w:szCs w:val="22"/>
        </w:rPr>
      </w:pPr>
      <w:r w:rsidRPr="00CC61C2">
        <w:rPr>
          <w:szCs w:val="22"/>
        </w:rPr>
        <w:t>Anamnestički podaci o angioedemu povezanim sa prethodnom primjenom ACE inhibitora (vidjeti dio 4.4);</w:t>
      </w:r>
    </w:p>
    <w:p w14:paraId="475AD075" w14:textId="77777777" w:rsidR="00D86BB7" w:rsidRPr="00CC61C2" w:rsidRDefault="00D86BB7" w:rsidP="000D120B">
      <w:pPr>
        <w:numPr>
          <w:ilvl w:val="0"/>
          <w:numId w:val="8"/>
        </w:numPr>
        <w:tabs>
          <w:tab w:val="clear" w:pos="567"/>
          <w:tab w:val="left" w:pos="284"/>
        </w:tabs>
        <w:spacing w:line="240" w:lineRule="auto"/>
        <w:jc w:val="both"/>
        <w:rPr>
          <w:szCs w:val="22"/>
        </w:rPr>
      </w:pPr>
      <w:r w:rsidRPr="00CC61C2">
        <w:rPr>
          <w:szCs w:val="22"/>
        </w:rPr>
        <w:t xml:space="preserve">Hereditarni / idiopatski angioedem; </w:t>
      </w:r>
    </w:p>
    <w:p w14:paraId="01FBE5E9" w14:textId="77777777" w:rsidR="00D86BB7" w:rsidRPr="00CC61C2" w:rsidRDefault="00D86BB7" w:rsidP="000D120B">
      <w:pPr>
        <w:numPr>
          <w:ilvl w:val="0"/>
          <w:numId w:val="8"/>
        </w:numPr>
        <w:tabs>
          <w:tab w:val="clear" w:pos="567"/>
          <w:tab w:val="left" w:pos="284"/>
        </w:tabs>
        <w:spacing w:line="240" w:lineRule="auto"/>
        <w:jc w:val="both"/>
        <w:rPr>
          <w:szCs w:val="22"/>
        </w:rPr>
      </w:pPr>
      <w:r w:rsidRPr="00CC61C2">
        <w:rPr>
          <w:szCs w:val="22"/>
        </w:rPr>
        <w:t xml:space="preserve">Drugi i treći trimestar trudnoće (vidjeti djelove 4.4. i 4.6);         </w:t>
      </w:r>
    </w:p>
    <w:p w14:paraId="37AFC11C" w14:textId="77777777" w:rsidR="00D86BB7" w:rsidRPr="00CC61C2" w:rsidRDefault="00D86BB7" w:rsidP="000D120B">
      <w:pPr>
        <w:numPr>
          <w:ilvl w:val="0"/>
          <w:numId w:val="8"/>
        </w:numPr>
        <w:tabs>
          <w:tab w:val="clear" w:pos="567"/>
          <w:tab w:val="left" w:pos="284"/>
        </w:tabs>
        <w:spacing w:line="240" w:lineRule="auto"/>
        <w:jc w:val="both"/>
        <w:rPr>
          <w:szCs w:val="22"/>
        </w:rPr>
      </w:pPr>
      <w:r w:rsidRPr="00CC61C2">
        <w:rPr>
          <w:szCs w:val="22"/>
        </w:rPr>
        <w:t>Teška renalna insuficijencija (klirens kreatinina ispod 30 ml/min);</w:t>
      </w:r>
    </w:p>
    <w:p w14:paraId="6C90221E" w14:textId="77777777" w:rsidR="00D86BB7" w:rsidRPr="00CC61C2" w:rsidRDefault="00D86BB7" w:rsidP="000D120B">
      <w:pPr>
        <w:numPr>
          <w:ilvl w:val="0"/>
          <w:numId w:val="8"/>
        </w:numPr>
        <w:tabs>
          <w:tab w:val="clear" w:pos="567"/>
          <w:tab w:val="left" w:pos="284"/>
        </w:tabs>
        <w:spacing w:line="240" w:lineRule="auto"/>
        <w:jc w:val="both"/>
        <w:rPr>
          <w:szCs w:val="22"/>
        </w:rPr>
      </w:pPr>
      <w:r w:rsidRPr="00CC61C2">
        <w:rPr>
          <w:szCs w:val="22"/>
        </w:rPr>
        <w:t>Teška insuficijencija jetre;</w:t>
      </w:r>
    </w:p>
    <w:p w14:paraId="7079CCA9" w14:textId="77777777" w:rsidR="00D86BB7" w:rsidRPr="00CC61C2" w:rsidRDefault="00D86BB7" w:rsidP="000D120B">
      <w:pPr>
        <w:numPr>
          <w:ilvl w:val="0"/>
          <w:numId w:val="8"/>
        </w:numPr>
        <w:tabs>
          <w:tab w:val="clear" w:pos="567"/>
          <w:tab w:val="left" w:pos="284"/>
        </w:tabs>
        <w:spacing w:line="240" w:lineRule="auto"/>
        <w:jc w:val="both"/>
        <w:rPr>
          <w:szCs w:val="22"/>
        </w:rPr>
      </w:pPr>
      <w:r w:rsidRPr="00CC61C2">
        <w:rPr>
          <w:szCs w:val="22"/>
        </w:rPr>
        <w:t>Hepatička encefalopatija (vidjeti dio 4.4);</w:t>
      </w:r>
    </w:p>
    <w:p w14:paraId="0BAD61AA" w14:textId="77777777" w:rsidR="00D86BB7" w:rsidRPr="00CC61C2" w:rsidRDefault="00D86BB7" w:rsidP="000D120B">
      <w:pPr>
        <w:numPr>
          <w:ilvl w:val="0"/>
          <w:numId w:val="8"/>
        </w:numPr>
        <w:tabs>
          <w:tab w:val="clear" w:pos="567"/>
          <w:tab w:val="left" w:pos="284"/>
        </w:tabs>
        <w:spacing w:line="240" w:lineRule="auto"/>
        <w:jc w:val="both"/>
        <w:rPr>
          <w:szCs w:val="22"/>
        </w:rPr>
      </w:pPr>
      <w:r w:rsidRPr="00CC61C2">
        <w:rPr>
          <w:szCs w:val="22"/>
        </w:rPr>
        <w:t>Šok, uključujući i kardiogeni šok;</w:t>
      </w:r>
    </w:p>
    <w:p w14:paraId="15886A63" w14:textId="77777777" w:rsidR="00D86BB7" w:rsidRPr="00CC61C2" w:rsidRDefault="00D86BB7" w:rsidP="000D120B">
      <w:pPr>
        <w:numPr>
          <w:ilvl w:val="0"/>
          <w:numId w:val="8"/>
        </w:numPr>
        <w:tabs>
          <w:tab w:val="clear" w:pos="567"/>
          <w:tab w:val="left" w:pos="284"/>
        </w:tabs>
        <w:spacing w:line="240" w:lineRule="auto"/>
        <w:jc w:val="both"/>
        <w:rPr>
          <w:szCs w:val="22"/>
        </w:rPr>
      </w:pPr>
      <w:r w:rsidRPr="00CC61C2">
        <w:rPr>
          <w:szCs w:val="22"/>
        </w:rPr>
        <w:t>Hemodinamički nestabilna srčana insuficijencija nakon preživljenog akutnog infarkta miokarda;</w:t>
      </w:r>
    </w:p>
    <w:p w14:paraId="2D661136" w14:textId="77777777" w:rsidR="00D86BB7" w:rsidRPr="00CC61C2" w:rsidRDefault="00D86BB7" w:rsidP="000D120B">
      <w:pPr>
        <w:numPr>
          <w:ilvl w:val="0"/>
          <w:numId w:val="8"/>
        </w:numPr>
        <w:tabs>
          <w:tab w:val="clear" w:pos="567"/>
          <w:tab w:val="left" w:pos="284"/>
        </w:tabs>
        <w:spacing w:line="240" w:lineRule="auto"/>
        <w:jc w:val="both"/>
        <w:rPr>
          <w:szCs w:val="22"/>
        </w:rPr>
      </w:pPr>
      <w:r w:rsidRPr="00CC61C2">
        <w:rPr>
          <w:szCs w:val="22"/>
        </w:rPr>
        <w:t>Opstrukcija izlaznog trakta lijeve ventrikule (npr. stenoza aorte visokog stepena);</w:t>
      </w:r>
    </w:p>
    <w:p w14:paraId="3FAF15C4" w14:textId="77777777" w:rsidR="00D86BB7" w:rsidRPr="00CC61C2" w:rsidRDefault="00D86BB7" w:rsidP="000D120B">
      <w:pPr>
        <w:numPr>
          <w:ilvl w:val="0"/>
          <w:numId w:val="8"/>
        </w:numPr>
        <w:tabs>
          <w:tab w:val="clear" w:pos="567"/>
          <w:tab w:val="left" w:pos="284"/>
        </w:tabs>
        <w:spacing w:line="240" w:lineRule="auto"/>
        <w:jc w:val="both"/>
        <w:rPr>
          <w:szCs w:val="22"/>
        </w:rPr>
      </w:pPr>
      <w:r w:rsidRPr="00CC61C2">
        <w:rPr>
          <w:szCs w:val="22"/>
        </w:rPr>
        <w:t>Teška hipotenzija;</w:t>
      </w:r>
    </w:p>
    <w:p w14:paraId="3AE2CF2E" w14:textId="77777777" w:rsidR="00D86BB7" w:rsidRPr="00CC61C2" w:rsidRDefault="00D86BB7" w:rsidP="000D120B">
      <w:pPr>
        <w:numPr>
          <w:ilvl w:val="0"/>
          <w:numId w:val="8"/>
        </w:numPr>
        <w:tabs>
          <w:tab w:val="clear" w:pos="567"/>
          <w:tab w:val="left" w:pos="284"/>
        </w:tabs>
        <w:spacing w:line="240" w:lineRule="auto"/>
        <w:jc w:val="both"/>
        <w:rPr>
          <w:szCs w:val="22"/>
        </w:rPr>
      </w:pPr>
      <w:r w:rsidRPr="00CC61C2">
        <w:rPr>
          <w:szCs w:val="22"/>
        </w:rPr>
        <w:t>Hipokalijemija;</w:t>
      </w:r>
    </w:p>
    <w:p w14:paraId="2A32DC6C" w14:textId="67D0A5E6" w:rsidR="00D86BB7" w:rsidRPr="00CC61C2" w:rsidRDefault="00D86BB7" w:rsidP="000D120B">
      <w:pPr>
        <w:numPr>
          <w:ilvl w:val="0"/>
          <w:numId w:val="8"/>
        </w:numPr>
        <w:tabs>
          <w:tab w:val="clear" w:pos="567"/>
          <w:tab w:val="left" w:pos="709"/>
        </w:tabs>
        <w:spacing w:line="240" w:lineRule="auto"/>
        <w:jc w:val="both"/>
        <w:rPr>
          <w:szCs w:val="22"/>
        </w:rPr>
      </w:pPr>
      <w:r w:rsidRPr="00CC61C2">
        <w:rPr>
          <w:szCs w:val="22"/>
        </w:rPr>
        <w:t>Istovremena upotreba lijeka Amlewel sa ljekovima koji sadrže aliskiren kod pacijenata sa dijabetes melitusom ili renalnim oštećenjem (GFR &lt; 60 m</w:t>
      </w:r>
      <w:r w:rsidR="009D4D9D" w:rsidRPr="00CC61C2">
        <w:rPr>
          <w:szCs w:val="22"/>
        </w:rPr>
        <w:t>l</w:t>
      </w:r>
      <w:r w:rsidRPr="00CC61C2">
        <w:rPr>
          <w:szCs w:val="22"/>
        </w:rPr>
        <w:t>/min) (vidjeti dio 4.5);</w:t>
      </w:r>
    </w:p>
    <w:p w14:paraId="7C3EE45C" w14:textId="77777777" w:rsidR="00D86BB7" w:rsidRPr="00CC61C2" w:rsidRDefault="00D86BB7" w:rsidP="000D120B">
      <w:pPr>
        <w:numPr>
          <w:ilvl w:val="0"/>
          <w:numId w:val="8"/>
        </w:numPr>
        <w:tabs>
          <w:tab w:val="clear" w:pos="567"/>
          <w:tab w:val="left" w:pos="709"/>
        </w:tabs>
        <w:spacing w:line="240" w:lineRule="auto"/>
        <w:jc w:val="both"/>
        <w:rPr>
          <w:szCs w:val="22"/>
        </w:rPr>
      </w:pPr>
      <w:r w:rsidRPr="00CC61C2">
        <w:rPr>
          <w:szCs w:val="22"/>
        </w:rPr>
        <w:t>Istovremena upotreba sa sakubitril/valsartanom. Sa primjenom lijeka Amlewel se smije početi tek 36 sati nakon posljednje doze sakubitril/valsartana (vidjeti i djelove 4.4 i 4.5);</w:t>
      </w:r>
    </w:p>
    <w:p w14:paraId="13CBA86B" w14:textId="77777777" w:rsidR="00D86BB7" w:rsidRPr="00CC61C2" w:rsidRDefault="00D86BB7" w:rsidP="000D120B">
      <w:pPr>
        <w:numPr>
          <w:ilvl w:val="0"/>
          <w:numId w:val="8"/>
        </w:numPr>
        <w:tabs>
          <w:tab w:val="clear" w:pos="567"/>
          <w:tab w:val="left" w:pos="709"/>
        </w:tabs>
        <w:spacing w:line="240" w:lineRule="auto"/>
        <w:jc w:val="both"/>
        <w:rPr>
          <w:szCs w:val="22"/>
        </w:rPr>
      </w:pPr>
      <w:r w:rsidRPr="00CC61C2">
        <w:rPr>
          <w:szCs w:val="22"/>
        </w:rPr>
        <w:t>Ekstrakorporealno liječenje kod kojeg krv dolazi u kontakt sa negativno naelektrisanim površinama (vidjeti dio 4.5);</w:t>
      </w:r>
    </w:p>
    <w:p w14:paraId="0708C241" w14:textId="77777777" w:rsidR="00D86BB7" w:rsidRPr="00CC61C2" w:rsidRDefault="00D86BB7" w:rsidP="000D120B">
      <w:pPr>
        <w:numPr>
          <w:ilvl w:val="0"/>
          <w:numId w:val="8"/>
        </w:numPr>
        <w:tabs>
          <w:tab w:val="clear" w:pos="567"/>
          <w:tab w:val="left" w:pos="709"/>
        </w:tabs>
        <w:spacing w:line="240" w:lineRule="auto"/>
        <w:jc w:val="both"/>
        <w:rPr>
          <w:szCs w:val="22"/>
        </w:rPr>
      </w:pPr>
      <w:r w:rsidRPr="00CC61C2">
        <w:rPr>
          <w:szCs w:val="22"/>
        </w:rPr>
        <w:t>Značajna bilateralna stenoza bubrežne arterije ili stenoza arterije u jednom funkcionalnom bubregu (vidjeti dio 4.4).</w:t>
      </w:r>
    </w:p>
    <w:p w14:paraId="7610DF9F" w14:textId="77777777" w:rsidR="00D86BB7" w:rsidRPr="00CC61C2" w:rsidRDefault="00D86BB7" w:rsidP="000D120B">
      <w:pPr>
        <w:jc w:val="both"/>
        <w:rPr>
          <w:szCs w:val="22"/>
        </w:rPr>
      </w:pPr>
    </w:p>
    <w:p w14:paraId="005FD6D2" w14:textId="17F09B15" w:rsidR="00D86BB7" w:rsidRPr="00CC61C2" w:rsidRDefault="00D86BB7" w:rsidP="000D120B">
      <w:pPr>
        <w:widowControl w:val="0"/>
        <w:tabs>
          <w:tab w:val="left" w:pos="833"/>
        </w:tabs>
        <w:jc w:val="both"/>
        <w:rPr>
          <w:szCs w:val="22"/>
          <w:u w:val="single"/>
        </w:rPr>
      </w:pPr>
      <w:r w:rsidRPr="00CC61C2">
        <w:rPr>
          <w:szCs w:val="22"/>
          <w:u w:val="single"/>
        </w:rPr>
        <w:t>Amlewel</w:t>
      </w:r>
      <w:r w:rsidR="00367920">
        <w:rPr>
          <w:szCs w:val="22"/>
          <w:u w:val="single"/>
        </w:rPr>
        <w:t>,</w:t>
      </w:r>
      <w:r w:rsidRPr="00CC61C2">
        <w:rPr>
          <w:szCs w:val="22"/>
          <w:u w:val="single"/>
        </w:rPr>
        <w:t xml:space="preserve"> 8 mg + 2,5 mg + 5 mg</w:t>
      </w:r>
      <w:r w:rsidR="005822A1">
        <w:rPr>
          <w:szCs w:val="22"/>
          <w:u w:val="single"/>
        </w:rPr>
        <w:t xml:space="preserve">, tableta </w:t>
      </w:r>
    </w:p>
    <w:p w14:paraId="77C0D3BC" w14:textId="787674F8" w:rsidR="00D86BB7" w:rsidRPr="00CC61C2" w:rsidRDefault="00D86BB7" w:rsidP="000D120B">
      <w:pPr>
        <w:widowControl w:val="0"/>
        <w:tabs>
          <w:tab w:val="left" w:pos="833"/>
        </w:tabs>
        <w:jc w:val="both"/>
        <w:rPr>
          <w:szCs w:val="22"/>
          <w:u w:val="single"/>
        </w:rPr>
      </w:pPr>
      <w:r w:rsidRPr="00CC61C2">
        <w:rPr>
          <w:szCs w:val="22"/>
          <w:u w:val="single"/>
        </w:rPr>
        <w:t>Amlewel</w:t>
      </w:r>
      <w:r w:rsidR="00367920">
        <w:rPr>
          <w:szCs w:val="22"/>
          <w:u w:val="single"/>
        </w:rPr>
        <w:t>,</w:t>
      </w:r>
      <w:r w:rsidRPr="00CC61C2">
        <w:rPr>
          <w:szCs w:val="22"/>
          <w:u w:val="single"/>
        </w:rPr>
        <w:t xml:space="preserve"> 8 mg + 2,5 mg + 10 mg</w:t>
      </w:r>
      <w:r w:rsidR="005822A1">
        <w:rPr>
          <w:szCs w:val="22"/>
          <w:u w:val="single"/>
        </w:rPr>
        <w:t>, tableta</w:t>
      </w:r>
    </w:p>
    <w:p w14:paraId="3B87BBE6" w14:textId="5BBBD142" w:rsidR="00D86BB7" w:rsidRPr="00CC61C2" w:rsidRDefault="00D86BB7" w:rsidP="000D120B">
      <w:pPr>
        <w:numPr>
          <w:ilvl w:val="0"/>
          <w:numId w:val="8"/>
        </w:numPr>
        <w:tabs>
          <w:tab w:val="clear" w:pos="567"/>
          <w:tab w:val="left" w:pos="284"/>
        </w:tabs>
        <w:spacing w:line="240" w:lineRule="auto"/>
        <w:jc w:val="both"/>
        <w:rPr>
          <w:szCs w:val="22"/>
        </w:rPr>
      </w:pPr>
      <w:r w:rsidRPr="00CC61C2">
        <w:rPr>
          <w:szCs w:val="22"/>
        </w:rPr>
        <w:t xml:space="preserve">Jačine </w:t>
      </w:r>
      <w:r w:rsidRPr="00CC61C2">
        <w:rPr>
          <w:color w:val="000000"/>
          <w:szCs w:val="22"/>
        </w:rPr>
        <w:t>8 mg + 2</w:t>
      </w:r>
      <w:r w:rsidR="00367920">
        <w:rPr>
          <w:color w:val="000000"/>
          <w:szCs w:val="22"/>
        </w:rPr>
        <w:t>,</w:t>
      </w:r>
      <w:r w:rsidRPr="00CC61C2">
        <w:rPr>
          <w:color w:val="000000"/>
          <w:szCs w:val="22"/>
        </w:rPr>
        <w:t>5 mg + 5 mg i 8 mg + 2</w:t>
      </w:r>
      <w:r w:rsidR="00367920">
        <w:rPr>
          <w:color w:val="000000"/>
          <w:szCs w:val="22"/>
        </w:rPr>
        <w:t>,</w:t>
      </w:r>
      <w:r w:rsidRPr="00CC61C2">
        <w:rPr>
          <w:color w:val="000000"/>
          <w:szCs w:val="22"/>
        </w:rPr>
        <w:t xml:space="preserve">5 mg + 10 mg  su kontraindikovane kod teške i umjerene </w:t>
      </w:r>
      <w:r w:rsidRPr="00CC61C2">
        <w:rPr>
          <w:szCs w:val="22"/>
        </w:rPr>
        <w:t xml:space="preserve">renalne insuficijencije </w:t>
      </w:r>
      <w:r w:rsidRPr="00CC61C2">
        <w:rPr>
          <w:color w:val="000000"/>
          <w:szCs w:val="22"/>
        </w:rPr>
        <w:t>(klirens kreatinina ispod 60 ml/min).</w:t>
      </w:r>
    </w:p>
    <w:p w14:paraId="61403E4B" w14:textId="77777777" w:rsidR="00D86BB7" w:rsidRPr="00CC61C2" w:rsidRDefault="00D86BB7" w:rsidP="000D120B">
      <w:pPr>
        <w:jc w:val="both"/>
        <w:rPr>
          <w:szCs w:val="22"/>
        </w:rPr>
      </w:pPr>
    </w:p>
    <w:p w14:paraId="78A2B7FB" w14:textId="70DC4A1F" w:rsidR="00D86BB7" w:rsidRPr="00CC61C2" w:rsidRDefault="00D86BB7" w:rsidP="000D120B">
      <w:pPr>
        <w:tabs>
          <w:tab w:val="clear" w:pos="567"/>
          <w:tab w:val="left" w:pos="284"/>
        </w:tabs>
        <w:spacing w:line="240" w:lineRule="auto"/>
        <w:jc w:val="both"/>
        <w:rPr>
          <w:szCs w:val="22"/>
        </w:rPr>
      </w:pPr>
      <w:r w:rsidRPr="00CC61C2">
        <w:rPr>
          <w:szCs w:val="22"/>
        </w:rPr>
        <w:t xml:space="preserve">Zbog nedostatka dovoljnog terapijskog iskustva, lijek Amlewel se ne </w:t>
      </w:r>
      <w:r w:rsidR="00DC5429" w:rsidRPr="00CC61C2">
        <w:rPr>
          <w:szCs w:val="22"/>
        </w:rPr>
        <w:t>smij</w:t>
      </w:r>
      <w:r w:rsidR="00DC5429">
        <w:rPr>
          <w:szCs w:val="22"/>
        </w:rPr>
        <w:t>e</w:t>
      </w:r>
      <w:r w:rsidR="00DC5429" w:rsidRPr="00CC61C2">
        <w:rPr>
          <w:szCs w:val="22"/>
        </w:rPr>
        <w:t xml:space="preserve"> </w:t>
      </w:r>
      <w:r w:rsidRPr="00CC61C2">
        <w:rPr>
          <w:szCs w:val="22"/>
        </w:rPr>
        <w:t>koristiti kod:</w:t>
      </w:r>
    </w:p>
    <w:p w14:paraId="1579183D" w14:textId="77777777" w:rsidR="00D86BB7" w:rsidRPr="00CC61C2" w:rsidRDefault="00D86BB7" w:rsidP="000D120B">
      <w:pPr>
        <w:numPr>
          <w:ilvl w:val="0"/>
          <w:numId w:val="8"/>
        </w:numPr>
        <w:tabs>
          <w:tab w:val="clear" w:pos="567"/>
          <w:tab w:val="left" w:pos="284"/>
        </w:tabs>
        <w:spacing w:line="240" w:lineRule="auto"/>
        <w:jc w:val="both"/>
        <w:rPr>
          <w:szCs w:val="22"/>
        </w:rPr>
      </w:pPr>
      <w:r w:rsidRPr="00CC61C2">
        <w:rPr>
          <w:szCs w:val="22"/>
        </w:rPr>
        <w:t>Pacijenata na dijalizi,</w:t>
      </w:r>
    </w:p>
    <w:p w14:paraId="61A39FF8" w14:textId="77777777" w:rsidR="00D86BB7" w:rsidRPr="00CC61C2" w:rsidRDefault="00D86BB7" w:rsidP="000D120B">
      <w:pPr>
        <w:numPr>
          <w:ilvl w:val="0"/>
          <w:numId w:val="8"/>
        </w:numPr>
        <w:tabs>
          <w:tab w:val="clear" w:pos="567"/>
          <w:tab w:val="left" w:pos="284"/>
        </w:tabs>
        <w:spacing w:line="240" w:lineRule="auto"/>
        <w:jc w:val="both"/>
        <w:rPr>
          <w:szCs w:val="22"/>
        </w:rPr>
      </w:pPr>
      <w:r w:rsidRPr="00CC61C2">
        <w:rPr>
          <w:szCs w:val="22"/>
        </w:rPr>
        <w:t>Pacijenata sa neliječenom dekompenzovanom srčanom insuficijencijom.</w:t>
      </w:r>
    </w:p>
    <w:p w14:paraId="01DED706" w14:textId="77777777" w:rsidR="00D86BB7" w:rsidRPr="00CC61C2" w:rsidRDefault="00D86BB7" w:rsidP="000D120B">
      <w:pPr>
        <w:jc w:val="both"/>
        <w:rPr>
          <w:szCs w:val="22"/>
        </w:rPr>
      </w:pPr>
    </w:p>
    <w:p w14:paraId="5CEBADFC" w14:textId="77777777" w:rsidR="00D86BB7" w:rsidRPr="00CC61C2" w:rsidRDefault="00D86BB7" w:rsidP="000D120B">
      <w:pPr>
        <w:tabs>
          <w:tab w:val="left" w:pos="284"/>
        </w:tabs>
        <w:jc w:val="both"/>
        <w:rPr>
          <w:b/>
          <w:bCs/>
          <w:szCs w:val="22"/>
        </w:rPr>
      </w:pPr>
      <w:r w:rsidRPr="00CC61C2">
        <w:rPr>
          <w:b/>
          <w:szCs w:val="22"/>
        </w:rPr>
        <w:t>4.4. Posebna upozorenja i mjere opreza pri upotrebi lijeka</w:t>
      </w:r>
    </w:p>
    <w:p w14:paraId="587E8E37" w14:textId="77777777" w:rsidR="00D86BB7" w:rsidRPr="00CC61C2" w:rsidRDefault="00D86BB7" w:rsidP="000D120B">
      <w:pPr>
        <w:tabs>
          <w:tab w:val="left" w:pos="284"/>
        </w:tabs>
        <w:jc w:val="both"/>
        <w:rPr>
          <w:rFonts w:eastAsia="Calibri"/>
          <w:szCs w:val="22"/>
          <w:highlight w:val="yellow"/>
        </w:rPr>
      </w:pPr>
    </w:p>
    <w:p w14:paraId="0A22B385" w14:textId="77777777" w:rsidR="00D86BB7" w:rsidRPr="00CC61C2" w:rsidRDefault="00D86BB7" w:rsidP="000D120B">
      <w:pPr>
        <w:tabs>
          <w:tab w:val="left" w:pos="284"/>
        </w:tabs>
        <w:jc w:val="both"/>
        <w:rPr>
          <w:i/>
          <w:szCs w:val="22"/>
        </w:rPr>
      </w:pPr>
      <w:r w:rsidRPr="00CC61C2">
        <w:rPr>
          <w:i/>
          <w:szCs w:val="22"/>
        </w:rPr>
        <w:t>Neutropenija/agranulocitoza/trombocitopenija/anemija</w:t>
      </w:r>
    </w:p>
    <w:p w14:paraId="704D9921" w14:textId="77777777" w:rsidR="00D86BB7" w:rsidRPr="00CC61C2" w:rsidRDefault="00D86BB7" w:rsidP="000D120B">
      <w:pPr>
        <w:tabs>
          <w:tab w:val="left" w:pos="284"/>
        </w:tabs>
        <w:jc w:val="both"/>
        <w:rPr>
          <w:szCs w:val="22"/>
        </w:rPr>
      </w:pPr>
      <w:r w:rsidRPr="00CC61C2">
        <w:rPr>
          <w:szCs w:val="22"/>
        </w:rPr>
        <w:t>Neutropenija/agranulocitoza, trombocitopenija i anemija su prijavljivane kod pacijenata koji su dobijali ACE inhibitore. Kod pacijenata sa normalnom bubrežnom funkcijom i bez drugih faktora koji mogu dovesti do komplikacija, neutropenija nastaje rijetko. Perindopril treba davati sa velikim oprezom pacijentima sa kolagenim vaskularnim bolestima, na terapiji imunosupresivima, terapiji alopurinolom ili prokainamidom, ili kombinacijom ovih faktora koji mogu da dovedu do komplikacija, posebno ukoliko već postoji oštećenje bubrežne funkcije. Neki od ovih pacijenata su razvili ozbiljne infekcije koje u nekoliko slučajeva nijesu odgovorile na intenzivnu antibiotsku terapiju. Ukoliko se perindopril koristi kod takvih pacijenata, preporučuje se periodično praćenje broja leukocita i pacijentima treba preporučiti da prijave svaki znak infekcije (npr. upalu grla, groznicu) (vidjeti djelove 4.5 i 4.8).</w:t>
      </w:r>
    </w:p>
    <w:p w14:paraId="6BF88072" w14:textId="77777777" w:rsidR="00D86BB7" w:rsidRPr="00CC61C2" w:rsidRDefault="00D86BB7" w:rsidP="000D120B">
      <w:pPr>
        <w:tabs>
          <w:tab w:val="center" w:pos="4536"/>
          <w:tab w:val="right" w:pos="9072"/>
        </w:tabs>
        <w:jc w:val="both"/>
        <w:rPr>
          <w:szCs w:val="22"/>
        </w:rPr>
      </w:pPr>
    </w:p>
    <w:p w14:paraId="37648030" w14:textId="77777777" w:rsidR="00D86BB7" w:rsidRPr="00CC61C2" w:rsidRDefault="00D86BB7" w:rsidP="000D120B">
      <w:pPr>
        <w:tabs>
          <w:tab w:val="left" w:pos="284"/>
        </w:tabs>
        <w:jc w:val="both"/>
        <w:rPr>
          <w:i/>
          <w:szCs w:val="22"/>
        </w:rPr>
      </w:pPr>
      <w:r w:rsidRPr="00CC61C2">
        <w:rPr>
          <w:i/>
          <w:szCs w:val="22"/>
        </w:rPr>
        <w:t>Hipersenzitivnost/Angioedem</w:t>
      </w:r>
    </w:p>
    <w:p w14:paraId="25968522" w14:textId="77777777" w:rsidR="00D86BB7" w:rsidRPr="00CC61C2" w:rsidRDefault="00D86BB7" w:rsidP="000D120B">
      <w:pPr>
        <w:tabs>
          <w:tab w:val="left" w:pos="284"/>
        </w:tabs>
        <w:jc w:val="both"/>
        <w:rPr>
          <w:szCs w:val="22"/>
        </w:rPr>
      </w:pPr>
      <w:r w:rsidRPr="00CC61C2">
        <w:rPr>
          <w:szCs w:val="22"/>
        </w:rPr>
        <w:t xml:space="preserve">Angioedem lica, ekstremiteta, usana, jezika, glotisa i/ili larinksa je rijetko prijavljivan kod pacijenata koji su primali inhibitore angiotenzin konvertujućeg enzima, uključujući perindopril </w:t>
      </w:r>
      <w:r w:rsidRPr="00CC61C2">
        <w:rPr>
          <w:bCs/>
          <w:szCs w:val="22"/>
        </w:rPr>
        <w:t>(vidjeti dio 4.8)</w:t>
      </w:r>
      <w:r w:rsidRPr="00CC61C2">
        <w:rPr>
          <w:szCs w:val="22"/>
        </w:rPr>
        <w:t>. Ovo se može dogoditi u bilo koje vrijeme u toku liječenja. U ovim slučajevima, terapija perindoprilom se momentalno prekida i pacijent mora biti praćen sve dok se simptomi ne povuku. U slučajevima kada edem zahvati samo lice i usne, otok se generalno povlači bez terapije, mada se antihistaminici mogu primijeniti za ublažavanje simptoma.</w:t>
      </w:r>
    </w:p>
    <w:p w14:paraId="1A7E3F12" w14:textId="77777777" w:rsidR="00D86BB7" w:rsidRPr="00CC61C2" w:rsidRDefault="00D86BB7" w:rsidP="000D120B">
      <w:pPr>
        <w:tabs>
          <w:tab w:val="left" w:pos="284"/>
        </w:tabs>
        <w:jc w:val="both"/>
        <w:rPr>
          <w:szCs w:val="22"/>
        </w:rPr>
      </w:pPr>
      <w:r w:rsidRPr="00CC61C2">
        <w:rPr>
          <w:szCs w:val="22"/>
        </w:rPr>
        <w:lastRenderedPageBreak/>
        <w:t>Angioedem povezan sa edemom larinksa može biti fatalan. U slučaju kada su otokom zahvaćeni jezik, glotis ili larinks, može doći do opstrukcije disajnih puteva, pa brzo treba primijeniti odgovarajuću terapiju koja može uključivati subkutano primijenjeni rastvor adrenalina 1:1000 (0,3 ml - 0,5 ml) i/ili mjere za oslobađanje disajnih puteva.</w:t>
      </w:r>
    </w:p>
    <w:p w14:paraId="78466795" w14:textId="77777777" w:rsidR="00D86BB7" w:rsidRPr="00CC61C2" w:rsidRDefault="00D86BB7" w:rsidP="000D120B">
      <w:pPr>
        <w:tabs>
          <w:tab w:val="left" w:pos="284"/>
        </w:tabs>
        <w:jc w:val="both"/>
        <w:rPr>
          <w:szCs w:val="22"/>
        </w:rPr>
      </w:pPr>
      <w:r w:rsidRPr="00CC61C2">
        <w:rPr>
          <w:szCs w:val="22"/>
        </w:rPr>
        <w:t>Prijavljeno je da je mogućnost nastanka angioedema kod populacije crne rase češća u odnosu na populaciju drugih rasa.</w:t>
      </w:r>
    </w:p>
    <w:p w14:paraId="4000BB5C" w14:textId="77777777" w:rsidR="00D86BB7" w:rsidRPr="00CC61C2" w:rsidRDefault="00D86BB7" w:rsidP="000D120B">
      <w:pPr>
        <w:tabs>
          <w:tab w:val="left" w:pos="284"/>
        </w:tabs>
        <w:jc w:val="both"/>
        <w:rPr>
          <w:szCs w:val="22"/>
        </w:rPr>
      </w:pPr>
      <w:r w:rsidRPr="00CC61C2">
        <w:rPr>
          <w:szCs w:val="22"/>
        </w:rPr>
        <w:t>Pacijenti sa angioedemom u istoriji bolesti koji nije povezan sa uzimanjem ACE inhibitora, imaju povećan rizik za pojavu angioedema ukoliko su na terapiji ACE inhibitorima</w:t>
      </w:r>
      <w:r w:rsidRPr="00CC61C2" w:rsidDel="00C26DBA">
        <w:rPr>
          <w:szCs w:val="22"/>
        </w:rPr>
        <w:t xml:space="preserve"> </w:t>
      </w:r>
      <w:r w:rsidRPr="00CC61C2">
        <w:rPr>
          <w:szCs w:val="22"/>
        </w:rPr>
        <w:t>(vidjeti dio 4.3).</w:t>
      </w:r>
    </w:p>
    <w:p w14:paraId="7720988D" w14:textId="77777777" w:rsidR="00D86BB7" w:rsidRPr="00CC61C2" w:rsidRDefault="00D86BB7" w:rsidP="000D120B">
      <w:pPr>
        <w:tabs>
          <w:tab w:val="left" w:pos="284"/>
        </w:tabs>
        <w:jc w:val="both"/>
        <w:rPr>
          <w:szCs w:val="22"/>
        </w:rPr>
      </w:pPr>
      <w:r w:rsidRPr="00CC61C2">
        <w:rPr>
          <w:szCs w:val="22"/>
        </w:rPr>
        <w:t>Rijetko je prijavljivan intestinalni angioedem kod pacijenata koji su na terapiji ACE inhibitorima. Pacijenti simptome opisuju kao bol u stomaku sa ili bez mučnine i povraćanja; ponekad se javlja bez oticanja lica i sa normalnim nivoima C-1 esteraze. Angioedem se utvrđuje CT-om ili ultrazvukom abdomena ili u toku operacije, a simptomi se povlače po ukidanju terapije ACE inhibitorima. Intestinalni angioedem treba razmatrati u okviru diferencijalne dijagnoze kod pacijenata koji prijavljuju bol u stomaku, a pri tom su na terapiji ACE inhibitorima.</w:t>
      </w:r>
    </w:p>
    <w:p w14:paraId="38895B26" w14:textId="77777777" w:rsidR="00D86BB7" w:rsidRPr="00CC61C2" w:rsidRDefault="00D86BB7" w:rsidP="000D120B">
      <w:pPr>
        <w:spacing w:line="240" w:lineRule="auto"/>
        <w:jc w:val="both"/>
        <w:rPr>
          <w:szCs w:val="22"/>
          <w:highlight w:val="blue"/>
        </w:rPr>
      </w:pPr>
      <w:r w:rsidRPr="00CC61C2">
        <w:rPr>
          <w:color w:val="000000"/>
          <w:szCs w:val="22"/>
        </w:rPr>
        <w:t>Istovremena primjena ACE inhibitora sa sakubitril/valsartanom je kontraindikovana zbog povećanog rizika od nastanka angioedema. Sa primjenom sakubitril/valsartana se smije započeti tek 36 sati nakon uzimanja posljednje doze perindoprila. Sa primjenom perindoprila se smije započeti tek 36 sati nakon posljednje doze sakubitril/valsartana (vidjeti djelove 4.3 i 4.5).</w:t>
      </w:r>
    </w:p>
    <w:p w14:paraId="087A9973" w14:textId="77777777" w:rsidR="00D86BB7" w:rsidRPr="00CC61C2" w:rsidRDefault="00D86BB7" w:rsidP="000D120B">
      <w:pPr>
        <w:tabs>
          <w:tab w:val="center" w:pos="4536"/>
          <w:tab w:val="right" w:pos="9072"/>
        </w:tabs>
        <w:jc w:val="both"/>
        <w:rPr>
          <w:szCs w:val="22"/>
        </w:rPr>
      </w:pPr>
      <w:r w:rsidRPr="00CC61C2">
        <w:rPr>
          <w:szCs w:val="22"/>
        </w:rPr>
        <w:t xml:space="preserve">Pacijenti koji istovremeno uzimaju ACE inhibitore sa NEP inhibitorima (npr. racekadotril), mTOR inhibitorima (npr. sirolimus, everolimus, temsirolimus) i </w:t>
      </w:r>
      <w:r w:rsidRPr="00CC61C2">
        <w:rPr>
          <w:rFonts w:eastAsia="Verdana"/>
          <w:szCs w:val="22"/>
        </w:rPr>
        <w:t>gliptinima (npr. linagliptin, saksagliptin, sitagliptin,</w:t>
      </w:r>
      <w:r w:rsidRPr="00CC61C2">
        <w:rPr>
          <w:szCs w:val="22"/>
        </w:rPr>
        <w:t xml:space="preserve"> vildagliptin) mogu imati povećan rizik od pojave angioedema (oticanje disajnih puteva ili jezika, sa ili bez pojave opstrukcije disajnih puteva) (vidjeti dio 4.5). Potreban je oprez kada pacijent koji već prima ACE inhibitor počinje terapiju racekadotrilom, mTOR inhibitorima (npr. sirolimus, everolimus, temsirolimus) i </w:t>
      </w:r>
      <w:r w:rsidRPr="00CC61C2">
        <w:rPr>
          <w:rFonts w:eastAsia="Verdana"/>
          <w:szCs w:val="22"/>
        </w:rPr>
        <w:t>gliptinima (npr. linagliptin, saksagliptin, sitagliptin,</w:t>
      </w:r>
      <w:r w:rsidRPr="00CC61C2">
        <w:rPr>
          <w:szCs w:val="22"/>
        </w:rPr>
        <w:t xml:space="preserve"> vildagliptinom).</w:t>
      </w:r>
    </w:p>
    <w:p w14:paraId="625D7FAE" w14:textId="77777777" w:rsidR="00D86BB7" w:rsidRPr="00CC61C2" w:rsidRDefault="00D86BB7" w:rsidP="000D120B">
      <w:pPr>
        <w:tabs>
          <w:tab w:val="center" w:pos="4536"/>
          <w:tab w:val="right" w:pos="9072"/>
        </w:tabs>
        <w:jc w:val="both"/>
        <w:rPr>
          <w:szCs w:val="22"/>
        </w:rPr>
      </w:pPr>
    </w:p>
    <w:p w14:paraId="37F82B2D" w14:textId="77777777" w:rsidR="00D86BB7" w:rsidRPr="00CC61C2" w:rsidRDefault="00D86BB7" w:rsidP="000D120B">
      <w:pPr>
        <w:tabs>
          <w:tab w:val="left" w:pos="284"/>
        </w:tabs>
        <w:jc w:val="both"/>
        <w:rPr>
          <w:i/>
          <w:szCs w:val="22"/>
          <w:lang w:eastAsia="x-none"/>
        </w:rPr>
      </w:pPr>
      <w:r w:rsidRPr="00CC61C2">
        <w:rPr>
          <w:i/>
          <w:szCs w:val="22"/>
          <w:lang w:eastAsia="x-none"/>
        </w:rPr>
        <w:t>Anafilaktoidna reakcija tokom desenzibilizacije</w:t>
      </w:r>
    </w:p>
    <w:p w14:paraId="469D2594" w14:textId="77777777" w:rsidR="00D86BB7" w:rsidRPr="00CC61C2" w:rsidRDefault="00D86BB7" w:rsidP="000D120B">
      <w:pPr>
        <w:tabs>
          <w:tab w:val="left" w:pos="284"/>
        </w:tabs>
        <w:jc w:val="both"/>
        <w:rPr>
          <w:szCs w:val="22"/>
        </w:rPr>
      </w:pPr>
      <w:r w:rsidRPr="00CC61C2">
        <w:rPr>
          <w:szCs w:val="22"/>
        </w:rPr>
        <w:t>Bilo je izolovanih izvještaja o pacijentima koji su imali životno ugrožavajuću anafilaktoidnu reakciju dok su primali ACE inhibitore, i to tokom tretmana desenzibilizacije otrovom opnokrilaca (pčela, osa). ACE inhibitore treba sa oprezom primjenjivati kod desenzibilizovanih pacijenata, kao i kod onih koji su na imunoterapiji otrovima. Međutim, ove reakcije se mogu spriječiti privremenim ukidanjem ACE-inhibitora najmanje 24 h prije tretmana desenzibilizacije kod pacijenata kojima se ordiniraju ACE inhibitori.</w:t>
      </w:r>
    </w:p>
    <w:p w14:paraId="15B77C81" w14:textId="77777777" w:rsidR="00D86BB7" w:rsidRPr="00CC61C2" w:rsidRDefault="00D86BB7" w:rsidP="000D120B">
      <w:pPr>
        <w:tabs>
          <w:tab w:val="left" w:pos="284"/>
        </w:tabs>
        <w:jc w:val="both"/>
        <w:rPr>
          <w:szCs w:val="22"/>
        </w:rPr>
      </w:pPr>
    </w:p>
    <w:p w14:paraId="3B301D42" w14:textId="77777777" w:rsidR="00D86BB7" w:rsidRPr="00CC61C2" w:rsidRDefault="00D86BB7" w:rsidP="000D120B">
      <w:pPr>
        <w:tabs>
          <w:tab w:val="left" w:pos="284"/>
        </w:tabs>
        <w:jc w:val="both"/>
        <w:rPr>
          <w:i/>
          <w:szCs w:val="22"/>
        </w:rPr>
      </w:pPr>
      <w:r w:rsidRPr="00CC61C2">
        <w:rPr>
          <w:i/>
          <w:szCs w:val="22"/>
        </w:rPr>
        <w:t xml:space="preserve">Anafilaktoidna reakcija tokom </w:t>
      </w:r>
      <w:smartTag w:uri="urn:schemas-microsoft-com:office:smarttags" w:element="stockticker">
        <w:r w:rsidRPr="00CC61C2">
          <w:rPr>
            <w:i/>
            <w:szCs w:val="22"/>
          </w:rPr>
          <w:t>LDL</w:t>
        </w:r>
      </w:smartTag>
      <w:r w:rsidRPr="00CC61C2">
        <w:rPr>
          <w:i/>
          <w:szCs w:val="22"/>
        </w:rPr>
        <w:t xml:space="preserve"> afereze</w:t>
      </w:r>
    </w:p>
    <w:p w14:paraId="3FDF2FE3" w14:textId="77777777" w:rsidR="00D86BB7" w:rsidRPr="00CC61C2" w:rsidRDefault="00D86BB7" w:rsidP="000D120B">
      <w:pPr>
        <w:tabs>
          <w:tab w:val="left" w:pos="284"/>
        </w:tabs>
        <w:jc w:val="both"/>
        <w:rPr>
          <w:szCs w:val="22"/>
        </w:rPr>
      </w:pPr>
      <w:r w:rsidRPr="00CC61C2">
        <w:rPr>
          <w:szCs w:val="22"/>
        </w:rPr>
        <w:t>U rijetkim slučajevima je bilo izvještaja o pacijentima koji su imali životno-ugrožavajuću anafilaktoidnu reakciju dok su primali ACE-inhibitore za vrijeme afereze lipoproteina male gustine (LDL afereze) sa dekstran sulfatom. Ove reakcije se izbjegavaju privremenim isključenjem ACE inhibitora prije svake afereze.</w:t>
      </w:r>
    </w:p>
    <w:p w14:paraId="703CF92B" w14:textId="77777777" w:rsidR="00D86BB7" w:rsidRPr="00CC61C2" w:rsidRDefault="00D86BB7" w:rsidP="000D120B">
      <w:pPr>
        <w:tabs>
          <w:tab w:val="left" w:pos="284"/>
        </w:tabs>
        <w:jc w:val="both"/>
        <w:rPr>
          <w:szCs w:val="22"/>
        </w:rPr>
      </w:pPr>
    </w:p>
    <w:p w14:paraId="6E2FE16D" w14:textId="77777777" w:rsidR="00D86BB7" w:rsidRPr="00CC61C2" w:rsidRDefault="00D86BB7" w:rsidP="000D120B">
      <w:pPr>
        <w:tabs>
          <w:tab w:val="left" w:pos="284"/>
        </w:tabs>
        <w:jc w:val="both"/>
        <w:rPr>
          <w:i/>
          <w:szCs w:val="22"/>
        </w:rPr>
      </w:pPr>
      <w:r w:rsidRPr="00CC61C2">
        <w:rPr>
          <w:i/>
          <w:szCs w:val="22"/>
        </w:rPr>
        <w:t>Pacijenti na hemodijalizi</w:t>
      </w:r>
    </w:p>
    <w:p w14:paraId="3DE807B6" w14:textId="77777777" w:rsidR="00D86BB7" w:rsidRPr="00CC61C2" w:rsidRDefault="00D86BB7" w:rsidP="000D120B">
      <w:pPr>
        <w:tabs>
          <w:tab w:val="left" w:pos="284"/>
        </w:tabs>
        <w:jc w:val="both"/>
        <w:rPr>
          <w:szCs w:val="22"/>
        </w:rPr>
      </w:pPr>
      <w:r w:rsidRPr="00CC61C2">
        <w:rPr>
          <w:szCs w:val="22"/>
        </w:rPr>
        <w:t>Anafilaktoidne reakcije su prijavljivane kod pacijenata na hemodijalizi visoko-protočnim membranama (npr. AN69</w:t>
      </w:r>
      <w:r w:rsidRPr="00CC61C2">
        <w:rPr>
          <w:szCs w:val="22"/>
          <w:vertAlign w:val="superscript"/>
        </w:rPr>
        <w:sym w:font="Symbol" w:char="F0D2"/>
      </w:r>
      <w:r w:rsidRPr="00CC61C2">
        <w:rPr>
          <w:szCs w:val="22"/>
        </w:rPr>
        <w:t>) uz konkomitantnu upotrebu ACE inhibitora. Kod ovih pacijenata treba uzeti u obzir korišćenje drugog tipa dijaliznih membrana ili drugu klasu antihipertenziva.</w:t>
      </w:r>
    </w:p>
    <w:p w14:paraId="097CA75D" w14:textId="77777777" w:rsidR="00D86BB7" w:rsidRPr="00CC61C2" w:rsidRDefault="00D86BB7" w:rsidP="000D120B">
      <w:pPr>
        <w:tabs>
          <w:tab w:val="left" w:pos="284"/>
        </w:tabs>
        <w:jc w:val="both"/>
        <w:rPr>
          <w:szCs w:val="22"/>
          <w:u w:val="single"/>
        </w:rPr>
      </w:pPr>
    </w:p>
    <w:p w14:paraId="0E2D50E3" w14:textId="77777777" w:rsidR="00D86BB7" w:rsidRPr="00CC61C2" w:rsidRDefault="00D86BB7" w:rsidP="000D120B">
      <w:pPr>
        <w:autoSpaceDE w:val="0"/>
        <w:autoSpaceDN w:val="0"/>
        <w:adjustRightInd w:val="0"/>
        <w:jc w:val="both"/>
        <w:rPr>
          <w:i/>
          <w:szCs w:val="22"/>
          <w:lang w:eastAsia="en-GB"/>
        </w:rPr>
      </w:pPr>
      <w:r w:rsidRPr="00CC61C2">
        <w:rPr>
          <w:i/>
          <w:szCs w:val="22"/>
          <w:lang w:eastAsia="en-GB"/>
        </w:rPr>
        <w:t xml:space="preserve">Primarni aldosteronizam </w:t>
      </w:r>
    </w:p>
    <w:p w14:paraId="7B84CD7B" w14:textId="77777777" w:rsidR="00D86BB7" w:rsidRPr="00CC61C2" w:rsidRDefault="00D86BB7" w:rsidP="000D120B">
      <w:pPr>
        <w:autoSpaceDE w:val="0"/>
        <w:autoSpaceDN w:val="0"/>
        <w:adjustRightInd w:val="0"/>
        <w:jc w:val="both"/>
        <w:rPr>
          <w:szCs w:val="22"/>
          <w:lang w:eastAsia="en-GB"/>
        </w:rPr>
      </w:pPr>
      <w:r w:rsidRPr="00CC61C2">
        <w:rPr>
          <w:szCs w:val="22"/>
          <w:lang w:eastAsia="en-GB"/>
        </w:rPr>
        <w:t>Pacijenti sa primarnim hiperaldosteronizmom obično neće reagovati na antihipertenzivne ljekove koji djeluju putem inhibicije renin-angiotenzin sistema. Stoga, primjena ovog lijeka se kod njih ne preporučuje.</w:t>
      </w:r>
    </w:p>
    <w:p w14:paraId="30CBF0A7" w14:textId="77777777" w:rsidR="00D86BB7" w:rsidRPr="00CC61C2" w:rsidRDefault="00D86BB7" w:rsidP="000D120B">
      <w:pPr>
        <w:tabs>
          <w:tab w:val="left" w:pos="284"/>
        </w:tabs>
        <w:jc w:val="both"/>
        <w:rPr>
          <w:szCs w:val="22"/>
          <w:u w:val="single"/>
        </w:rPr>
      </w:pPr>
    </w:p>
    <w:p w14:paraId="1ADC1202" w14:textId="77777777" w:rsidR="00D86BB7" w:rsidRPr="00CC61C2" w:rsidRDefault="00D86BB7" w:rsidP="000D120B">
      <w:pPr>
        <w:jc w:val="both"/>
        <w:rPr>
          <w:i/>
          <w:iCs/>
          <w:szCs w:val="22"/>
        </w:rPr>
      </w:pPr>
      <w:r w:rsidRPr="00CC61C2">
        <w:rPr>
          <w:i/>
          <w:iCs/>
          <w:szCs w:val="22"/>
        </w:rPr>
        <w:t>Ljekovi koji štede kalijum, suplementi kalijuma</w:t>
      </w:r>
      <w:r w:rsidRPr="00CC61C2">
        <w:rPr>
          <w:szCs w:val="22"/>
        </w:rPr>
        <w:t xml:space="preserve"> </w:t>
      </w:r>
      <w:r w:rsidRPr="00CC61C2">
        <w:rPr>
          <w:i/>
          <w:iCs/>
          <w:szCs w:val="22"/>
        </w:rPr>
        <w:t>ili kalijumove soli</w:t>
      </w:r>
    </w:p>
    <w:p w14:paraId="07AB9A51" w14:textId="77777777" w:rsidR="00D86BB7" w:rsidRPr="00CC61C2" w:rsidRDefault="00D86BB7" w:rsidP="000D120B">
      <w:pPr>
        <w:tabs>
          <w:tab w:val="left" w:pos="284"/>
        </w:tabs>
        <w:jc w:val="both"/>
        <w:rPr>
          <w:szCs w:val="22"/>
        </w:rPr>
      </w:pPr>
      <w:r w:rsidRPr="00CC61C2">
        <w:rPr>
          <w:szCs w:val="22"/>
        </w:rPr>
        <w:t>Istovremena upotreba perindoprila sa ljekovima koji štede kalijum, suplementima kalijuma i kalijumovim solima se ne preporučuje (vidjeti dio 4.5).</w:t>
      </w:r>
    </w:p>
    <w:p w14:paraId="345B5257" w14:textId="42C3496F" w:rsidR="00E5447C" w:rsidRDefault="00E5447C" w:rsidP="000D120B">
      <w:pPr>
        <w:tabs>
          <w:tab w:val="left" w:pos="284"/>
        </w:tabs>
        <w:jc w:val="both"/>
        <w:rPr>
          <w:szCs w:val="22"/>
        </w:rPr>
      </w:pPr>
    </w:p>
    <w:p w14:paraId="58E4F194" w14:textId="21F7848C" w:rsidR="009D6AD4" w:rsidRDefault="009D6AD4" w:rsidP="000D120B">
      <w:pPr>
        <w:tabs>
          <w:tab w:val="left" w:pos="284"/>
        </w:tabs>
        <w:jc w:val="both"/>
        <w:rPr>
          <w:szCs w:val="22"/>
        </w:rPr>
      </w:pPr>
    </w:p>
    <w:p w14:paraId="2FA4A76E" w14:textId="0CB5BE1F" w:rsidR="009D6AD4" w:rsidRDefault="009D6AD4" w:rsidP="000D120B">
      <w:pPr>
        <w:tabs>
          <w:tab w:val="left" w:pos="284"/>
        </w:tabs>
        <w:jc w:val="both"/>
        <w:rPr>
          <w:szCs w:val="22"/>
        </w:rPr>
      </w:pPr>
    </w:p>
    <w:p w14:paraId="334B5F0A" w14:textId="77777777" w:rsidR="009D6AD4" w:rsidRPr="00CC61C2" w:rsidRDefault="009D6AD4" w:rsidP="000D120B">
      <w:pPr>
        <w:tabs>
          <w:tab w:val="left" w:pos="284"/>
        </w:tabs>
        <w:jc w:val="both"/>
        <w:rPr>
          <w:szCs w:val="22"/>
        </w:rPr>
      </w:pPr>
    </w:p>
    <w:p w14:paraId="3E7B6232" w14:textId="77777777" w:rsidR="00D86BB7" w:rsidRPr="00CC61C2" w:rsidRDefault="00D86BB7" w:rsidP="000D120B">
      <w:pPr>
        <w:tabs>
          <w:tab w:val="left" w:pos="284"/>
        </w:tabs>
        <w:jc w:val="both"/>
        <w:rPr>
          <w:i/>
          <w:szCs w:val="22"/>
        </w:rPr>
      </w:pPr>
      <w:r w:rsidRPr="00CC61C2">
        <w:rPr>
          <w:i/>
          <w:szCs w:val="22"/>
        </w:rPr>
        <w:lastRenderedPageBreak/>
        <w:t>Hepatička encefalopatija</w:t>
      </w:r>
    </w:p>
    <w:p w14:paraId="1E72EA37" w14:textId="4E147DCC" w:rsidR="00D86BB7" w:rsidRPr="00CC61C2" w:rsidRDefault="00D86BB7" w:rsidP="000D120B">
      <w:pPr>
        <w:tabs>
          <w:tab w:val="left" w:pos="284"/>
        </w:tabs>
        <w:jc w:val="both"/>
        <w:rPr>
          <w:szCs w:val="22"/>
        </w:rPr>
      </w:pPr>
      <w:r w:rsidRPr="00CC61C2">
        <w:rPr>
          <w:szCs w:val="22"/>
        </w:rPr>
        <w:t>Kada je funkcija jetre oštećena, tiazidni diuretici i tiazidima-slični diuretici mogu izazvati, pogotovo u slučaju disbalansa elektrolita</w:t>
      </w:r>
      <w:r w:rsidR="002D2103">
        <w:rPr>
          <w:szCs w:val="22"/>
        </w:rPr>
        <w:t>,</w:t>
      </w:r>
      <w:r w:rsidRPr="00CC61C2">
        <w:rPr>
          <w:szCs w:val="22"/>
        </w:rPr>
        <w:t xml:space="preserve"> hepatičku encefalopatiju</w:t>
      </w:r>
      <w:r w:rsidR="002D2103">
        <w:rPr>
          <w:szCs w:val="22"/>
        </w:rPr>
        <w:t xml:space="preserve"> </w:t>
      </w:r>
      <w:r w:rsidRPr="00CC61C2">
        <w:rPr>
          <w:szCs w:val="22"/>
        </w:rPr>
        <w:t>koja može dovesti do hepatičke kome. Ako se pojavi, primjena diuretika se mora momentalno prekinuti.</w:t>
      </w:r>
    </w:p>
    <w:p w14:paraId="224FC2E2" w14:textId="77777777" w:rsidR="00C60E25" w:rsidRPr="00CC61C2" w:rsidRDefault="00C60E25" w:rsidP="000D120B">
      <w:pPr>
        <w:tabs>
          <w:tab w:val="left" w:pos="284"/>
        </w:tabs>
        <w:jc w:val="both"/>
        <w:rPr>
          <w:szCs w:val="22"/>
        </w:rPr>
      </w:pPr>
    </w:p>
    <w:p w14:paraId="61E34807" w14:textId="77777777" w:rsidR="00D86BB7" w:rsidRPr="00CC61C2" w:rsidRDefault="00D86BB7" w:rsidP="000D120B">
      <w:pPr>
        <w:tabs>
          <w:tab w:val="left" w:pos="284"/>
        </w:tabs>
        <w:jc w:val="both"/>
        <w:rPr>
          <w:i/>
          <w:szCs w:val="22"/>
        </w:rPr>
      </w:pPr>
      <w:r w:rsidRPr="00CC61C2">
        <w:rPr>
          <w:i/>
          <w:szCs w:val="22"/>
        </w:rPr>
        <w:t>Fotosenzitivnost</w:t>
      </w:r>
    </w:p>
    <w:p w14:paraId="674F2888" w14:textId="77777777" w:rsidR="00D86BB7" w:rsidRPr="00CC61C2" w:rsidRDefault="00D86BB7" w:rsidP="000D120B">
      <w:pPr>
        <w:tabs>
          <w:tab w:val="left" w:pos="284"/>
        </w:tabs>
        <w:jc w:val="both"/>
        <w:rPr>
          <w:szCs w:val="22"/>
        </w:rPr>
      </w:pPr>
      <w:r w:rsidRPr="00CC61C2">
        <w:rPr>
          <w:szCs w:val="22"/>
        </w:rPr>
        <w:t xml:space="preserve">Slučajevi fotosenzitivnosti su prijavljivani kod pacijenata koji su uzimali tiazide i tiazidima-slične diuretike (vidjeti dio 4.8). Ukoliko se pojavi reakcija fotosenzitivnosti u toku terapije, terapiju treba prekinuti. Ukoliko je neophodno ponovo započeti primjenu diuretika, potrebno je zaštititi djelove izložene sunčevoj svjetlosti i vještačkom UVA zračenju. </w:t>
      </w:r>
    </w:p>
    <w:p w14:paraId="62D2CA23" w14:textId="77777777" w:rsidR="00D86BB7" w:rsidRPr="00CC61C2" w:rsidRDefault="00D86BB7" w:rsidP="000D120B">
      <w:pPr>
        <w:tabs>
          <w:tab w:val="left" w:pos="284"/>
        </w:tabs>
        <w:jc w:val="both"/>
        <w:rPr>
          <w:i/>
          <w:szCs w:val="22"/>
        </w:rPr>
      </w:pPr>
    </w:p>
    <w:p w14:paraId="4BA18DA9" w14:textId="77777777" w:rsidR="00D86BB7" w:rsidRPr="00CC61C2" w:rsidRDefault="00D86BB7" w:rsidP="000D120B">
      <w:pPr>
        <w:tabs>
          <w:tab w:val="left" w:pos="284"/>
        </w:tabs>
        <w:jc w:val="both"/>
        <w:rPr>
          <w:i/>
          <w:szCs w:val="22"/>
        </w:rPr>
      </w:pPr>
      <w:r w:rsidRPr="00CC61C2">
        <w:rPr>
          <w:i/>
          <w:szCs w:val="22"/>
        </w:rPr>
        <w:t>Trudnoća i dojenje</w:t>
      </w:r>
    </w:p>
    <w:p w14:paraId="0FC46A48" w14:textId="77777777" w:rsidR="00D86BB7" w:rsidRPr="00CC61C2" w:rsidRDefault="00D86BB7" w:rsidP="000D120B">
      <w:pPr>
        <w:tabs>
          <w:tab w:val="left" w:pos="284"/>
        </w:tabs>
        <w:jc w:val="both"/>
        <w:rPr>
          <w:szCs w:val="22"/>
        </w:rPr>
      </w:pPr>
      <w:r w:rsidRPr="00CC61C2">
        <w:rPr>
          <w:szCs w:val="22"/>
        </w:rPr>
        <w:t>Upotreba ACE inhibitora se ne smije započeti u toku trudnoće. Ukoliko se terapija ACE inhibitorom smatra neophodnom, pacijentkinje koje planiraju trudnoću bi trebalo da pređu na alternativnu terapiju antihipertenzivima koji se mogu koristiti u trudnoći. Terapija se ukida odmah po otkrivanju trudnoće, i ukoliko je neophodno, započinje sa alternativnom terapijom (vidjeti djelove 4.3 i 4.6).</w:t>
      </w:r>
    </w:p>
    <w:p w14:paraId="7D2E167B" w14:textId="77777777" w:rsidR="00D86BB7" w:rsidRPr="00CC61C2" w:rsidRDefault="00D86BB7" w:rsidP="000D120B">
      <w:pPr>
        <w:tabs>
          <w:tab w:val="center" w:pos="4536"/>
          <w:tab w:val="right" w:pos="9072"/>
        </w:tabs>
        <w:jc w:val="both"/>
        <w:rPr>
          <w:szCs w:val="22"/>
        </w:rPr>
      </w:pPr>
    </w:p>
    <w:p w14:paraId="6C217414" w14:textId="77777777" w:rsidR="00D86BB7" w:rsidRPr="00CC61C2" w:rsidRDefault="00D86BB7" w:rsidP="000D120B">
      <w:pPr>
        <w:tabs>
          <w:tab w:val="center" w:pos="4536"/>
          <w:tab w:val="right" w:pos="9072"/>
        </w:tabs>
        <w:jc w:val="both"/>
        <w:rPr>
          <w:i/>
          <w:szCs w:val="22"/>
        </w:rPr>
      </w:pPr>
      <w:r w:rsidRPr="00CC61C2">
        <w:rPr>
          <w:i/>
          <w:szCs w:val="22"/>
        </w:rPr>
        <w:t>Oštećenje bubrega</w:t>
      </w:r>
    </w:p>
    <w:p w14:paraId="5A6F05CC" w14:textId="77777777" w:rsidR="00D86BB7" w:rsidRPr="00CC61C2" w:rsidRDefault="00D86BB7" w:rsidP="000D120B">
      <w:pPr>
        <w:tabs>
          <w:tab w:val="left" w:pos="284"/>
        </w:tabs>
        <w:jc w:val="both"/>
        <w:rPr>
          <w:szCs w:val="22"/>
        </w:rPr>
      </w:pPr>
      <w:r w:rsidRPr="00CC61C2">
        <w:rPr>
          <w:szCs w:val="22"/>
        </w:rPr>
        <w:t xml:space="preserve">U slučajevima teške renalne insuficijencije (klirens kreatinina ispod 30 ml/min), terapija je kontraindikovana. </w:t>
      </w:r>
    </w:p>
    <w:p w14:paraId="703E378D" w14:textId="77777777" w:rsidR="00D86BB7" w:rsidRPr="00CC61C2" w:rsidRDefault="00D86BB7" w:rsidP="000D120B">
      <w:pPr>
        <w:widowControl w:val="0"/>
        <w:tabs>
          <w:tab w:val="left" w:pos="833"/>
        </w:tabs>
        <w:jc w:val="both"/>
        <w:rPr>
          <w:szCs w:val="22"/>
          <w:u w:val="single"/>
        </w:rPr>
      </w:pPr>
    </w:p>
    <w:p w14:paraId="1DE61143" w14:textId="382C4872" w:rsidR="00D86BB7" w:rsidRPr="00CC61C2" w:rsidRDefault="00D86BB7" w:rsidP="000D120B">
      <w:pPr>
        <w:widowControl w:val="0"/>
        <w:tabs>
          <w:tab w:val="left" w:pos="833"/>
        </w:tabs>
        <w:jc w:val="both"/>
        <w:rPr>
          <w:szCs w:val="22"/>
          <w:u w:val="single"/>
        </w:rPr>
      </w:pPr>
      <w:r w:rsidRPr="00CC61C2">
        <w:rPr>
          <w:szCs w:val="22"/>
          <w:u w:val="single"/>
        </w:rPr>
        <w:t>Amlewel</w:t>
      </w:r>
      <w:r w:rsidR="00AD27D4">
        <w:rPr>
          <w:szCs w:val="22"/>
          <w:u w:val="single"/>
        </w:rPr>
        <w:t>,</w:t>
      </w:r>
      <w:r w:rsidRPr="00CC61C2">
        <w:rPr>
          <w:szCs w:val="22"/>
          <w:u w:val="single"/>
        </w:rPr>
        <w:t xml:space="preserve"> 8 mg + 2,5 mg + 5 mg</w:t>
      </w:r>
      <w:r w:rsidR="009C735A">
        <w:rPr>
          <w:szCs w:val="22"/>
          <w:u w:val="single"/>
        </w:rPr>
        <w:t>, tableta</w:t>
      </w:r>
    </w:p>
    <w:p w14:paraId="1E3106B1" w14:textId="72CE3329" w:rsidR="00D86BB7" w:rsidRPr="00CC61C2" w:rsidRDefault="00D86BB7" w:rsidP="000D120B">
      <w:pPr>
        <w:widowControl w:val="0"/>
        <w:tabs>
          <w:tab w:val="left" w:pos="833"/>
        </w:tabs>
        <w:jc w:val="both"/>
        <w:rPr>
          <w:szCs w:val="22"/>
          <w:u w:val="single"/>
        </w:rPr>
      </w:pPr>
      <w:r w:rsidRPr="00CC61C2">
        <w:rPr>
          <w:szCs w:val="22"/>
          <w:u w:val="single"/>
        </w:rPr>
        <w:t>Amlewel</w:t>
      </w:r>
      <w:r w:rsidR="00AD27D4">
        <w:rPr>
          <w:szCs w:val="22"/>
          <w:u w:val="single"/>
        </w:rPr>
        <w:t>,</w:t>
      </w:r>
      <w:r w:rsidRPr="00CC61C2">
        <w:rPr>
          <w:szCs w:val="22"/>
          <w:u w:val="single"/>
        </w:rPr>
        <w:t xml:space="preserve"> 8 mg + 2,5 mg + 10 mg</w:t>
      </w:r>
      <w:r w:rsidR="009C735A">
        <w:rPr>
          <w:szCs w:val="22"/>
          <w:u w:val="single"/>
        </w:rPr>
        <w:t>, tableta</w:t>
      </w:r>
    </w:p>
    <w:p w14:paraId="59DA757D" w14:textId="5496428D" w:rsidR="00D86BB7" w:rsidRPr="00CC61C2" w:rsidRDefault="00D86BB7" w:rsidP="000D120B">
      <w:pPr>
        <w:tabs>
          <w:tab w:val="left" w:pos="284"/>
        </w:tabs>
        <w:jc w:val="both"/>
        <w:rPr>
          <w:color w:val="000000"/>
          <w:szCs w:val="22"/>
        </w:rPr>
      </w:pPr>
      <w:r w:rsidRPr="00CC61C2">
        <w:rPr>
          <w:szCs w:val="22"/>
        </w:rPr>
        <w:t xml:space="preserve">Kod pacijenata sa teškom i umjerenom renalnom insuficijencijom (klirens kreatinina ispod 60 ml/min) kontraindikovana je </w:t>
      </w:r>
      <w:r w:rsidRPr="00CC61C2">
        <w:rPr>
          <w:bCs/>
          <w:iCs/>
          <w:noProof/>
          <w:szCs w:val="22"/>
        </w:rPr>
        <w:t xml:space="preserve">primjena </w:t>
      </w:r>
      <w:r w:rsidRPr="00CC61C2">
        <w:rPr>
          <w:szCs w:val="22"/>
        </w:rPr>
        <w:t xml:space="preserve">lijeka Amlewel u </w:t>
      </w:r>
      <w:r w:rsidR="00E22B29" w:rsidRPr="00CC61C2">
        <w:rPr>
          <w:szCs w:val="22"/>
        </w:rPr>
        <w:t>jačin</w:t>
      </w:r>
      <w:r w:rsidR="00E22B29">
        <w:rPr>
          <w:szCs w:val="22"/>
        </w:rPr>
        <w:t>ama</w:t>
      </w:r>
      <w:r w:rsidR="00E22B29" w:rsidRPr="00CC61C2">
        <w:rPr>
          <w:szCs w:val="22"/>
        </w:rPr>
        <w:t xml:space="preserve"> </w:t>
      </w:r>
      <w:r w:rsidRPr="00CC61C2">
        <w:rPr>
          <w:color w:val="000000"/>
          <w:szCs w:val="22"/>
        </w:rPr>
        <w:t>8 mg + 2</w:t>
      </w:r>
      <w:r w:rsidR="002F2BB6">
        <w:rPr>
          <w:color w:val="000000"/>
          <w:szCs w:val="22"/>
        </w:rPr>
        <w:t>,</w:t>
      </w:r>
      <w:r w:rsidRPr="00CC61C2">
        <w:rPr>
          <w:color w:val="000000"/>
          <w:szCs w:val="22"/>
        </w:rPr>
        <w:t>5 mg + 5 mg i 8 mg + 2</w:t>
      </w:r>
      <w:r w:rsidR="002F2BB6">
        <w:rPr>
          <w:color w:val="000000"/>
          <w:szCs w:val="22"/>
        </w:rPr>
        <w:t>,</w:t>
      </w:r>
      <w:r w:rsidRPr="00CC61C2">
        <w:rPr>
          <w:color w:val="000000"/>
          <w:szCs w:val="22"/>
        </w:rPr>
        <w:t xml:space="preserve">5 mg + 10 mg.  </w:t>
      </w:r>
    </w:p>
    <w:p w14:paraId="2CDA174D" w14:textId="77777777" w:rsidR="00D86BB7" w:rsidRPr="00CC61C2" w:rsidRDefault="00D86BB7" w:rsidP="000D120B">
      <w:pPr>
        <w:tabs>
          <w:tab w:val="left" w:pos="284"/>
        </w:tabs>
        <w:jc w:val="both"/>
        <w:rPr>
          <w:szCs w:val="22"/>
        </w:rPr>
      </w:pPr>
    </w:p>
    <w:p w14:paraId="45BCA51C" w14:textId="77777777" w:rsidR="00D86BB7" w:rsidRPr="00CC61C2" w:rsidRDefault="00D86BB7" w:rsidP="000D120B">
      <w:pPr>
        <w:tabs>
          <w:tab w:val="left" w:pos="284"/>
        </w:tabs>
        <w:jc w:val="both"/>
        <w:rPr>
          <w:szCs w:val="22"/>
        </w:rPr>
      </w:pPr>
      <w:r w:rsidRPr="00CC61C2">
        <w:rPr>
          <w:szCs w:val="22"/>
        </w:rPr>
        <w:t>Kod nekih hipertenzivnih pacijenata bez prethodnih jasnih renalnih lezija i za koje renalni testovi krvi pokažu funkcionalnu renalnu insuficijenciju, terapiju treba prekinuti i moguće je obnoviti u manjoj dozi ili samo jednim konstituentom.</w:t>
      </w:r>
    </w:p>
    <w:p w14:paraId="71170F97" w14:textId="77777777" w:rsidR="00D86BB7" w:rsidRPr="00CC61C2" w:rsidRDefault="00D86BB7" w:rsidP="000D120B">
      <w:pPr>
        <w:tabs>
          <w:tab w:val="left" w:pos="284"/>
        </w:tabs>
        <w:jc w:val="both"/>
        <w:rPr>
          <w:szCs w:val="22"/>
        </w:rPr>
      </w:pPr>
      <w:r w:rsidRPr="00CC61C2">
        <w:rPr>
          <w:szCs w:val="22"/>
        </w:rPr>
        <w:t xml:space="preserve">Kod ovih pacijenata, uobičajeno medicinsko praćenje bi trebalo da uključi čestu kontrolu kalijuma i kreatinina poslije 2 nedjelje terapije, i zatim na svaka 2 mjeseca tokom stabilnog terapijskog perioda. </w:t>
      </w:r>
    </w:p>
    <w:p w14:paraId="1CBE0DB1" w14:textId="77777777" w:rsidR="00D86BB7" w:rsidRPr="00CC61C2" w:rsidRDefault="00D86BB7" w:rsidP="000D120B">
      <w:pPr>
        <w:tabs>
          <w:tab w:val="left" w:pos="284"/>
        </w:tabs>
        <w:jc w:val="both"/>
        <w:rPr>
          <w:szCs w:val="22"/>
        </w:rPr>
      </w:pPr>
      <w:r w:rsidRPr="00CC61C2">
        <w:rPr>
          <w:szCs w:val="22"/>
        </w:rPr>
        <w:t>Renalno oštećenje je uglavnom zabilježeno kod pacijenata sa teškom srčanom ili bubrežnom insuficijencijom, uključujući stenozu renalne arterije.</w:t>
      </w:r>
    </w:p>
    <w:p w14:paraId="42200044" w14:textId="77777777" w:rsidR="00D86BB7" w:rsidRPr="00CC61C2" w:rsidRDefault="00D86BB7" w:rsidP="000D120B">
      <w:pPr>
        <w:tabs>
          <w:tab w:val="left" w:pos="284"/>
        </w:tabs>
        <w:jc w:val="both"/>
        <w:rPr>
          <w:szCs w:val="22"/>
        </w:rPr>
      </w:pPr>
      <w:r w:rsidRPr="00CC61C2">
        <w:rPr>
          <w:szCs w:val="22"/>
        </w:rPr>
        <w:t>Upotreba lijeka se ne preporučuje kod bilateralne stenoze renalne arterije, kao i kod pacijenata sa stenozom arterije jedinog funkcionalnog bubrega.</w:t>
      </w:r>
    </w:p>
    <w:p w14:paraId="60B6F6AF" w14:textId="77777777" w:rsidR="00D86BB7" w:rsidRPr="00CC61C2" w:rsidRDefault="00D86BB7" w:rsidP="000D120B">
      <w:pPr>
        <w:tabs>
          <w:tab w:val="left" w:pos="284"/>
        </w:tabs>
        <w:jc w:val="both"/>
        <w:rPr>
          <w:szCs w:val="22"/>
        </w:rPr>
      </w:pPr>
      <w:r w:rsidRPr="00CC61C2">
        <w:rPr>
          <w:szCs w:val="22"/>
        </w:rPr>
        <w:t xml:space="preserve">Tiazidni diuretici i diuretici slični tiazidima su potpuno efikasni jedino kada je renalna funkcija normalna ili blago oštećena (nivo kreatinina niži od približno 25 mg/l, odnosno 220 mikromol/l za odrasle). Kod starijih osoba, vrijednost kreatinina u plazmi treba da bude usklađena tako da se uzima u obzir životna dob, tjelesna masa i pol pacijenta, prema Cockroft formuli: </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2292"/>
        <w:gridCol w:w="6779"/>
      </w:tblGrid>
      <w:tr w:rsidR="00D86BB7" w:rsidRPr="00CC61C2" w14:paraId="5625D5FC" w14:textId="77777777" w:rsidTr="000D120B">
        <w:trPr>
          <w:tblCellSpacing w:w="0" w:type="dxa"/>
        </w:trPr>
        <w:tc>
          <w:tcPr>
            <w:tcW w:w="0" w:type="auto"/>
            <w:gridSpan w:val="2"/>
            <w:hideMark/>
          </w:tcPr>
          <w:p w14:paraId="66228A70" w14:textId="7880A12F" w:rsidR="00D86BB7" w:rsidRPr="00CC61C2" w:rsidRDefault="00790376" w:rsidP="001237DA">
            <w:pPr>
              <w:jc w:val="both"/>
              <w:rPr>
                <w:szCs w:val="22"/>
              </w:rPr>
            </w:pPr>
            <w:r>
              <w:rPr>
                <w:szCs w:val="22"/>
              </w:rPr>
              <w:t>C</w:t>
            </w:r>
            <w:r w:rsidRPr="00CC61C2">
              <w:rPr>
                <w:szCs w:val="22"/>
              </w:rPr>
              <w:t>l</w:t>
            </w:r>
            <w:r w:rsidRPr="00CC61C2">
              <w:rPr>
                <w:szCs w:val="22"/>
                <w:vertAlign w:val="subscript"/>
              </w:rPr>
              <w:t>cr</w:t>
            </w:r>
            <w:r w:rsidRPr="00CC61C2">
              <w:rPr>
                <w:szCs w:val="22"/>
              </w:rPr>
              <w:t xml:space="preserve"> </w:t>
            </w:r>
            <w:r w:rsidR="00D86BB7" w:rsidRPr="00CC61C2">
              <w:rPr>
                <w:szCs w:val="22"/>
              </w:rPr>
              <w:t xml:space="preserve">= (140 - dob) x tjelesna masa / 0,814 x nivo kreatinina u plazmi </w:t>
            </w:r>
          </w:p>
        </w:tc>
      </w:tr>
      <w:tr w:rsidR="00D86BB7" w:rsidRPr="00CC61C2" w14:paraId="562D897B" w14:textId="77777777" w:rsidTr="000D120B">
        <w:trPr>
          <w:tblCellSpacing w:w="0" w:type="dxa"/>
        </w:trPr>
        <w:tc>
          <w:tcPr>
            <w:tcW w:w="0" w:type="auto"/>
            <w:hideMark/>
          </w:tcPr>
          <w:p w14:paraId="048F0296" w14:textId="77777777" w:rsidR="00D86BB7" w:rsidRPr="00CC61C2" w:rsidRDefault="00D86BB7" w:rsidP="001237DA">
            <w:pPr>
              <w:jc w:val="both"/>
              <w:rPr>
                <w:szCs w:val="22"/>
              </w:rPr>
            </w:pPr>
            <w:r w:rsidRPr="00CC61C2">
              <w:rPr>
                <w:szCs w:val="22"/>
              </w:rPr>
              <w:t>pri čemu je:</w:t>
            </w:r>
          </w:p>
        </w:tc>
        <w:tc>
          <w:tcPr>
            <w:tcW w:w="0" w:type="auto"/>
            <w:hideMark/>
          </w:tcPr>
          <w:p w14:paraId="7D62E664" w14:textId="77777777" w:rsidR="00D86BB7" w:rsidRPr="00CC61C2" w:rsidRDefault="00D86BB7" w:rsidP="00351F69">
            <w:pPr>
              <w:rPr>
                <w:szCs w:val="22"/>
              </w:rPr>
            </w:pPr>
            <w:r w:rsidRPr="00CC61C2">
              <w:rPr>
                <w:szCs w:val="22"/>
              </w:rPr>
              <w:t>dob izražena u godinama</w:t>
            </w:r>
            <w:r w:rsidRPr="00CC61C2">
              <w:rPr>
                <w:szCs w:val="22"/>
              </w:rPr>
              <w:br/>
              <w:t>tjelesna masa u kg</w:t>
            </w:r>
            <w:r w:rsidRPr="00CC61C2">
              <w:rPr>
                <w:szCs w:val="22"/>
              </w:rPr>
              <w:br/>
              <w:t xml:space="preserve">nivo kreatinina u plazmi u micromol/l </w:t>
            </w:r>
          </w:p>
        </w:tc>
      </w:tr>
    </w:tbl>
    <w:p w14:paraId="2C0016F7" w14:textId="77777777" w:rsidR="00D86BB7" w:rsidRPr="00CC61C2" w:rsidRDefault="00D86BB7" w:rsidP="001237DA">
      <w:pPr>
        <w:jc w:val="both"/>
        <w:rPr>
          <w:szCs w:val="22"/>
        </w:rPr>
      </w:pPr>
      <w:r w:rsidRPr="00CC61C2">
        <w:rPr>
          <w:szCs w:val="22"/>
        </w:rPr>
        <w:t>Ova formula je pogodna za starije muškarce i treba je prilagoditi za žene množenjem rezultata sa 0,85.</w:t>
      </w:r>
    </w:p>
    <w:p w14:paraId="1A7DCF0F" w14:textId="77777777" w:rsidR="00D86BB7" w:rsidRPr="00CC61C2" w:rsidRDefault="00D86BB7" w:rsidP="000D120B">
      <w:pPr>
        <w:tabs>
          <w:tab w:val="left" w:pos="284"/>
        </w:tabs>
        <w:jc w:val="both"/>
        <w:rPr>
          <w:szCs w:val="22"/>
        </w:rPr>
      </w:pPr>
      <w:r w:rsidRPr="00CC61C2">
        <w:rPr>
          <w:szCs w:val="22"/>
        </w:rPr>
        <w:t xml:space="preserve">Hipovolemija koja je posljedica gubitka vode i natrijuma izazvanih diureticima, na početku tretmana izaziva redukciju glomerularne filtracije. Rezultat može biti povećanje nivoa uree i kreatinina u krvi. Ova prolazna funkcionalna renalna insuficijencija ne predstavlja neželjenu posljedicu kod pacijenata sa normalnom funkcijom bubrega, ali može pogoršati već postojeću renalnu insuficijenciju. </w:t>
      </w:r>
    </w:p>
    <w:p w14:paraId="677D374E" w14:textId="77777777" w:rsidR="00D86BB7" w:rsidRPr="00CC61C2" w:rsidRDefault="00D86BB7" w:rsidP="000D120B">
      <w:pPr>
        <w:jc w:val="both"/>
        <w:rPr>
          <w:iCs/>
          <w:szCs w:val="22"/>
        </w:rPr>
      </w:pPr>
      <w:r w:rsidRPr="00CC61C2">
        <w:rPr>
          <w:iCs/>
          <w:szCs w:val="22"/>
        </w:rPr>
        <w:t>Kod ovih pacijenata uobičajeno medicinsko praćenje će uključivati često praćenje kalijuma i kreatinina, nakon dvije sedmice liječenja, a zatim svaka dva mjeseca tokom perioda terapijske stabilnosti.</w:t>
      </w:r>
    </w:p>
    <w:p w14:paraId="21D2BCDB" w14:textId="77777777" w:rsidR="00A160D0" w:rsidRDefault="00A160D0" w:rsidP="00077095">
      <w:pPr>
        <w:tabs>
          <w:tab w:val="center" w:pos="4536"/>
          <w:tab w:val="right" w:pos="9072"/>
        </w:tabs>
        <w:jc w:val="both"/>
        <w:rPr>
          <w:i/>
          <w:szCs w:val="22"/>
        </w:rPr>
      </w:pPr>
    </w:p>
    <w:p w14:paraId="58BA4397" w14:textId="4EB8C7B8" w:rsidR="00D86BB7" w:rsidRPr="00CC61C2" w:rsidRDefault="00D86BB7" w:rsidP="00077095">
      <w:pPr>
        <w:tabs>
          <w:tab w:val="center" w:pos="4536"/>
          <w:tab w:val="right" w:pos="9072"/>
        </w:tabs>
        <w:jc w:val="both"/>
        <w:rPr>
          <w:i/>
          <w:szCs w:val="22"/>
        </w:rPr>
      </w:pPr>
      <w:r w:rsidRPr="00CC61C2">
        <w:rPr>
          <w:i/>
          <w:szCs w:val="22"/>
        </w:rPr>
        <w:t>Hipotenzija i gubitak vode i elektrolita</w:t>
      </w:r>
    </w:p>
    <w:p w14:paraId="7CBFD044" w14:textId="77777777" w:rsidR="00D86BB7" w:rsidRPr="00CC61C2" w:rsidRDefault="00D86BB7" w:rsidP="00592131">
      <w:pPr>
        <w:tabs>
          <w:tab w:val="left" w:pos="284"/>
        </w:tabs>
        <w:jc w:val="both"/>
        <w:rPr>
          <w:szCs w:val="22"/>
        </w:rPr>
      </w:pPr>
      <w:r w:rsidRPr="00CC61C2">
        <w:rPr>
          <w:szCs w:val="22"/>
        </w:rPr>
        <w:t xml:space="preserve">Postoji rizik od iznenadne hipotenzije kada je od ranije prisutan gubitak natrijuma (posebno kod osoba čiji je krvni pritisak u početku bio nizak, u slučajevima stenoze bubrežne arterije, kongestivne srčane </w:t>
      </w:r>
      <w:r w:rsidRPr="00CC61C2">
        <w:rPr>
          <w:szCs w:val="22"/>
        </w:rPr>
        <w:lastRenderedPageBreak/>
        <w:t>insuficijencije ili ciroze sa edemom i ascitesom). Blokiranje sistema renin-angiotenzin-aldosteron stoga može uzrokovati, posebno u vrijeme prve primjene i tokom prve dvije nedjelje liječenja, nagli pad krvnog pritiska i/ili povećanje nivoa kreatinina u plazmi, što ukazuje na funkcionalnu bubrežnu insuficijenciju. Ovo stanje povremeno može biti akutno u početku, iako rijetko, i sa promenljivim vremenskim periodom do njegovog početka.</w:t>
      </w:r>
    </w:p>
    <w:p w14:paraId="65A5CDCB" w14:textId="77777777" w:rsidR="00D86BB7" w:rsidRPr="00CC61C2" w:rsidRDefault="00D86BB7" w:rsidP="00592131">
      <w:pPr>
        <w:tabs>
          <w:tab w:val="left" w:pos="284"/>
        </w:tabs>
        <w:jc w:val="both"/>
        <w:rPr>
          <w:szCs w:val="22"/>
        </w:rPr>
      </w:pPr>
      <w:r w:rsidRPr="00CC61C2">
        <w:rPr>
          <w:szCs w:val="22"/>
        </w:rPr>
        <w:t xml:space="preserve">Stoga je potrebno sprovesti sistematsko testiranje u potrazi za kliničkim znacima gubitka vode i elektrolita, koji se mogu javiti sa povremenim napadima dijareje i povraćanja. Kod pacijenata kod kojih postoji ovaj problem treba redovno pratiti koncentracije elektrolita u plazmi. </w:t>
      </w:r>
    </w:p>
    <w:p w14:paraId="24D4BFC9" w14:textId="77777777" w:rsidR="00D86BB7" w:rsidRPr="00CC61C2" w:rsidRDefault="00D86BB7">
      <w:pPr>
        <w:tabs>
          <w:tab w:val="left" w:pos="284"/>
        </w:tabs>
        <w:jc w:val="both"/>
        <w:rPr>
          <w:szCs w:val="22"/>
        </w:rPr>
      </w:pPr>
      <w:r w:rsidRPr="00CC61C2">
        <w:rPr>
          <w:szCs w:val="22"/>
        </w:rPr>
        <w:t>Značajna hipotenzija može zahtijevati intravensku infuziju fiziološkog rastvora.</w:t>
      </w:r>
    </w:p>
    <w:p w14:paraId="10CE5019" w14:textId="77777777" w:rsidR="00D86BB7" w:rsidRPr="00CC61C2" w:rsidRDefault="00D86BB7">
      <w:pPr>
        <w:tabs>
          <w:tab w:val="left" w:pos="284"/>
        </w:tabs>
        <w:jc w:val="both"/>
        <w:rPr>
          <w:szCs w:val="22"/>
        </w:rPr>
      </w:pPr>
      <w:r w:rsidRPr="00CC61C2">
        <w:rPr>
          <w:szCs w:val="22"/>
        </w:rPr>
        <w:t>Prolazna hipotenzija ne predstavlja kontraindikaciju za nastavak liječenja. Poslije uspostavljanja zadovoljavajućeg volumena krvi i krvnog pritiska, tretman se može ponovo započeti, ili redukovanom dozom ili samo sa jednim od konstituenata.</w:t>
      </w:r>
    </w:p>
    <w:p w14:paraId="55E38CE6" w14:textId="77777777" w:rsidR="00D86BB7" w:rsidRPr="00CC61C2" w:rsidRDefault="00D86BB7">
      <w:pPr>
        <w:tabs>
          <w:tab w:val="center" w:pos="4536"/>
          <w:tab w:val="right" w:pos="9072"/>
        </w:tabs>
        <w:jc w:val="both"/>
        <w:rPr>
          <w:i/>
          <w:szCs w:val="22"/>
        </w:rPr>
      </w:pPr>
    </w:p>
    <w:p w14:paraId="15A127C7" w14:textId="77777777" w:rsidR="00D86BB7" w:rsidRPr="00CC61C2" w:rsidRDefault="00D86BB7">
      <w:pPr>
        <w:tabs>
          <w:tab w:val="center" w:pos="4536"/>
          <w:tab w:val="right" w:pos="9072"/>
        </w:tabs>
        <w:jc w:val="both"/>
        <w:rPr>
          <w:i/>
          <w:szCs w:val="22"/>
        </w:rPr>
      </w:pPr>
      <w:r w:rsidRPr="00CC61C2">
        <w:rPr>
          <w:i/>
          <w:szCs w:val="22"/>
        </w:rPr>
        <w:t>Dvostruka blokada renin-angiotenzin-aldosteron sistema (RAAS)</w:t>
      </w:r>
    </w:p>
    <w:p w14:paraId="627FB710" w14:textId="77777777" w:rsidR="00D86BB7" w:rsidRPr="00CC61C2" w:rsidRDefault="00D86BB7">
      <w:pPr>
        <w:tabs>
          <w:tab w:val="left" w:pos="284"/>
        </w:tabs>
        <w:jc w:val="both"/>
        <w:rPr>
          <w:szCs w:val="22"/>
        </w:rPr>
      </w:pPr>
      <w:r w:rsidRPr="00CC61C2">
        <w:rPr>
          <w:szCs w:val="22"/>
        </w:rPr>
        <w:t>Postoje dokazi da istovremena primjena ACE inhibitora, blokatora angiotenzin II receptora ili aliskirena povećava rizik od hipotenzije, hiperkalijemije i smanjene bubrežne funkcije (uključujući akutnu insuficijenciju bubrega). Dvostruka blokada RAAS-a kombinovanom primjenom ACE inhibitora, blokatora angiotenzin II receptora ili aliskirena se zato ne preporučuje (vidjeti djelove 4.5 i 5.1).</w:t>
      </w:r>
    </w:p>
    <w:p w14:paraId="589EBC60" w14:textId="77777777" w:rsidR="00D86BB7" w:rsidRPr="00CC61C2" w:rsidRDefault="00D86BB7">
      <w:pPr>
        <w:tabs>
          <w:tab w:val="left" w:pos="284"/>
        </w:tabs>
        <w:jc w:val="both"/>
        <w:rPr>
          <w:szCs w:val="22"/>
        </w:rPr>
      </w:pPr>
      <w:r w:rsidRPr="00CC61C2">
        <w:rPr>
          <w:szCs w:val="22"/>
        </w:rPr>
        <w:t>Ako se terapija dvostrukom blokadom smatra apsolutno nužnom, smije se sprovoditi samo pod nadzorom specijaliste i uz pažljivo praćenje bubrežne funkcije, elektrolita i krvnog pritiska. ACE inhibitori i blokatori angiotenzin II receptora se ne smiju primjenjivati istovremeno kod pacijenata sa dijabetičkom nefropatijom.</w:t>
      </w:r>
    </w:p>
    <w:p w14:paraId="5CAD875D" w14:textId="77777777" w:rsidR="00D86BB7" w:rsidRPr="00CC61C2" w:rsidRDefault="00D86BB7">
      <w:pPr>
        <w:tabs>
          <w:tab w:val="center" w:pos="4536"/>
          <w:tab w:val="right" w:pos="9072"/>
        </w:tabs>
        <w:jc w:val="both"/>
        <w:rPr>
          <w:i/>
          <w:szCs w:val="22"/>
        </w:rPr>
      </w:pPr>
    </w:p>
    <w:p w14:paraId="082EE87C" w14:textId="77777777" w:rsidR="00D86BB7" w:rsidRPr="00CC61C2" w:rsidRDefault="00D86BB7">
      <w:pPr>
        <w:tabs>
          <w:tab w:val="center" w:pos="4536"/>
          <w:tab w:val="right" w:pos="9072"/>
        </w:tabs>
        <w:jc w:val="both"/>
        <w:rPr>
          <w:i/>
          <w:szCs w:val="22"/>
        </w:rPr>
      </w:pPr>
      <w:r w:rsidRPr="00CC61C2">
        <w:rPr>
          <w:i/>
          <w:szCs w:val="22"/>
        </w:rPr>
        <w:t>Renovaskularna hipertenzija</w:t>
      </w:r>
    </w:p>
    <w:p w14:paraId="0A998D87" w14:textId="77777777" w:rsidR="00D86BB7" w:rsidRPr="00CC61C2" w:rsidRDefault="00D86BB7">
      <w:pPr>
        <w:tabs>
          <w:tab w:val="left" w:pos="284"/>
        </w:tabs>
        <w:jc w:val="both"/>
        <w:rPr>
          <w:szCs w:val="22"/>
        </w:rPr>
      </w:pPr>
      <w:r w:rsidRPr="00CC61C2">
        <w:rPr>
          <w:szCs w:val="22"/>
        </w:rPr>
        <w:t>Terapija za renovaskularnu hipertenziju je revaskularizacija. Ipak, ACE inhibitori mogu biti korisni kod pacijenata koji čekaju korektivnu operaciju ili se ne mogu podvrgnuti operaciji.</w:t>
      </w:r>
    </w:p>
    <w:p w14:paraId="3FD73B86" w14:textId="77777777" w:rsidR="00D86BB7" w:rsidRPr="00CC61C2" w:rsidRDefault="00D86BB7">
      <w:pPr>
        <w:pStyle w:val="Header"/>
        <w:tabs>
          <w:tab w:val="left" w:pos="284"/>
          <w:tab w:val="left" w:pos="1980"/>
        </w:tabs>
        <w:jc w:val="both"/>
        <w:rPr>
          <w:rFonts w:ascii="Times New Roman" w:hAnsi="Times New Roman"/>
          <w:color w:val="000000"/>
          <w:sz w:val="22"/>
          <w:szCs w:val="22"/>
        </w:rPr>
      </w:pPr>
      <w:r w:rsidRPr="00CC61C2">
        <w:rPr>
          <w:rFonts w:ascii="Times New Roman" w:hAnsi="Times New Roman"/>
          <w:color w:val="000000"/>
          <w:sz w:val="22"/>
          <w:szCs w:val="22"/>
        </w:rPr>
        <w:t>Kod pacijenata sa bilateralnom stenozom bubrežne arterije ili stenozom arterije u jednom funkcionalnom bubregu pri liječenju ACE inhibitorima uočen je povećan rizik od nastanka hipotenzije i insuficijencije bubrega (vidjeti dio 4.3). Primjena diuretika može biti dodatni faktor rizika. Gubitak funkcije bubrega se može pojaviti uz samo male promjene kreatinina u serumu, čak i kod pacijenata sa jednostranom stenozom bubrežne arterije.</w:t>
      </w:r>
    </w:p>
    <w:p w14:paraId="3F136875" w14:textId="77777777" w:rsidR="00D86BB7" w:rsidRPr="00CC61C2" w:rsidRDefault="00D86BB7">
      <w:pPr>
        <w:tabs>
          <w:tab w:val="left" w:pos="284"/>
        </w:tabs>
        <w:jc w:val="both"/>
        <w:rPr>
          <w:szCs w:val="22"/>
        </w:rPr>
      </w:pPr>
      <w:r w:rsidRPr="00CC61C2">
        <w:rPr>
          <w:szCs w:val="22"/>
        </w:rPr>
        <w:t xml:space="preserve">Ako je lijek Amlewel propisan pacijentu sa potvrđenom ili suspektnom stenozom renalne arterije, terapiju bi trebalo započeti u bolničkim uslovima niskom dozom, dok bi renalnu funkciju i nivo kalijuma trebalo pratiti, jer se kod nekih pacijenata može razviti funkcionalna renalna insuficijencija koja je zaustavljena nakon prekida terapije. </w:t>
      </w:r>
    </w:p>
    <w:p w14:paraId="669B361B" w14:textId="77777777" w:rsidR="00D86BB7" w:rsidRPr="00CC61C2" w:rsidRDefault="00D86BB7">
      <w:pPr>
        <w:tabs>
          <w:tab w:val="center" w:pos="4536"/>
          <w:tab w:val="right" w:pos="9072"/>
        </w:tabs>
        <w:jc w:val="both"/>
        <w:rPr>
          <w:szCs w:val="22"/>
        </w:rPr>
      </w:pPr>
    </w:p>
    <w:p w14:paraId="6B778F56" w14:textId="5A8A2066" w:rsidR="00D86BB7" w:rsidRPr="00CC61C2" w:rsidRDefault="00D86BB7" w:rsidP="001237DA">
      <w:pPr>
        <w:widowControl w:val="0"/>
        <w:jc w:val="both"/>
        <w:rPr>
          <w:noProof/>
          <w:szCs w:val="22"/>
          <w:u w:val="single"/>
        </w:rPr>
      </w:pPr>
      <w:r w:rsidRPr="00CC61C2">
        <w:rPr>
          <w:szCs w:val="22"/>
          <w:u w:val="single"/>
        </w:rPr>
        <w:t>Amlewel</w:t>
      </w:r>
      <w:r w:rsidR="005E31B1">
        <w:rPr>
          <w:szCs w:val="22"/>
          <w:u w:val="single"/>
        </w:rPr>
        <w:t>,</w:t>
      </w:r>
      <w:r w:rsidRPr="00CC61C2">
        <w:rPr>
          <w:noProof/>
          <w:szCs w:val="22"/>
          <w:u w:val="single"/>
        </w:rPr>
        <w:t xml:space="preserve"> 8 mg</w:t>
      </w:r>
      <w:r w:rsidR="005E31B1">
        <w:rPr>
          <w:noProof/>
          <w:szCs w:val="22"/>
          <w:u w:val="single"/>
        </w:rPr>
        <w:t xml:space="preserve"> + </w:t>
      </w:r>
      <w:r w:rsidRPr="00CC61C2">
        <w:rPr>
          <w:noProof/>
          <w:szCs w:val="22"/>
          <w:u w:val="single"/>
        </w:rPr>
        <w:t>2</w:t>
      </w:r>
      <w:r w:rsidR="005E31B1">
        <w:rPr>
          <w:noProof/>
          <w:szCs w:val="22"/>
          <w:u w:val="single"/>
        </w:rPr>
        <w:t>,</w:t>
      </w:r>
      <w:r w:rsidRPr="00CC61C2">
        <w:rPr>
          <w:noProof/>
          <w:szCs w:val="22"/>
          <w:u w:val="single"/>
        </w:rPr>
        <w:t xml:space="preserve">5 mg </w:t>
      </w:r>
      <w:r w:rsidR="005E31B1">
        <w:rPr>
          <w:noProof/>
          <w:szCs w:val="22"/>
          <w:u w:val="single"/>
        </w:rPr>
        <w:t>+ 5 mg</w:t>
      </w:r>
      <w:r w:rsidR="009C735A">
        <w:rPr>
          <w:noProof/>
          <w:szCs w:val="22"/>
          <w:u w:val="single"/>
        </w:rPr>
        <w:t>, tableta</w:t>
      </w:r>
    </w:p>
    <w:p w14:paraId="64C2B4CD" w14:textId="44F3D203" w:rsidR="00D86BB7" w:rsidRPr="00CC61C2" w:rsidRDefault="00D86BB7" w:rsidP="001237DA">
      <w:pPr>
        <w:widowControl w:val="0"/>
        <w:jc w:val="both"/>
        <w:rPr>
          <w:noProof/>
          <w:szCs w:val="22"/>
          <w:u w:val="single"/>
        </w:rPr>
      </w:pPr>
      <w:r w:rsidRPr="00CC61C2">
        <w:rPr>
          <w:szCs w:val="22"/>
          <w:u w:val="single"/>
        </w:rPr>
        <w:t>Amlewel</w:t>
      </w:r>
      <w:r w:rsidR="005E31B1">
        <w:rPr>
          <w:szCs w:val="22"/>
          <w:u w:val="single"/>
        </w:rPr>
        <w:t>,</w:t>
      </w:r>
      <w:r w:rsidRPr="00CC61C2">
        <w:rPr>
          <w:szCs w:val="22"/>
          <w:u w:val="single"/>
        </w:rPr>
        <w:t xml:space="preserve"> </w:t>
      </w:r>
      <w:r w:rsidRPr="00CC61C2">
        <w:rPr>
          <w:noProof/>
          <w:szCs w:val="22"/>
          <w:u w:val="single"/>
        </w:rPr>
        <w:t>8 mg</w:t>
      </w:r>
      <w:r w:rsidR="005E31B1">
        <w:rPr>
          <w:noProof/>
          <w:szCs w:val="22"/>
          <w:u w:val="single"/>
        </w:rPr>
        <w:t xml:space="preserve"> +</w:t>
      </w:r>
      <w:r w:rsidR="005E31B1" w:rsidRPr="00CC61C2" w:rsidDel="005E31B1">
        <w:rPr>
          <w:noProof/>
          <w:szCs w:val="22"/>
          <w:u w:val="single"/>
        </w:rPr>
        <w:t xml:space="preserve"> </w:t>
      </w:r>
      <w:r w:rsidRPr="00CC61C2">
        <w:rPr>
          <w:noProof/>
          <w:szCs w:val="22"/>
          <w:u w:val="single"/>
        </w:rPr>
        <w:t>2</w:t>
      </w:r>
      <w:r w:rsidR="005E31B1">
        <w:rPr>
          <w:noProof/>
          <w:szCs w:val="22"/>
          <w:u w:val="single"/>
        </w:rPr>
        <w:t>,</w:t>
      </w:r>
      <w:r w:rsidRPr="00CC61C2">
        <w:rPr>
          <w:noProof/>
          <w:szCs w:val="22"/>
          <w:u w:val="single"/>
        </w:rPr>
        <w:t>5 mg</w:t>
      </w:r>
      <w:r w:rsidR="005E31B1">
        <w:rPr>
          <w:noProof/>
          <w:szCs w:val="22"/>
          <w:u w:val="single"/>
        </w:rPr>
        <w:t xml:space="preserve"> + 10 mg</w:t>
      </w:r>
      <w:r w:rsidR="009C735A">
        <w:rPr>
          <w:noProof/>
          <w:szCs w:val="22"/>
          <w:u w:val="single"/>
        </w:rPr>
        <w:t>, tableta</w:t>
      </w:r>
    </w:p>
    <w:p w14:paraId="1C9EFF4E" w14:textId="008C4F5A" w:rsidR="00D86BB7" w:rsidRPr="00CC61C2" w:rsidRDefault="00D86BB7" w:rsidP="000D120B">
      <w:pPr>
        <w:jc w:val="both"/>
        <w:rPr>
          <w:noProof/>
          <w:szCs w:val="22"/>
        </w:rPr>
      </w:pPr>
      <w:r w:rsidRPr="00CC61C2">
        <w:rPr>
          <w:noProof/>
          <w:szCs w:val="22"/>
        </w:rPr>
        <w:t xml:space="preserve">Liječenje sa jačinama od </w:t>
      </w:r>
      <w:r w:rsidR="005E31B1" w:rsidRPr="005E31B1">
        <w:rPr>
          <w:noProof/>
          <w:szCs w:val="22"/>
        </w:rPr>
        <w:t>8 mg + 2,5 mg + 5</w:t>
      </w:r>
      <w:r w:rsidR="005E31B1">
        <w:rPr>
          <w:noProof/>
          <w:szCs w:val="22"/>
        </w:rPr>
        <w:t xml:space="preserve"> </w:t>
      </w:r>
      <w:r w:rsidR="005E31B1" w:rsidRPr="005E31B1">
        <w:rPr>
          <w:noProof/>
          <w:szCs w:val="22"/>
        </w:rPr>
        <w:t>mg</w:t>
      </w:r>
      <w:r w:rsidR="005E31B1" w:rsidRPr="005E31B1" w:rsidDel="005E31B1">
        <w:rPr>
          <w:noProof/>
          <w:szCs w:val="22"/>
        </w:rPr>
        <w:t xml:space="preserve"> </w:t>
      </w:r>
      <w:r w:rsidRPr="00CC61C2">
        <w:rPr>
          <w:noProof/>
          <w:szCs w:val="22"/>
        </w:rPr>
        <w:t xml:space="preserve">i </w:t>
      </w:r>
      <w:r w:rsidR="005E31B1" w:rsidRPr="005E31B1">
        <w:rPr>
          <w:noProof/>
          <w:szCs w:val="22"/>
        </w:rPr>
        <w:t>8 mg + 2,5 mg + 10 mg</w:t>
      </w:r>
      <w:r w:rsidR="005E31B1" w:rsidRPr="005E31B1" w:rsidDel="005E31B1">
        <w:rPr>
          <w:noProof/>
          <w:szCs w:val="22"/>
        </w:rPr>
        <w:t xml:space="preserve"> </w:t>
      </w:r>
      <w:r w:rsidRPr="00CC61C2">
        <w:rPr>
          <w:noProof/>
          <w:szCs w:val="22"/>
        </w:rPr>
        <w:t>ni</w:t>
      </w:r>
      <w:r w:rsidR="00C60E25" w:rsidRPr="00CC61C2">
        <w:rPr>
          <w:noProof/>
          <w:szCs w:val="22"/>
        </w:rPr>
        <w:t>je</w:t>
      </w:r>
      <w:r w:rsidRPr="00CC61C2">
        <w:rPr>
          <w:noProof/>
          <w:szCs w:val="22"/>
        </w:rPr>
        <w:t xml:space="preserve"> prikladn</w:t>
      </w:r>
      <w:r w:rsidR="00C60E25" w:rsidRPr="00CC61C2">
        <w:rPr>
          <w:noProof/>
          <w:szCs w:val="22"/>
        </w:rPr>
        <w:t>o</w:t>
      </w:r>
      <w:r w:rsidRPr="00CC61C2">
        <w:rPr>
          <w:noProof/>
          <w:szCs w:val="22"/>
        </w:rPr>
        <w:t xml:space="preserve"> kod pacijenata sa poznatom ili sumnjom na stenozu bubrežne arterije</w:t>
      </w:r>
      <w:r w:rsidR="005E31B1">
        <w:rPr>
          <w:noProof/>
          <w:szCs w:val="22"/>
        </w:rPr>
        <w:t>,</w:t>
      </w:r>
      <w:r w:rsidRPr="00CC61C2">
        <w:rPr>
          <w:noProof/>
          <w:szCs w:val="22"/>
        </w:rPr>
        <w:t xml:space="preserve"> jer liječenje treba započeti u bolničkom okruženju sa nižom dozom od </w:t>
      </w:r>
      <w:r w:rsidR="005E31B1" w:rsidRPr="005E31B1">
        <w:rPr>
          <w:noProof/>
          <w:szCs w:val="22"/>
        </w:rPr>
        <w:t>8 mg + 2,5 mg + 5</w:t>
      </w:r>
      <w:r w:rsidR="005E31B1">
        <w:rPr>
          <w:noProof/>
          <w:szCs w:val="22"/>
        </w:rPr>
        <w:t xml:space="preserve"> </w:t>
      </w:r>
      <w:r w:rsidR="005E31B1" w:rsidRPr="005E31B1">
        <w:rPr>
          <w:noProof/>
          <w:szCs w:val="22"/>
        </w:rPr>
        <w:t>mg</w:t>
      </w:r>
      <w:r w:rsidR="005E31B1" w:rsidRPr="005E31B1" w:rsidDel="005E31B1">
        <w:rPr>
          <w:noProof/>
          <w:szCs w:val="22"/>
        </w:rPr>
        <w:t xml:space="preserve"> </w:t>
      </w:r>
      <w:r w:rsidRPr="00CC61C2">
        <w:rPr>
          <w:noProof/>
          <w:szCs w:val="22"/>
        </w:rPr>
        <w:t xml:space="preserve">ili </w:t>
      </w:r>
      <w:r w:rsidR="005E31B1">
        <w:rPr>
          <w:noProof/>
          <w:szCs w:val="22"/>
        </w:rPr>
        <w:t>8 mg + 2,5 mg + 10 mg</w:t>
      </w:r>
      <w:r w:rsidRPr="00CC61C2">
        <w:rPr>
          <w:noProof/>
          <w:szCs w:val="22"/>
        </w:rPr>
        <w:t>.</w:t>
      </w:r>
    </w:p>
    <w:p w14:paraId="1AB51D38" w14:textId="77777777" w:rsidR="00D86BB7" w:rsidRPr="00CC61C2" w:rsidRDefault="00D86BB7" w:rsidP="000D120B">
      <w:pPr>
        <w:tabs>
          <w:tab w:val="left" w:pos="284"/>
        </w:tabs>
        <w:jc w:val="both"/>
        <w:rPr>
          <w:i/>
          <w:szCs w:val="22"/>
        </w:rPr>
      </w:pPr>
    </w:p>
    <w:p w14:paraId="312EA491" w14:textId="77777777" w:rsidR="00D86BB7" w:rsidRPr="00CC61C2" w:rsidRDefault="00D86BB7" w:rsidP="001237DA">
      <w:pPr>
        <w:jc w:val="both"/>
        <w:rPr>
          <w:szCs w:val="22"/>
        </w:rPr>
      </w:pPr>
      <w:r w:rsidRPr="00CC61C2">
        <w:rPr>
          <w:i/>
          <w:iCs/>
          <w:szCs w:val="22"/>
        </w:rPr>
        <w:t>Pacijenti sa poznatom aterosklerozom</w:t>
      </w:r>
    </w:p>
    <w:p w14:paraId="656C237E" w14:textId="77777777" w:rsidR="00D86BB7" w:rsidRPr="00CC61C2" w:rsidRDefault="00D86BB7" w:rsidP="000D120B">
      <w:pPr>
        <w:tabs>
          <w:tab w:val="left" w:pos="284"/>
        </w:tabs>
        <w:jc w:val="both"/>
        <w:rPr>
          <w:szCs w:val="22"/>
        </w:rPr>
      </w:pPr>
      <w:r w:rsidRPr="00CC61C2">
        <w:rPr>
          <w:szCs w:val="22"/>
        </w:rPr>
        <w:t>Rizik od pojave hipotenzije postoji kod svih pacijenta, ali bi posebno trebalo obratiti pažnju na pacijente sa ishemijskom bolešću srca ili insuficijencijom cerebralne cirkulacije i započeti terapiju manjim dozama.</w:t>
      </w:r>
    </w:p>
    <w:p w14:paraId="009A8A4B" w14:textId="77777777" w:rsidR="00D86BB7" w:rsidRPr="00CC61C2" w:rsidRDefault="00D86BB7" w:rsidP="000D120B">
      <w:pPr>
        <w:tabs>
          <w:tab w:val="center" w:pos="4536"/>
          <w:tab w:val="right" w:pos="9072"/>
        </w:tabs>
        <w:jc w:val="both"/>
        <w:rPr>
          <w:szCs w:val="22"/>
        </w:rPr>
      </w:pPr>
    </w:p>
    <w:p w14:paraId="43B819D7" w14:textId="77777777" w:rsidR="00D86BB7" w:rsidRPr="00CC61C2" w:rsidRDefault="00D86BB7" w:rsidP="000D120B">
      <w:pPr>
        <w:tabs>
          <w:tab w:val="center" w:pos="4536"/>
          <w:tab w:val="right" w:pos="9072"/>
        </w:tabs>
        <w:jc w:val="both"/>
        <w:rPr>
          <w:i/>
          <w:szCs w:val="22"/>
        </w:rPr>
      </w:pPr>
      <w:r w:rsidRPr="00CC61C2">
        <w:rPr>
          <w:i/>
          <w:szCs w:val="22"/>
        </w:rPr>
        <w:t>Srčana insuficijencija</w:t>
      </w:r>
    </w:p>
    <w:p w14:paraId="08C42899" w14:textId="77777777" w:rsidR="00D86BB7" w:rsidRPr="00CC61C2" w:rsidRDefault="00D86BB7" w:rsidP="00077095">
      <w:pPr>
        <w:tabs>
          <w:tab w:val="left" w:pos="284"/>
          <w:tab w:val="left" w:pos="1980"/>
        </w:tabs>
        <w:jc w:val="both"/>
        <w:rPr>
          <w:noProof/>
          <w:szCs w:val="22"/>
        </w:rPr>
      </w:pPr>
      <w:r w:rsidRPr="00CC61C2">
        <w:rPr>
          <w:noProof/>
          <w:szCs w:val="22"/>
        </w:rPr>
        <w:t xml:space="preserve">Pacijente sa srčanom insuficijencijom treba liječiti uz oprez. </w:t>
      </w:r>
    </w:p>
    <w:p w14:paraId="68562C34" w14:textId="77777777" w:rsidR="00D86BB7" w:rsidRPr="00CC61C2" w:rsidRDefault="00D86BB7" w:rsidP="00592131">
      <w:pPr>
        <w:tabs>
          <w:tab w:val="left" w:pos="284"/>
          <w:tab w:val="left" w:pos="1980"/>
        </w:tabs>
        <w:jc w:val="both"/>
        <w:rPr>
          <w:i/>
          <w:szCs w:val="22"/>
        </w:rPr>
      </w:pPr>
      <w:r w:rsidRPr="00CC61C2">
        <w:rPr>
          <w:szCs w:val="22"/>
        </w:rPr>
        <w:t>Kod hipertenzivnih pacijenata sa srčanom insuficijencijom, ne bi trebalo obustavljati terapiju beta blokatorima, već samo dodati ACE inhibitor terapiji beta blokatorom.</w:t>
      </w:r>
      <w:r w:rsidRPr="00CC61C2">
        <w:rPr>
          <w:i/>
          <w:szCs w:val="22"/>
        </w:rPr>
        <w:t xml:space="preserve"> </w:t>
      </w:r>
    </w:p>
    <w:p w14:paraId="4CEAB0B0" w14:textId="77777777" w:rsidR="00D86BB7" w:rsidRPr="00CC61C2" w:rsidRDefault="00D86BB7">
      <w:pPr>
        <w:tabs>
          <w:tab w:val="left" w:pos="284"/>
          <w:tab w:val="left" w:pos="1980"/>
        </w:tabs>
        <w:jc w:val="both"/>
        <w:rPr>
          <w:noProof/>
          <w:szCs w:val="22"/>
        </w:rPr>
      </w:pPr>
      <w:r w:rsidRPr="00CC61C2">
        <w:rPr>
          <w:noProof/>
          <w:szCs w:val="22"/>
        </w:rPr>
        <w:t xml:space="preserve">U dugotrajnoj, placebo kontrolisanoj studiji kod pacijenata sa srčanom insuficijencijom (NYHA klasa III i IV), učestalost pojave plućnog edema je bila viša u grupi koja je primala amlodipin nego u grupi koja je primala placebo </w:t>
      </w:r>
      <w:r w:rsidRPr="00CC61C2">
        <w:rPr>
          <w:szCs w:val="22"/>
        </w:rPr>
        <w:t>(vidjeti dio 5.1)</w:t>
      </w:r>
      <w:r w:rsidRPr="00CC61C2">
        <w:rPr>
          <w:noProof/>
          <w:szCs w:val="22"/>
        </w:rPr>
        <w:t>. Kalcijumske blokatore, uključujući amlodipin, treba davati sa oprezom pacijentima sa hroničnom srčanom insuficijencijom, jer mogu povećati rizik od pojave kardiovaskularnih događaja i mortaliteta.</w:t>
      </w:r>
    </w:p>
    <w:p w14:paraId="45D1E969" w14:textId="77777777" w:rsidR="00D86BB7" w:rsidRPr="00CC61C2" w:rsidRDefault="00D86BB7">
      <w:pPr>
        <w:tabs>
          <w:tab w:val="center" w:pos="4536"/>
          <w:tab w:val="right" w:pos="9072"/>
        </w:tabs>
        <w:jc w:val="both"/>
        <w:rPr>
          <w:i/>
          <w:szCs w:val="22"/>
        </w:rPr>
      </w:pPr>
      <w:r w:rsidRPr="00CC61C2">
        <w:rPr>
          <w:i/>
          <w:szCs w:val="22"/>
        </w:rPr>
        <w:lastRenderedPageBreak/>
        <w:t>Stenoza aorte i mitralnog zaliska / hipertrofična kardiomiopatija</w:t>
      </w:r>
    </w:p>
    <w:p w14:paraId="533FF5F6" w14:textId="09E5142F" w:rsidR="00D86BB7" w:rsidRDefault="00D86BB7">
      <w:pPr>
        <w:tabs>
          <w:tab w:val="left" w:pos="284"/>
        </w:tabs>
        <w:jc w:val="both"/>
        <w:rPr>
          <w:szCs w:val="22"/>
        </w:rPr>
      </w:pPr>
      <w:r w:rsidRPr="00CC61C2">
        <w:rPr>
          <w:szCs w:val="22"/>
        </w:rPr>
        <w:t>ACE inhibitore treba sa oprezom koristiti kod pacijenata sa opstrukcijom protoka krvi u lijevoj komori.</w:t>
      </w:r>
    </w:p>
    <w:p w14:paraId="3443FFDB" w14:textId="77777777" w:rsidR="003B58E1" w:rsidRPr="00CC61C2" w:rsidRDefault="003B58E1">
      <w:pPr>
        <w:tabs>
          <w:tab w:val="left" w:pos="284"/>
        </w:tabs>
        <w:jc w:val="both"/>
        <w:rPr>
          <w:szCs w:val="22"/>
        </w:rPr>
      </w:pPr>
    </w:p>
    <w:p w14:paraId="57CBC132" w14:textId="77777777" w:rsidR="00D86BB7" w:rsidRPr="00CC61C2" w:rsidRDefault="00D86BB7">
      <w:pPr>
        <w:tabs>
          <w:tab w:val="center" w:pos="4536"/>
          <w:tab w:val="right" w:pos="9072"/>
        </w:tabs>
        <w:jc w:val="both"/>
        <w:rPr>
          <w:i/>
          <w:szCs w:val="22"/>
        </w:rPr>
      </w:pPr>
      <w:r w:rsidRPr="00CC61C2">
        <w:rPr>
          <w:i/>
          <w:szCs w:val="22"/>
        </w:rPr>
        <w:t>Pacijenti sa dijabetesom</w:t>
      </w:r>
    </w:p>
    <w:p w14:paraId="3EBF8B68" w14:textId="77777777" w:rsidR="00D86BB7" w:rsidRPr="00CC61C2" w:rsidRDefault="00D86BB7">
      <w:pPr>
        <w:tabs>
          <w:tab w:val="left" w:pos="284"/>
        </w:tabs>
        <w:jc w:val="both"/>
        <w:rPr>
          <w:szCs w:val="22"/>
        </w:rPr>
      </w:pPr>
      <w:r w:rsidRPr="00CC61C2">
        <w:rPr>
          <w:szCs w:val="22"/>
        </w:rPr>
        <w:t xml:space="preserve">Kod pacijenata sa insulin-zavisnim dijabetes melitusom (spontana tendencija za povećanjem kalijuma), terapiju bi trebalo započeti u manjim inicijalnim dozama i pod medicinskim nadzorom. </w:t>
      </w:r>
    </w:p>
    <w:p w14:paraId="5553F25E" w14:textId="77777777" w:rsidR="00D86BB7" w:rsidRPr="00CC61C2" w:rsidRDefault="00D86BB7">
      <w:pPr>
        <w:tabs>
          <w:tab w:val="left" w:pos="284"/>
        </w:tabs>
        <w:jc w:val="both"/>
        <w:rPr>
          <w:szCs w:val="22"/>
        </w:rPr>
      </w:pPr>
      <w:r w:rsidRPr="00CC61C2">
        <w:rPr>
          <w:szCs w:val="22"/>
        </w:rPr>
        <w:t xml:space="preserve">U toku prvog mjeseca terapije ACE inhibitorima kod pacijenata sa dijabetesom liječenih oralnim antidijabeticima ili insulinom, trebalo bi redovno pratiti nivoe glukoze u krvi </w:t>
      </w:r>
      <w:r w:rsidRPr="00CC61C2">
        <w:rPr>
          <w:bCs/>
          <w:szCs w:val="22"/>
        </w:rPr>
        <w:t>(vidjeti dio 4.5)</w:t>
      </w:r>
      <w:r w:rsidRPr="00CC61C2">
        <w:rPr>
          <w:szCs w:val="22"/>
        </w:rPr>
        <w:t>.</w:t>
      </w:r>
    </w:p>
    <w:p w14:paraId="1085D4F8" w14:textId="77777777" w:rsidR="00D86BB7" w:rsidRPr="00CC61C2" w:rsidRDefault="00D86BB7">
      <w:pPr>
        <w:tabs>
          <w:tab w:val="center" w:pos="4536"/>
          <w:tab w:val="right" w:pos="9072"/>
        </w:tabs>
        <w:jc w:val="both"/>
        <w:rPr>
          <w:szCs w:val="22"/>
        </w:rPr>
      </w:pPr>
    </w:p>
    <w:p w14:paraId="7947F93E" w14:textId="77777777" w:rsidR="00D86BB7" w:rsidRPr="00CC61C2" w:rsidRDefault="00D86BB7">
      <w:pPr>
        <w:tabs>
          <w:tab w:val="center" w:pos="4536"/>
          <w:tab w:val="right" w:pos="9072"/>
        </w:tabs>
        <w:jc w:val="both"/>
        <w:rPr>
          <w:i/>
          <w:szCs w:val="22"/>
        </w:rPr>
      </w:pPr>
      <w:r w:rsidRPr="00CC61C2">
        <w:rPr>
          <w:i/>
          <w:szCs w:val="22"/>
        </w:rPr>
        <w:t>Kašalj</w:t>
      </w:r>
    </w:p>
    <w:p w14:paraId="5931C6D8" w14:textId="77777777" w:rsidR="00D86BB7" w:rsidRPr="00CC61C2" w:rsidRDefault="00D86BB7">
      <w:pPr>
        <w:tabs>
          <w:tab w:val="left" w:pos="284"/>
        </w:tabs>
        <w:jc w:val="both"/>
        <w:rPr>
          <w:szCs w:val="22"/>
        </w:rPr>
      </w:pPr>
      <w:r w:rsidRPr="00CC61C2">
        <w:rPr>
          <w:szCs w:val="22"/>
        </w:rPr>
        <w:t>Suvi kašalj je zabilježen kod primjene inhibitora angiotenzin</w:t>
      </w:r>
      <w:r w:rsidRPr="00CC61C2">
        <w:rPr>
          <w:i/>
          <w:szCs w:val="22"/>
        </w:rPr>
        <w:t xml:space="preserve"> </w:t>
      </w:r>
      <w:r w:rsidRPr="00CC61C2">
        <w:rPr>
          <w:szCs w:val="22"/>
        </w:rPr>
        <w:t>konvertujućeg enzima. Kašalj je uporan i prestaje kada se terapija prekine. Treba razmotriti jatrogenu etiologiju u slučaju pojave ovog simptoma. Ukoliko ipak postoji razlog za propisivanje inhibitora angiotenzin konvertujućeg enzima, nastavak terapije može biti razmotren.</w:t>
      </w:r>
    </w:p>
    <w:p w14:paraId="65A6281B" w14:textId="77777777" w:rsidR="00D86BB7" w:rsidRPr="00CC61C2" w:rsidRDefault="00D86BB7">
      <w:pPr>
        <w:tabs>
          <w:tab w:val="center" w:pos="4536"/>
          <w:tab w:val="right" w:pos="9072"/>
        </w:tabs>
        <w:jc w:val="both"/>
        <w:rPr>
          <w:szCs w:val="22"/>
        </w:rPr>
      </w:pPr>
    </w:p>
    <w:p w14:paraId="325D7345" w14:textId="77777777" w:rsidR="00D86BB7" w:rsidRPr="00CC61C2" w:rsidRDefault="00D86BB7">
      <w:pPr>
        <w:tabs>
          <w:tab w:val="center" w:pos="4536"/>
          <w:tab w:val="right" w:pos="9072"/>
        </w:tabs>
        <w:jc w:val="both"/>
        <w:rPr>
          <w:i/>
          <w:szCs w:val="22"/>
        </w:rPr>
      </w:pPr>
      <w:r w:rsidRPr="00CC61C2">
        <w:rPr>
          <w:i/>
          <w:szCs w:val="22"/>
        </w:rPr>
        <w:t>Hirurgija/anestezija</w:t>
      </w:r>
    </w:p>
    <w:p w14:paraId="461BE147" w14:textId="77777777" w:rsidR="00D86BB7" w:rsidRPr="00CC61C2" w:rsidRDefault="00D86BB7">
      <w:pPr>
        <w:tabs>
          <w:tab w:val="left" w:pos="284"/>
        </w:tabs>
        <w:jc w:val="both"/>
        <w:rPr>
          <w:szCs w:val="22"/>
        </w:rPr>
      </w:pPr>
      <w:r w:rsidRPr="00CC61C2">
        <w:rPr>
          <w:szCs w:val="22"/>
        </w:rPr>
        <w:t>Inhibitori angiotenzin konvertujućeg enzima mogu izazvati hipotenziju pri primjeni anestezije, posebno kada primijenjeni anestetik ima hipotenzivni potencijal.</w:t>
      </w:r>
    </w:p>
    <w:p w14:paraId="369E3803" w14:textId="77777777" w:rsidR="00D86BB7" w:rsidRPr="00CC61C2" w:rsidRDefault="00D86BB7">
      <w:pPr>
        <w:tabs>
          <w:tab w:val="left" w:pos="284"/>
        </w:tabs>
        <w:jc w:val="both"/>
        <w:rPr>
          <w:szCs w:val="22"/>
        </w:rPr>
      </w:pPr>
      <w:r w:rsidRPr="00CC61C2">
        <w:rPr>
          <w:szCs w:val="22"/>
        </w:rPr>
        <w:t>Zbog toga se preporučuje da se terapija inhibitorima angiotenzin konvertujućeg enzima dugog dejstva, kao što je perindopril, prekine, ukoliko je moguće jedan dan prije hirurške intervencije.</w:t>
      </w:r>
    </w:p>
    <w:p w14:paraId="6ED78F0C" w14:textId="77777777" w:rsidR="00D86BB7" w:rsidRPr="00CC61C2" w:rsidRDefault="00D86BB7">
      <w:pPr>
        <w:tabs>
          <w:tab w:val="center" w:pos="4536"/>
          <w:tab w:val="right" w:pos="9072"/>
        </w:tabs>
        <w:jc w:val="both"/>
        <w:rPr>
          <w:szCs w:val="22"/>
        </w:rPr>
      </w:pPr>
    </w:p>
    <w:p w14:paraId="5E97B5E5" w14:textId="77777777" w:rsidR="00D86BB7" w:rsidRPr="00CC61C2" w:rsidRDefault="00D86BB7">
      <w:pPr>
        <w:tabs>
          <w:tab w:val="center" w:pos="4536"/>
          <w:tab w:val="right" w:pos="9072"/>
        </w:tabs>
        <w:jc w:val="both"/>
        <w:rPr>
          <w:i/>
          <w:szCs w:val="22"/>
        </w:rPr>
      </w:pPr>
      <w:r w:rsidRPr="00CC61C2">
        <w:rPr>
          <w:i/>
          <w:szCs w:val="22"/>
        </w:rPr>
        <w:t>Oštećenje jetre</w:t>
      </w:r>
    </w:p>
    <w:p w14:paraId="7D29F9D0" w14:textId="77777777" w:rsidR="00D86BB7" w:rsidRPr="00CC61C2" w:rsidRDefault="00D86BB7">
      <w:pPr>
        <w:tabs>
          <w:tab w:val="left" w:pos="284"/>
        </w:tabs>
        <w:jc w:val="both"/>
        <w:rPr>
          <w:szCs w:val="22"/>
        </w:rPr>
      </w:pPr>
      <w:r w:rsidRPr="00CC61C2">
        <w:rPr>
          <w:szCs w:val="22"/>
        </w:rPr>
        <w:t>Upotreba ACE inhibitora je rijetko bila povezana sa sindromom koji počinje holestatskom žuticom i progredira u fulminantnu hepatičku nekrozu, a ponekad i smrt. Mehanizam nastanka ovog sindroma je nepoznat. Kod pacijenata kod kojih dođe do pojave žutice ili do povišenja hepatičkih enzima u toku terapije ACE inhibitorima, treba ukinuti primjenu ACE inhibitora, i obezbijediti medicinsko praćenje ovih pacijenata (vidjeti dio 4.8).</w:t>
      </w:r>
    </w:p>
    <w:p w14:paraId="4E61A8C8" w14:textId="77777777" w:rsidR="00D86BB7" w:rsidRPr="00CC61C2" w:rsidRDefault="00D86BB7">
      <w:pPr>
        <w:jc w:val="both"/>
        <w:rPr>
          <w:szCs w:val="22"/>
        </w:rPr>
      </w:pPr>
      <w:r w:rsidRPr="00CC61C2">
        <w:rPr>
          <w:szCs w:val="22"/>
        </w:rPr>
        <w:t>Kada je funkcija jetre oštećena, tiazidni diuretici i diuretici srodni tiazidima mogu da uzrokuju hepatičnu encefalopatiju. Davanje diuretika treba odmah prekinuti ako se to dogodi.</w:t>
      </w:r>
    </w:p>
    <w:p w14:paraId="1394E331" w14:textId="77777777" w:rsidR="00D86BB7" w:rsidRPr="00CC61C2" w:rsidRDefault="00D86BB7">
      <w:pPr>
        <w:widowControl w:val="0"/>
        <w:autoSpaceDE w:val="0"/>
        <w:autoSpaceDN w:val="0"/>
        <w:adjustRightInd w:val="0"/>
        <w:jc w:val="both"/>
        <w:rPr>
          <w:szCs w:val="22"/>
        </w:rPr>
      </w:pPr>
      <w:r w:rsidRPr="00CC61C2">
        <w:rPr>
          <w:noProof/>
          <w:szCs w:val="22"/>
        </w:rPr>
        <w:t>Poluvrijeme eliminacije amlodipina je produženo, dok su vrijednosti AUC više kod pacijenata sa oštećenom funkcijom jetre. Zato amlodipin kod ovih pacijenata treba primjenjivati u manjim dozama i uz oprez, kako pri njegovom uvođenju u terapiju, tako i pri povećanju njegove doze. Kod pacijenata sa teškim oštećenjem jetre može biti potrebna spora titracija doze i pažljivo praćenje.</w:t>
      </w:r>
    </w:p>
    <w:p w14:paraId="51DC7CCE" w14:textId="77777777" w:rsidR="00D86BB7" w:rsidRPr="00CC61C2" w:rsidRDefault="00D86BB7">
      <w:pPr>
        <w:tabs>
          <w:tab w:val="center" w:pos="4536"/>
          <w:tab w:val="right" w:pos="9072"/>
        </w:tabs>
        <w:jc w:val="both"/>
        <w:rPr>
          <w:szCs w:val="22"/>
        </w:rPr>
      </w:pPr>
    </w:p>
    <w:p w14:paraId="12ACD8E9" w14:textId="77777777" w:rsidR="00D86BB7" w:rsidRPr="00CC61C2" w:rsidRDefault="00D86BB7" w:rsidP="001237DA">
      <w:pPr>
        <w:jc w:val="both"/>
        <w:rPr>
          <w:szCs w:val="22"/>
          <w:u w:val="single"/>
        </w:rPr>
      </w:pPr>
      <w:r w:rsidRPr="00CC61C2">
        <w:rPr>
          <w:i/>
          <w:iCs/>
          <w:szCs w:val="22"/>
          <w:u w:val="single"/>
        </w:rPr>
        <w:t>Ravnoteža vode i elektrolita</w:t>
      </w:r>
    </w:p>
    <w:p w14:paraId="0C0A0F9B" w14:textId="77777777" w:rsidR="00D86BB7" w:rsidRPr="00CC61C2" w:rsidRDefault="00D86BB7" w:rsidP="001237DA">
      <w:pPr>
        <w:jc w:val="both"/>
        <w:rPr>
          <w:i/>
          <w:iCs/>
          <w:szCs w:val="22"/>
          <w:highlight w:val="yellow"/>
        </w:rPr>
      </w:pPr>
    </w:p>
    <w:p w14:paraId="7905602F" w14:textId="77777777" w:rsidR="00D86BB7" w:rsidRPr="00CC61C2" w:rsidRDefault="00D86BB7" w:rsidP="001237DA">
      <w:pPr>
        <w:jc w:val="both"/>
        <w:rPr>
          <w:szCs w:val="22"/>
        </w:rPr>
      </w:pPr>
      <w:r w:rsidRPr="00CC61C2">
        <w:rPr>
          <w:i/>
          <w:iCs/>
          <w:szCs w:val="22"/>
        </w:rPr>
        <w:t>Nivoi natrijuma</w:t>
      </w:r>
    </w:p>
    <w:p w14:paraId="5E47D1B9" w14:textId="77777777" w:rsidR="00D86BB7" w:rsidRPr="00CC61C2" w:rsidRDefault="00D86BB7" w:rsidP="000D120B">
      <w:pPr>
        <w:tabs>
          <w:tab w:val="center" w:pos="4536"/>
          <w:tab w:val="right" w:pos="9072"/>
        </w:tabs>
        <w:jc w:val="both"/>
        <w:rPr>
          <w:szCs w:val="22"/>
        </w:rPr>
      </w:pPr>
      <w:r w:rsidRPr="00CC61C2">
        <w:rPr>
          <w:szCs w:val="22"/>
        </w:rPr>
        <w:t>Treba ih testirati prije početka liječenja, a zatim u redovnim intervalima. Upotreba bilo kojeg diuretika može izazvati hiponatrijemiju, u nekim slučajevima sa veoma ozbiljnim posledicama. Sniženje nivoa natrijuma može biti asimptomatsko u početku, pa je zato neophodno redovno testiranje. Testiranje bi trebalo češće obavljati kod starijih i cirotičnih pacijenata (vidjeti djelove 4.8 i 4.9).</w:t>
      </w:r>
    </w:p>
    <w:p w14:paraId="0445A0B8" w14:textId="7EF81C00" w:rsidR="00D86BB7" w:rsidRPr="00CC61C2" w:rsidRDefault="00D86BB7" w:rsidP="000D120B">
      <w:pPr>
        <w:jc w:val="both"/>
        <w:rPr>
          <w:szCs w:val="22"/>
        </w:rPr>
      </w:pPr>
      <w:r w:rsidRPr="00CC61C2">
        <w:rPr>
          <w:szCs w:val="22"/>
        </w:rPr>
        <w:t>Hiponatr</w:t>
      </w:r>
      <w:r w:rsidR="00863AFB">
        <w:rPr>
          <w:szCs w:val="22"/>
        </w:rPr>
        <w:t>ij</w:t>
      </w:r>
      <w:r w:rsidRPr="00CC61C2">
        <w:rPr>
          <w:szCs w:val="22"/>
        </w:rPr>
        <w:t>emija sa hipovolemijom može biti odgovorna za dehidraciju i ortostatsku hipotenziju. Istovremeni gubitak hloridnih jona može dovesti do sekundarne kompenzatorne metaboličke alkaloze: učestalost i stepen ovog efekta su mali.</w:t>
      </w:r>
    </w:p>
    <w:p w14:paraId="7E3365A4" w14:textId="77777777" w:rsidR="00D86BB7" w:rsidRPr="00CC61C2" w:rsidRDefault="00D86BB7" w:rsidP="000D120B">
      <w:pPr>
        <w:jc w:val="both"/>
        <w:rPr>
          <w:szCs w:val="22"/>
          <w:lang w:eastAsia="en-GB"/>
        </w:rPr>
      </w:pPr>
    </w:p>
    <w:p w14:paraId="5B9A306D" w14:textId="73761C1B" w:rsidR="00D420D0" w:rsidRPr="00CC61C2" w:rsidRDefault="00D420D0" w:rsidP="00592131">
      <w:pPr>
        <w:tabs>
          <w:tab w:val="left" w:pos="284"/>
        </w:tabs>
        <w:jc w:val="both"/>
        <w:rPr>
          <w:i/>
          <w:szCs w:val="22"/>
        </w:rPr>
      </w:pPr>
      <w:r w:rsidRPr="00CC61C2">
        <w:rPr>
          <w:i/>
          <w:szCs w:val="22"/>
        </w:rPr>
        <w:t>Hiperkal</w:t>
      </w:r>
      <w:r w:rsidR="0037662F">
        <w:rPr>
          <w:i/>
          <w:szCs w:val="22"/>
        </w:rPr>
        <w:t>ij</w:t>
      </w:r>
      <w:r w:rsidRPr="00CC61C2">
        <w:rPr>
          <w:i/>
          <w:szCs w:val="22"/>
        </w:rPr>
        <w:t>emija</w:t>
      </w:r>
    </w:p>
    <w:p w14:paraId="2C54AD37" w14:textId="6394FD0E" w:rsidR="00D86BB7" w:rsidRPr="00CC61C2" w:rsidRDefault="00D86BB7">
      <w:pPr>
        <w:tabs>
          <w:tab w:val="left" w:pos="284"/>
        </w:tabs>
        <w:jc w:val="both"/>
        <w:rPr>
          <w:szCs w:val="22"/>
        </w:rPr>
      </w:pPr>
      <w:r w:rsidRPr="00CC61C2">
        <w:rPr>
          <w:szCs w:val="22"/>
        </w:rPr>
        <w:t>Kod nekih pacijenata liječenih ACE inhibitorima, uključujući perindopril, primijećeno je povišenje kalijuma u serumu. ACE inhibitori mogu da uzrokuju hiperkal</w:t>
      </w:r>
      <w:r w:rsidR="00FD1B2D">
        <w:rPr>
          <w:szCs w:val="22"/>
        </w:rPr>
        <w:t>ij</w:t>
      </w:r>
      <w:r w:rsidRPr="00CC61C2">
        <w:rPr>
          <w:szCs w:val="22"/>
        </w:rPr>
        <w:t xml:space="preserve">emiju jer inhibiraju oslobađanje aldosterona. Efekat obično nije značajan kod pacijenata sa normalnom funkcijom bubrega.  Kod nekih pacijenata na terapiji ACE inhibitorima, uključujući i perindopril, je uočen povišen nivo kalijuma u serumu. Faktori rizika koji dovode do hiperkalijemije uključuju insuficijenciju bubrega, pogoršanje bubrežne funkcije, starosnu dob (preko 70 godina), dijabetes melitus, interkurentne događaje, posebno dehidrataciju, akutnu srčanu dekompenzaciju, metaboličku acidozu i konkomitantnu primjenu diuretika koji štede kalijum (spironolakton, eplerenon, triamteren, amilorid), suplemente kalijuma ili supstituente za so koji sadrže kalijum. Rizik je povećan i kod onih pacijenata koji uzimaju ljekove koji podižu nivo kalijuma u serumu (heparin, trimetoprim ili ko-trimoksazol poznat i kao trimetoprim/sulfametoksazol i </w:t>
      </w:r>
      <w:r w:rsidRPr="00CC61C2">
        <w:rPr>
          <w:szCs w:val="22"/>
        </w:rPr>
        <w:lastRenderedPageBreak/>
        <w:t>naročito antagonisti aldosterona ili blokatori angiotenzinskih receptora, acetilsalicilna kiselina 3 ≥ g/dan, COX-2 inhibitori i neselektivni NSAIL, imunosupresivi kao što su ciklosporin ili takrolimus). Upotreba suplemenata kalijuma, diuretika koji štede kalijum ili soli koje sadrže kalijum, naročito kod pacijenata sa oštećenom bubrežnom funkcijom, može dovesti do značajnog povećanja kalijuma u serumu. Hiperkalijemija može prouzrokovati teške, ponekad fatalne aritmije. Ukoliko je istovremena upotreba gore navedenih proizvoda neophodna i ne može se izbjeći, treba je sprovoditi uz veliki oprez i često praćenje nivoa kalijuma u serumu. Diuretike koji štede kalijum i blokatore angiotenzin-receptora treba koristiti sa oprezom kod pacijenata koji primaju ACE inhibitore, a potrebno je pratiti kalijum u serumu i funkciju bubrega (vidjeti dio 4.5).</w:t>
      </w:r>
    </w:p>
    <w:p w14:paraId="4785DCF7" w14:textId="77777777" w:rsidR="00D86BB7" w:rsidRPr="00CC61C2" w:rsidRDefault="00D86BB7">
      <w:pPr>
        <w:tabs>
          <w:tab w:val="left" w:pos="284"/>
        </w:tabs>
        <w:jc w:val="both"/>
        <w:rPr>
          <w:szCs w:val="22"/>
        </w:rPr>
      </w:pPr>
    </w:p>
    <w:p w14:paraId="757ABC3B" w14:textId="77777777" w:rsidR="00D86BB7" w:rsidRPr="00CC61C2" w:rsidRDefault="00D86BB7" w:rsidP="001237DA">
      <w:pPr>
        <w:jc w:val="both"/>
        <w:rPr>
          <w:i/>
          <w:iCs/>
          <w:szCs w:val="22"/>
        </w:rPr>
      </w:pPr>
      <w:r w:rsidRPr="00CC61C2">
        <w:rPr>
          <w:i/>
          <w:iCs/>
          <w:szCs w:val="22"/>
        </w:rPr>
        <w:t>Hipokalijemija</w:t>
      </w:r>
    </w:p>
    <w:p w14:paraId="00940EBC" w14:textId="77777777" w:rsidR="00D86BB7" w:rsidRPr="00CC61C2" w:rsidRDefault="00D86BB7" w:rsidP="000D120B">
      <w:pPr>
        <w:tabs>
          <w:tab w:val="left" w:pos="284"/>
        </w:tabs>
        <w:jc w:val="both"/>
        <w:rPr>
          <w:szCs w:val="22"/>
        </w:rPr>
      </w:pPr>
      <w:r w:rsidRPr="00CC61C2">
        <w:rPr>
          <w:szCs w:val="22"/>
        </w:rPr>
        <w:t xml:space="preserve">Smanjenje kalijuma sa hipokalijemijom je veliki rizik kod upotrebe tiazidnih diuretika i diuretika sličnih tiazidima. Hipokalijemija može izazvati poremećaje mišića. Prijavljeni su slučajevi rabdomiolize, uglavnom kao posledica ozbiljne hipokalijemije. Rizik smanjenja nivoa kalijuma (&lt; 3,4 mmol/l ) mora se spriječiti u nekim visoko rizičnim populacijama, kakve su starije osobe i/ili slabo uhranjene osobe, bilo da one uzimaju ili ne više ljekova u isto vrijeme, cirotični pacijenti sa edemom i ascitesom, pacijenti sa koronarnom bolešću i pacijenti sa insuficijencijom srca. U ovim slučajevima, hipokalijemija povećava kardijalnu toksičnost kardiotoničnih glikozida i rizik od poremećaja srčanog ritma. </w:t>
      </w:r>
    </w:p>
    <w:p w14:paraId="4B05F9F8" w14:textId="4970C079" w:rsidR="00D86BB7" w:rsidRPr="00CC61C2" w:rsidRDefault="00D86BB7" w:rsidP="000D120B">
      <w:pPr>
        <w:tabs>
          <w:tab w:val="left" w:pos="284"/>
        </w:tabs>
        <w:jc w:val="both"/>
        <w:rPr>
          <w:szCs w:val="22"/>
        </w:rPr>
      </w:pPr>
      <w:r w:rsidRPr="00CC61C2">
        <w:rPr>
          <w:szCs w:val="22"/>
        </w:rPr>
        <w:t xml:space="preserve">Osobe sa produženim QT intervalom su takođe pod rizikom, bilo da je produžen QT interval kongenitalnog ili jatrogenog porijekla. Hipokalijemija, kao i bradikardija, djeluje kao faktor koji favorizuje početak teških poremećaja srčanog ritma, posebno </w:t>
      </w:r>
      <w:r w:rsidR="003A096A">
        <w:rPr>
          <w:i/>
          <w:szCs w:val="22"/>
        </w:rPr>
        <w:t>T</w:t>
      </w:r>
      <w:r w:rsidR="003A096A" w:rsidRPr="00CC61C2">
        <w:rPr>
          <w:i/>
          <w:szCs w:val="22"/>
        </w:rPr>
        <w:t xml:space="preserve">orsade </w:t>
      </w:r>
      <w:r w:rsidRPr="00CC61C2">
        <w:rPr>
          <w:i/>
          <w:szCs w:val="22"/>
        </w:rPr>
        <w:t>de pointes</w:t>
      </w:r>
      <w:r w:rsidRPr="00CC61C2">
        <w:rPr>
          <w:szCs w:val="22"/>
        </w:rPr>
        <w:t>, koji mogu biti fatalani.</w:t>
      </w:r>
    </w:p>
    <w:p w14:paraId="3F53775C" w14:textId="77777777" w:rsidR="00D86BB7" w:rsidRPr="00CC61C2" w:rsidRDefault="00D86BB7" w:rsidP="000D120B">
      <w:pPr>
        <w:tabs>
          <w:tab w:val="left" w:pos="284"/>
        </w:tabs>
        <w:jc w:val="both"/>
        <w:rPr>
          <w:szCs w:val="22"/>
        </w:rPr>
      </w:pPr>
      <w:r w:rsidRPr="00CC61C2">
        <w:rPr>
          <w:szCs w:val="22"/>
        </w:rPr>
        <w:t>U svim slučajevima je neophodno češće kontrolisanje nivoa kalijuma. Prvo mjerenje nivoa kalijuma u plazmi treba uraditi tokom prve nedjelje od početka terapije.</w:t>
      </w:r>
    </w:p>
    <w:p w14:paraId="0016E8AE" w14:textId="77777777" w:rsidR="00D86BB7" w:rsidRPr="00CC61C2" w:rsidRDefault="00D86BB7" w:rsidP="00077095">
      <w:pPr>
        <w:tabs>
          <w:tab w:val="left" w:pos="284"/>
        </w:tabs>
        <w:jc w:val="both"/>
        <w:rPr>
          <w:szCs w:val="22"/>
        </w:rPr>
      </w:pPr>
      <w:r w:rsidRPr="00CC61C2">
        <w:rPr>
          <w:szCs w:val="22"/>
        </w:rPr>
        <w:t>Ako je utvrđen nizak nivo kalijuma, neophodna je korekcija. Hipokalijemija zajedno sa niskom koncentracijom magnezijuma u ​​serumu može biti otporna na terapiju, ukoliko se ne koriguje nivo magnezijuma u serumu.</w:t>
      </w:r>
    </w:p>
    <w:p w14:paraId="09E9100A" w14:textId="77777777" w:rsidR="00D86BB7" w:rsidRPr="00CC61C2" w:rsidRDefault="00D86BB7" w:rsidP="00592131">
      <w:pPr>
        <w:tabs>
          <w:tab w:val="left" w:pos="284"/>
        </w:tabs>
        <w:jc w:val="both"/>
        <w:rPr>
          <w:szCs w:val="22"/>
          <w:highlight w:val="yellow"/>
        </w:rPr>
      </w:pPr>
    </w:p>
    <w:p w14:paraId="4D190548" w14:textId="0594B0D3" w:rsidR="00D86BB7" w:rsidRPr="00CC61C2" w:rsidRDefault="00D86BB7">
      <w:pPr>
        <w:tabs>
          <w:tab w:val="center" w:pos="4536"/>
          <w:tab w:val="right" w:pos="9072"/>
        </w:tabs>
        <w:jc w:val="both"/>
        <w:rPr>
          <w:i/>
          <w:szCs w:val="22"/>
        </w:rPr>
      </w:pPr>
      <w:r w:rsidRPr="00CC61C2">
        <w:rPr>
          <w:i/>
          <w:szCs w:val="22"/>
        </w:rPr>
        <w:t>Magnezijum u plazmi</w:t>
      </w:r>
    </w:p>
    <w:p w14:paraId="53EC84C0" w14:textId="77777777" w:rsidR="00D86BB7" w:rsidRPr="00CC61C2" w:rsidRDefault="00D86BB7">
      <w:pPr>
        <w:tabs>
          <w:tab w:val="left" w:pos="284"/>
        </w:tabs>
        <w:jc w:val="both"/>
        <w:rPr>
          <w:szCs w:val="22"/>
        </w:rPr>
      </w:pPr>
      <w:r w:rsidRPr="00CC61C2">
        <w:rPr>
          <w:szCs w:val="22"/>
        </w:rPr>
        <w:t>Pokazalo se da tiazidi i srodni diuretici uključujući indapamid povećavaju izlučivanje magnezijuma putem urina, što može dovesti do hipomagnezijemije (videti djelove 4.5 i 4.8).</w:t>
      </w:r>
    </w:p>
    <w:p w14:paraId="33AD891A" w14:textId="77777777" w:rsidR="00D86BB7" w:rsidRPr="00CC61C2" w:rsidRDefault="00D86BB7">
      <w:pPr>
        <w:tabs>
          <w:tab w:val="center" w:pos="4536"/>
          <w:tab w:val="right" w:pos="9072"/>
        </w:tabs>
        <w:jc w:val="both"/>
        <w:rPr>
          <w:szCs w:val="22"/>
        </w:rPr>
      </w:pPr>
    </w:p>
    <w:p w14:paraId="23716BA3" w14:textId="77777777" w:rsidR="00D86BB7" w:rsidRPr="00CC61C2" w:rsidRDefault="00D86BB7">
      <w:pPr>
        <w:tabs>
          <w:tab w:val="center" w:pos="4536"/>
          <w:tab w:val="right" w:pos="9072"/>
        </w:tabs>
        <w:jc w:val="both"/>
        <w:rPr>
          <w:i/>
          <w:szCs w:val="22"/>
        </w:rPr>
      </w:pPr>
      <w:r w:rsidRPr="00CC61C2">
        <w:rPr>
          <w:i/>
          <w:szCs w:val="22"/>
        </w:rPr>
        <w:t>Koncentracija kalcijuma</w:t>
      </w:r>
    </w:p>
    <w:p w14:paraId="513B00BD" w14:textId="77777777" w:rsidR="00D86BB7" w:rsidRPr="00CC61C2" w:rsidRDefault="00D86BB7">
      <w:pPr>
        <w:tabs>
          <w:tab w:val="left" w:pos="284"/>
        </w:tabs>
        <w:jc w:val="both"/>
        <w:rPr>
          <w:szCs w:val="22"/>
        </w:rPr>
      </w:pPr>
      <w:r w:rsidRPr="00CC61C2">
        <w:rPr>
          <w:szCs w:val="22"/>
        </w:rPr>
        <w:t>Tiazidni diuretici i tiazidima-slični diuretici mogu smanjiti izlučivanje kalcijuma urinom i izazvati blago i prolazno povećanje nivoa kalcijuma u plazmi. Značajno povećanje nivoa kalcijuma može biti povezano sa nedijagnostikovanim hiperparatireoidizmom. U ovim slučajevima, terapija se prekida do ispitivanja paratiroidne funkcije.</w:t>
      </w:r>
    </w:p>
    <w:p w14:paraId="5F983929" w14:textId="77777777" w:rsidR="00D86BB7" w:rsidRPr="00CC61C2" w:rsidRDefault="00D86BB7">
      <w:pPr>
        <w:tabs>
          <w:tab w:val="center" w:pos="4536"/>
          <w:tab w:val="right" w:pos="9072"/>
        </w:tabs>
        <w:jc w:val="both"/>
        <w:rPr>
          <w:szCs w:val="22"/>
        </w:rPr>
      </w:pPr>
    </w:p>
    <w:p w14:paraId="6DD5C650" w14:textId="77777777" w:rsidR="00D86BB7" w:rsidRPr="00CC61C2" w:rsidRDefault="00D86BB7">
      <w:pPr>
        <w:tabs>
          <w:tab w:val="center" w:pos="4536"/>
          <w:tab w:val="right" w:pos="9072"/>
        </w:tabs>
        <w:jc w:val="both"/>
        <w:rPr>
          <w:i/>
          <w:szCs w:val="22"/>
        </w:rPr>
      </w:pPr>
      <w:r w:rsidRPr="00CC61C2">
        <w:rPr>
          <w:i/>
          <w:szCs w:val="22"/>
        </w:rPr>
        <w:t>Mokraćna kiselina</w:t>
      </w:r>
    </w:p>
    <w:p w14:paraId="3D25E4E5" w14:textId="77777777" w:rsidR="00D86BB7" w:rsidRPr="00CC61C2" w:rsidRDefault="00D86BB7">
      <w:pPr>
        <w:tabs>
          <w:tab w:val="left" w:pos="284"/>
        </w:tabs>
        <w:jc w:val="both"/>
        <w:rPr>
          <w:szCs w:val="22"/>
        </w:rPr>
      </w:pPr>
      <w:r w:rsidRPr="00CC61C2">
        <w:rPr>
          <w:szCs w:val="22"/>
        </w:rPr>
        <w:t>Vjerovatnoća za pojavu napada gihta može biti povećana kod pacijenata sa hiperurikemijom.</w:t>
      </w:r>
    </w:p>
    <w:p w14:paraId="71CB0C84" w14:textId="77777777" w:rsidR="00D86BB7" w:rsidRPr="00CC61C2" w:rsidRDefault="00D86BB7">
      <w:pPr>
        <w:tabs>
          <w:tab w:val="center" w:pos="4536"/>
          <w:tab w:val="right" w:pos="9072"/>
        </w:tabs>
        <w:jc w:val="both"/>
        <w:rPr>
          <w:szCs w:val="22"/>
        </w:rPr>
      </w:pPr>
    </w:p>
    <w:p w14:paraId="15AC104D" w14:textId="345035C4" w:rsidR="00D86BB7" w:rsidRPr="00CC61C2" w:rsidRDefault="00D86BB7">
      <w:pPr>
        <w:tabs>
          <w:tab w:val="left" w:pos="284"/>
        </w:tabs>
        <w:jc w:val="both"/>
        <w:rPr>
          <w:i/>
          <w:szCs w:val="22"/>
        </w:rPr>
      </w:pPr>
      <w:r w:rsidRPr="00CC61C2">
        <w:rPr>
          <w:i/>
          <w:szCs w:val="22"/>
        </w:rPr>
        <w:t>Litijum</w:t>
      </w:r>
    </w:p>
    <w:p w14:paraId="04FA26A1" w14:textId="77777777" w:rsidR="00D86BB7" w:rsidRPr="00CC61C2" w:rsidRDefault="00D86BB7">
      <w:pPr>
        <w:tabs>
          <w:tab w:val="left" w:pos="284"/>
        </w:tabs>
        <w:jc w:val="both"/>
        <w:rPr>
          <w:szCs w:val="22"/>
        </w:rPr>
      </w:pPr>
      <w:r w:rsidRPr="00CC61C2">
        <w:rPr>
          <w:szCs w:val="22"/>
        </w:rPr>
        <w:t>Upotreba litiijuma sa kombinacijom perindoprila i indapamida obično se ne preporučuje (vidjeti dio 4.5).</w:t>
      </w:r>
    </w:p>
    <w:p w14:paraId="0BA89B00" w14:textId="77777777" w:rsidR="00D86BB7" w:rsidRPr="00CC61C2" w:rsidRDefault="00D86BB7">
      <w:pPr>
        <w:tabs>
          <w:tab w:val="center" w:pos="4536"/>
          <w:tab w:val="right" w:pos="9072"/>
        </w:tabs>
        <w:jc w:val="both"/>
        <w:rPr>
          <w:szCs w:val="22"/>
        </w:rPr>
      </w:pPr>
    </w:p>
    <w:p w14:paraId="5E4EFE6E" w14:textId="77777777" w:rsidR="00D86BB7" w:rsidRPr="00CC61C2" w:rsidRDefault="00D86BB7">
      <w:pPr>
        <w:tabs>
          <w:tab w:val="center" w:pos="4536"/>
          <w:tab w:val="right" w:pos="9072"/>
        </w:tabs>
        <w:jc w:val="both"/>
        <w:rPr>
          <w:i/>
          <w:szCs w:val="22"/>
        </w:rPr>
      </w:pPr>
      <w:r w:rsidRPr="00CC61C2">
        <w:rPr>
          <w:i/>
          <w:szCs w:val="22"/>
        </w:rPr>
        <w:t>Sportisti</w:t>
      </w:r>
    </w:p>
    <w:p w14:paraId="17839AFB" w14:textId="77777777" w:rsidR="00D86BB7" w:rsidRPr="00CC61C2" w:rsidRDefault="00D86BB7">
      <w:pPr>
        <w:tabs>
          <w:tab w:val="center" w:pos="4536"/>
          <w:tab w:val="right" w:pos="9072"/>
        </w:tabs>
        <w:jc w:val="both"/>
        <w:rPr>
          <w:szCs w:val="22"/>
        </w:rPr>
      </w:pPr>
      <w:r w:rsidRPr="00CC61C2">
        <w:rPr>
          <w:szCs w:val="22"/>
        </w:rPr>
        <w:t>Sportisti bi trebalo da znaju da ovaj lijek sadrži aktivnu supstancu (indapamid) koja može da uzrokuje pozitivnu reakciju na doping testu.</w:t>
      </w:r>
    </w:p>
    <w:p w14:paraId="5B674B77" w14:textId="77777777" w:rsidR="00A160D0" w:rsidRDefault="00A160D0">
      <w:pPr>
        <w:tabs>
          <w:tab w:val="center" w:pos="4536"/>
          <w:tab w:val="right" w:pos="9072"/>
        </w:tabs>
        <w:jc w:val="both"/>
        <w:rPr>
          <w:i/>
          <w:szCs w:val="22"/>
        </w:rPr>
      </w:pPr>
    </w:p>
    <w:p w14:paraId="781CAD08" w14:textId="0B551DDD" w:rsidR="00D86BB7" w:rsidRPr="00CC61C2" w:rsidRDefault="00D86BB7">
      <w:pPr>
        <w:tabs>
          <w:tab w:val="center" w:pos="4536"/>
          <w:tab w:val="right" w:pos="9072"/>
        </w:tabs>
        <w:jc w:val="both"/>
        <w:rPr>
          <w:i/>
          <w:szCs w:val="22"/>
        </w:rPr>
      </w:pPr>
      <w:r w:rsidRPr="00CC61C2">
        <w:rPr>
          <w:i/>
          <w:szCs w:val="22"/>
        </w:rPr>
        <w:t>Horoidalni izliv, akutna miopija i sekundarni glaukom zatvorenog ugla</w:t>
      </w:r>
    </w:p>
    <w:p w14:paraId="15ACBB14" w14:textId="49D50862" w:rsidR="00D86BB7" w:rsidRDefault="00D86BB7">
      <w:pPr>
        <w:tabs>
          <w:tab w:val="center" w:pos="4536"/>
          <w:tab w:val="right" w:pos="9072"/>
        </w:tabs>
        <w:jc w:val="both"/>
        <w:rPr>
          <w:szCs w:val="22"/>
        </w:rPr>
      </w:pPr>
      <w:r w:rsidRPr="00CC61C2">
        <w:rPr>
          <w:szCs w:val="22"/>
        </w:rPr>
        <w:t xml:space="preserve">Sulfonamidi ili derivati sulfonamida mogu uzrokovati idiosinkratsku reakciju koja dovodi do horiodalnog izliva sa defektom vidnog polja, prolazne kratkovidnosti i akutnog glaukoma zatvorenog ugla. Simptomi uključuju akutni početak smanjene oštrine vida ili bola u oku i obično se javljaju unutar nekoliko sati do nekoliko nedjelja od početka primjene lijeka. Neliječeni akutni glaukom zatvorenog ugla može dovesti do trajnog gubitka vida. Primarna terapija podrazumijeva što brži prekid uzimanja lijeka. Možda će biti potrebno da se razmotre brze medicinske ili hirurške mjere ako intraokularni </w:t>
      </w:r>
      <w:r w:rsidRPr="00CC61C2">
        <w:rPr>
          <w:szCs w:val="22"/>
        </w:rPr>
        <w:lastRenderedPageBreak/>
        <w:t>pritisak ostane nekontrolisan. Faktori rizika za razvoj akutnog glaukoma zatvorenog ugla mogu uključivati istoriju alergije na sulfonamid ili penicilin.</w:t>
      </w:r>
    </w:p>
    <w:p w14:paraId="0CAF7F88" w14:textId="77777777" w:rsidR="00081AE5" w:rsidRPr="00CC61C2" w:rsidRDefault="00081AE5">
      <w:pPr>
        <w:tabs>
          <w:tab w:val="center" w:pos="4536"/>
          <w:tab w:val="right" w:pos="9072"/>
        </w:tabs>
        <w:jc w:val="both"/>
        <w:rPr>
          <w:i/>
          <w:szCs w:val="22"/>
        </w:rPr>
      </w:pPr>
    </w:p>
    <w:p w14:paraId="1E91BDC4" w14:textId="77777777" w:rsidR="00D86BB7" w:rsidRPr="00CC61C2" w:rsidRDefault="00D86BB7">
      <w:pPr>
        <w:tabs>
          <w:tab w:val="center" w:pos="4536"/>
          <w:tab w:val="right" w:pos="9072"/>
        </w:tabs>
        <w:jc w:val="both"/>
        <w:rPr>
          <w:i/>
          <w:szCs w:val="22"/>
        </w:rPr>
      </w:pPr>
      <w:r w:rsidRPr="00CC61C2">
        <w:rPr>
          <w:i/>
          <w:szCs w:val="22"/>
        </w:rPr>
        <w:t>Etničke razlike</w:t>
      </w:r>
    </w:p>
    <w:p w14:paraId="5829D754" w14:textId="77777777" w:rsidR="00D86BB7" w:rsidRPr="00CC61C2" w:rsidRDefault="00D86BB7">
      <w:pPr>
        <w:tabs>
          <w:tab w:val="left" w:pos="284"/>
        </w:tabs>
        <w:jc w:val="both"/>
        <w:rPr>
          <w:szCs w:val="22"/>
        </w:rPr>
      </w:pPr>
      <w:r w:rsidRPr="00CC61C2">
        <w:rPr>
          <w:szCs w:val="22"/>
        </w:rPr>
        <w:t>Kao i drugi ACE inhibitori, perindopril je manje efikasan u snižavanju krvnog pritiska kod pacijenata crne populacije, vjerovatno zbog učestalije pojave niskog nivoa renina kod pacijenata crne populacije sa povišenim krvnim pritiskom.</w:t>
      </w:r>
    </w:p>
    <w:p w14:paraId="58368429" w14:textId="77777777" w:rsidR="00D86BB7" w:rsidRPr="00CC61C2" w:rsidRDefault="00D86BB7">
      <w:pPr>
        <w:tabs>
          <w:tab w:val="center" w:pos="4536"/>
          <w:tab w:val="right" w:pos="9072"/>
        </w:tabs>
        <w:jc w:val="both"/>
        <w:rPr>
          <w:szCs w:val="22"/>
        </w:rPr>
      </w:pPr>
    </w:p>
    <w:p w14:paraId="3E790025" w14:textId="77777777" w:rsidR="00D86BB7" w:rsidRPr="00CC61C2" w:rsidRDefault="00D86BB7">
      <w:pPr>
        <w:tabs>
          <w:tab w:val="center" w:pos="4536"/>
          <w:tab w:val="right" w:pos="9072"/>
        </w:tabs>
        <w:jc w:val="both"/>
        <w:rPr>
          <w:i/>
          <w:szCs w:val="22"/>
        </w:rPr>
      </w:pPr>
      <w:r w:rsidRPr="00CC61C2">
        <w:rPr>
          <w:i/>
          <w:szCs w:val="22"/>
        </w:rPr>
        <w:t>Starije osobe</w:t>
      </w:r>
    </w:p>
    <w:p w14:paraId="430770D2" w14:textId="77777777" w:rsidR="00D86BB7" w:rsidRPr="00CC61C2" w:rsidRDefault="00D86BB7">
      <w:pPr>
        <w:tabs>
          <w:tab w:val="left" w:pos="284"/>
        </w:tabs>
        <w:jc w:val="both"/>
        <w:rPr>
          <w:szCs w:val="22"/>
        </w:rPr>
      </w:pPr>
      <w:r w:rsidRPr="00CC61C2">
        <w:rPr>
          <w:szCs w:val="22"/>
        </w:rPr>
        <w:t xml:space="preserve">Prije početka terapije treba ispitati funkciju bubrega i nivo kalijuma u krvi. </w:t>
      </w:r>
    </w:p>
    <w:p w14:paraId="0F7FF8EA" w14:textId="77777777" w:rsidR="00D86BB7" w:rsidRPr="00CC61C2" w:rsidRDefault="00D86BB7">
      <w:pPr>
        <w:tabs>
          <w:tab w:val="left" w:pos="284"/>
        </w:tabs>
        <w:jc w:val="both"/>
        <w:rPr>
          <w:szCs w:val="22"/>
        </w:rPr>
      </w:pPr>
      <w:r w:rsidRPr="00CC61C2">
        <w:rPr>
          <w:szCs w:val="22"/>
        </w:rPr>
        <w:t xml:space="preserve">Inicijalna doza se postepeno podešava prema postignutom sniženju krvnog pritiska, posebno u slučajevima gubitka vode i elektrolita, da bi se izbjegao iznenadni nastanak hipotenzije. </w:t>
      </w:r>
    </w:p>
    <w:p w14:paraId="3B7CED91" w14:textId="77777777" w:rsidR="00D86BB7" w:rsidRPr="00CC61C2" w:rsidRDefault="00D86BB7">
      <w:pPr>
        <w:tabs>
          <w:tab w:val="left" w:pos="284"/>
        </w:tabs>
        <w:jc w:val="both"/>
        <w:rPr>
          <w:szCs w:val="22"/>
        </w:rPr>
      </w:pPr>
      <w:r w:rsidRPr="00CC61C2">
        <w:rPr>
          <w:szCs w:val="22"/>
        </w:rPr>
        <w:t>Kod starijih pacijenata dozu treba oprezno povećavati (vidjeti djelove 4.2 i 5.2).</w:t>
      </w:r>
    </w:p>
    <w:p w14:paraId="42B2B53C" w14:textId="77777777" w:rsidR="00D86BB7" w:rsidRPr="00CC61C2" w:rsidRDefault="00D86BB7">
      <w:pPr>
        <w:tabs>
          <w:tab w:val="center" w:pos="4536"/>
          <w:tab w:val="right" w:pos="9072"/>
        </w:tabs>
        <w:jc w:val="both"/>
        <w:rPr>
          <w:szCs w:val="22"/>
        </w:rPr>
      </w:pPr>
    </w:p>
    <w:p w14:paraId="5CDF854E" w14:textId="77777777" w:rsidR="00D86BB7" w:rsidRPr="00CC61C2" w:rsidRDefault="00D86BB7">
      <w:pPr>
        <w:tabs>
          <w:tab w:val="center" w:pos="4536"/>
          <w:tab w:val="right" w:pos="9072"/>
        </w:tabs>
        <w:jc w:val="both"/>
        <w:rPr>
          <w:i/>
          <w:szCs w:val="22"/>
        </w:rPr>
      </w:pPr>
      <w:r w:rsidRPr="00CC61C2">
        <w:rPr>
          <w:i/>
          <w:szCs w:val="22"/>
        </w:rPr>
        <w:t>Pedijatrijska populacija</w:t>
      </w:r>
    </w:p>
    <w:p w14:paraId="0609D842" w14:textId="77777777" w:rsidR="00D86BB7" w:rsidRPr="00CC61C2" w:rsidRDefault="00D86BB7">
      <w:pPr>
        <w:tabs>
          <w:tab w:val="left" w:pos="284"/>
        </w:tabs>
        <w:jc w:val="both"/>
        <w:rPr>
          <w:szCs w:val="22"/>
        </w:rPr>
      </w:pPr>
      <w:r w:rsidRPr="00CC61C2">
        <w:rPr>
          <w:szCs w:val="22"/>
        </w:rPr>
        <w:t>Efikasnost lijeka Amlewel i tolerancija kod djece i adolescenata još uvijek nijesu utvrđene.</w:t>
      </w:r>
    </w:p>
    <w:p w14:paraId="42BA0410" w14:textId="77777777" w:rsidR="00D86BB7" w:rsidRPr="00CC61C2" w:rsidRDefault="00D86BB7">
      <w:pPr>
        <w:tabs>
          <w:tab w:val="center" w:pos="4536"/>
          <w:tab w:val="right" w:pos="9072"/>
        </w:tabs>
        <w:jc w:val="both"/>
        <w:rPr>
          <w:szCs w:val="22"/>
        </w:rPr>
      </w:pPr>
    </w:p>
    <w:p w14:paraId="753ABA78" w14:textId="77777777" w:rsidR="00D86BB7" w:rsidRPr="00CC61C2" w:rsidRDefault="00D86BB7" w:rsidP="001237DA">
      <w:pPr>
        <w:pStyle w:val="Header"/>
        <w:tabs>
          <w:tab w:val="left" w:pos="284"/>
        </w:tabs>
        <w:jc w:val="both"/>
        <w:rPr>
          <w:rFonts w:ascii="Times New Roman" w:hAnsi="Times New Roman"/>
          <w:i/>
          <w:sz w:val="22"/>
          <w:szCs w:val="22"/>
        </w:rPr>
      </w:pPr>
      <w:r w:rsidRPr="00CC61C2">
        <w:rPr>
          <w:rFonts w:ascii="Times New Roman" w:hAnsi="Times New Roman"/>
          <w:i/>
          <w:sz w:val="22"/>
          <w:szCs w:val="22"/>
        </w:rPr>
        <w:t>Natrijum</w:t>
      </w:r>
    </w:p>
    <w:p w14:paraId="69107392" w14:textId="11E795D4" w:rsidR="00D86BB7" w:rsidRPr="009A235D" w:rsidRDefault="00D86BB7" w:rsidP="001237DA">
      <w:pPr>
        <w:pStyle w:val="Header"/>
        <w:tabs>
          <w:tab w:val="left" w:pos="284"/>
        </w:tabs>
        <w:jc w:val="both"/>
        <w:rPr>
          <w:rFonts w:ascii="Times New Roman" w:hAnsi="Times New Roman"/>
          <w:sz w:val="22"/>
          <w:szCs w:val="22"/>
        </w:rPr>
      </w:pPr>
      <w:r w:rsidRPr="009A235D">
        <w:rPr>
          <w:rFonts w:ascii="Times New Roman" w:hAnsi="Times New Roman"/>
          <w:sz w:val="22"/>
          <w:szCs w:val="22"/>
        </w:rPr>
        <w:t>Ovaj lijek sadrži manje od 1 mmol (23 mg) natrijuma po dozi, t</w:t>
      </w:r>
      <w:r w:rsidR="009A133C">
        <w:rPr>
          <w:rFonts w:ascii="Times New Roman" w:hAnsi="Times New Roman"/>
          <w:sz w:val="22"/>
          <w:szCs w:val="22"/>
        </w:rPr>
        <w:t>o jest</w:t>
      </w:r>
      <w:r w:rsidRPr="009A235D">
        <w:rPr>
          <w:rFonts w:ascii="Times New Roman" w:hAnsi="Times New Roman"/>
          <w:sz w:val="22"/>
          <w:szCs w:val="22"/>
        </w:rPr>
        <w:t xml:space="preserve"> </w:t>
      </w:r>
      <w:r w:rsidR="009A133C">
        <w:rPr>
          <w:rFonts w:ascii="Times New Roman" w:hAnsi="Times New Roman"/>
          <w:sz w:val="22"/>
          <w:szCs w:val="22"/>
        </w:rPr>
        <w:t>suštinski je „bez</w:t>
      </w:r>
      <w:r w:rsidRPr="009A235D">
        <w:rPr>
          <w:rFonts w:ascii="Times New Roman" w:hAnsi="Times New Roman"/>
          <w:sz w:val="22"/>
          <w:szCs w:val="22"/>
        </w:rPr>
        <w:t xml:space="preserve"> natrijuma</w:t>
      </w:r>
      <w:r w:rsidR="009A133C">
        <w:rPr>
          <w:rFonts w:ascii="Times New Roman" w:hAnsi="Times New Roman"/>
          <w:sz w:val="22"/>
          <w:szCs w:val="22"/>
        </w:rPr>
        <w:t>“</w:t>
      </w:r>
      <w:r w:rsidRPr="009A235D">
        <w:rPr>
          <w:rFonts w:ascii="Times New Roman" w:hAnsi="Times New Roman"/>
          <w:sz w:val="22"/>
          <w:szCs w:val="22"/>
        </w:rPr>
        <w:t>.</w:t>
      </w:r>
    </w:p>
    <w:p w14:paraId="372E8A1F" w14:textId="77777777" w:rsidR="00D86BB7" w:rsidRPr="00CC61C2" w:rsidRDefault="00D86BB7" w:rsidP="000D120B">
      <w:pPr>
        <w:tabs>
          <w:tab w:val="center" w:pos="4536"/>
          <w:tab w:val="right" w:pos="9072"/>
        </w:tabs>
        <w:jc w:val="both"/>
        <w:rPr>
          <w:b/>
          <w:szCs w:val="22"/>
        </w:rPr>
      </w:pPr>
    </w:p>
    <w:p w14:paraId="0F759830" w14:textId="77777777" w:rsidR="00D86BB7" w:rsidRPr="00CC61C2" w:rsidRDefault="00D86BB7" w:rsidP="000D120B">
      <w:pPr>
        <w:tabs>
          <w:tab w:val="center" w:pos="4536"/>
          <w:tab w:val="right" w:pos="9072"/>
        </w:tabs>
        <w:jc w:val="both"/>
        <w:rPr>
          <w:szCs w:val="22"/>
        </w:rPr>
      </w:pPr>
      <w:r w:rsidRPr="00CC61C2">
        <w:rPr>
          <w:b/>
          <w:szCs w:val="22"/>
        </w:rPr>
        <w:t>4.5. Interakcije sa drugim ljekovima i druge vrste interakcija</w:t>
      </w:r>
    </w:p>
    <w:p w14:paraId="2D5C2382" w14:textId="77777777" w:rsidR="00D86BB7" w:rsidRPr="00CC61C2" w:rsidRDefault="00D86BB7" w:rsidP="000D120B">
      <w:pPr>
        <w:tabs>
          <w:tab w:val="center" w:pos="4536"/>
          <w:tab w:val="right" w:pos="9072"/>
        </w:tabs>
        <w:jc w:val="both"/>
        <w:rPr>
          <w:bCs/>
          <w:szCs w:val="22"/>
        </w:rPr>
      </w:pPr>
    </w:p>
    <w:p w14:paraId="42CB034D" w14:textId="77777777" w:rsidR="00D86BB7" w:rsidRPr="00CC61C2" w:rsidRDefault="00D86BB7" w:rsidP="00077095">
      <w:pPr>
        <w:tabs>
          <w:tab w:val="center" w:pos="4536"/>
          <w:tab w:val="right" w:pos="9072"/>
        </w:tabs>
        <w:jc w:val="both"/>
        <w:rPr>
          <w:bCs/>
          <w:szCs w:val="22"/>
        </w:rPr>
      </w:pPr>
      <w:r w:rsidRPr="00CC61C2">
        <w:rPr>
          <w:bCs/>
          <w:szCs w:val="22"/>
        </w:rPr>
        <w:t>Podaci iz kliničkih ispitivanja su pokazali da je dvostruka blokada renin-angiotenzin-aldosteron sistema (RAAS) kombinovanom primjenom ACE inhibitora, blokatora angiotenzin II receptora ili aliskirena povezana s većom učestalošću neželjenih događaja kao što su hipotenzija, hiperkalijemija i smanjena bubrežna funkcija (uključujući akutnu bubrežnu insuficijenciju) u poređenju s primjenom samo jednog lijeka koji djeluje na RAAS (vidjeti djelove 4.3, 4.4 i 5.1).</w:t>
      </w:r>
    </w:p>
    <w:p w14:paraId="014A68FC" w14:textId="77777777" w:rsidR="00D86BB7" w:rsidRPr="00CC61C2" w:rsidRDefault="00D86BB7" w:rsidP="00592131">
      <w:pPr>
        <w:tabs>
          <w:tab w:val="center" w:pos="4536"/>
          <w:tab w:val="right" w:pos="9072"/>
        </w:tabs>
        <w:jc w:val="both"/>
        <w:rPr>
          <w:szCs w:val="22"/>
        </w:rPr>
      </w:pPr>
    </w:p>
    <w:p w14:paraId="1EAA2E04" w14:textId="77777777" w:rsidR="00D86BB7" w:rsidRPr="00CC61C2" w:rsidRDefault="00D86BB7" w:rsidP="001237DA">
      <w:pPr>
        <w:widowControl w:val="0"/>
        <w:jc w:val="both"/>
        <w:rPr>
          <w:szCs w:val="22"/>
        </w:rPr>
      </w:pPr>
      <w:bookmarkStart w:id="1" w:name="_Hlk49336914"/>
      <w:r w:rsidRPr="00CC61C2">
        <w:rPr>
          <w:bCs/>
          <w:i/>
          <w:iCs/>
          <w:szCs w:val="22"/>
        </w:rPr>
        <w:t xml:space="preserve">Ljekovi koji povećavaju rizik od angioedema </w:t>
      </w:r>
    </w:p>
    <w:p w14:paraId="01B41837" w14:textId="77777777" w:rsidR="00D86BB7" w:rsidRPr="00CC61C2" w:rsidRDefault="00D86BB7" w:rsidP="000D120B">
      <w:pPr>
        <w:widowControl w:val="0"/>
        <w:jc w:val="both"/>
        <w:rPr>
          <w:szCs w:val="22"/>
        </w:rPr>
      </w:pPr>
      <w:r w:rsidRPr="00CC61C2">
        <w:rPr>
          <w:szCs w:val="22"/>
        </w:rPr>
        <w:t>Istovremena primjena ACE inhibitora sa sakubitril/valsartanom je kontraindikovana jer povećava rizik od pojave angioedema (vidjeti djelove 4.3 i 4.4). Sa primjenom sakubitril/valsartana se smije započeti tek 36 sati nakon uzimanja posljednje doze terapije perindoprila. Sa terapijom perindoprilom se smije započeti tek 36 sati nakon posljednje doze sakubitril/valsartana (vidjeti djelove 4.3 i 4.4).</w:t>
      </w:r>
    </w:p>
    <w:p w14:paraId="75119CE7" w14:textId="77777777" w:rsidR="00D86BB7" w:rsidRPr="00CC61C2" w:rsidRDefault="00D86BB7" w:rsidP="000D120B">
      <w:pPr>
        <w:widowControl w:val="0"/>
        <w:jc w:val="both"/>
        <w:rPr>
          <w:szCs w:val="22"/>
        </w:rPr>
      </w:pPr>
      <w:r w:rsidRPr="00CC61C2">
        <w:rPr>
          <w:szCs w:val="22"/>
        </w:rPr>
        <w:t>Istovremena primjena ACE inhibitora sa racekadotrilom, mTOR inhibitorima (npr. sirolimus, everolimus, temsirolimus) i gliptini (npr. linagliptin, saksagliptin, sitagliptin, vildagliptin) može dovesti do povećanog rizika od angioedema (vidjeti dio 4.4).</w:t>
      </w:r>
    </w:p>
    <w:bookmarkEnd w:id="1"/>
    <w:p w14:paraId="3FBD44D7" w14:textId="77777777" w:rsidR="00D86BB7" w:rsidRPr="00CC61C2" w:rsidRDefault="00D86BB7" w:rsidP="000D120B">
      <w:pPr>
        <w:tabs>
          <w:tab w:val="center" w:pos="4536"/>
          <w:tab w:val="right" w:pos="9072"/>
        </w:tabs>
        <w:jc w:val="both"/>
        <w:rPr>
          <w:szCs w:val="22"/>
        </w:rPr>
      </w:pPr>
    </w:p>
    <w:p w14:paraId="5B06C917" w14:textId="77777777" w:rsidR="00D86BB7" w:rsidRPr="00CC61C2" w:rsidRDefault="00D86BB7" w:rsidP="001237DA">
      <w:pPr>
        <w:autoSpaceDE w:val="0"/>
        <w:autoSpaceDN w:val="0"/>
        <w:adjustRightInd w:val="0"/>
        <w:jc w:val="both"/>
        <w:rPr>
          <w:rFonts w:eastAsia="SimSun"/>
          <w:i/>
          <w:iCs/>
          <w:color w:val="000000"/>
          <w:szCs w:val="22"/>
          <w:lang w:eastAsia="sr-Latn-RS"/>
        </w:rPr>
      </w:pPr>
      <w:r w:rsidRPr="00CC61C2">
        <w:rPr>
          <w:rFonts w:eastAsia="SimSun"/>
          <w:i/>
          <w:iCs/>
          <w:color w:val="000000"/>
          <w:szCs w:val="22"/>
          <w:lang w:eastAsia="sr-Latn-RS"/>
        </w:rPr>
        <w:t>Ljekovi koji uzrokuju hiperkalijemiju</w:t>
      </w:r>
    </w:p>
    <w:p w14:paraId="2E5D6128" w14:textId="57BF79C2" w:rsidR="00D86BB7" w:rsidRPr="00CC61C2" w:rsidRDefault="00D86BB7" w:rsidP="000D120B">
      <w:pPr>
        <w:tabs>
          <w:tab w:val="center" w:pos="4536"/>
          <w:tab w:val="right" w:pos="9072"/>
        </w:tabs>
        <w:jc w:val="both"/>
        <w:rPr>
          <w:szCs w:val="22"/>
        </w:rPr>
      </w:pPr>
      <w:r w:rsidRPr="00CC61C2">
        <w:rPr>
          <w:rFonts w:eastAsia="SimSun"/>
          <w:color w:val="000000"/>
          <w:szCs w:val="22"/>
          <w:lang w:eastAsia="sr-Latn-RS"/>
        </w:rPr>
        <w:t>Iako serumski kalijum obično ostaje u granicama normale, kod nekih pacijenata koji se liječe lijekom Amlewel može doći do hiperkalijemije. Neki ljekovi ili terapijske grupe mogu da povećaju pojavu hiperkalijemije: aliskiren, kalijumove soli, diuretici koji štede kalijum (npr. spironolakton, triamteren ili amilorid), ACE inhibitori, antagonisti receptora angiotenzina II, NSAIL, heparini, imunosupresivi kao što su ciklosporin ili takrolimus, trimetoprim i kotrimoksazol (trimetoprim/sulfametoksazol), jer je poznato da trimetoprim djeluje kao diuretik koji štedi kalijum poput amilorida. Kombinacija ovih ljekova povećava rizik od hiperkalijemije. Stoga se ne preporučuje kombinacija lijeka Amlew</w:t>
      </w:r>
      <w:r w:rsidR="00D75DA6" w:rsidRPr="00CC61C2">
        <w:rPr>
          <w:rFonts w:eastAsia="SimSun"/>
          <w:color w:val="000000"/>
          <w:szCs w:val="22"/>
          <w:lang w:eastAsia="sr-Latn-RS"/>
        </w:rPr>
        <w:t>el</w:t>
      </w:r>
      <w:r w:rsidRPr="00CC61C2">
        <w:rPr>
          <w:rFonts w:eastAsia="SimSun"/>
          <w:color w:val="000000"/>
          <w:szCs w:val="22"/>
          <w:lang w:eastAsia="sr-Latn-RS"/>
        </w:rPr>
        <w:t xml:space="preserve"> sa gore navedenim ljekovima. Ako je indikovana istovremena primjena, treba ih koristiti sa oprezom i uz čestu kontrolu kalijuma u serumu.</w:t>
      </w:r>
    </w:p>
    <w:p w14:paraId="4F65014A" w14:textId="77777777" w:rsidR="00D86BB7" w:rsidRPr="00CC61C2" w:rsidRDefault="00D86BB7" w:rsidP="000D120B">
      <w:pPr>
        <w:jc w:val="both"/>
        <w:rPr>
          <w:i/>
          <w:iCs/>
          <w:szCs w:val="22"/>
          <w:u w:val="single"/>
        </w:rPr>
      </w:pPr>
    </w:p>
    <w:p w14:paraId="70EF51D7" w14:textId="77777777" w:rsidR="00D86BB7" w:rsidRPr="00CC61C2" w:rsidRDefault="00D86BB7" w:rsidP="000D120B">
      <w:pPr>
        <w:jc w:val="both"/>
        <w:rPr>
          <w:i/>
          <w:iCs/>
          <w:szCs w:val="22"/>
          <w:u w:val="single"/>
        </w:rPr>
      </w:pPr>
      <w:r w:rsidRPr="00CC61C2">
        <w:rPr>
          <w:i/>
          <w:iCs/>
          <w:szCs w:val="22"/>
          <w:u w:val="single"/>
        </w:rPr>
        <w:t>Istovremena primjena je kontraindikovana (vidjeti dio 4.3)</w:t>
      </w:r>
    </w:p>
    <w:p w14:paraId="28239CC5" w14:textId="77777777" w:rsidR="00D86BB7" w:rsidRPr="00CC61C2" w:rsidRDefault="00D86BB7" w:rsidP="00077095">
      <w:pPr>
        <w:jc w:val="both"/>
        <w:rPr>
          <w:i/>
          <w:szCs w:val="22"/>
          <w:highlight w:val="yellow"/>
        </w:rPr>
      </w:pPr>
    </w:p>
    <w:p w14:paraId="7941E830" w14:textId="77777777" w:rsidR="00D86BB7" w:rsidRPr="00CC61C2" w:rsidRDefault="00D86BB7" w:rsidP="00077095">
      <w:pPr>
        <w:jc w:val="both"/>
        <w:rPr>
          <w:i/>
          <w:szCs w:val="22"/>
        </w:rPr>
      </w:pPr>
      <w:r w:rsidRPr="00CC61C2">
        <w:rPr>
          <w:i/>
          <w:szCs w:val="22"/>
        </w:rPr>
        <w:t>Aliskiren</w:t>
      </w:r>
    </w:p>
    <w:p w14:paraId="7075633C" w14:textId="77777777" w:rsidR="00D86BB7" w:rsidRPr="00CC61C2" w:rsidRDefault="00D86BB7" w:rsidP="00592131">
      <w:pPr>
        <w:spacing w:line="240" w:lineRule="auto"/>
        <w:jc w:val="both"/>
        <w:rPr>
          <w:iCs/>
          <w:szCs w:val="22"/>
          <w:highlight w:val="lightGray"/>
        </w:rPr>
      </w:pPr>
      <w:r w:rsidRPr="00CC61C2">
        <w:rPr>
          <w:szCs w:val="22"/>
        </w:rPr>
        <w:t xml:space="preserve">Kod istovremene primjene perindoprila sa aliskirenom povećava se rizik od nastanka hiperkalijemije, </w:t>
      </w:r>
      <w:r w:rsidRPr="00CC61C2">
        <w:rPr>
          <w:bCs/>
          <w:szCs w:val="22"/>
        </w:rPr>
        <w:t>pogoršanja renalne funkcije i kardiovaskularnog morbiditeta i mortaliteta</w:t>
      </w:r>
      <w:r w:rsidRPr="00CC61C2">
        <w:rPr>
          <w:szCs w:val="22"/>
        </w:rPr>
        <w:t xml:space="preserve">. </w:t>
      </w:r>
    </w:p>
    <w:p w14:paraId="626CE0EB" w14:textId="77777777" w:rsidR="00D86BB7" w:rsidRPr="00CC61C2" w:rsidRDefault="00D86BB7" w:rsidP="001237DA">
      <w:pPr>
        <w:pStyle w:val="BodytextAgency"/>
        <w:tabs>
          <w:tab w:val="left" w:pos="851"/>
        </w:tabs>
        <w:spacing w:after="0" w:line="240" w:lineRule="auto"/>
        <w:jc w:val="both"/>
        <w:rPr>
          <w:rFonts w:ascii="Times New Roman" w:hAnsi="Times New Roman" w:cs="Times New Roman"/>
          <w:sz w:val="22"/>
          <w:szCs w:val="22"/>
          <w:lang w:eastAsia="en-US"/>
        </w:rPr>
      </w:pPr>
    </w:p>
    <w:p w14:paraId="05FD7569" w14:textId="77777777" w:rsidR="00D86BB7" w:rsidRPr="00CC61C2" w:rsidRDefault="00D86BB7" w:rsidP="000D120B">
      <w:pPr>
        <w:widowControl w:val="0"/>
        <w:autoSpaceDE w:val="0"/>
        <w:autoSpaceDN w:val="0"/>
        <w:adjustRightInd w:val="0"/>
        <w:jc w:val="both"/>
        <w:rPr>
          <w:i/>
          <w:color w:val="000000"/>
          <w:szCs w:val="22"/>
        </w:rPr>
      </w:pPr>
      <w:r w:rsidRPr="00CC61C2">
        <w:rPr>
          <w:i/>
          <w:color w:val="000000"/>
          <w:szCs w:val="22"/>
        </w:rPr>
        <w:t>Ekstrakorporealno liječenje</w:t>
      </w:r>
    </w:p>
    <w:p w14:paraId="678DEF0B" w14:textId="250DB011" w:rsidR="00D86BB7" w:rsidRPr="00CC61C2" w:rsidRDefault="00D86BB7" w:rsidP="000D120B">
      <w:pPr>
        <w:widowControl w:val="0"/>
        <w:autoSpaceDE w:val="0"/>
        <w:autoSpaceDN w:val="0"/>
        <w:adjustRightInd w:val="0"/>
        <w:jc w:val="both"/>
        <w:rPr>
          <w:color w:val="000000"/>
          <w:szCs w:val="22"/>
        </w:rPr>
      </w:pPr>
      <w:r w:rsidRPr="00CC61C2">
        <w:rPr>
          <w:color w:val="000000"/>
          <w:szCs w:val="22"/>
        </w:rPr>
        <w:t xml:space="preserve">Ekstrakorporealno liječenje kod kojeg krv dolazi u kontakt sa negativno naelektrisanim površinama, kao </w:t>
      </w:r>
      <w:r w:rsidRPr="00CC61C2">
        <w:rPr>
          <w:color w:val="000000"/>
          <w:szCs w:val="22"/>
        </w:rPr>
        <w:lastRenderedPageBreak/>
        <w:t>kod dijalize ili hemofiltracije sa određenim membranama visoke protočnosti (npr. poliakrilonitrilne membrane) i afereze lipoproteina niske gust</w:t>
      </w:r>
      <w:r w:rsidR="00D75DA6" w:rsidRPr="00CC61C2">
        <w:rPr>
          <w:color w:val="000000"/>
          <w:szCs w:val="22"/>
        </w:rPr>
        <w:t>ine</w:t>
      </w:r>
      <w:r w:rsidRPr="00CC61C2">
        <w:rPr>
          <w:color w:val="000000"/>
          <w:szCs w:val="22"/>
        </w:rPr>
        <w:t xml:space="preserve"> sa dekstran sulfatom, kontraindikovano je zbog povećanog rizika od teških anafilaktoidnih reakcija (vidjeti dio 4.3). Ukoliko je potrebno takvo liječenje, treba uzeti u obzir mogućnost primjene drugačijeg tipa membrane za dijalizu ili neke druge klase antihipertenziva.</w:t>
      </w:r>
    </w:p>
    <w:p w14:paraId="4B187826" w14:textId="77777777" w:rsidR="00D86BB7" w:rsidRPr="00CC61C2" w:rsidRDefault="00D86BB7" w:rsidP="000D120B">
      <w:pPr>
        <w:spacing w:line="240" w:lineRule="auto"/>
        <w:jc w:val="both"/>
        <w:rPr>
          <w:iCs/>
          <w:szCs w:val="22"/>
          <w:highlight w:val="yellow"/>
        </w:rPr>
      </w:pPr>
    </w:p>
    <w:p w14:paraId="04C62D04" w14:textId="77777777" w:rsidR="00D86BB7" w:rsidRPr="00CC61C2" w:rsidRDefault="00D86BB7" w:rsidP="00077095">
      <w:pPr>
        <w:spacing w:line="240" w:lineRule="auto"/>
        <w:jc w:val="both"/>
        <w:rPr>
          <w:i/>
          <w:iCs/>
          <w:szCs w:val="22"/>
          <w:u w:val="single"/>
        </w:rPr>
      </w:pPr>
      <w:r w:rsidRPr="00CC61C2">
        <w:rPr>
          <w:i/>
          <w:iCs/>
          <w:szCs w:val="22"/>
          <w:u w:val="single"/>
        </w:rPr>
        <w:t>Istovremena primjena se ne preporučuje</w:t>
      </w:r>
    </w:p>
    <w:p w14:paraId="41B99273" w14:textId="77777777" w:rsidR="00D86BB7" w:rsidRPr="00CC61C2" w:rsidRDefault="00D86BB7" w:rsidP="00592131">
      <w:pPr>
        <w:jc w:val="both"/>
        <w:rPr>
          <w:szCs w:val="22"/>
          <w:highlight w:val="lightGray"/>
          <w:lang w:eastAsia="hu-HU"/>
        </w:rPr>
      </w:pPr>
    </w:p>
    <w:p w14:paraId="07340EC3" w14:textId="77777777" w:rsidR="00D86BB7" w:rsidRPr="00CC61C2" w:rsidRDefault="00D86BB7">
      <w:pPr>
        <w:jc w:val="both"/>
        <w:rPr>
          <w:i/>
          <w:color w:val="000000"/>
          <w:szCs w:val="22"/>
        </w:rPr>
      </w:pPr>
      <w:r w:rsidRPr="00CC61C2">
        <w:rPr>
          <w:i/>
          <w:color w:val="000000"/>
          <w:szCs w:val="22"/>
        </w:rPr>
        <w:t>Aliskiren</w:t>
      </w:r>
    </w:p>
    <w:p w14:paraId="7326FF2A" w14:textId="77777777" w:rsidR="00D86BB7" w:rsidRPr="00CC61C2" w:rsidRDefault="00D86BB7">
      <w:pPr>
        <w:widowControl w:val="0"/>
        <w:autoSpaceDE w:val="0"/>
        <w:autoSpaceDN w:val="0"/>
        <w:adjustRightInd w:val="0"/>
        <w:jc w:val="both"/>
        <w:rPr>
          <w:color w:val="000000"/>
          <w:szCs w:val="22"/>
        </w:rPr>
      </w:pPr>
      <w:r w:rsidRPr="00CC61C2">
        <w:rPr>
          <w:color w:val="000000"/>
          <w:szCs w:val="22"/>
        </w:rPr>
        <w:t>Kod pacijenata, izuzev kod onih sa dijabetesom ili sa oštećenjem funkcije bubrega, se povećava rizik od nastanka hiperkalijemije, pogoršanja funkcije bubrega kao i kardiovaskularnog morbiditeta i mortaliteta (vidjeti dio 4.4).</w:t>
      </w:r>
    </w:p>
    <w:p w14:paraId="3A17F488" w14:textId="77777777" w:rsidR="00D86BB7" w:rsidRPr="00CC61C2" w:rsidRDefault="00D86BB7" w:rsidP="001237DA">
      <w:pPr>
        <w:widowControl w:val="0"/>
        <w:autoSpaceDE w:val="0"/>
        <w:autoSpaceDN w:val="0"/>
        <w:adjustRightInd w:val="0"/>
        <w:jc w:val="both"/>
        <w:rPr>
          <w:i/>
          <w:iCs/>
          <w:color w:val="000000"/>
          <w:szCs w:val="22"/>
          <w:u w:val="single"/>
        </w:rPr>
      </w:pPr>
    </w:p>
    <w:p w14:paraId="440CCC10" w14:textId="7C6B9CC9" w:rsidR="00D86BB7" w:rsidRPr="00CC61C2" w:rsidRDefault="00D86BB7" w:rsidP="001237DA">
      <w:pPr>
        <w:autoSpaceDE w:val="0"/>
        <w:autoSpaceDN w:val="0"/>
        <w:adjustRightInd w:val="0"/>
        <w:jc w:val="both"/>
        <w:rPr>
          <w:rFonts w:eastAsia="SimSun"/>
          <w:color w:val="000000"/>
          <w:szCs w:val="22"/>
          <w:lang w:eastAsia="sr-Latn-RS"/>
        </w:rPr>
      </w:pPr>
      <w:r w:rsidRPr="00CC61C2">
        <w:rPr>
          <w:rFonts w:eastAsia="SimSun"/>
          <w:i/>
          <w:iCs/>
          <w:color w:val="000000"/>
          <w:szCs w:val="22"/>
          <w:lang w:eastAsia="sr-Latn-RS"/>
        </w:rPr>
        <w:t>Istovremena primjena ACE inhibitora i blokatora angiotenzinskih receptora</w:t>
      </w:r>
    </w:p>
    <w:p w14:paraId="39FD66AB" w14:textId="77777777" w:rsidR="00D86BB7" w:rsidRPr="00CC61C2" w:rsidRDefault="00D86BB7" w:rsidP="000D120B">
      <w:pPr>
        <w:widowControl w:val="0"/>
        <w:autoSpaceDE w:val="0"/>
        <w:autoSpaceDN w:val="0"/>
        <w:adjustRightInd w:val="0"/>
        <w:jc w:val="both"/>
        <w:rPr>
          <w:iCs/>
          <w:color w:val="000000"/>
          <w:szCs w:val="22"/>
        </w:rPr>
      </w:pPr>
      <w:r w:rsidRPr="00CC61C2">
        <w:rPr>
          <w:rFonts w:eastAsia="SimSun"/>
          <w:color w:val="000000"/>
          <w:szCs w:val="22"/>
          <w:lang w:eastAsia="sr-Latn-RS"/>
        </w:rPr>
        <w:t>U literaturi je prijavljeno da je istovremena primjena ACE inhibitora i blokatora angiotenzinskih receptora kod pacijenata sa aterosklerotskom bolešću, insuficijencijom srca ili dijabetesom sa oštećenjem krajnjih organa povezana sa učestalijom pojavom hipotenzije, sinkope, hiperkalijemije i pogoršanjem funkcije bubrega (uključujući i akutnu insuficijenciju bubrega) u poređenju sa pojedinačnom primjenom lijeka koji utiče na renin-angiotenzin-aldosteron sistem. Dvostruku blokadu (npr. istovremenu primjenu ACE inhibitora sa blokatorima angiotenzin II receptora) treba ograničiti na pojedinačne slučajeve sa pomnim praćenjem bubrežne funkcije, nivoa kalijuma u krvi i krvnog pritiska (vidjeti dio 4.4).</w:t>
      </w:r>
    </w:p>
    <w:p w14:paraId="49587454" w14:textId="77777777" w:rsidR="00D86BB7" w:rsidRPr="00CC61C2" w:rsidRDefault="00D86BB7" w:rsidP="000D120B">
      <w:pPr>
        <w:jc w:val="both"/>
        <w:rPr>
          <w:bCs/>
          <w:szCs w:val="22"/>
          <w:highlight w:val="lightGray"/>
        </w:rPr>
      </w:pPr>
    </w:p>
    <w:p w14:paraId="61739BEC" w14:textId="77777777" w:rsidR="00D86BB7" w:rsidRPr="00CC61C2" w:rsidRDefault="00D86BB7" w:rsidP="000D120B">
      <w:pPr>
        <w:jc w:val="both"/>
        <w:rPr>
          <w:bCs/>
          <w:i/>
          <w:szCs w:val="22"/>
        </w:rPr>
      </w:pPr>
      <w:r w:rsidRPr="00CC61C2">
        <w:rPr>
          <w:bCs/>
          <w:i/>
          <w:szCs w:val="22"/>
        </w:rPr>
        <w:t>Estramustin</w:t>
      </w:r>
    </w:p>
    <w:p w14:paraId="2B318BAC" w14:textId="77777777" w:rsidR="00D86BB7" w:rsidRPr="00CC61C2" w:rsidRDefault="00D86BB7" w:rsidP="00077095">
      <w:pPr>
        <w:jc w:val="both"/>
        <w:rPr>
          <w:szCs w:val="22"/>
          <w:lang w:eastAsia="hu-HU"/>
        </w:rPr>
      </w:pPr>
      <w:r w:rsidRPr="00CC61C2">
        <w:rPr>
          <w:bCs/>
          <w:szCs w:val="22"/>
        </w:rPr>
        <w:t>Postoji rizik od povećanja neželjenih dejstava, kao što je angioneurotski edem (angioedem).</w:t>
      </w:r>
    </w:p>
    <w:p w14:paraId="26C7FE48" w14:textId="77777777" w:rsidR="00D86BB7" w:rsidRPr="00CC61C2" w:rsidRDefault="00D86BB7" w:rsidP="00592131">
      <w:pPr>
        <w:tabs>
          <w:tab w:val="center" w:pos="4536"/>
          <w:tab w:val="right" w:pos="9072"/>
        </w:tabs>
        <w:jc w:val="both"/>
        <w:rPr>
          <w:szCs w:val="22"/>
        </w:rPr>
      </w:pPr>
    </w:p>
    <w:p w14:paraId="6172DDDB" w14:textId="77777777" w:rsidR="00D86BB7" w:rsidRPr="00CC61C2" w:rsidRDefault="00D86BB7">
      <w:pPr>
        <w:tabs>
          <w:tab w:val="center" w:pos="4536"/>
          <w:tab w:val="right" w:pos="9072"/>
        </w:tabs>
        <w:jc w:val="both"/>
        <w:rPr>
          <w:i/>
          <w:szCs w:val="22"/>
        </w:rPr>
      </w:pPr>
      <w:r w:rsidRPr="00CC61C2">
        <w:rPr>
          <w:i/>
          <w:szCs w:val="22"/>
        </w:rPr>
        <w:t>Litijum</w:t>
      </w:r>
    </w:p>
    <w:p w14:paraId="0EB60243" w14:textId="77777777" w:rsidR="00D86BB7" w:rsidRPr="00CC61C2" w:rsidRDefault="00D86BB7">
      <w:pPr>
        <w:tabs>
          <w:tab w:val="left" w:pos="284"/>
        </w:tabs>
        <w:jc w:val="both"/>
        <w:rPr>
          <w:szCs w:val="22"/>
        </w:rPr>
      </w:pPr>
      <w:r w:rsidRPr="00CC61C2">
        <w:rPr>
          <w:szCs w:val="22"/>
        </w:rPr>
        <w:t>Reverzibilno povećanje nivoa litijuma u serumu i toksičnosti je prijavljeno tokom istovremene uporebe litijuma sa ACE inhibitorima. Upotreba kombinacije perindoprila sa indapamidom uz litijum se ne preporučuje, ali ukoliko se upotreba kombinacije pokaže kao neophodna, trebalo bi pažljivo pratititi nivo litijuma (vidjeti dio 4.4).</w:t>
      </w:r>
    </w:p>
    <w:p w14:paraId="778186CC" w14:textId="77777777" w:rsidR="00D86BB7" w:rsidRPr="00CC61C2" w:rsidRDefault="00D86BB7">
      <w:pPr>
        <w:tabs>
          <w:tab w:val="center" w:pos="4536"/>
          <w:tab w:val="right" w:pos="9072"/>
        </w:tabs>
        <w:jc w:val="both"/>
        <w:rPr>
          <w:szCs w:val="22"/>
        </w:rPr>
      </w:pPr>
    </w:p>
    <w:p w14:paraId="3F1D44BC" w14:textId="77777777" w:rsidR="00D86BB7" w:rsidRPr="00CC61C2" w:rsidRDefault="00D86BB7">
      <w:pPr>
        <w:tabs>
          <w:tab w:val="center" w:pos="4536"/>
          <w:tab w:val="right" w:pos="9072"/>
        </w:tabs>
        <w:jc w:val="both"/>
        <w:rPr>
          <w:i/>
          <w:szCs w:val="22"/>
        </w:rPr>
      </w:pPr>
      <w:r w:rsidRPr="00CC61C2">
        <w:rPr>
          <w:i/>
          <w:szCs w:val="22"/>
        </w:rPr>
        <w:t xml:space="preserve">Diuretici koji štede kalijum </w:t>
      </w:r>
      <w:r w:rsidRPr="00CC61C2">
        <w:rPr>
          <w:i/>
          <w:iCs/>
          <w:szCs w:val="22"/>
        </w:rPr>
        <w:t>(npr. triamteren, amilorid…)</w:t>
      </w:r>
      <w:r w:rsidRPr="00CC61C2">
        <w:rPr>
          <w:i/>
          <w:szCs w:val="22"/>
        </w:rPr>
        <w:t xml:space="preserve">, </w:t>
      </w:r>
      <w:r w:rsidRPr="00CC61C2">
        <w:rPr>
          <w:i/>
          <w:iCs/>
          <w:szCs w:val="22"/>
        </w:rPr>
        <w:t>soli kalijuma</w:t>
      </w:r>
    </w:p>
    <w:p w14:paraId="60E2A741" w14:textId="3642E522" w:rsidR="00D86BB7" w:rsidRPr="00CC61C2" w:rsidRDefault="00D86BB7">
      <w:pPr>
        <w:tabs>
          <w:tab w:val="center" w:pos="4536"/>
          <w:tab w:val="right" w:pos="9072"/>
        </w:tabs>
        <w:jc w:val="both"/>
        <w:rPr>
          <w:szCs w:val="22"/>
        </w:rPr>
      </w:pPr>
      <w:r w:rsidRPr="00CC61C2">
        <w:rPr>
          <w:szCs w:val="22"/>
        </w:rPr>
        <w:t>Hiperkalijemija (</w:t>
      </w:r>
      <w:r w:rsidR="00D75DA6" w:rsidRPr="00CC61C2">
        <w:rPr>
          <w:szCs w:val="22"/>
        </w:rPr>
        <w:t>sa</w:t>
      </w:r>
      <w:r w:rsidRPr="00CC61C2">
        <w:rPr>
          <w:szCs w:val="22"/>
        </w:rPr>
        <w:t xml:space="preserve"> mogućim smrtnim ishodom), pogotovo ukoliko je prisutno i oštećenje bubrega (aditivni hiperkalijemijski efekat). Kombinovanje perindoprila sa navedenim ljekovima se ne preporučuje (vidjeti dio 4.4). Ako je zbog dokazane hipokalijemije indikovana istovremena upotreba, ove ljekove treba koristiti s oprezom i uz često praćenje kalijuma u serumu. Za upotrebu spironolaktona kod srčane insuficijencije, vidjeti dio “</w:t>
      </w:r>
      <w:r w:rsidRPr="00CC61C2">
        <w:rPr>
          <w:i/>
          <w:szCs w:val="22"/>
        </w:rPr>
        <w:t>Istovremene primjene koje zahtijevaju poseban oprez</w:t>
      </w:r>
      <w:r w:rsidRPr="00CC61C2">
        <w:rPr>
          <w:szCs w:val="22"/>
        </w:rPr>
        <w:t>”.</w:t>
      </w:r>
    </w:p>
    <w:p w14:paraId="723742F9" w14:textId="77777777" w:rsidR="00D86BB7" w:rsidRPr="00CC61C2" w:rsidRDefault="00D86BB7">
      <w:pPr>
        <w:tabs>
          <w:tab w:val="center" w:pos="4536"/>
          <w:tab w:val="right" w:pos="9072"/>
        </w:tabs>
        <w:jc w:val="both"/>
        <w:rPr>
          <w:szCs w:val="22"/>
        </w:rPr>
      </w:pPr>
    </w:p>
    <w:p w14:paraId="4D114CE8" w14:textId="77777777" w:rsidR="00D86BB7" w:rsidRPr="00CC61C2" w:rsidRDefault="00D86BB7">
      <w:pPr>
        <w:tabs>
          <w:tab w:val="center" w:pos="4536"/>
          <w:tab w:val="right" w:pos="9072"/>
        </w:tabs>
        <w:jc w:val="both"/>
        <w:rPr>
          <w:i/>
          <w:szCs w:val="22"/>
          <w:u w:val="single"/>
        </w:rPr>
      </w:pPr>
      <w:r w:rsidRPr="00CC61C2">
        <w:rPr>
          <w:i/>
          <w:szCs w:val="22"/>
          <w:u w:val="single"/>
        </w:rPr>
        <w:t>Istovremene primjene koje zahtijevaju poseban oprez</w:t>
      </w:r>
    </w:p>
    <w:p w14:paraId="2BC04343" w14:textId="77777777" w:rsidR="00D86BB7" w:rsidRPr="00CC61C2" w:rsidRDefault="00D86BB7">
      <w:pPr>
        <w:tabs>
          <w:tab w:val="center" w:pos="4536"/>
          <w:tab w:val="right" w:pos="9072"/>
        </w:tabs>
        <w:jc w:val="both"/>
        <w:rPr>
          <w:szCs w:val="22"/>
        </w:rPr>
      </w:pPr>
    </w:p>
    <w:p w14:paraId="09E13929" w14:textId="77777777" w:rsidR="00D86BB7" w:rsidRPr="00CC61C2" w:rsidRDefault="00D86BB7">
      <w:pPr>
        <w:tabs>
          <w:tab w:val="center" w:pos="4536"/>
          <w:tab w:val="right" w:pos="9072"/>
        </w:tabs>
        <w:jc w:val="both"/>
        <w:rPr>
          <w:i/>
          <w:szCs w:val="22"/>
        </w:rPr>
      </w:pPr>
      <w:r w:rsidRPr="00CC61C2">
        <w:rPr>
          <w:i/>
          <w:szCs w:val="22"/>
        </w:rPr>
        <w:t>Baklofen</w:t>
      </w:r>
    </w:p>
    <w:p w14:paraId="205A88E0" w14:textId="77777777" w:rsidR="00D86BB7" w:rsidRPr="00CC61C2" w:rsidRDefault="00D86BB7">
      <w:pPr>
        <w:tabs>
          <w:tab w:val="left" w:pos="284"/>
        </w:tabs>
        <w:jc w:val="both"/>
        <w:rPr>
          <w:szCs w:val="22"/>
        </w:rPr>
      </w:pPr>
      <w:r w:rsidRPr="00CC61C2">
        <w:rPr>
          <w:szCs w:val="22"/>
        </w:rPr>
        <w:t xml:space="preserve">Potenciranje antihipertenzivnog efekta. Kontrolisati krvni pritisak i prilagoditi dozu antihipertenziva ako je neophodno. </w:t>
      </w:r>
    </w:p>
    <w:p w14:paraId="4C41CEF1" w14:textId="77777777" w:rsidR="00D86BB7" w:rsidRPr="00CC61C2" w:rsidRDefault="00D86BB7">
      <w:pPr>
        <w:tabs>
          <w:tab w:val="left" w:pos="284"/>
        </w:tabs>
        <w:jc w:val="both"/>
        <w:rPr>
          <w:szCs w:val="22"/>
        </w:rPr>
      </w:pPr>
    </w:p>
    <w:p w14:paraId="13ACDE07" w14:textId="77777777" w:rsidR="00D86BB7" w:rsidRPr="00CC61C2" w:rsidRDefault="00D86BB7">
      <w:pPr>
        <w:tabs>
          <w:tab w:val="center" w:pos="4536"/>
          <w:tab w:val="right" w:pos="9072"/>
        </w:tabs>
        <w:jc w:val="both"/>
        <w:rPr>
          <w:i/>
          <w:szCs w:val="22"/>
        </w:rPr>
      </w:pPr>
      <w:r w:rsidRPr="00CC61C2">
        <w:rPr>
          <w:i/>
          <w:szCs w:val="22"/>
        </w:rPr>
        <w:t>Nesteroidni antiinflamatorni ljekovi (</w:t>
      </w:r>
      <w:r w:rsidRPr="00CC61C2">
        <w:rPr>
          <w:bCs/>
          <w:i/>
          <w:szCs w:val="22"/>
        </w:rPr>
        <w:t>NSAIL -</w:t>
      </w:r>
      <w:r w:rsidRPr="00CC61C2">
        <w:rPr>
          <w:i/>
          <w:szCs w:val="22"/>
        </w:rPr>
        <w:t xml:space="preserve"> uključujući acetilsalicilnu kiselinu ≥ 3g/dan)</w:t>
      </w:r>
    </w:p>
    <w:p w14:paraId="69CE6A4A" w14:textId="77777777" w:rsidR="00D86BB7" w:rsidRPr="00CC61C2" w:rsidRDefault="00D86BB7">
      <w:pPr>
        <w:widowControl w:val="0"/>
        <w:autoSpaceDE w:val="0"/>
        <w:autoSpaceDN w:val="0"/>
        <w:adjustRightInd w:val="0"/>
        <w:jc w:val="both"/>
        <w:rPr>
          <w:szCs w:val="22"/>
        </w:rPr>
      </w:pPr>
      <w:r w:rsidRPr="00CC61C2">
        <w:rPr>
          <w:szCs w:val="22"/>
        </w:rPr>
        <w:t>Istovremenom upotrebom ACE inhibitora sa NSAIL (npr. acetilsalicilna kiselina u dozama koje imaju antiinflamatorni efekat, COX-2 inhibitori i neselektivni NSAIL) može doći do smanjenja antihipertenzivnog dejstva. Upotrebljavani zajedno, ACE inhibitori i NSAIL mogu dovesti do pogoršanja renalne funkcije, uključujući i akutno otkazivanje rada bubrega, kao i do povećanja serumskog kalijuma, naročito kod pacijenata sa prethodnom lošom funkcijom bubrega. Ovu kombinaciju bi trebalo primjenjivati sa oprezom, posebno kod starijih pacijenata. Pacijente treba adekvatno hidrirati i pratiti bubrežnu funkciju nakon započinjanja istovremene terapije, a zatim u redovnim vremenskim intervalima.</w:t>
      </w:r>
    </w:p>
    <w:p w14:paraId="2ED0781E" w14:textId="7C61FACA" w:rsidR="00D86BB7" w:rsidRDefault="00D86BB7">
      <w:pPr>
        <w:tabs>
          <w:tab w:val="center" w:pos="4536"/>
          <w:tab w:val="right" w:pos="9072"/>
        </w:tabs>
        <w:jc w:val="both"/>
        <w:rPr>
          <w:szCs w:val="22"/>
        </w:rPr>
      </w:pPr>
    </w:p>
    <w:p w14:paraId="55DF12B7" w14:textId="77777777" w:rsidR="00E5447C" w:rsidRPr="00CC61C2" w:rsidRDefault="00E5447C">
      <w:pPr>
        <w:tabs>
          <w:tab w:val="center" w:pos="4536"/>
          <w:tab w:val="right" w:pos="9072"/>
        </w:tabs>
        <w:jc w:val="both"/>
        <w:rPr>
          <w:szCs w:val="22"/>
        </w:rPr>
      </w:pPr>
    </w:p>
    <w:p w14:paraId="0E9CEB92" w14:textId="77777777" w:rsidR="00D86BB7" w:rsidRPr="00CC61C2" w:rsidRDefault="00D86BB7">
      <w:pPr>
        <w:tabs>
          <w:tab w:val="center" w:pos="4536"/>
          <w:tab w:val="right" w:pos="9072"/>
        </w:tabs>
        <w:jc w:val="both"/>
        <w:rPr>
          <w:i/>
          <w:szCs w:val="22"/>
        </w:rPr>
      </w:pPr>
      <w:r w:rsidRPr="00CC61C2">
        <w:rPr>
          <w:i/>
          <w:szCs w:val="22"/>
        </w:rPr>
        <w:lastRenderedPageBreak/>
        <w:t xml:space="preserve">Antidijabetički ljekovi (insulin, </w:t>
      </w:r>
      <w:r w:rsidRPr="00CC61C2">
        <w:rPr>
          <w:i/>
          <w:iCs/>
          <w:szCs w:val="22"/>
        </w:rPr>
        <w:t>oralni hipoglikemici</w:t>
      </w:r>
      <w:r w:rsidRPr="00CC61C2">
        <w:rPr>
          <w:i/>
          <w:szCs w:val="22"/>
        </w:rPr>
        <w:t>)</w:t>
      </w:r>
    </w:p>
    <w:p w14:paraId="3505FD42" w14:textId="42C3C702" w:rsidR="00D86BB7" w:rsidRPr="00CC61C2" w:rsidRDefault="00D86BB7">
      <w:pPr>
        <w:widowControl w:val="0"/>
        <w:autoSpaceDE w:val="0"/>
        <w:autoSpaceDN w:val="0"/>
        <w:adjustRightInd w:val="0"/>
        <w:jc w:val="both"/>
        <w:rPr>
          <w:rFonts w:eastAsia="SimSun"/>
          <w:color w:val="000000"/>
          <w:szCs w:val="22"/>
          <w:lang w:eastAsia="sr-Latn-RS"/>
        </w:rPr>
      </w:pPr>
      <w:r w:rsidRPr="00CC61C2">
        <w:rPr>
          <w:rFonts w:eastAsia="SimSun"/>
          <w:color w:val="000000"/>
          <w:szCs w:val="22"/>
          <w:lang w:eastAsia="sr-Latn-RS"/>
        </w:rPr>
        <w:t>Epidemiološka ispitivanja ukazuju na to da se pri istovremenoj primjeni ACE inhibitora sa antidijabeticima (insulini, oralni hipoglikemijski ljekovi) može pojačati efekat sniženja nivoa glukoze u krvi uz povećanje rizika od hipoglikemije. Čini se da je ta pojava vjerovatnija u prvim nedjeljama uzimanja kombinacije tih lijekova i kod pacijenata sa oštećenom funkcijom bubrega.</w:t>
      </w:r>
    </w:p>
    <w:p w14:paraId="6BB66AF8" w14:textId="77777777" w:rsidR="00D75DA6" w:rsidRPr="00CC61C2" w:rsidRDefault="00D75DA6">
      <w:pPr>
        <w:widowControl w:val="0"/>
        <w:autoSpaceDE w:val="0"/>
        <w:autoSpaceDN w:val="0"/>
        <w:adjustRightInd w:val="0"/>
        <w:jc w:val="both"/>
        <w:rPr>
          <w:rFonts w:eastAsia="SimSun"/>
          <w:color w:val="000000"/>
          <w:szCs w:val="22"/>
          <w:lang w:eastAsia="sr-Latn-RS"/>
        </w:rPr>
      </w:pPr>
    </w:p>
    <w:p w14:paraId="3F57976F" w14:textId="77777777" w:rsidR="00D86BB7" w:rsidRPr="00CC61C2" w:rsidRDefault="00D86BB7" w:rsidP="00592131">
      <w:pPr>
        <w:widowControl w:val="0"/>
        <w:autoSpaceDE w:val="0"/>
        <w:autoSpaceDN w:val="0"/>
        <w:adjustRightInd w:val="0"/>
        <w:jc w:val="both"/>
        <w:rPr>
          <w:i/>
          <w:iCs/>
          <w:szCs w:val="22"/>
        </w:rPr>
      </w:pPr>
      <w:r w:rsidRPr="00CC61C2">
        <w:rPr>
          <w:i/>
          <w:iCs/>
          <w:szCs w:val="22"/>
        </w:rPr>
        <w:t>Diuretici koji ne štede kalijum</w:t>
      </w:r>
    </w:p>
    <w:p w14:paraId="1E59500C" w14:textId="77777777" w:rsidR="00D86BB7" w:rsidRPr="00CC61C2" w:rsidRDefault="00D86BB7">
      <w:pPr>
        <w:tabs>
          <w:tab w:val="left" w:pos="284"/>
        </w:tabs>
        <w:jc w:val="both"/>
        <w:rPr>
          <w:szCs w:val="22"/>
        </w:rPr>
      </w:pPr>
      <w:r w:rsidRPr="00CC61C2">
        <w:rPr>
          <w:szCs w:val="22"/>
        </w:rPr>
        <w:t xml:space="preserve">Pacijenti koji primaju diuretike, naročito oni kod kojih je zapremina tjelesne tečnosti i/ili soli smanjena, mogu doživjeti izrazito smanjenje krvnog pritiska nakon početka liječenja ACE inhibitorom. Mogućnost hipotenzivnog dejstva može se smanjiti prekidom davanja diuretika, povećanjem unosa tečnosti ili soli prije uzimanja lijeka, ili smanjenjem početne doze perindoprila, koja se zatim može povećavati. </w:t>
      </w:r>
    </w:p>
    <w:p w14:paraId="6360A437" w14:textId="77777777" w:rsidR="00D86BB7" w:rsidRPr="00CC61C2" w:rsidRDefault="00D86BB7">
      <w:pPr>
        <w:tabs>
          <w:tab w:val="left" w:pos="284"/>
        </w:tabs>
        <w:jc w:val="both"/>
        <w:rPr>
          <w:szCs w:val="22"/>
        </w:rPr>
      </w:pPr>
      <w:r w:rsidRPr="00CC61C2">
        <w:rPr>
          <w:i/>
          <w:iCs/>
          <w:szCs w:val="22"/>
        </w:rPr>
        <w:t>Kod arterijske hipertenzije</w:t>
      </w:r>
      <w:r w:rsidRPr="00CC61C2">
        <w:rPr>
          <w:szCs w:val="22"/>
        </w:rPr>
        <w:t>, kada je prethodna terapija mogla uzrokovati smanjenje koncentracije soli i volumena, mora se isključiti diuretik prije uvođenja ACE inhibitora, u kom slučaju se diuretik koji ne štedi kalijum može kasnije ponovo uvesti, ili se ACE inhibitor mora uvesti u maloj dozi koja se može postepeno povećavati.</w:t>
      </w:r>
    </w:p>
    <w:p w14:paraId="0D88B33E" w14:textId="77777777" w:rsidR="00D86BB7" w:rsidRPr="00CC61C2" w:rsidRDefault="00D86BB7">
      <w:pPr>
        <w:tabs>
          <w:tab w:val="left" w:pos="284"/>
        </w:tabs>
        <w:jc w:val="both"/>
        <w:rPr>
          <w:szCs w:val="22"/>
        </w:rPr>
      </w:pPr>
      <w:r w:rsidRPr="00CC61C2">
        <w:rPr>
          <w:i/>
          <w:iCs/>
          <w:szCs w:val="22"/>
        </w:rPr>
        <w:t>Kod srčane insuficijencije liječene diureticima</w:t>
      </w:r>
      <w:r w:rsidRPr="00CC61C2">
        <w:rPr>
          <w:szCs w:val="22"/>
        </w:rPr>
        <w:t>, ACE inhibitor bi trebalo uvoditi u veoma niskoj dozi i po mogućnosti nakon smanjenja doze diuretika koji ne štedi kalijum.</w:t>
      </w:r>
    </w:p>
    <w:p w14:paraId="5050FC28" w14:textId="77777777" w:rsidR="00D86BB7" w:rsidRPr="00CC61C2" w:rsidRDefault="00D86BB7">
      <w:pPr>
        <w:tabs>
          <w:tab w:val="center" w:pos="4536"/>
          <w:tab w:val="right" w:pos="9072"/>
        </w:tabs>
        <w:jc w:val="both"/>
        <w:rPr>
          <w:szCs w:val="22"/>
        </w:rPr>
      </w:pPr>
      <w:r w:rsidRPr="00CC61C2">
        <w:rPr>
          <w:szCs w:val="22"/>
        </w:rPr>
        <w:t>U svim slučajevima, bubrežna funkcija (klirens kreatinina) se mora pratiti tokom prvih nekoliko nedjelja terapije ACE inhibitorom.</w:t>
      </w:r>
    </w:p>
    <w:p w14:paraId="4DE671EF" w14:textId="77777777" w:rsidR="00D86BB7" w:rsidRPr="00CC61C2" w:rsidRDefault="00D86BB7">
      <w:pPr>
        <w:tabs>
          <w:tab w:val="center" w:pos="4536"/>
          <w:tab w:val="right" w:pos="9072"/>
        </w:tabs>
        <w:jc w:val="both"/>
        <w:rPr>
          <w:szCs w:val="22"/>
        </w:rPr>
      </w:pPr>
    </w:p>
    <w:p w14:paraId="1CADAAC7" w14:textId="77777777" w:rsidR="00D86BB7" w:rsidRPr="00CC61C2" w:rsidRDefault="00D86BB7">
      <w:pPr>
        <w:tabs>
          <w:tab w:val="center" w:pos="4536"/>
          <w:tab w:val="right" w:pos="9072"/>
        </w:tabs>
        <w:jc w:val="both"/>
        <w:rPr>
          <w:rFonts w:eastAsia="SimSun"/>
          <w:color w:val="000000"/>
          <w:szCs w:val="22"/>
          <w:lang w:eastAsia="sr-Latn-RS"/>
        </w:rPr>
      </w:pPr>
      <w:r w:rsidRPr="00CC61C2">
        <w:rPr>
          <w:rFonts w:eastAsia="SimSun"/>
          <w:i/>
          <w:iCs/>
          <w:color w:val="000000"/>
          <w:szCs w:val="22"/>
          <w:lang w:eastAsia="sr-Latn-RS"/>
        </w:rPr>
        <w:t xml:space="preserve">Diuretici koji štede kalijum (eplerenon, spironolakton) </w:t>
      </w:r>
    </w:p>
    <w:p w14:paraId="4D7D5CAC" w14:textId="77777777" w:rsidR="00D86BB7" w:rsidRPr="00CC61C2" w:rsidRDefault="00D86BB7">
      <w:pPr>
        <w:autoSpaceDE w:val="0"/>
        <w:autoSpaceDN w:val="0"/>
        <w:adjustRightInd w:val="0"/>
        <w:jc w:val="both"/>
        <w:rPr>
          <w:rFonts w:eastAsia="SimSun"/>
          <w:color w:val="000000"/>
          <w:szCs w:val="22"/>
          <w:lang w:eastAsia="sr-Latn-RS"/>
        </w:rPr>
      </w:pPr>
      <w:r w:rsidRPr="00CC61C2">
        <w:rPr>
          <w:rFonts w:eastAsia="SimSun"/>
          <w:color w:val="000000"/>
          <w:szCs w:val="22"/>
          <w:lang w:eastAsia="sr-Latn-RS"/>
        </w:rPr>
        <w:t xml:space="preserve">Sa eplerenonom ili spironolaktonom pri dozama između 12,5 mg i 50 mg dnevno i sa niskim dozama ACE inhibitora: </w:t>
      </w:r>
    </w:p>
    <w:p w14:paraId="5D591E28" w14:textId="77777777" w:rsidR="00D86BB7" w:rsidRPr="00CC61C2" w:rsidRDefault="00D86BB7">
      <w:pPr>
        <w:widowControl w:val="0"/>
        <w:autoSpaceDE w:val="0"/>
        <w:autoSpaceDN w:val="0"/>
        <w:adjustRightInd w:val="0"/>
        <w:jc w:val="both"/>
        <w:rPr>
          <w:color w:val="000000"/>
          <w:szCs w:val="22"/>
        </w:rPr>
      </w:pPr>
      <w:r w:rsidRPr="00CC61C2">
        <w:rPr>
          <w:color w:val="000000"/>
          <w:szCs w:val="22"/>
        </w:rPr>
        <w:t>U liječenju srčane insuficijencije II-IV klase (NYHA) sa ejekcionom frakcijom &lt;40% kod pacijenata prehodno liječenih ACE inhibitorima i diureticima Henleove petlje povećan je rizik od nastanka hiperkalijemije, potencijalno smrtonosne, naročito u slučaju nepridržavanja preporuka vezanih za propisivanje ove kombinacije ljekova.</w:t>
      </w:r>
    </w:p>
    <w:p w14:paraId="3EE6BF0C" w14:textId="77777777" w:rsidR="00D86BB7" w:rsidRPr="00CC61C2" w:rsidRDefault="00D86BB7">
      <w:pPr>
        <w:autoSpaceDE w:val="0"/>
        <w:autoSpaceDN w:val="0"/>
        <w:adjustRightInd w:val="0"/>
        <w:jc w:val="both"/>
        <w:rPr>
          <w:color w:val="000000"/>
          <w:szCs w:val="22"/>
        </w:rPr>
      </w:pPr>
      <w:r w:rsidRPr="00CC61C2">
        <w:rPr>
          <w:rFonts w:eastAsia="SimSun"/>
          <w:color w:val="000000"/>
          <w:szCs w:val="22"/>
          <w:lang w:eastAsia="sr-Latn-RS"/>
        </w:rPr>
        <w:t xml:space="preserve">Prije početka liječenja ovom kombinacijom treba provjeriti da li postoje hiperkalijemija i oštećenje funkcije bubrega. </w:t>
      </w:r>
    </w:p>
    <w:p w14:paraId="353BF305" w14:textId="32C7F952" w:rsidR="00D86BB7" w:rsidRPr="00CC61C2" w:rsidRDefault="00D86BB7">
      <w:pPr>
        <w:widowControl w:val="0"/>
        <w:autoSpaceDE w:val="0"/>
        <w:autoSpaceDN w:val="0"/>
        <w:adjustRightInd w:val="0"/>
        <w:jc w:val="both"/>
        <w:rPr>
          <w:rFonts w:eastAsia="SimSun"/>
          <w:color w:val="000000"/>
          <w:szCs w:val="22"/>
          <w:lang w:eastAsia="sr-Latn-RS"/>
        </w:rPr>
      </w:pPr>
      <w:r w:rsidRPr="00CC61C2">
        <w:rPr>
          <w:rFonts w:eastAsia="SimSun"/>
          <w:color w:val="000000"/>
          <w:szCs w:val="22"/>
          <w:lang w:eastAsia="sr-Latn-RS"/>
        </w:rPr>
        <w:t>Preporučuje se pažljivo praćenje kalijemije i kreatinemije u prvom mjesecu liječenja jednom nedjeljno, a nakon toga jednom mjesečno.</w:t>
      </w:r>
    </w:p>
    <w:p w14:paraId="3CB4981B" w14:textId="4FFE77DD" w:rsidR="009877E1" w:rsidRPr="00CC61C2" w:rsidRDefault="009877E1">
      <w:pPr>
        <w:widowControl w:val="0"/>
        <w:autoSpaceDE w:val="0"/>
        <w:autoSpaceDN w:val="0"/>
        <w:adjustRightInd w:val="0"/>
        <w:jc w:val="both"/>
        <w:rPr>
          <w:rFonts w:eastAsia="SimSun"/>
          <w:color w:val="000000"/>
          <w:szCs w:val="22"/>
          <w:lang w:eastAsia="sr-Latn-RS"/>
        </w:rPr>
      </w:pPr>
    </w:p>
    <w:p w14:paraId="3B37ECA1" w14:textId="476AC2C1" w:rsidR="001237DA" w:rsidRPr="003D4FBA" w:rsidRDefault="001237DA" w:rsidP="001237DA">
      <w:pPr>
        <w:widowControl w:val="0"/>
        <w:autoSpaceDE w:val="0"/>
        <w:autoSpaceDN w:val="0"/>
        <w:adjustRightInd w:val="0"/>
        <w:jc w:val="both"/>
        <w:rPr>
          <w:i/>
          <w:color w:val="000000"/>
          <w:szCs w:val="22"/>
        </w:rPr>
      </w:pPr>
      <w:r w:rsidRPr="003D4FBA">
        <w:rPr>
          <w:i/>
          <w:color w:val="000000"/>
          <w:szCs w:val="22"/>
        </w:rPr>
        <w:t xml:space="preserve">Ljekovi koji izazivaju </w:t>
      </w:r>
      <w:r w:rsidR="003A096A">
        <w:rPr>
          <w:i/>
          <w:color w:val="000000"/>
          <w:szCs w:val="22"/>
        </w:rPr>
        <w:t>T</w:t>
      </w:r>
      <w:r w:rsidR="003A096A" w:rsidRPr="003D4FBA">
        <w:rPr>
          <w:i/>
          <w:color w:val="000000"/>
          <w:szCs w:val="22"/>
        </w:rPr>
        <w:t xml:space="preserve">orsades </w:t>
      </w:r>
      <w:r w:rsidRPr="003D4FBA">
        <w:rPr>
          <w:i/>
          <w:color w:val="000000"/>
          <w:szCs w:val="22"/>
        </w:rPr>
        <w:t>de pointes</w:t>
      </w:r>
    </w:p>
    <w:p w14:paraId="515C8EA4" w14:textId="65BE4A24" w:rsidR="00351F69" w:rsidRPr="00CC61C2" w:rsidRDefault="001237DA" w:rsidP="00351F69">
      <w:pPr>
        <w:tabs>
          <w:tab w:val="center" w:pos="4536"/>
          <w:tab w:val="right" w:pos="9072"/>
        </w:tabs>
        <w:jc w:val="both"/>
        <w:rPr>
          <w:szCs w:val="22"/>
        </w:rPr>
      </w:pPr>
      <w:r w:rsidRPr="00CC61C2">
        <w:rPr>
          <w:color w:val="000000"/>
          <w:szCs w:val="22"/>
        </w:rPr>
        <w:t xml:space="preserve">Zbog rizika od hipokalijemije, indapamid treba primjenjivati sa oprezom sa ljekovima koji izazivaju </w:t>
      </w:r>
      <w:r w:rsidR="003A096A" w:rsidRPr="003D4FBA">
        <w:rPr>
          <w:i/>
          <w:color w:val="000000"/>
          <w:szCs w:val="22"/>
        </w:rPr>
        <w:t xml:space="preserve">Torsades </w:t>
      </w:r>
      <w:r w:rsidRPr="003D4FBA">
        <w:rPr>
          <w:i/>
          <w:color w:val="000000"/>
          <w:szCs w:val="22"/>
        </w:rPr>
        <w:t>de pointes</w:t>
      </w:r>
      <w:r w:rsidRPr="00CC61C2">
        <w:rPr>
          <w:color w:val="000000"/>
          <w:szCs w:val="22"/>
        </w:rPr>
        <w:t>, kao što su: antiaritmički agensi klase IA (hinidin, hidrohinidin, dizopiramid); antiaritmici klase III (amiodaron, dofetilid, ibutilid, bretilijum, sotalol); neki neuroleptici (hlorpromazin, cijamemazin, levomepromazin, tioridazin, trifluoperazin), benzamidi (amisulprid, sulpirid, sultoprid, tiaprid), butirofenoni (droperidol, haloperidol), drugi neuroleptici (pimozid); druge supstance kao što su bepridil, cisaprid, difemanil, IV eritromicin, halofantrin, mizolastin, moksifloksacin, pentamidin, sparfloksacin</w:t>
      </w:r>
      <w:r w:rsidRPr="00CC61C2">
        <w:rPr>
          <w:iCs/>
          <w:szCs w:val="22"/>
        </w:rPr>
        <w:t>, a</w:t>
      </w:r>
      <w:r w:rsidR="00351F69" w:rsidRPr="00CC61C2">
        <w:rPr>
          <w:iCs/>
          <w:szCs w:val="22"/>
        </w:rPr>
        <w:t>mfotercin B (i.v. put primjene), sistemski glukokortikoidi i mineralokortikoidi (sistemski put primjene), tetrakosaktidi, stimulativni laksativi</w:t>
      </w:r>
      <w:r w:rsidRPr="00CC61C2">
        <w:rPr>
          <w:szCs w:val="22"/>
        </w:rPr>
        <w:t xml:space="preserve"> p</w:t>
      </w:r>
      <w:r w:rsidR="00351F69" w:rsidRPr="00CC61C2">
        <w:rPr>
          <w:szCs w:val="22"/>
        </w:rPr>
        <w:t>ovećavaju rizik od niskog nivoa kalijuma (aditivni efekat). Neophodno je praćenje nivoa kalijuma i njegova korekcija ako je neophodno. Moraju se koristiti nestimulirajući laksativi.</w:t>
      </w:r>
    </w:p>
    <w:p w14:paraId="739A1B6A" w14:textId="77777777" w:rsidR="00A160D0" w:rsidRDefault="00A160D0" w:rsidP="00592131">
      <w:pPr>
        <w:tabs>
          <w:tab w:val="center" w:pos="4536"/>
          <w:tab w:val="right" w:pos="9072"/>
        </w:tabs>
        <w:jc w:val="both"/>
        <w:rPr>
          <w:i/>
          <w:szCs w:val="22"/>
        </w:rPr>
      </w:pPr>
    </w:p>
    <w:p w14:paraId="4F64FD48" w14:textId="16631E9D" w:rsidR="00D86BB7" w:rsidRPr="00CC61C2" w:rsidRDefault="00D86BB7" w:rsidP="00592131">
      <w:pPr>
        <w:tabs>
          <w:tab w:val="center" w:pos="4536"/>
          <w:tab w:val="right" w:pos="9072"/>
        </w:tabs>
        <w:jc w:val="both"/>
        <w:rPr>
          <w:i/>
          <w:szCs w:val="22"/>
        </w:rPr>
      </w:pPr>
      <w:r w:rsidRPr="00CC61C2">
        <w:rPr>
          <w:i/>
          <w:szCs w:val="22"/>
        </w:rPr>
        <w:t>Preparati digitalisa</w:t>
      </w:r>
    </w:p>
    <w:p w14:paraId="70558593" w14:textId="502F33B9" w:rsidR="00D86BB7" w:rsidRPr="00CC61C2" w:rsidRDefault="00D86BB7" w:rsidP="00592131">
      <w:pPr>
        <w:tabs>
          <w:tab w:val="center" w:pos="4536"/>
          <w:tab w:val="right" w:pos="9072"/>
        </w:tabs>
        <w:jc w:val="both"/>
        <w:rPr>
          <w:szCs w:val="22"/>
        </w:rPr>
      </w:pPr>
      <w:r w:rsidRPr="00CC61C2">
        <w:rPr>
          <w:szCs w:val="22"/>
        </w:rPr>
        <w:t xml:space="preserve">Nizak nivo kalijuma i/ili </w:t>
      </w:r>
      <w:r w:rsidR="00135257" w:rsidRPr="00CC61C2">
        <w:rPr>
          <w:szCs w:val="22"/>
        </w:rPr>
        <w:t>hipomagnez</w:t>
      </w:r>
      <w:r w:rsidR="00135257">
        <w:rPr>
          <w:szCs w:val="22"/>
        </w:rPr>
        <w:t>ije</w:t>
      </w:r>
      <w:r w:rsidR="00135257" w:rsidRPr="00CC61C2">
        <w:rPr>
          <w:szCs w:val="22"/>
        </w:rPr>
        <w:t xml:space="preserve">mija </w:t>
      </w:r>
      <w:r w:rsidRPr="00CC61C2">
        <w:rPr>
          <w:szCs w:val="22"/>
        </w:rPr>
        <w:t>potencira toksične efekte of digitalisa. Treba pratiti nivo kalijuma, magnezijuma i EKG, i ako je neophodno, ponovo razmotriti terapiju.</w:t>
      </w:r>
    </w:p>
    <w:p w14:paraId="1BF2511D" w14:textId="77777777" w:rsidR="00D86BB7" w:rsidRPr="00CC61C2" w:rsidRDefault="00D86BB7">
      <w:pPr>
        <w:tabs>
          <w:tab w:val="center" w:pos="4536"/>
          <w:tab w:val="right" w:pos="9072"/>
        </w:tabs>
        <w:jc w:val="both"/>
        <w:rPr>
          <w:szCs w:val="22"/>
        </w:rPr>
      </w:pPr>
    </w:p>
    <w:p w14:paraId="60885836" w14:textId="3DE02895" w:rsidR="00D456E6" w:rsidRDefault="00D86BB7" w:rsidP="001237DA">
      <w:pPr>
        <w:widowControl w:val="0"/>
        <w:jc w:val="both"/>
        <w:rPr>
          <w:szCs w:val="22"/>
        </w:rPr>
      </w:pPr>
      <w:r w:rsidRPr="00CC61C2">
        <w:rPr>
          <w:i/>
          <w:szCs w:val="22"/>
        </w:rPr>
        <w:t>Alopurinol</w:t>
      </w:r>
    </w:p>
    <w:p w14:paraId="3A1E90FD" w14:textId="1CAAD3B4" w:rsidR="00D86BB7" w:rsidRPr="00CC61C2" w:rsidRDefault="00D86BB7" w:rsidP="001237DA">
      <w:pPr>
        <w:widowControl w:val="0"/>
        <w:jc w:val="both"/>
        <w:rPr>
          <w:szCs w:val="22"/>
        </w:rPr>
      </w:pPr>
      <w:r w:rsidRPr="00CC61C2">
        <w:rPr>
          <w:szCs w:val="22"/>
        </w:rPr>
        <w:t>Istovremena terapija sa indapamidom može povećati učestalost reakcija preosjetljivosti na alopurinol.</w:t>
      </w:r>
    </w:p>
    <w:p w14:paraId="482D318B" w14:textId="77777777" w:rsidR="00D86BB7" w:rsidRPr="00CC61C2" w:rsidRDefault="00D86BB7" w:rsidP="000D120B">
      <w:pPr>
        <w:tabs>
          <w:tab w:val="center" w:pos="4536"/>
          <w:tab w:val="right" w:pos="9072"/>
        </w:tabs>
        <w:jc w:val="both"/>
        <w:rPr>
          <w:i/>
          <w:szCs w:val="22"/>
        </w:rPr>
      </w:pPr>
    </w:p>
    <w:p w14:paraId="08D2853B" w14:textId="77777777" w:rsidR="00D86BB7" w:rsidRPr="00CC61C2" w:rsidRDefault="00D86BB7" w:rsidP="00077095">
      <w:pPr>
        <w:tabs>
          <w:tab w:val="center" w:pos="4536"/>
          <w:tab w:val="right" w:pos="9072"/>
        </w:tabs>
        <w:jc w:val="both"/>
        <w:rPr>
          <w:i/>
          <w:szCs w:val="22"/>
          <w:u w:val="single"/>
        </w:rPr>
      </w:pPr>
      <w:r w:rsidRPr="00CC61C2">
        <w:rPr>
          <w:i/>
          <w:szCs w:val="22"/>
          <w:u w:val="single"/>
        </w:rPr>
        <w:t xml:space="preserve">Istovremene primjene koje zahtijevaju manji oprez </w:t>
      </w:r>
    </w:p>
    <w:p w14:paraId="0F4DD2D9" w14:textId="77777777" w:rsidR="00D86BB7" w:rsidRPr="00CC61C2" w:rsidRDefault="00D86BB7" w:rsidP="00351F69">
      <w:pPr>
        <w:autoSpaceDE w:val="0"/>
        <w:autoSpaceDN w:val="0"/>
        <w:adjustRightInd w:val="0"/>
        <w:jc w:val="both"/>
        <w:rPr>
          <w:szCs w:val="22"/>
        </w:rPr>
      </w:pPr>
    </w:p>
    <w:p w14:paraId="07E3FE7E" w14:textId="5B81B6F1" w:rsidR="00F26A1B" w:rsidRDefault="00D86BB7" w:rsidP="00592131">
      <w:pPr>
        <w:widowControl w:val="0"/>
        <w:jc w:val="both"/>
        <w:rPr>
          <w:szCs w:val="22"/>
        </w:rPr>
      </w:pPr>
      <w:r w:rsidRPr="00CC61C2">
        <w:rPr>
          <w:i/>
          <w:szCs w:val="22"/>
        </w:rPr>
        <w:t>Diuretici koji štede kalijum (amilorid, spironolakton, triamteren)</w:t>
      </w:r>
    </w:p>
    <w:p w14:paraId="379E7AF7" w14:textId="52D9C83F" w:rsidR="00D86BB7" w:rsidRPr="00CC61C2" w:rsidRDefault="00D86BB7" w:rsidP="00592131">
      <w:pPr>
        <w:widowControl w:val="0"/>
        <w:jc w:val="both"/>
        <w:rPr>
          <w:szCs w:val="22"/>
        </w:rPr>
      </w:pPr>
      <w:r w:rsidRPr="00CC61C2">
        <w:rPr>
          <w:szCs w:val="22"/>
        </w:rPr>
        <w:t xml:space="preserve">Ove kombinacije su kod nekih pacijenata korisne, ali mogu se ipak pojaviti hipokalijemija ili hiperkalijemija (pogotovo kod pacijenata sa bubrežnom insuficijencijom ili dijabetesom). Potrebno je </w:t>
      </w:r>
      <w:r w:rsidRPr="00CC61C2">
        <w:rPr>
          <w:szCs w:val="22"/>
        </w:rPr>
        <w:lastRenderedPageBreak/>
        <w:t xml:space="preserve">pratiti nivo kalijuma u plazmi i EKG, i ako je potrebno, revidirati liječenje. </w:t>
      </w:r>
    </w:p>
    <w:p w14:paraId="55E02F0B" w14:textId="77777777" w:rsidR="00D86BB7" w:rsidRPr="00CC61C2" w:rsidRDefault="00D86BB7" w:rsidP="00592131">
      <w:pPr>
        <w:widowControl w:val="0"/>
        <w:jc w:val="both"/>
        <w:rPr>
          <w:i/>
          <w:szCs w:val="22"/>
        </w:rPr>
      </w:pPr>
    </w:p>
    <w:p w14:paraId="1479A69F" w14:textId="77777777" w:rsidR="00D86BB7" w:rsidRPr="00CC61C2" w:rsidRDefault="00D86BB7">
      <w:pPr>
        <w:tabs>
          <w:tab w:val="center" w:pos="4536"/>
          <w:tab w:val="right" w:pos="9072"/>
        </w:tabs>
        <w:jc w:val="both"/>
        <w:rPr>
          <w:i/>
          <w:szCs w:val="22"/>
        </w:rPr>
      </w:pPr>
      <w:r w:rsidRPr="00CC61C2">
        <w:rPr>
          <w:i/>
          <w:szCs w:val="22"/>
        </w:rPr>
        <w:t>Metformin</w:t>
      </w:r>
    </w:p>
    <w:p w14:paraId="19F9CB46" w14:textId="77777777" w:rsidR="00D86BB7" w:rsidRPr="00CC61C2" w:rsidRDefault="00D86BB7">
      <w:pPr>
        <w:tabs>
          <w:tab w:val="center" w:pos="4536"/>
          <w:tab w:val="right" w:pos="9072"/>
        </w:tabs>
        <w:jc w:val="both"/>
        <w:rPr>
          <w:szCs w:val="22"/>
        </w:rPr>
      </w:pPr>
      <w:r w:rsidRPr="00CC61C2">
        <w:rPr>
          <w:szCs w:val="22"/>
        </w:rPr>
        <w:t>Laktatna acidoza usljed primjene metformina izazvana mogućom renalnom insuficijencijom povezanom sa primjenom diuretika, a posebno diuretika Henleove petlje. Ne koristiti metformin kada je nivo kreatinina u plazmi iznad 15 mg/l (135 mikromol/l) kod muškaraca i 12 mg/l (110 mikromol/l) kod žena.</w:t>
      </w:r>
    </w:p>
    <w:p w14:paraId="1EF80809" w14:textId="77777777" w:rsidR="00D86BB7" w:rsidRPr="00CC61C2" w:rsidRDefault="00D86BB7">
      <w:pPr>
        <w:tabs>
          <w:tab w:val="center" w:pos="4536"/>
          <w:tab w:val="right" w:pos="9072"/>
        </w:tabs>
        <w:jc w:val="both"/>
        <w:rPr>
          <w:szCs w:val="22"/>
        </w:rPr>
      </w:pPr>
    </w:p>
    <w:p w14:paraId="2C58FF50" w14:textId="77777777" w:rsidR="00D86BB7" w:rsidRPr="00CC61C2" w:rsidRDefault="00D86BB7">
      <w:pPr>
        <w:tabs>
          <w:tab w:val="center" w:pos="4536"/>
          <w:tab w:val="right" w:pos="9072"/>
        </w:tabs>
        <w:jc w:val="both"/>
        <w:rPr>
          <w:i/>
          <w:szCs w:val="22"/>
        </w:rPr>
      </w:pPr>
      <w:r w:rsidRPr="00CC61C2">
        <w:rPr>
          <w:i/>
          <w:szCs w:val="22"/>
        </w:rPr>
        <w:t>Kontrastna sredstva na bazi joda</w:t>
      </w:r>
    </w:p>
    <w:p w14:paraId="6D4762D2" w14:textId="77777777" w:rsidR="00D86BB7" w:rsidRPr="00CC61C2" w:rsidRDefault="00D86BB7">
      <w:pPr>
        <w:tabs>
          <w:tab w:val="center" w:pos="4536"/>
          <w:tab w:val="right" w:pos="9072"/>
        </w:tabs>
        <w:jc w:val="both"/>
        <w:rPr>
          <w:szCs w:val="22"/>
        </w:rPr>
      </w:pPr>
      <w:r w:rsidRPr="00CC61C2">
        <w:rPr>
          <w:szCs w:val="22"/>
        </w:rPr>
        <w:t>U slučajevima dehidratacije izazvane diureticima postoji povećan rizik od akutne renalne insuficijencije, posebno kada se koriste visoke doze jodiranih kontrastnih sredstava. Mora se sprovoditi rehidrataciju prije primjene jodiranih jedinjenja.</w:t>
      </w:r>
    </w:p>
    <w:p w14:paraId="66A70C6C" w14:textId="77777777" w:rsidR="00D86BB7" w:rsidRPr="00CC61C2" w:rsidRDefault="00D86BB7">
      <w:pPr>
        <w:tabs>
          <w:tab w:val="center" w:pos="4536"/>
          <w:tab w:val="right" w:pos="9072"/>
        </w:tabs>
        <w:jc w:val="both"/>
        <w:rPr>
          <w:szCs w:val="22"/>
        </w:rPr>
      </w:pPr>
    </w:p>
    <w:p w14:paraId="31946812" w14:textId="77777777" w:rsidR="00D86BB7" w:rsidRPr="00CC61C2" w:rsidRDefault="00D86BB7">
      <w:pPr>
        <w:tabs>
          <w:tab w:val="center" w:pos="4536"/>
          <w:tab w:val="right" w:pos="9072"/>
        </w:tabs>
        <w:jc w:val="both"/>
        <w:rPr>
          <w:i/>
          <w:szCs w:val="22"/>
        </w:rPr>
      </w:pPr>
      <w:r w:rsidRPr="00CC61C2">
        <w:rPr>
          <w:i/>
          <w:szCs w:val="22"/>
        </w:rPr>
        <w:t>Kalcijum (soli)</w:t>
      </w:r>
    </w:p>
    <w:p w14:paraId="25695667" w14:textId="77777777" w:rsidR="00D86BB7" w:rsidRPr="00CC61C2" w:rsidRDefault="00D86BB7">
      <w:pPr>
        <w:tabs>
          <w:tab w:val="center" w:pos="4536"/>
          <w:tab w:val="right" w:pos="9072"/>
        </w:tabs>
        <w:jc w:val="both"/>
        <w:rPr>
          <w:szCs w:val="22"/>
        </w:rPr>
      </w:pPr>
      <w:r w:rsidRPr="00CC61C2">
        <w:rPr>
          <w:szCs w:val="22"/>
        </w:rPr>
        <w:t>Rizik od povećanja nivoa kalcijuma zbog redukovane eliminacije kalcijuma urinom.</w:t>
      </w:r>
    </w:p>
    <w:p w14:paraId="55247B6B" w14:textId="77777777" w:rsidR="00D86BB7" w:rsidRPr="00CC61C2" w:rsidRDefault="00D86BB7">
      <w:pPr>
        <w:tabs>
          <w:tab w:val="center" w:pos="4536"/>
          <w:tab w:val="right" w:pos="9072"/>
        </w:tabs>
        <w:jc w:val="both"/>
        <w:rPr>
          <w:szCs w:val="22"/>
        </w:rPr>
      </w:pPr>
    </w:p>
    <w:p w14:paraId="739F9514" w14:textId="77777777" w:rsidR="00D86BB7" w:rsidRPr="00CC61C2" w:rsidRDefault="00D86BB7">
      <w:pPr>
        <w:tabs>
          <w:tab w:val="center" w:pos="4536"/>
          <w:tab w:val="right" w:pos="9072"/>
        </w:tabs>
        <w:jc w:val="both"/>
        <w:rPr>
          <w:i/>
          <w:szCs w:val="22"/>
        </w:rPr>
      </w:pPr>
      <w:r w:rsidRPr="00CC61C2">
        <w:rPr>
          <w:i/>
          <w:szCs w:val="22"/>
        </w:rPr>
        <w:t>Ciklosporin</w:t>
      </w:r>
    </w:p>
    <w:p w14:paraId="4C271EF8" w14:textId="77777777" w:rsidR="00D86BB7" w:rsidRPr="00CC61C2" w:rsidRDefault="00D86BB7">
      <w:pPr>
        <w:tabs>
          <w:tab w:val="center" w:pos="4536"/>
          <w:tab w:val="right" w:pos="9072"/>
        </w:tabs>
        <w:jc w:val="both"/>
        <w:rPr>
          <w:szCs w:val="22"/>
        </w:rPr>
      </w:pPr>
      <w:r w:rsidRPr="00CC61C2">
        <w:rPr>
          <w:szCs w:val="22"/>
        </w:rPr>
        <w:t>Rizik povećanja nivoa kreatinina zbog indapamida bez promjena cirkulišućeg nivoa ciklosporina, čak i kada nema gubitka vode i soli.</w:t>
      </w:r>
    </w:p>
    <w:p w14:paraId="13DBEFEE" w14:textId="77777777" w:rsidR="00D86BB7" w:rsidRPr="00CC61C2" w:rsidRDefault="00D86BB7">
      <w:pPr>
        <w:tabs>
          <w:tab w:val="center" w:pos="4536"/>
          <w:tab w:val="right" w:pos="9072"/>
        </w:tabs>
        <w:jc w:val="both"/>
        <w:rPr>
          <w:szCs w:val="22"/>
        </w:rPr>
      </w:pPr>
      <w:r w:rsidRPr="00CC61C2">
        <w:rPr>
          <w:szCs w:val="22"/>
        </w:rPr>
        <w:t>Nijesu sprovedena ispitivanja interakcije ciklosporina i amlodipina kod zdravih dobrovoljaca ili drugih grupa osim kod pacijenata kod kojih je transplatiran bubreg i kod kojih je zapaženo varijabilno povećanje najniže koncentracije ciklosporina (prosječno od 0 do 40%). Potrebno je praćenje koncetracije ciklosporina kod pacijenata sa transplatiranim bubregom koji primaju amlodipin i po potrebi smanjiti dozu ciklosporina.</w:t>
      </w:r>
    </w:p>
    <w:p w14:paraId="77903D26" w14:textId="77777777" w:rsidR="00D86BB7" w:rsidRPr="00CC61C2" w:rsidRDefault="00D86BB7">
      <w:pPr>
        <w:tabs>
          <w:tab w:val="center" w:pos="4536"/>
          <w:tab w:val="right" w:pos="9072"/>
        </w:tabs>
        <w:jc w:val="both"/>
        <w:rPr>
          <w:szCs w:val="22"/>
        </w:rPr>
      </w:pPr>
    </w:p>
    <w:p w14:paraId="7386C3C7" w14:textId="77777777" w:rsidR="00D86BB7" w:rsidRPr="00CC61C2" w:rsidRDefault="00D86BB7">
      <w:pPr>
        <w:tabs>
          <w:tab w:val="center" w:pos="4536"/>
          <w:tab w:val="right" w:pos="9072"/>
        </w:tabs>
        <w:jc w:val="both"/>
        <w:rPr>
          <w:i/>
          <w:szCs w:val="22"/>
        </w:rPr>
      </w:pPr>
      <w:r w:rsidRPr="00CC61C2">
        <w:rPr>
          <w:i/>
          <w:szCs w:val="22"/>
        </w:rPr>
        <w:t>CYP3A4 inhibitori</w:t>
      </w:r>
    </w:p>
    <w:p w14:paraId="14119591" w14:textId="77777777" w:rsidR="00D86BB7" w:rsidRPr="00CC61C2" w:rsidRDefault="00D86BB7">
      <w:pPr>
        <w:tabs>
          <w:tab w:val="center" w:pos="4536"/>
          <w:tab w:val="right" w:pos="9072"/>
        </w:tabs>
        <w:jc w:val="both"/>
        <w:rPr>
          <w:szCs w:val="22"/>
        </w:rPr>
      </w:pPr>
      <w:r w:rsidRPr="00CC61C2">
        <w:rPr>
          <w:szCs w:val="22"/>
        </w:rPr>
        <w:t xml:space="preserve">Istovremena upotreba amlodipina sa jakim ili umjerenim inhibitorima CYP3A4 (inhibitori proteaze, azoli, makrolidi kao što je eritromicin ili klaritromicin, verapamil ili diltiazem) može dovesti do povećanja izloženosti amlodipinu, što dovodi do povećanog rizika od hipotenzije. Kliničke manifestacije ovih razlika u farmakokinetici su izraženije kod starijih pacijenata. Kliničko praćenje i prilagođavanje doze mogu biti neophodni. </w:t>
      </w:r>
    </w:p>
    <w:p w14:paraId="01A3A14A" w14:textId="77777777" w:rsidR="00D86BB7" w:rsidRPr="00CC61C2" w:rsidRDefault="00D86BB7">
      <w:pPr>
        <w:tabs>
          <w:tab w:val="center" w:pos="4536"/>
          <w:tab w:val="right" w:pos="9072"/>
        </w:tabs>
        <w:jc w:val="both"/>
        <w:rPr>
          <w:szCs w:val="22"/>
        </w:rPr>
      </w:pPr>
    </w:p>
    <w:p w14:paraId="7D6F3D8A" w14:textId="77777777" w:rsidR="00D86BB7" w:rsidRPr="00CC61C2" w:rsidRDefault="00D86BB7" w:rsidP="001237DA">
      <w:pPr>
        <w:pStyle w:val="Default"/>
        <w:jc w:val="both"/>
        <w:rPr>
          <w:i/>
          <w:color w:val="auto"/>
          <w:sz w:val="22"/>
          <w:szCs w:val="22"/>
          <w:lang w:val="sr-Latn-ME"/>
        </w:rPr>
      </w:pPr>
      <w:r w:rsidRPr="00CC61C2">
        <w:rPr>
          <w:i/>
          <w:color w:val="auto"/>
          <w:sz w:val="22"/>
          <w:szCs w:val="22"/>
          <w:lang w:val="sr-Latn-ME"/>
        </w:rPr>
        <w:t>Klaritromicin</w:t>
      </w:r>
    </w:p>
    <w:p w14:paraId="2F98D70A" w14:textId="77777777" w:rsidR="00D86BB7" w:rsidRPr="00CC61C2" w:rsidRDefault="00D86BB7" w:rsidP="000D120B">
      <w:pPr>
        <w:pStyle w:val="Default"/>
        <w:jc w:val="both"/>
        <w:rPr>
          <w:color w:val="auto"/>
          <w:sz w:val="22"/>
          <w:szCs w:val="22"/>
          <w:lang w:val="sr-Latn-ME"/>
        </w:rPr>
      </w:pPr>
      <w:r w:rsidRPr="00CC61C2">
        <w:rPr>
          <w:color w:val="auto"/>
          <w:sz w:val="22"/>
          <w:szCs w:val="22"/>
          <w:lang w:val="sr-Latn-ME"/>
        </w:rPr>
        <w:t>Klaritromicin je inhibitor CYP3A4. Postoji povećan rizik od hipotenzije kod pacijenata koji primaju klaritromicin sa amlodipinom. Preporučuje se pažljivo praćenje pacijenata kada se amlodipin primjenjuje istovremeno sa klaritromicinom.</w:t>
      </w:r>
    </w:p>
    <w:p w14:paraId="157E5C0C" w14:textId="77777777" w:rsidR="00D86BB7" w:rsidRPr="00CC61C2" w:rsidRDefault="00D86BB7" w:rsidP="000D120B">
      <w:pPr>
        <w:widowControl w:val="0"/>
        <w:autoSpaceDE w:val="0"/>
        <w:autoSpaceDN w:val="0"/>
        <w:adjustRightInd w:val="0"/>
        <w:jc w:val="both"/>
        <w:rPr>
          <w:i/>
          <w:szCs w:val="22"/>
        </w:rPr>
      </w:pPr>
    </w:p>
    <w:p w14:paraId="2B9E01CA" w14:textId="77777777" w:rsidR="00D86BB7" w:rsidRPr="00CC61C2" w:rsidRDefault="00D86BB7" w:rsidP="000D120B">
      <w:pPr>
        <w:widowControl w:val="0"/>
        <w:autoSpaceDE w:val="0"/>
        <w:autoSpaceDN w:val="0"/>
        <w:adjustRightInd w:val="0"/>
        <w:jc w:val="both"/>
        <w:rPr>
          <w:i/>
          <w:szCs w:val="22"/>
        </w:rPr>
      </w:pPr>
      <w:r w:rsidRPr="00CC61C2">
        <w:rPr>
          <w:i/>
          <w:szCs w:val="22"/>
        </w:rPr>
        <w:t>Mechanistički Target Rapamicina (mTOR) inhibitori (sirolimus, everolimus, temsirolimus)</w:t>
      </w:r>
    </w:p>
    <w:p w14:paraId="67B77C85" w14:textId="77777777" w:rsidR="00D86BB7" w:rsidRPr="00CC61C2" w:rsidRDefault="00D86BB7" w:rsidP="00077095">
      <w:pPr>
        <w:widowControl w:val="0"/>
        <w:autoSpaceDE w:val="0"/>
        <w:autoSpaceDN w:val="0"/>
        <w:adjustRightInd w:val="0"/>
        <w:jc w:val="both"/>
        <w:rPr>
          <w:szCs w:val="22"/>
        </w:rPr>
      </w:pPr>
      <w:r w:rsidRPr="00CC61C2">
        <w:rPr>
          <w:szCs w:val="22"/>
        </w:rPr>
        <w:t>Istovremena primjena mTOR i ACE inhibitora može dovesti do povećanog rizika od pojave angioedema (vidjeti dio 4.4).</w:t>
      </w:r>
    </w:p>
    <w:p w14:paraId="0530E7DE" w14:textId="77777777" w:rsidR="00D86BB7" w:rsidRPr="00CC61C2" w:rsidRDefault="00D86BB7" w:rsidP="00592131">
      <w:pPr>
        <w:pStyle w:val="Default"/>
        <w:jc w:val="both"/>
        <w:rPr>
          <w:color w:val="auto"/>
          <w:sz w:val="22"/>
          <w:szCs w:val="22"/>
          <w:lang w:val="sr-Latn-ME"/>
        </w:rPr>
      </w:pPr>
      <w:r w:rsidRPr="00CC61C2">
        <w:rPr>
          <w:color w:val="auto"/>
          <w:sz w:val="22"/>
          <w:szCs w:val="22"/>
          <w:lang w:val="sr-Latn-ME"/>
        </w:rPr>
        <w:t>mTOR inhibitori su CYP3A supstrati. Amlodipin je slab CYP3A inhibitor. Pri istovremenoj primjeni sa mTOR inhibitorima amlodipin može povećati izloženost mTOR inhibitorima.</w:t>
      </w:r>
    </w:p>
    <w:p w14:paraId="403BD231" w14:textId="77777777" w:rsidR="00D86BB7" w:rsidRPr="00CC61C2" w:rsidRDefault="00D86BB7" w:rsidP="00592131">
      <w:pPr>
        <w:tabs>
          <w:tab w:val="center" w:pos="4536"/>
          <w:tab w:val="right" w:pos="9072"/>
        </w:tabs>
        <w:jc w:val="both"/>
        <w:rPr>
          <w:szCs w:val="22"/>
        </w:rPr>
      </w:pPr>
    </w:p>
    <w:p w14:paraId="51FB7186" w14:textId="2335D781" w:rsidR="00D86BB7" w:rsidRPr="00CC61C2" w:rsidRDefault="00D86BB7">
      <w:pPr>
        <w:tabs>
          <w:tab w:val="center" w:pos="4536"/>
          <w:tab w:val="right" w:pos="9072"/>
        </w:tabs>
        <w:jc w:val="both"/>
        <w:rPr>
          <w:i/>
          <w:szCs w:val="22"/>
        </w:rPr>
      </w:pPr>
      <w:r w:rsidRPr="00CC61C2">
        <w:rPr>
          <w:i/>
          <w:szCs w:val="22"/>
        </w:rPr>
        <w:t>CYP3A4 induktori</w:t>
      </w:r>
    </w:p>
    <w:p w14:paraId="363F05B6" w14:textId="77777777" w:rsidR="00D86BB7" w:rsidRPr="00CC61C2" w:rsidRDefault="00D86BB7">
      <w:pPr>
        <w:autoSpaceDE w:val="0"/>
        <w:autoSpaceDN w:val="0"/>
        <w:adjustRightInd w:val="0"/>
        <w:jc w:val="both"/>
        <w:rPr>
          <w:rFonts w:eastAsia="SimSun"/>
          <w:color w:val="000000"/>
          <w:szCs w:val="22"/>
          <w:lang w:eastAsia="sr-Latn-RS"/>
        </w:rPr>
      </w:pPr>
      <w:r w:rsidRPr="00CC61C2">
        <w:rPr>
          <w:rFonts w:eastAsia="SimSun"/>
          <w:color w:val="000000"/>
          <w:szCs w:val="22"/>
          <w:lang w:eastAsia="sr-Latn-RS"/>
        </w:rPr>
        <w:t xml:space="preserve">Pri istovremenoj primjeni poznatih induktora CYP3A4 koncentracija amlodipina u plazmi može se razlikovati. Stoga je potrebno pratiti krvni pritisak i razmotriti prilagođavanje doze tokom i nakon istovremenog liječenja, naročito sa jakim induktorima CYP3A4 (npr. rifampicin, </w:t>
      </w:r>
      <w:r w:rsidRPr="00CC61C2">
        <w:rPr>
          <w:rFonts w:eastAsia="SimSun"/>
          <w:i/>
          <w:iCs/>
          <w:color w:val="000000"/>
          <w:szCs w:val="22"/>
          <w:lang w:eastAsia="sr-Latn-RS"/>
        </w:rPr>
        <w:t>Hypericum perforatum</w:t>
      </w:r>
      <w:r w:rsidRPr="00CC61C2">
        <w:rPr>
          <w:rFonts w:eastAsia="SimSun"/>
          <w:color w:val="000000"/>
          <w:szCs w:val="22"/>
          <w:lang w:eastAsia="sr-Latn-RS"/>
        </w:rPr>
        <w:t xml:space="preserve">). </w:t>
      </w:r>
    </w:p>
    <w:p w14:paraId="2ACADD67" w14:textId="77777777" w:rsidR="00D86BB7" w:rsidRPr="00CC61C2" w:rsidRDefault="00D86BB7">
      <w:pPr>
        <w:tabs>
          <w:tab w:val="center" w:pos="4536"/>
          <w:tab w:val="right" w:pos="9072"/>
        </w:tabs>
        <w:jc w:val="both"/>
        <w:rPr>
          <w:szCs w:val="22"/>
        </w:rPr>
      </w:pPr>
    </w:p>
    <w:p w14:paraId="439C7A6E" w14:textId="77777777" w:rsidR="00D86BB7" w:rsidRPr="00CC61C2" w:rsidRDefault="00D86BB7" w:rsidP="001237DA">
      <w:pPr>
        <w:pStyle w:val="Default"/>
        <w:jc w:val="both"/>
        <w:rPr>
          <w:i/>
          <w:color w:val="auto"/>
          <w:sz w:val="22"/>
          <w:szCs w:val="22"/>
          <w:lang w:val="sr-Latn-ME"/>
        </w:rPr>
      </w:pPr>
      <w:r w:rsidRPr="00CC61C2">
        <w:rPr>
          <w:i/>
          <w:color w:val="auto"/>
          <w:sz w:val="22"/>
          <w:szCs w:val="22"/>
          <w:lang w:val="sr-Latn-ME"/>
        </w:rPr>
        <w:t>Sok od grejpfruta</w:t>
      </w:r>
    </w:p>
    <w:p w14:paraId="6511A8C6" w14:textId="77777777" w:rsidR="00D86BB7" w:rsidRPr="00CC61C2" w:rsidRDefault="00D86BB7" w:rsidP="001237DA">
      <w:pPr>
        <w:pStyle w:val="Default"/>
        <w:jc w:val="both"/>
        <w:rPr>
          <w:color w:val="auto"/>
          <w:sz w:val="22"/>
          <w:szCs w:val="22"/>
          <w:lang w:val="sr-Latn-ME"/>
        </w:rPr>
      </w:pPr>
      <w:r w:rsidRPr="00CC61C2">
        <w:rPr>
          <w:color w:val="auto"/>
          <w:sz w:val="22"/>
          <w:szCs w:val="22"/>
          <w:lang w:val="sr-Latn-ME"/>
        </w:rPr>
        <w:t>Ne preporučuje se primjena amlodipina sa grejpfrutom ili sokom od grejpfruta jer se bioraspoloživost može povećati kod nekih pacijenata, što za ishod ima pojačan efekat snižavanja krvnog pritiska.</w:t>
      </w:r>
    </w:p>
    <w:p w14:paraId="71849376" w14:textId="77777777" w:rsidR="00D86BB7" w:rsidRPr="00CC61C2" w:rsidRDefault="00D86BB7" w:rsidP="000D120B">
      <w:pPr>
        <w:tabs>
          <w:tab w:val="center" w:pos="4536"/>
          <w:tab w:val="right" w:pos="9072"/>
        </w:tabs>
        <w:jc w:val="both"/>
        <w:rPr>
          <w:szCs w:val="22"/>
        </w:rPr>
      </w:pPr>
    </w:p>
    <w:p w14:paraId="061A066A" w14:textId="77777777" w:rsidR="00D86BB7" w:rsidRPr="00CC61C2" w:rsidRDefault="00D86BB7" w:rsidP="000D120B">
      <w:pPr>
        <w:tabs>
          <w:tab w:val="center" w:pos="4536"/>
          <w:tab w:val="right" w:pos="9072"/>
        </w:tabs>
        <w:jc w:val="both"/>
        <w:rPr>
          <w:i/>
          <w:szCs w:val="22"/>
        </w:rPr>
      </w:pPr>
      <w:r w:rsidRPr="00CC61C2">
        <w:rPr>
          <w:i/>
          <w:szCs w:val="22"/>
        </w:rPr>
        <w:t>Dantrolen (infuzija)</w:t>
      </w:r>
    </w:p>
    <w:p w14:paraId="2F74BD64" w14:textId="77777777" w:rsidR="00D86BB7" w:rsidRPr="00CC61C2" w:rsidRDefault="00D86BB7" w:rsidP="000D120B">
      <w:pPr>
        <w:tabs>
          <w:tab w:val="left" w:pos="284"/>
        </w:tabs>
        <w:jc w:val="both"/>
        <w:rPr>
          <w:szCs w:val="22"/>
        </w:rPr>
      </w:pPr>
      <w:r w:rsidRPr="00CC61C2">
        <w:rPr>
          <w:szCs w:val="22"/>
        </w:rPr>
        <w:t xml:space="preserve">Kod životinja se uočavaju smrtonosne ventrikularne fibrilacije i kardiovaskularni kolaps nakon primjene verapamila i i.v. dantrolena. Usljed rizika od pojave hiperkalijemije, preporučuje se izbjegavanje </w:t>
      </w:r>
      <w:r w:rsidRPr="00CC61C2">
        <w:rPr>
          <w:szCs w:val="22"/>
        </w:rPr>
        <w:lastRenderedPageBreak/>
        <w:t>uzimanja blokatora kalcijumskih kanala kao što je amlodipin kod pacijenata podložnih malignoj hipertermiji, kao i u liječenju maligne hipertermije.</w:t>
      </w:r>
    </w:p>
    <w:p w14:paraId="2C92779A" w14:textId="77777777" w:rsidR="00D86BB7" w:rsidRPr="00CC61C2" w:rsidRDefault="00D86BB7" w:rsidP="000D120B">
      <w:pPr>
        <w:tabs>
          <w:tab w:val="center" w:pos="4536"/>
          <w:tab w:val="right" w:pos="9072"/>
        </w:tabs>
        <w:jc w:val="both"/>
        <w:rPr>
          <w:i/>
          <w:szCs w:val="22"/>
        </w:rPr>
      </w:pPr>
    </w:p>
    <w:p w14:paraId="0A03135C" w14:textId="77777777" w:rsidR="00D86BB7" w:rsidRPr="00CC61C2" w:rsidRDefault="00D86BB7" w:rsidP="00077095">
      <w:pPr>
        <w:pStyle w:val="Default"/>
        <w:jc w:val="both"/>
        <w:rPr>
          <w:sz w:val="22"/>
          <w:szCs w:val="22"/>
          <w:lang w:val="sr-Latn-ME"/>
        </w:rPr>
      </w:pPr>
      <w:r w:rsidRPr="00CC61C2">
        <w:rPr>
          <w:i/>
          <w:iCs/>
          <w:sz w:val="22"/>
          <w:szCs w:val="22"/>
          <w:lang w:val="sr-Latn-ME"/>
        </w:rPr>
        <w:t xml:space="preserve">Takrolimus </w:t>
      </w:r>
    </w:p>
    <w:p w14:paraId="330A5DAE" w14:textId="77777777" w:rsidR="00D86BB7" w:rsidRPr="00CC61C2" w:rsidRDefault="00D86BB7" w:rsidP="00592131">
      <w:pPr>
        <w:tabs>
          <w:tab w:val="left" w:pos="284"/>
        </w:tabs>
        <w:jc w:val="both"/>
        <w:rPr>
          <w:szCs w:val="22"/>
        </w:rPr>
      </w:pPr>
      <w:r w:rsidRPr="00CC61C2">
        <w:rPr>
          <w:szCs w:val="22"/>
        </w:rPr>
        <w:t>Postoji rizik od povećanja koncentracije takrolimusa u krvi kada se primjenjuje istovremeno sa amlodipinom, ali farmakokinetički mehanizam ove interakcije nije potpuno razjašnjen. Kako bi se izbjegla toksičnost takrolimusa, primjena amlodipina kod pacijenata liječenih takrolimusom zahtijeva praćenje koncentracije takrolimusa u krvi i prilagođavanje doze takrolimusa kada je potrebno.</w:t>
      </w:r>
    </w:p>
    <w:p w14:paraId="2FB8AAF6" w14:textId="77777777" w:rsidR="00D86BB7" w:rsidRPr="00CC61C2" w:rsidRDefault="00D86BB7" w:rsidP="00592131">
      <w:pPr>
        <w:tabs>
          <w:tab w:val="left" w:pos="284"/>
        </w:tabs>
        <w:jc w:val="both"/>
        <w:rPr>
          <w:szCs w:val="22"/>
        </w:rPr>
      </w:pPr>
    </w:p>
    <w:p w14:paraId="5A837589" w14:textId="77777777" w:rsidR="00D86BB7" w:rsidRPr="00CC61C2" w:rsidRDefault="00D86BB7">
      <w:pPr>
        <w:tabs>
          <w:tab w:val="center" w:pos="4536"/>
          <w:tab w:val="right" w:pos="9072"/>
        </w:tabs>
        <w:jc w:val="both"/>
        <w:rPr>
          <w:i/>
          <w:szCs w:val="22"/>
        </w:rPr>
      </w:pPr>
      <w:r w:rsidRPr="00CC61C2">
        <w:rPr>
          <w:i/>
          <w:szCs w:val="22"/>
        </w:rPr>
        <w:t>Simvastatin</w:t>
      </w:r>
    </w:p>
    <w:p w14:paraId="0040DE44" w14:textId="77777777" w:rsidR="00D86BB7" w:rsidRPr="00CC61C2" w:rsidRDefault="00D86BB7">
      <w:pPr>
        <w:tabs>
          <w:tab w:val="center" w:pos="4536"/>
          <w:tab w:val="right" w:pos="9072"/>
        </w:tabs>
        <w:jc w:val="both"/>
        <w:rPr>
          <w:szCs w:val="22"/>
        </w:rPr>
      </w:pPr>
      <w:r w:rsidRPr="00CC61C2">
        <w:rPr>
          <w:szCs w:val="22"/>
        </w:rPr>
        <w:t>Istovremena primjena ponovljenih doza od 10 mg amlodipina sa 80 mg simvastatina je rezultirala povećanjem bioraspoloživosti simvastatina od 77%, u poređenju sa simvastatinom datim bez amlodipina. Dozu simvastatina bi kod pacijenata koju uzimaju amlodipin trebalo ograničiti na 20 mg na dan.</w:t>
      </w:r>
    </w:p>
    <w:p w14:paraId="539B93D8" w14:textId="77777777" w:rsidR="00D86BB7" w:rsidRPr="00CC61C2" w:rsidRDefault="00D86BB7">
      <w:pPr>
        <w:tabs>
          <w:tab w:val="center" w:pos="4536"/>
          <w:tab w:val="right" w:pos="9072"/>
        </w:tabs>
        <w:jc w:val="both"/>
        <w:rPr>
          <w:szCs w:val="22"/>
        </w:rPr>
      </w:pPr>
    </w:p>
    <w:p w14:paraId="1283A7B4" w14:textId="77777777" w:rsidR="00D86BB7" w:rsidRPr="00CC61C2" w:rsidRDefault="00D86BB7">
      <w:pPr>
        <w:tabs>
          <w:tab w:val="center" w:pos="4536"/>
          <w:tab w:val="right" w:pos="9072"/>
        </w:tabs>
        <w:jc w:val="both"/>
        <w:rPr>
          <w:i/>
          <w:szCs w:val="22"/>
        </w:rPr>
      </w:pPr>
      <w:r w:rsidRPr="00CC61C2">
        <w:rPr>
          <w:szCs w:val="22"/>
        </w:rPr>
        <w:t>U kliničkim ispitivanjima interakcija, amlodipin nije uticao na farmakokinetiku atorvastatina, digoksina i varfarina.</w:t>
      </w:r>
    </w:p>
    <w:p w14:paraId="5FC56B45" w14:textId="77777777" w:rsidR="00D86BB7" w:rsidRPr="00CC61C2" w:rsidRDefault="00D86BB7">
      <w:pPr>
        <w:tabs>
          <w:tab w:val="center" w:pos="4536"/>
          <w:tab w:val="right" w:pos="9072"/>
        </w:tabs>
        <w:jc w:val="both"/>
        <w:rPr>
          <w:szCs w:val="22"/>
        </w:rPr>
      </w:pPr>
    </w:p>
    <w:p w14:paraId="33B12FD3" w14:textId="77777777" w:rsidR="00D86BB7" w:rsidRPr="00CC61C2" w:rsidRDefault="00D86BB7">
      <w:pPr>
        <w:jc w:val="both"/>
        <w:rPr>
          <w:i/>
          <w:szCs w:val="22"/>
        </w:rPr>
      </w:pPr>
      <w:r w:rsidRPr="00CC61C2">
        <w:rPr>
          <w:i/>
          <w:szCs w:val="22"/>
        </w:rPr>
        <w:t>Antihipertenzivi i vazodilatatori</w:t>
      </w:r>
    </w:p>
    <w:p w14:paraId="2F8491DD" w14:textId="77777777" w:rsidR="00D86BB7" w:rsidRPr="00CC61C2" w:rsidRDefault="00D86BB7">
      <w:pPr>
        <w:jc w:val="both"/>
        <w:rPr>
          <w:szCs w:val="22"/>
        </w:rPr>
      </w:pPr>
      <w:r w:rsidRPr="00CC61C2">
        <w:rPr>
          <w:szCs w:val="22"/>
        </w:rPr>
        <w:t>Istovremena primjena ovih ljekova može povećati hipotenzivni efekat perindoprila. Istovremena primjena sa nitroglicerinom i drugim nitratima ili drugim vazodilatatorima može dodatno sniziti krvni pritisak.</w:t>
      </w:r>
    </w:p>
    <w:p w14:paraId="0BDC8775" w14:textId="77777777" w:rsidR="00D86BB7" w:rsidRPr="00CC61C2" w:rsidRDefault="00D86BB7">
      <w:pPr>
        <w:tabs>
          <w:tab w:val="center" w:pos="4536"/>
          <w:tab w:val="right" w:pos="9072"/>
        </w:tabs>
        <w:jc w:val="both"/>
        <w:rPr>
          <w:szCs w:val="22"/>
        </w:rPr>
      </w:pPr>
    </w:p>
    <w:p w14:paraId="26454183" w14:textId="77777777" w:rsidR="00D86BB7" w:rsidRPr="00CC61C2" w:rsidRDefault="00D86BB7">
      <w:pPr>
        <w:tabs>
          <w:tab w:val="center" w:pos="4536"/>
          <w:tab w:val="right" w:pos="9072"/>
        </w:tabs>
        <w:jc w:val="both"/>
        <w:rPr>
          <w:i/>
          <w:szCs w:val="22"/>
        </w:rPr>
      </w:pPr>
      <w:r w:rsidRPr="00CC61C2">
        <w:rPr>
          <w:i/>
          <w:szCs w:val="22"/>
        </w:rPr>
        <w:t>Antidepresivi slični imipraminu (triciklični), neuroleptici</w:t>
      </w:r>
    </w:p>
    <w:p w14:paraId="49EF064C" w14:textId="77777777" w:rsidR="00D86BB7" w:rsidRPr="00CC61C2" w:rsidRDefault="00D86BB7">
      <w:pPr>
        <w:tabs>
          <w:tab w:val="left" w:pos="284"/>
        </w:tabs>
        <w:jc w:val="both"/>
        <w:rPr>
          <w:b/>
          <w:szCs w:val="22"/>
        </w:rPr>
      </w:pPr>
      <w:r w:rsidRPr="00CC61C2">
        <w:rPr>
          <w:szCs w:val="22"/>
        </w:rPr>
        <w:t>Povećanje antihipertenzivnog dejstva i povećanje rizika od ortostatske hipotenzije (aditivni efekt).</w:t>
      </w:r>
    </w:p>
    <w:p w14:paraId="71D164ED" w14:textId="77777777" w:rsidR="00D86BB7" w:rsidRPr="00CC61C2" w:rsidRDefault="00D86BB7">
      <w:pPr>
        <w:tabs>
          <w:tab w:val="center" w:pos="4536"/>
          <w:tab w:val="right" w:pos="9072"/>
        </w:tabs>
        <w:jc w:val="both"/>
        <w:rPr>
          <w:szCs w:val="22"/>
        </w:rPr>
      </w:pPr>
    </w:p>
    <w:p w14:paraId="0919D7B4" w14:textId="77777777" w:rsidR="00D86BB7" w:rsidRPr="00CC61C2" w:rsidRDefault="00D86BB7">
      <w:pPr>
        <w:tabs>
          <w:tab w:val="center" w:pos="4536"/>
          <w:tab w:val="right" w:pos="9072"/>
        </w:tabs>
        <w:jc w:val="both"/>
        <w:rPr>
          <w:i/>
          <w:szCs w:val="22"/>
        </w:rPr>
      </w:pPr>
      <w:r w:rsidRPr="00CC61C2">
        <w:rPr>
          <w:i/>
          <w:szCs w:val="22"/>
        </w:rPr>
        <w:t>Kortikosteroidi, tetrakosaktidi (sistemska primjena)</w:t>
      </w:r>
    </w:p>
    <w:p w14:paraId="3F74D4C1" w14:textId="77777777" w:rsidR="00D86BB7" w:rsidRPr="00CC61C2" w:rsidRDefault="00D86BB7">
      <w:pPr>
        <w:tabs>
          <w:tab w:val="center" w:pos="4536"/>
          <w:tab w:val="right" w:pos="9072"/>
        </w:tabs>
        <w:jc w:val="both"/>
        <w:rPr>
          <w:szCs w:val="22"/>
        </w:rPr>
      </w:pPr>
      <w:r w:rsidRPr="00CC61C2">
        <w:rPr>
          <w:szCs w:val="22"/>
        </w:rPr>
        <w:t>Redukcija antihipertenzivnog dejstva (retencija soli i vode izazvana kortikosteroidima).</w:t>
      </w:r>
    </w:p>
    <w:p w14:paraId="0012CB15" w14:textId="77777777" w:rsidR="00D86BB7" w:rsidRPr="00CC61C2" w:rsidRDefault="00D86BB7">
      <w:pPr>
        <w:tabs>
          <w:tab w:val="center" w:pos="4536"/>
          <w:tab w:val="right" w:pos="9072"/>
        </w:tabs>
        <w:jc w:val="both"/>
        <w:rPr>
          <w:szCs w:val="22"/>
        </w:rPr>
      </w:pPr>
    </w:p>
    <w:p w14:paraId="6C05855F" w14:textId="77777777" w:rsidR="00D86BB7" w:rsidRPr="00CC61C2" w:rsidRDefault="00D86BB7">
      <w:pPr>
        <w:tabs>
          <w:tab w:val="center" w:pos="4536"/>
          <w:tab w:val="right" w:pos="9072"/>
        </w:tabs>
        <w:jc w:val="both"/>
        <w:rPr>
          <w:i/>
          <w:szCs w:val="22"/>
        </w:rPr>
      </w:pPr>
      <w:r w:rsidRPr="00CC61C2">
        <w:rPr>
          <w:i/>
          <w:szCs w:val="22"/>
        </w:rPr>
        <w:t>Drugi antihipertenzivni ljekovi</w:t>
      </w:r>
    </w:p>
    <w:p w14:paraId="2ADA75D1" w14:textId="77777777" w:rsidR="00D86BB7" w:rsidRPr="00CC61C2" w:rsidRDefault="00D86BB7">
      <w:pPr>
        <w:tabs>
          <w:tab w:val="center" w:pos="4536"/>
          <w:tab w:val="right" w:pos="9072"/>
        </w:tabs>
        <w:jc w:val="both"/>
        <w:rPr>
          <w:i/>
          <w:szCs w:val="22"/>
        </w:rPr>
      </w:pPr>
      <w:r w:rsidRPr="00CC61C2">
        <w:rPr>
          <w:szCs w:val="22"/>
        </w:rPr>
        <w:t>Upotreba drugih antihipertenzivnih ljekova može dovesti do dodatnog sniženja krvnog pritiska.</w:t>
      </w:r>
    </w:p>
    <w:p w14:paraId="19E68E32" w14:textId="77777777" w:rsidR="00D86BB7" w:rsidRPr="00CC61C2" w:rsidRDefault="00D86BB7">
      <w:pPr>
        <w:tabs>
          <w:tab w:val="center" w:pos="4536"/>
          <w:tab w:val="right" w:pos="9072"/>
        </w:tabs>
        <w:jc w:val="both"/>
        <w:rPr>
          <w:i/>
          <w:szCs w:val="22"/>
        </w:rPr>
      </w:pPr>
    </w:p>
    <w:p w14:paraId="3CE9E1A4" w14:textId="77777777" w:rsidR="00D86BB7" w:rsidRPr="00CC61C2" w:rsidRDefault="00D86BB7" w:rsidP="001237DA">
      <w:pPr>
        <w:jc w:val="both"/>
        <w:rPr>
          <w:i/>
          <w:szCs w:val="22"/>
        </w:rPr>
      </w:pPr>
      <w:r w:rsidRPr="00CC61C2">
        <w:rPr>
          <w:i/>
          <w:szCs w:val="22"/>
        </w:rPr>
        <w:t>Alopurinol, citostatici ili imunosupresivi, sistemski kortikosteroidi ili prokainamid</w:t>
      </w:r>
    </w:p>
    <w:p w14:paraId="7382235F" w14:textId="77777777" w:rsidR="00D86BB7" w:rsidRPr="00CC61C2" w:rsidRDefault="00D86BB7" w:rsidP="000D120B">
      <w:pPr>
        <w:jc w:val="both"/>
        <w:rPr>
          <w:szCs w:val="22"/>
        </w:rPr>
      </w:pPr>
      <w:r w:rsidRPr="00CC61C2">
        <w:rPr>
          <w:szCs w:val="22"/>
        </w:rPr>
        <w:t>Istovremena primjena sa ACE inhibitorima može dovesti do povećanog rizika od leukopenije (vidjeti dio 4.4).</w:t>
      </w:r>
    </w:p>
    <w:p w14:paraId="6293E8B3" w14:textId="77777777" w:rsidR="00D86BB7" w:rsidRPr="00CC61C2" w:rsidRDefault="00D86BB7" w:rsidP="001237DA">
      <w:pPr>
        <w:jc w:val="both"/>
        <w:rPr>
          <w:i/>
          <w:szCs w:val="22"/>
        </w:rPr>
      </w:pPr>
    </w:p>
    <w:p w14:paraId="5F52F829" w14:textId="77777777" w:rsidR="00D86BB7" w:rsidRPr="00CC61C2" w:rsidRDefault="00D86BB7" w:rsidP="000D120B">
      <w:pPr>
        <w:jc w:val="both"/>
        <w:rPr>
          <w:i/>
          <w:szCs w:val="22"/>
        </w:rPr>
      </w:pPr>
      <w:r w:rsidRPr="00CC61C2">
        <w:rPr>
          <w:i/>
          <w:szCs w:val="22"/>
        </w:rPr>
        <w:t>Anestetici</w:t>
      </w:r>
    </w:p>
    <w:p w14:paraId="0D0734A2" w14:textId="77777777" w:rsidR="00D86BB7" w:rsidRPr="00CC61C2" w:rsidRDefault="00D86BB7" w:rsidP="000D120B">
      <w:pPr>
        <w:jc w:val="both"/>
        <w:rPr>
          <w:i/>
          <w:szCs w:val="22"/>
        </w:rPr>
      </w:pPr>
      <w:r w:rsidRPr="00CC61C2">
        <w:rPr>
          <w:szCs w:val="22"/>
        </w:rPr>
        <w:t>ACE inhibitori mogu pojačati hipotenzivne efekte određenih anestetika</w:t>
      </w:r>
      <w:r w:rsidRPr="00CC61C2" w:rsidDel="002F4E7F">
        <w:rPr>
          <w:szCs w:val="22"/>
        </w:rPr>
        <w:t xml:space="preserve"> </w:t>
      </w:r>
      <w:r w:rsidRPr="00CC61C2">
        <w:rPr>
          <w:szCs w:val="22"/>
        </w:rPr>
        <w:t>(vidjeti dio 4.4).</w:t>
      </w:r>
    </w:p>
    <w:p w14:paraId="687AE85E" w14:textId="77777777" w:rsidR="00D86BB7" w:rsidRPr="00CC61C2" w:rsidRDefault="00D86BB7" w:rsidP="000D120B">
      <w:pPr>
        <w:tabs>
          <w:tab w:val="center" w:pos="4536"/>
          <w:tab w:val="right" w:pos="9072"/>
        </w:tabs>
        <w:jc w:val="both"/>
        <w:rPr>
          <w:szCs w:val="22"/>
        </w:rPr>
      </w:pPr>
    </w:p>
    <w:p w14:paraId="4E313CDB" w14:textId="77777777" w:rsidR="00D86BB7" w:rsidRPr="00CC61C2" w:rsidRDefault="00D86BB7" w:rsidP="00077095">
      <w:pPr>
        <w:tabs>
          <w:tab w:val="center" w:pos="4536"/>
          <w:tab w:val="right" w:pos="9072"/>
        </w:tabs>
        <w:jc w:val="both"/>
        <w:rPr>
          <w:i/>
          <w:szCs w:val="22"/>
        </w:rPr>
      </w:pPr>
      <w:r w:rsidRPr="00CC61C2">
        <w:rPr>
          <w:i/>
          <w:szCs w:val="22"/>
        </w:rPr>
        <w:t>Simpatomimetici</w:t>
      </w:r>
    </w:p>
    <w:p w14:paraId="51F88E2D" w14:textId="77777777" w:rsidR="00D86BB7" w:rsidRPr="00CC61C2" w:rsidRDefault="00D86BB7" w:rsidP="00592131">
      <w:pPr>
        <w:tabs>
          <w:tab w:val="center" w:pos="4536"/>
          <w:tab w:val="right" w:pos="9072"/>
        </w:tabs>
        <w:jc w:val="both"/>
        <w:rPr>
          <w:szCs w:val="22"/>
        </w:rPr>
      </w:pPr>
      <w:r w:rsidRPr="00CC61C2">
        <w:rPr>
          <w:szCs w:val="22"/>
        </w:rPr>
        <w:t>Simpatomimetici mogu umanjiti antihipertenzivno dejstvo ACE inhibitora.</w:t>
      </w:r>
    </w:p>
    <w:p w14:paraId="47732E69" w14:textId="77777777" w:rsidR="00D86BB7" w:rsidRPr="00CC61C2" w:rsidRDefault="00D86BB7" w:rsidP="00592131">
      <w:pPr>
        <w:tabs>
          <w:tab w:val="center" w:pos="4536"/>
          <w:tab w:val="right" w:pos="9072"/>
        </w:tabs>
        <w:jc w:val="both"/>
        <w:rPr>
          <w:szCs w:val="22"/>
        </w:rPr>
      </w:pPr>
    </w:p>
    <w:p w14:paraId="28C858B9" w14:textId="77777777" w:rsidR="00D86BB7" w:rsidRPr="00CC61C2" w:rsidRDefault="00D86BB7">
      <w:pPr>
        <w:tabs>
          <w:tab w:val="center" w:pos="4536"/>
          <w:tab w:val="right" w:pos="9072"/>
        </w:tabs>
        <w:jc w:val="both"/>
        <w:rPr>
          <w:i/>
          <w:szCs w:val="22"/>
        </w:rPr>
      </w:pPr>
      <w:r w:rsidRPr="00CC61C2">
        <w:rPr>
          <w:i/>
          <w:szCs w:val="22"/>
        </w:rPr>
        <w:t>Zlato</w:t>
      </w:r>
    </w:p>
    <w:p w14:paraId="29007E3C" w14:textId="77777777" w:rsidR="00D86BB7" w:rsidRPr="00CC61C2" w:rsidRDefault="00D86BB7">
      <w:pPr>
        <w:tabs>
          <w:tab w:val="left" w:pos="284"/>
        </w:tabs>
        <w:jc w:val="both"/>
        <w:rPr>
          <w:szCs w:val="22"/>
        </w:rPr>
      </w:pPr>
      <w:r w:rsidRPr="00CC61C2">
        <w:rPr>
          <w:szCs w:val="22"/>
        </w:rPr>
        <w:t>Nitritoidne reakcije (simptomi koji uključuju crvenilo lica, mučninu, povraćanje i hipotenziju) su u rjeđim slučajevima prijavljivane kod pacijenata na istovremenoj terapiji zlatom u obliku injekcija (natrijum aurotiomalat) i ACE inhibitorima uključujući perindopril.</w:t>
      </w:r>
    </w:p>
    <w:p w14:paraId="12F79326" w14:textId="77777777" w:rsidR="00D86BB7" w:rsidRPr="00CC61C2" w:rsidRDefault="00D86BB7">
      <w:pPr>
        <w:tabs>
          <w:tab w:val="left" w:pos="284"/>
        </w:tabs>
        <w:jc w:val="both"/>
        <w:rPr>
          <w:b/>
          <w:szCs w:val="22"/>
        </w:rPr>
      </w:pPr>
    </w:p>
    <w:p w14:paraId="3ED4D9FE" w14:textId="77777777" w:rsidR="00D86BB7" w:rsidRPr="00CC61C2" w:rsidRDefault="00D86BB7">
      <w:pPr>
        <w:tabs>
          <w:tab w:val="left" w:pos="284"/>
        </w:tabs>
        <w:jc w:val="both"/>
        <w:rPr>
          <w:b/>
          <w:bCs/>
          <w:szCs w:val="22"/>
        </w:rPr>
      </w:pPr>
      <w:r w:rsidRPr="00CC61C2">
        <w:rPr>
          <w:b/>
          <w:szCs w:val="22"/>
        </w:rPr>
        <w:t>4.6. Plodnost, trudnoća i dojenje</w:t>
      </w:r>
    </w:p>
    <w:p w14:paraId="06BBC02A" w14:textId="77777777" w:rsidR="00D86BB7" w:rsidRPr="00CC61C2" w:rsidRDefault="00D86BB7">
      <w:pPr>
        <w:tabs>
          <w:tab w:val="left" w:pos="284"/>
        </w:tabs>
        <w:jc w:val="both"/>
        <w:rPr>
          <w:szCs w:val="22"/>
        </w:rPr>
      </w:pPr>
    </w:p>
    <w:p w14:paraId="6BC7CB65" w14:textId="77777777" w:rsidR="00D86BB7" w:rsidRPr="00CC61C2" w:rsidRDefault="00D86BB7">
      <w:pPr>
        <w:tabs>
          <w:tab w:val="left" w:pos="284"/>
        </w:tabs>
        <w:jc w:val="both"/>
        <w:rPr>
          <w:i/>
          <w:szCs w:val="22"/>
          <w:u w:val="single"/>
        </w:rPr>
      </w:pPr>
      <w:r w:rsidRPr="00CC61C2">
        <w:rPr>
          <w:i/>
          <w:szCs w:val="22"/>
          <w:u w:val="single"/>
        </w:rPr>
        <w:t>Trudnoća</w:t>
      </w:r>
    </w:p>
    <w:p w14:paraId="6AD2CE1C" w14:textId="77777777" w:rsidR="00D86BB7" w:rsidRPr="00CC61C2" w:rsidRDefault="00D86BB7">
      <w:pPr>
        <w:tabs>
          <w:tab w:val="left" w:pos="284"/>
        </w:tabs>
        <w:jc w:val="both"/>
        <w:rPr>
          <w:szCs w:val="22"/>
        </w:rPr>
      </w:pPr>
      <w:r w:rsidRPr="00CC61C2">
        <w:rPr>
          <w:szCs w:val="22"/>
        </w:rPr>
        <w:t>Na osnovu podataka o pojedinačnim komponentama vezano za trudnoću i dojenje, lijek Amlewel se ne preporučuje tokom prvog trimestra trudnoće. Lijek Amlewel je kontraindikovan tokom drugog i trećeg trimestra trudnoće.</w:t>
      </w:r>
    </w:p>
    <w:p w14:paraId="343A0215" w14:textId="24508F71" w:rsidR="00D86BB7" w:rsidRDefault="00D86BB7">
      <w:pPr>
        <w:tabs>
          <w:tab w:val="center" w:pos="4536"/>
          <w:tab w:val="right" w:pos="9072"/>
        </w:tabs>
        <w:jc w:val="both"/>
        <w:rPr>
          <w:szCs w:val="22"/>
        </w:rPr>
      </w:pPr>
    </w:p>
    <w:p w14:paraId="419B95C0" w14:textId="4C85828E" w:rsidR="009D6AD4" w:rsidRDefault="009D6AD4">
      <w:pPr>
        <w:tabs>
          <w:tab w:val="center" w:pos="4536"/>
          <w:tab w:val="right" w:pos="9072"/>
        </w:tabs>
        <w:jc w:val="both"/>
        <w:rPr>
          <w:szCs w:val="22"/>
        </w:rPr>
      </w:pPr>
    </w:p>
    <w:p w14:paraId="38EE65C4" w14:textId="77777777" w:rsidR="009D6AD4" w:rsidRDefault="009D6AD4">
      <w:pPr>
        <w:tabs>
          <w:tab w:val="center" w:pos="4536"/>
          <w:tab w:val="right" w:pos="9072"/>
        </w:tabs>
        <w:jc w:val="both"/>
        <w:rPr>
          <w:szCs w:val="22"/>
        </w:rPr>
      </w:pPr>
    </w:p>
    <w:p w14:paraId="306EA77D" w14:textId="545DDE7E" w:rsidR="00D86BB7" w:rsidRDefault="00D86BB7">
      <w:pPr>
        <w:tabs>
          <w:tab w:val="center" w:pos="4536"/>
          <w:tab w:val="right" w:pos="9072"/>
        </w:tabs>
        <w:jc w:val="both"/>
        <w:rPr>
          <w:i/>
          <w:szCs w:val="22"/>
        </w:rPr>
      </w:pPr>
      <w:r w:rsidRPr="00CC61C2">
        <w:rPr>
          <w:i/>
          <w:szCs w:val="22"/>
        </w:rPr>
        <w:lastRenderedPageBreak/>
        <w:t>U vezi sa perindoprilom</w:t>
      </w:r>
    </w:p>
    <w:p w14:paraId="302D601D" w14:textId="77777777" w:rsidR="00E5447C" w:rsidRPr="00CC61C2" w:rsidRDefault="00E5447C">
      <w:pPr>
        <w:tabs>
          <w:tab w:val="center" w:pos="4536"/>
          <w:tab w:val="right" w:pos="9072"/>
        </w:tabs>
        <w:jc w:val="both"/>
        <w:rPr>
          <w: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D86BB7" w:rsidRPr="00CC61C2" w14:paraId="72367E55" w14:textId="77777777" w:rsidTr="000D120B">
        <w:tc>
          <w:tcPr>
            <w:tcW w:w="5000" w:type="pct"/>
            <w:shd w:val="clear" w:color="auto" w:fill="auto"/>
          </w:tcPr>
          <w:p w14:paraId="201C214E" w14:textId="77777777" w:rsidR="00D86BB7" w:rsidRPr="00CC61C2" w:rsidRDefault="00D86BB7">
            <w:pPr>
              <w:tabs>
                <w:tab w:val="center" w:pos="4536"/>
                <w:tab w:val="right" w:pos="9072"/>
              </w:tabs>
              <w:jc w:val="both"/>
              <w:rPr>
                <w:i/>
                <w:szCs w:val="22"/>
              </w:rPr>
            </w:pPr>
            <w:r w:rsidRPr="00CC61C2">
              <w:rPr>
                <w:i/>
                <w:szCs w:val="22"/>
              </w:rPr>
              <w:t>Upotreba ACE inhibitora se ne preporučuje u toku prvog trimestra trudnoće (vidjeti dio 4.4). Upotreba ACE inhibitora je kontraindikovana u drugom i trećem trimestru trudnoće (vidjeti djelove 4.3 i 4.4).</w:t>
            </w:r>
          </w:p>
        </w:tc>
      </w:tr>
    </w:tbl>
    <w:p w14:paraId="2F996A48" w14:textId="77777777" w:rsidR="00D86BB7" w:rsidRPr="00CC61C2" w:rsidRDefault="00D86BB7" w:rsidP="000D120B">
      <w:pPr>
        <w:tabs>
          <w:tab w:val="center" w:pos="4536"/>
          <w:tab w:val="right" w:pos="9072"/>
        </w:tabs>
        <w:jc w:val="both"/>
        <w:rPr>
          <w:szCs w:val="22"/>
        </w:rPr>
      </w:pPr>
    </w:p>
    <w:p w14:paraId="2B8F191C" w14:textId="083D4233" w:rsidR="00D86BB7" w:rsidRPr="00CC61C2" w:rsidRDefault="00D86BB7" w:rsidP="000D120B">
      <w:pPr>
        <w:tabs>
          <w:tab w:val="center" w:pos="4536"/>
          <w:tab w:val="right" w:pos="9072"/>
        </w:tabs>
        <w:jc w:val="both"/>
        <w:rPr>
          <w:szCs w:val="22"/>
        </w:rPr>
      </w:pPr>
      <w:r w:rsidRPr="00CC61C2">
        <w:rPr>
          <w:szCs w:val="22"/>
        </w:rPr>
        <w:t>Epidemiološki pokazatelji teratogenog rizika zbog izlaganja ACE inhibitorima u toku prvog tr</w:t>
      </w:r>
      <w:r w:rsidR="0069795B" w:rsidRPr="00CC61C2">
        <w:rPr>
          <w:szCs w:val="22"/>
        </w:rPr>
        <w:t>imestra</w:t>
      </w:r>
      <w:r w:rsidRPr="00CC61C2">
        <w:rPr>
          <w:szCs w:val="22"/>
        </w:rPr>
        <w:t xml:space="preserve"> trudnoće nijesu bili značajni, ali se mali rizik ne može isključiti. Ukoliko nastavak terapije ACE inhibitorima nije neophodan, pacijentkinje koje planiraju trudnoću treba da pređu na alternativnu terapiju, čiji bezbjednosni profil omogućava upotrebu u trudnoći. </w:t>
      </w:r>
    </w:p>
    <w:p w14:paraId="2BC30F8E" w14:textId="77777777" w:rsidR="00D86BB7" w:rsidRPr="00CC61C2" w:rsidRDefault="00D86BB7" w:rsidP="000D120B">
      <w:pPr>
        <w:tabs>
          <w:tab w:val="center" w:pos="4536"/>
          <w:tab w:val="right" w:pos="9072"/>
        </w:tabs>
        <w:jc w:val="both"/>
        <w:rPr>
          <w:szCs w:val="22"/>
        </w:rPr>
      </w:pPr>
      <w:r w:rsidRPr="00CC61C2">
        <w:rPr>
          <w:szCs w:val="22"/>
        </w:rPr>
        <w:t>Kada je trudnoća potrvđena, terapija ACE inhibitorima mora se odmah obustaviti, i preći na alternativnu terapiju.</w:t>
      </w:r>
    </w:p>
    <w:p w14:paraId="75387FE4" w14:textId="77777777" w:rsidR="00D86BB7" w:rsidRPr="00CC61C2" w:rsidRDefault="00D86BB7" w:rsidP="00077095">
      <w:pPr>
        <w:tabs>
          <w:tab w:val="center" w:pos="4536"/>
          <w:tab w:val="right" w:pos="9072"/>
        </w:tabs>
        <w:jc w:val="both"/>
        <w:rPr>
          <w:szCs w:val="22"/>
        </w:rPr>
      </w:pPr>
      <w:r w:rsidRPr="00CC61C2">
        <w:rPr>
          <w:szCs w:val="22"/>
        </w:rPr>
        <w:t>Upotreba ACE inhibitora u toku drugog i trećeg trimestra dovodi do fetotoksičnosti kod ljudi (smanjena renalna funkcija, oligohidramnion, smanjeno okoštavanje lobanje) i neonatalne toksičnosti (prestanak rada bubrega, hipotenzija, hiperkalijemija) (vidjeti dio 5.3).</w:t>
      </w:r>
    </w:p>
    <w:p w14:paraId="138F4EB5" w14:textId="77777777" w:rsidR="00D86BB7" w:rsidRPr="00CC61C2" w:rsidRDefault="00D86BB7" w:rsidP="00592131">
      <w:pPr>
        <w:tabs>
          <w:tab w:val="center" w:pos="4536"/>
          <w:tab w:val="right" w:pos="9072"/>
        </w:tabs>
        <w:jc w:val="both"/>
        <w:rPr>
          <w:szCs w:val="22"/>
        </w:rPr>
      </w:pPr>
      <w:r w:rsidRPr="00CC61C2">
        <w:rPr>
          <w:szCs w:val="22"/>
        </w:rPr>
        <w:t xml:space="preserve">Ukoliko su ACE inhibitori upotrebljavani od drugog trimestra, preporučuje se ultrazvučno praćenje bubrežne funkcije i lobanje. Novorođenčad čije su majke koristile ACE inhibitore, treba pratiti zbog moguće pojave hipotenzije (vidjeti djelove 4.3 i 4.4). </w:t>
      </w:r>
    </w:p>
    <w:p w14:paraId="7BCB3969" w14:textId="77777777" w:rsidR="00D86BB7" w:rsidRPr="00CC61C2" w:rsidRDefault="00D86BB7" w:rsidP="00592131">
      <w:pPr>
        <w:tabs>
          <w:tab w:val="center" w:pos="4536"/>
          <w:tab w:val="right" w:pos="9072"/>
        </w:tabs>
        <w:jc w:val="both"/>
        <w:rPr>
          <w:i/>
          <w:szCs w:val="22"/>
        </w:rPr>
      </w:pPr>
    </w:p>
    <w:p w14:paraId="3E66722C" w14:textId="77777777" w:rsidR="00D86BB7" w:rsidRPr="00CC61C2" w:rsidRDefault="00D86BB7">
      <w:pPr>
        <w:tabs>
          <w:tab w:val="center" w:pos="4536"/>
          <w:tab w:val="right" w:pos="9072"/>
        </w:tabs>
        <w:jc w:val="both"/>
        <w:rPr>
          <w:i/>
          <w:szCs w:val="22"/>
        </w:rPr>
      </w:pPr>
      <w:r w:rsidRPr="00CC61C2">
        <w:rPr>
          <w:i/>
          <w:szCs w:val="22"/>
        </w:rPr>
        <w:t>U vezi sa indapamidom</w:t>
      </w:r>
    </w:p>
    <w:p w14:paraId="7B36D3BA" w14:textId="77777777" w:rsidR="00D86BB7" w:rsidRPr="00CC61C2" w:rsidRDefault="00D86BB7">
      <w:pPr>
        <w:tabs>
          <w:tab w:val="center" w:pos="4536"/>
          <w:tab w:val="right" w:pos="9072"/>
        </w:tabs>
        <w:jc w:val="both"/>
        <w:rPr>
          <w:szCs w:val="22"/>
          <w:highlight w:val="lightGray"/>
        </w:rPr>
      </w:pPr>
      <w:r w:rsidRPr="00CC61C2">
        <w:rPr>
          <w:szCs w:val="22"/>
        </w:rPr>
        <w:t xml:space="preserve">Nema ili je ograničena količina podataka (manje od 300 ishoda trudnoće) o upotrebi indapamida kod trudnica. Produženo izlaganje tiazidima u toku trećeg trimestra trudnoće može smanjiti volumen plazme majke, kao i uteroplacentarni protok krvi, što može uzrokovati fetoplacentarnu ishemiju i usporavanje rasta. </w:t>
      </w:r>
    </w:p>
    <w:p w14:paraId="01658D4C" w14:textId="77777777" w:rsidR="00D86BB7" w:rsidRPr="00CC61C2" w:rsidRDefault="00D86BB7" w:rsidP="001237DA">
      <w:pPr>
        <w:suppressAutoHyphens/>
        <w:jc w:val="both"/>
        <w:rPr>
          <w:szCs w:val="22"/>
        </w:rPr>
      </w:pPr>
      <w:r w:rsidRPr="00CC61C2">
        <w:rPr>
          <w:szCs w:val="22"/>
        </w:rPr>
        <w:t xml:space="preserve">Studije na životinjama ne ukazuju na direktne ili indirektne štetne efekte na reproduktivnu toksičnost (vidjeti dio 5.3). </w:t>
      </w:r>
    </w:p>
    <w:p w14:paraId="2FEA4080" w14:textId="77777777" w:rsidR="00D86BB7" w:rsidRPr="00CC61C2" w:rsidRDefault="00D86BB7" w:rsidP="000D120B">
      <w:pPr>
        <w:suppressAutoHyphens/>
        <w:jc w:val="both"/>
        <w:rPr>
          <w:szCs w:val="22"/>
        </w:rPr>
      </w:pPr>
      <w:r w:rsidRPr="00CC61C2">
        <w:rPr>
          <w:szCs w:val="22"/>
        </w:rPr>
        <w:t>Osim toga, prijavljeni su rijetki slučajevi hipoglikemije i trombocitopenije kod novorođenčadi nakon izlaganja lijeku blizu termina porođaja.</w:t>
      </w:r>
    </w:p>
    <w:p w14:paraId="48B94891" w14:textId="77777777" w:rsidR="00D86BB7" w:rsidRPr="00CC61C2" w:rsidRDefault="00D86BB7" w:rsidP="000D120B">
      <w:pPr>
        <w:suppressAutoHyphens/>
        <w:spacing w:line="240" w:lineRule="auto"/>
        <w:jc w:val="both"/>
        <w:rPr>
          <w:szCs w:val="22"/>
        </w:rPr>
      </w:pPr>
      <w:r w:rsidRPr="00CC61C2">
        <w:rPr>
          <w:szCs w:val="22"/>
        </w:rPr>
        <w:t>Kao mjera opreza, poželjno je izbjegavati upotrebu indapamida tokom trudnoće.</w:t>
      </w:r>
    </w:p>
    <w:p w14:paraId="0721AE65" w14:textId="77777777" w:rsidR="00D86BB7" w:rsidRPr="00CC61C2" w:rsidRDefault="00D86BB7" w:rsidP="000D120B">
      <w:pPr>
        <w:tabs>
          <w:tab w:val="center" w:pos="4536"/>
          <w:tab w:val="right" w:pos="9072"/>
        </w:tabs>
        <w:jc w:val="both"/>
        <w:rPr>
          <w:i/>
          <w:szCs w:val="22"/>
        </w:rPr>
      </w:pPr>
    </w:p>
    <w:p w14:paraId="322C0E0B" w14:textId="77777777" w:rsidR="00D86BB7" w:rsidRPr="00CC61C2" w:rsidRDefault="00D86BB7" w:rsidP="00077095">
      <w:pPr>
        <w:tabs>
          <w:tab w:val="center" w:pos="4536"/>
          <w:tab w:val="right" w:pos="9072"/>
        </w:tabs>
        <w:jc w:val="both"/>
        <w:rPr>
          <w:i/>
          <w:szCs w:val="22"/>
        </w:rPr>
      </w:pPr>
      <w:r w:rsidRPr="00CC61C2">
        <w:rPr>
          <w:i/>
          <w:szCs w:val="22"/>
        </w:rPr>
        <w:t>U vezi sa amlodipinom</w:t>
      </w:r>
    </w:p>
    <w:p w14:paraId="5F237C0F" w14:textId="77777777" w:rsidR="00D86BB7" w:rsidRPr="00CC61C2" w:rsidRDefault="00D86BB7" w:rsidP="001237DA">
      <w:pPr>
        <w:widowControl w:val="0"/>
        <w:jc w:val="both"/>
        <w:outlineLvl w:val="0"/>
        <w:rPr>
          <w:szCs w:val="22"/>
        </w:rPr>
      </w:pPr>
      <w:r w:rsidRPr="00CC61C2">
        <w:rPr>
          <w:szCs w:val="22"/>
        </w:rPr>
        <w:t>Bezbjednost amlodipina u trudnoći kod ljudi nije utvrđena.</w:t>
      </w:r>
    </w:p>
    <w:p w14:paraId="6F5B30E6" w14:textId="77777777" w:rsidR="00D86BB7" w:rsidRPr="00CC61C2" w:rsidRDefault="00D86BB7" w:rsidP="001237DA">
      <w:pPr>
        <w:widowControl w:val="0"/>
        <w:jc w:val="both"/>
        <w:outlineLvl w:val="0"/>
        <w:rPr>
          <w:szCs w:val="22"/>
        </w:rPr>
      </w:pPr>
    </w:p>
    <w:p w14:paraId="186FE583" w14:textId="77777777" w:rsidR="00D86BB7" w:rsidRPr="00CC61C2" w:rsidRDefault="00D86BB7" w:rsidP="001237DA">
      <w:pPr>
        <w:widowControl w:val="0"/>
        <w:jc w:val="both"/>
        <w:outlineLvl w:val="0"/>
        <w:rPr>
          <w:szCs w:val="22"/>
        </w:rPr>
      </w:pPr>
      <w:r w:rsidRPr="00CC61C2">
        <w:rPr>
          <w:szCs w:val="22"/>
        </w:rPr>
        <w:t>U studijama na životinjama uočena je reproduktivna toksičnost pri visokim dozama (vidjeti dio 5.3).</w:t>
      </w:r>
    </w:p>
    <w:p w14:paraId="17C4931B" w14:textId="77777777" w:rsidR="00D86BB7" w:rsidRPr="00CC61C2" w:rsidRDefault="00D86BB7" w:rsidP="000D120B">
      <w:pPr>
        <w:pStyle w:val="Header"/>
        <w:tabs>
          <w:tab w:val="left" w:pos="284"/>
        </w:tabs>
        <w:jc w:val="both"/>
        <w:rPr>
          <w:rFonts w:ascii="Times New Roman" w:hAnsi="Times New Roman"/>
          <w:sz w:val="22"/>
          <w:szCs w:val="22"/>
        </w:rPr>
      </w:pPr>
    </w:p>
    <w:p w14:paraId="6B4C3558" w14:textId="77777777" w:rsidR="00D86BB7" w:rsidRPr="00CC61C2" w:rsidRDefault="00D86BB7" w:rsidP="000D120B">
      <w:pPr>
        <w:tabs>
          <w:tab w:val="left" w:pos="284"/>
          <w:tab w:val="center" w:pos="4536"/>
          <w:tab w:val="right" w:pos="9072"/>
        </w:tabs>
        <w:jc w:val="both"/>
        <w:rPr>
          <w:i/>
          <w:iCs/>
          <w:szCs w:val="22"/>
          <w:u w:val="single"/>
        </w:rPr>
      </w:pPr>
      <w:r w:rsidRPr="00CC61C2">
        <w:rPr>
          <w:i/>
          <w:szCs w:val="22"/>
          <w:u w:val="single"/>
        </w:rPr>
        <w:t>Laktacija</w:t>
      </w:r>
    </w:p>
    <w:p w14:paraId="65A75632" w14:textId="64A7754E" w:rsidR="00D86BB7" w:rsidRPr="00CC61C2" w:rsidRDefault="00D86BB7" w:rsidP="000D120B">
      <w:pPr>
        <w:tabs>
          <w:tab w:val="left" w:pos="284"/>
        </w:tabs>
        <w:jc w:val="both"/>
        <w:rPr>
          <w:szCs w:val="22"/>
          <w:highlight w:val="yellow"/>
        </w:rPr>
      </w:pPr>
      <w:r w:rsidRPr="00CC61C2">
        <w:rPr>
          <w:szCs w:val="22"/>
        </w:rPr>
        <w:t xml:space="preserve">Lijek Amlewel </w:t>
      </w:r>
      <w:r w:rsidR="00D37C61" w:rsidRPr="00CC61C2">
        <w:rPr>
          <w:szCs w:val="22"/>
        </w:rPr>
        <w:t>se ne preporučuje</w:t>
      </w:r>
      <w:r w:rsidRPr="00CC61C2">
        <w:rPr>
          <w:szCs w:val="22"/>
        </w:rPr>
        <w:t xml:space="preserve"> tokom dojenja. Potrebno je donijeti odluku o prekidu dojenja ili prekidu terapije lijekom Amlewel, uzimajući pritom u obzir važnost terapije za majku.</w:t>
      </w:r>
    </w:p>
    <w:p w14:paraId="5FA2A549" w14:textId="77777777" w:rsidR="00D86BB7" w:rsidRPr="00CC61C2" w:rsidRDefault="00D86BB7" w:rsidP="00077095">
      <w:pPr>
        <w:tabs>
          <w:tab w:val="center" w:pos="4536"/>
          <w:tab w:val="right" w:pos="9072"/>
        </w:tabs>
        <w:jc w:val="both"/>
        <w:rPr>
          <w:i/>
          <w:szCs w:val="22"/>
        </w:rPr>
      </w:pPr>
    </w:p>
    <w:p w14:paraId="7DABDBA6" w14:textId="77777777" w:rsidR="00D86BB7" w:rsidRPr="00CC61C2" w:rsidRDefault="00D86BB7" w:rsidP="001237DA">
      <w:pPr>
        <w:widowControl w:val="0"/>
        <w:autoSpaceDE w:val="0"/>
        <w:autoSpaceDN w:val="0"/>
        <w:adjustRightInd w:val="0"/>
        <w:jc w:val="both"/>
        <w:rPr>
          <w:i/>
          <w:szCs w:val="22"/>
        </w:rPr>
      </w:pPr>
      <w:r w:rsidRPr="00CC61C2">
        <w:rPr>
          <w:i/>
          <w:szCs w:val="22"/>
        </w:rPr>
        <w:t>U vezi sa perindoprilom</w:t>
      </w:r>
    </w:p>
    <w:p w14:paraId="4516725B" w14:textId="77777777" w:rsidR="00D86BB7" w:rsidRPr="00CC61C2" w:rsidRDefault="00D86BB7" w:rsidP="000D120B">
      <w:pPr>
        <w:widowControl w:val="0"/>
        <w:autoSpaceDE w:val="0"/>
        <w:autoSpaceDN w:val="0"/>
        <w:adjustRightInd w:val="0"/>
        <w:jc w:val="both"/>
        <w:rPr>
          <w:szCs w:val="22"/>
        </w:rPr>
      </w:pPr>
      <w:r w:rsidRPr="00CC61C2">
        <w:rPr>
          <w:szCs w:val="22"/>
        </w:rPr>
        <w:t>Budući da nema dostupnih informacija o upotrebi perindoprila tokom dojenja, perindopril se ne preporučuje, a poželjni su alternativni tretmani sa bolje utvrđenim bezbjednosnim profilima tokom dojenja, posebno tokom dojenja novorođenčeta ili nedonoščadi.</w:t>
      </w:r>
    </w:p>
    <w:p w14:paraId="3F39ABA9" w14:textId="77777777" w:rsidR="00D86BB7" w:rsidRPr="00CC61C2" w:rsidRDefault="00D86BB7" w:rsidP="000D120B">
      <w:pPr>
        <w:tabs>
          <w:tab w:val="center" w:pos="4536"/>
          <w:tab w:val="right" w:pos="9072"/>
        </w:tabs>
        <w:jc w:val="both"/>
        <w:rPr>
          <w:i/>
          <w:szCs w:val="22"/>
        </w:rPr>
      </w:pPr>
      <w:r w:rsidRPr="00CC61C2">
        <w:rPr>
          <w:i/>
          <w:szCs w:val="22"/>
        </w:rPr>
        <w:t>U vezi sa indapamidom</w:t>
      </w:r>
    </w:p>
    <w:p w14:paraId="227B4ABD" w14:textId="77777777" w:rsidR="00D86BB7" w:rsidRPr="00CC61C2" w:rsidRDefault="00D86BB7" w:rsidP="00077095">
      <w:pPr>
        <w:tabs>
          <w:tab w:val="center" w:pos="4536"/>
          <w:tab w:val="right" w:pos="9072"/>
        </w:tabs>
        <w:jc w:val="both"/>
        <w:rPr>
          <w:szCs w:val="22"/>
        </w:rPr>
      </w:pPr>
      <w:r w:rsidRPr="00CC61C2">
        <w:rPr>
          <w:bCs/>
          <w:szCs w:val="22"/>
        </w:rPr>
        <w:t xml:space="preserve">Nema dovoljno informacija o izlučivanju indapamida/metabolita u majčino mlijeko. Mogu se javiti preosjetljivost na sulfonamidske ljekove i hipokalijemija. Ne može se isključiti rizik po novorođenčad/odojčad. </w:t>
      </w:r>
      <w:r w:rsidRPr="00CC61C2">
        <w:rPr>
          <w:szCs w:val="22"/>
        </w:rPr>
        <w:t xml:space="preserve">Indapamid je veoma sličan tiazidnim diureticima koji su bili povezani, tokom dojenja, sa smanjenjem ili čak supresijom lučenja mlijeka. Upotreba lijeka </w:t>
      </w:r>
      <w:r w:rsidRPr="00CC61C2">
        <w:rPr>
          <w:bCs/>
          <w:szCs w:val="22"/>
        </w:rPr>
        <w:t xml:space="preserve">indapamid se ne preporučuje </w:t>
      </w:r>
      <w:r w:rsidRPr="00CC61C2">
        <w:rPr>
          <w:szCs w:val="22"/>
        </w:rPr>
        <w:t xml:space="preserve"> </w:t>
      </w:r>
      <w:r w:rsidRPr="00CC61C2">
        <w:rPr>
          <w:bCs/>
          <w:szCs w:val="22"/>
        </w:rPr>
        <w:t>tokom dojenja.</w:t>
      </w:r>
    </w:p>
    <w:p w14:paraId="6EEEEE0D" w14:textId="77777777" w:rsidR="00D86BB7" w:rsidRPr="00CC61C2" w:rsidRDefault="00D86BB7" w:rsidP="00592131">
      <w:pPr>
        <w:tabs>
          <w:tab w:val="center" w:pos="4536"/>
          <w:tab w:val="right" w:pos="9072"/>
        </w:tabs>
        <w:jc w:val="both"/>
        <w:rPr>
          <w:i/>
          <w:szCs w:val="22"/>
        </w:rPr>
      </w:pPr>
    </w:p>
    <w:p w14:paraId="5F2F6E2B" w14:textId="77777777" w:rsidR="00D86BB7" w:rsidRPr="00CC61C2" w:rsidRDefault="00D86BB7" w:rsidP="00592131">
      <w:pPr>
        <w:tabs>
          <w:tab w:val="center" w:pos="4536"/>
          <w:tab w:val="right" w:pos="9072"/>
        </w:tabs>
        <w:jc w:val="both"/>
        <w:rPr>
          <w:i/>
          <w:szCs w:val="22"/>
        </w:rPr>
      </w:pPr>
      <w:r w:rsidRPr="00CC61C2">
        <w:rPr>
          <w:i/>
          <w:szCs w:val="22"/>
        </w:rPr>
        <w:t>U vezi sa amlodipinom</w:t>
      </w:r>
    </w:p>
    <w:p w14:paraId="39A254CB" w14:textId="0B4CEF69" w:rsidR="00D86BB7" w:rsidRPr="00CC61C2" w:rsidRDefault="00D86BB7">
      <w:pPr>
        <w:pStyle w:val="Header"/>
        <w:tabs>
          <w:tab w:val="left" w:pos="284"/>
        </w:tabs>
        <w:jc w:val="both"/>
        <w:rPr>
          <w:rFonts w:ascii="Times New Roman" w:hAnsi="Times New Roman"/>
          <w:sz w:val="22"/>
          <w:szCs w:val="22"/>
        </w:rPr>
      </w:pPr>
      <w:r w:rsidRPr="00CC61C2">
        <w:rPr>
          <w:rFonts w:ascii="Times New Roman" w:hAnsi="Times New Roman"/>
          <w:sz w:val="22"/>
          <w:szCs w:val="22"/>
        </w:rPr>
        <w:t xml:space="preserve">Amlodipin se izlučuje u mlijeko. Procenat između majčine doze koju primi </w:t>
      </w:r>
      <w:r w:rsidR="00D40144" w:rsidRPr="00CC61C2">
        <w:rPr>
          <w:rFonts w:ascii="Times New Roman" w:hAnsi="Times New Roman"/>
          <w:sz w:val="22"/>
          <w:szCs w:val="22"/>
        </w:rPr>
        <w:t>odoj</w:t>
      </w:r>
      <w:r w:rsidRPr="00CC61C2">
        <w:rPr>
          <w:rFonts w:ascii="Times New Roman" w:hAnsi="Times New Roman"/>
          <w:sz w:val="22"/>
          <w:szCs w:val="22"/>
        </w:rPr>
        <w:t xml:space="preserve">če procijenjeno je u interkvartilnom rasponu od 3% do 7%, uz maksimum od 15%. Efekat amlodipina na odojčad nije poznat. Prilikom donošenja odluke o nastavku/prestanku dojenja ili nastavku/prestanku liječenja amlodipinom treba uzeti u obzir dobrobit dojenja po dijete i dobrobit liječenja amlodipinom po majku. </w:t>
      </w:r>
    </w:p>
    <w:p w14:paraId="288EC851" w14:textId="77777777" w:rsidR="00D86BB7" w:rsidRPr="00CC61C2" w:rsidRDefault="00D86BB7">
      <w:pPr>
        <w:widowControl w:val="0"/>
        <w:autoSpaceDE w:val="0"/>
        <w:autoSpaceDN w:val="0"/>
        <w:adjustRightInd w:val="0"/>
        <w:jc w:val="both"/>
        <w:rPr>
          <w:i/>
          <w:color w:val="000000"/>
          <w:szCs w:val="22"/>
          <w:u w:val="single"/>
        </w:rPr>
      </w:pPr>
      <w:r w:rsidRPr="00CC61C2">
        <w:rPr>
          <w:i/>
          <w:color w:val="000000"/>
          <w:szCs w:val="22"/>
          <w:u w:val="single"/>
        </w:rPr>
        <w:lastRenderedPageBreak/>
        <w:t>Fertilitet</w:t>
      </w:r>
    </w:p>
    <w:p w14:paraId="08A78739" w14:textId="77777777" w:rsidR="00D86BB7" w:rsidRPr="00CC61C2" w:rsidRDefault="00D86BB7">
      <w:pPr>
        <w:widowControl w:val="0"/>
        <w:jc w:val="both"/>
        <w:rPr>
          <w:i/>
          <w:szCs w:val="22"/>
          <w:highlight w:val="yellow"/>
        </w:rPr>
      </w:pPr>
    </w:p>
    <w:p w14:paraId="1DFB473D" w14:textId="77777777" w:rsidR="00D86BB7" w:rsidRPr="00CC61C2" w:rsidRDefault="00D86BB7">
      <w:pPr>
        <w:widowControl w:val="0"/>
        <w:autoSpaceDE w:val="0"/>
        <w:autoSpaceDN w:val="0"/>
        <w:adjustRightInd w:val="0"/>
        <w:spacing w:line="240" w:lineRule="auto"/>
        <w:jc w:val="both"/>
        <w:rPr>
          <w:i/>
          <w:szCs w:val="22"/>
        </w:rPr>
      </w:pPr>
      <w:r w:rsidRPr="00CC61C2">
        <w:rPr>
          <w:i/>
          <w:szCs w:val="22"/>
        </w:rPr>
        <w:t>U vezi sa perindoprilom i indapamidom</w:t>
      </w:r>
    </w:p>
    <w:p w14:paraId="4BE8A51C" w14:textId="77777777" w:rsidR="00D86BB7" w:rsidRPr="00CC61C2" w:rsidRDefault="00D86BB7">
      <w:pPr>
        <w:suppressAutoHyphens/>
        <w:jc w:val="both"/>
        <w:rPr>
          <w:bCs/>
          <w:szCs w:val="22"/>
        </w:rPr>
      </w:pPr>
      <w:r w:rsidRPr="00CC61C2">
        <w:rPr>
          <w:bCs/>
          <w:szCs w:val="22"/>
        </w:rPr>
        <w:t>Studije reproduktivne toksičnosti nisu pokazale nikakve efekte na plodnost kod ženki i mužjaka pacova (vidjeti dio 5.3). Ne očekuju se nikakvi efekti na plodnost kod ljudi.</w:t>
      </w:r>
    </w:p>
    <w:p w14:paraId="3712F49F" w14:textId="77777777" w:rsidR="00D86BB7" w:rsidRPr="00CC61C2" w:rsidRDefault="00D86BB7">
      <w:pPr>
        <w:widowControl w:val="0"/>
        <w:jc w:val="both"/>
        <w:rPr>
          <w:i/>
          <w:szCs w:val="22"/>
          <w:highlight w:val="yellow"/>
        </w:rPr>
      </w:pPr>
    </w:p>
    <w:p w14:paraId="6D3F3C3E" w14:textId="77777777" w:rsidR="00D86BB7" w:rsidRPr="00CC61C2" w:rsidRDefault="00D86BB7">
      <w:pPr>
        <w:tabs>
          <w:tab w:val="center" w:pos="4536"/>
          <w:tab w:val="right" w:pos="9072"/>
        </w:tabs>
        <w:jc w:val="both"/>
        <w:rPr>
          <w:i/>
          <w:szCs w:val="22"/>
        </w:rPr>
      </w:pPr>
      <w:r w:rsidRPr="00CC61C2">
        <w:rPr>
          <w:i/>
          <w:szCs w:val="22"/>
        </w:rPr>
        <w:t>U vezi sa amlodipinom</w:t>
      </w:r>
    </w:p>
    <w:p w14:paraId="2DF7177A" w14:textId="77777777" w:rsidR="00D86BB7" w:rsidRPr="00CC61C2" w:rsidRDefault="00D86BB7">
      <w:pPr>
        <w:tabs>
          <w:tab w:val="left" w:pos="284"/>
        </w:tabs>
        <w:jc w:val="both"/>
        <w:rPr>
          <w:szCs w:val="22"/>
        </w:rPr>
      </w:pPr>
      <w:r w:rsidRPr="00CC61C2">
        <w:rPr>
          <w:szCs w:val="22"/>
        </w:rPr>
        <w:t>Kod nekih pacijenata koji su koristili blokatore kalcijumskih kanala, zabilježene su reverzibilne biohemijske promjene na nivou glave spermatozoida. Klinički podaci o potencijalnom dejstvu amlodipina na fertilitet su nedovoljni. U jednoj studiji na pacovima su uočena neželjena dejstva na fertilitet mužjaka (vidjeti dio 5.3).</w:t>
      </w:r>
    </w:p>
    <w:p w14:paraId="7B4C6E05" w14:textId="77777777" w:rsidR="00D86BB7" w:rsidRPr="00CC61C2" w:rsidRDefault="00D86BB7">
      <w:pPr>
        <w:tabs>
          <w:tab w:val="left" w:pos="284"/>
        </w:tabs>
        <w:jc w:val="both"/>
        <w:rPr>
          <w:szCs w:val="22"/>
        </w:rPr>
      </w:pPr>
    </w:p>
    <w:p w14:paraId="3E25B9B1" w14:textId="77777777" w:rsidR="00D86BB7" w:rsidRPr="00CC61C2" w:rsidRDefault="00D86BB7">
      <w:pPr>
        <w:tabs>
          <w:tab w:val="left" w:pos="284"/>
        </w:tabs>
        <w:jc w:val="both"/>
        <w:rPr>
          <w:b/>
          <w:szCs w:val="22"/>
        </w:rPr>
      </w:pPr>
      <w:r w:rsidRPr="00CC61C2">
        <w:rPr>
          <w:b/>
          <w:szCs w:val="22"/>
        </w:rPr>
        <w:t>4.7. Uticaj na sposobnost upravljanja vozilima i rukovanje mašinama</w:t>
      </w:r>
    </w:p>
    <w:p w14:paraId="48518927" w14:textId="77777777" w:rsidR="00D86BB7" w:rsidRPr="00CC61C2" w:rsidRDefault="00D86BB7">
      <w:pPr>
        <w:tabs>
          <w:tab w:val="left" w:pos="284"/>
        </w:tabs>
        <w:jc w:val="both"/>
        <w:rPr>
          <w:b/>
          <w:szCs w:val="22"/>
        </w:rPr>
      </w:pPr>
    </w:p>
    <w:p w14:paraId="7B076C70" w14:textId="4F02BF14" w:rsidR="00D86BB7" w:rsidRPr="00CC61C2" w:rsidRDefault="00D86BB7">
      <w:pPr>
        <w:tabs>
          <w:tab w:val="left" w:pos="284"/>
        </w:tabs>
        <w:jc w:val="both"/>
        <w:rPr>
          <w:bCs/>
          <w:szCs w:val="22"/>
        </w:rPr>
      </w:pPr>
      <w:r w:rsidRPr="00CC61C2">
        <w:rPr>
          <w:bCs/>
          <w:szCs w:val="22"/>
        </w:rPr>
        <w:t>Ni</w:t>
      </w:r>
      <w:r w:rsidR="00D40144" w:rsidRPr="00CC61C2">
        <w:rPr>
          <w:bCs/>
          <w:szCs w:val="22"/>
        </w:rPr>
        <w:t>je</w:t>
      </w:r>
      <w:r w:rsidRPr="00CC61C2">
        <w:rPr>
          <w:bCs/>
          <w:szCs w:val="22"/>
        </w:rPr>
        <w:t>su sprovedene studije o uticaju lijeka Amlewel na sposobnost upravljanja vozilima i mašinama. Prilikom upravljanja vozilima ili rukovanja mašinama treba uzeti u obzir da se povremeno mogu javiti vrtoglavica ili umor.</w:t>
      </w:r>
    </w:p>
    <w:p w14:paraId="66D80BA2" w14:textId="77777777" w:rsidR="00D86BB7" w:rsidRPr="00CC61C2" w:rsidRDefault="00D86BB7">
      <w:pPr>
        <w:tabs>
          <w:tab w:val="left" w:pos="284"/>
        </w:tabs>
        <w:jc w:val="both"/>
        <w:rPr>
          <w:szCs w:val="22"/>
        </w:rPr>
      </w:pPr>
    </w:p>
    <w:p w14:paraId="094324F0" w14:textId="77777777" w:rsidR="00D86BB7" w:rsidRPr="00CC61C2" w:rsidRDefault="00D86BB7">
      <w:pPr>
        <w:tabs>
          <w:tab w:val="left" w:pos="284"/>
        </w:tabs>
        <w:jc w:val="both"/>
        <w:rPr>
          <w:b/>
          <w:szCs w:val="22"/>
        </w:rPr>
      </w:pPr>
      <w:r w:rsidRPr="00CC61C2">
        <w:rPr>
          <w:b/>
          <w:szCs w:val="22"/>
        </w:rPr>
        <w:t>4.8. Neželjena dejstva</w:t>
      </w:r>
    </w:p>
    <w:p w14:paraId="6FECD1EB" w14:textId="77777777" w:rsidR="00D86BB7" w:rsidRPr="00CC61C2" w:rsidRDefault="00D86BB7">
      <w:pPr>
        <w:tabs>
          <w:tab w:val="left" w:pos="284"/>
        </w:tabs>
        <w:jc w:val="both"/>
        <w:rPr>
          <w:b/>
          <w:bCs/>
          <w:szCs w:val="22"/>
        </w:rPr>
      </w:pPr>
    </w:p>
    <w:p w14:paraId="6B3E1031" w14:textId="77777777" w:rsidR="00D86BB7" w:rsidRPr="00CC61C2" w:rsidRDefault="00D86BB7" w:rsidP="00A160D0">
      <w:pPr>
        <w:pStyle w:val="NormalWeb"/>
        <w:numPr>
          <w:ilvl w:val="0"/>
          <w:numId w:val="10"/>
        </w:numPr>
        <w:spacing w:after="0"/>
        <w:ind w:left="567" w:hanging="567"/>
        <w:jc w:val="both"/>
        <w:rPr>
          <w:color w:val="000000"/>
          <w:sz w:val="22"/>
          <w:szCs w:val="22"/>
          <w:lang w:val="sr-Latn-ME"/>
        </w:rPr>
      </w:pPr>
      <w:r w:rsidRPr="00CC61C2">
        <w:rPr>
          <w:color w:val="000000"/>
          <w:sz w:val="22"/>
          <w:szCs w:val="22"/>
          <w:lang w:val="sr-Latn-ME"/>
        </w:rPr>
        <w:t>Sažetak bezbjednosnog profila</w:t>
      </w:r>
    </w:p>
    <w:p w14:paraId="47001053" w14:textId="77777777" w:rsidR="00D86BB7" w:rsidRPr="00CC61C2" w:rsidRDefault="00D86BB7" w:rsidP="000D120B">
      <w:pPr>
        <w:widowControl w:val="0"/>
        <w:spacing w:line="240" w:lineRule="auto"/>
        <w:jc w:val="both"/>
        <w:rPr>
          <w:szCs w:val="22"/>
          <w:highlight w:val="lightGray"/>
        </w:rPr>
      </w:pPr>
    </w:p>
    <w:p w14:paraId="687F28FA" w14:textId="77777777" w:rsidR="00D86BB7" w:rsidRPr="00CC61C2" w:rsidRDefault="00D86BB7" w:rsidP="000D120B">
      <w:pPr>
        <w:tabs>
          <w:tab w:val="left" w:pos="0"/>
          <w:tab w:val="left" w:pos="284"/>
        </w:tabs>
        <w:spacing w:line="240" w:lineRule="auto"/>
        <w:jc w:val="both"/>
        <w:rPr>
          <w:bCs/>
          <w:iCs/>
          <w:szCs w:val="22"/>
        </w:rPr>
      </w:pPr>
      <w:r w:rsidRPr="00CC61C2">
        <w:rPr>
          <w:bCs/>
          <w:iCs/>
          <w:szCs w:val="22"/>
        </w:rPr>
        <w:t>Primjena perindoprila inhibira renin-angiotenzin-aldosteron osu i dovodi do smanjivanja gubitka kalijuma uzrokovanog indapamidom.</w:t>
      </w:r>
    </w:p>
    <w:p w14:paraId="7153DD14" w14:textId="77777777" w:rsidR="00D86BB7" w:rsidRPr="00CC61C2" w:rsidRDefault="00D86BB7" w:rsidP="000D120B">
      <w:pPr>
        <w:tabs>
          <w:tab w:val="left" w:pos="0"/>
          <w:tab w:val="left" w:pos="284"/>
        </w:tabs>
        <w:spacing w:line="240" w:lineRule="auto"/>
        <w:jc w:val="both"/>
        <w:rPr>
          <w:bCs/>
          <w:iCs/>
          <w:szCs w:val="22"/>
        </w:rPr>
      </w:pPr>
      <w:r w:rsidRPr="00CC61C2">
        <w:rPr>
          <w:bCs/>
          <w:iCs/>
          <w:szCs w:val="22"/>
        </w:rPr>
        <w:t>Pri uzimanju 2 mg perindoprila / 0,625 mg indapamida 2% pacijenata imalo je hipokalijemiju (nivo kalijuma &lt; 3.4 mmol/l).</w:t>
      </w:r>
    </w:p>
    <w:p w14:paraId="39553570" w14:textId="77777777" w:rsidR="00D86BB7" w:rsidRPr="00CC61C2" w:rsidRDefault="00D86BB7" w:rsidP="00077095">
      <w:pPr>
        <w:tabs>
          <w:tab w:val="left" w:pos="0"/>
          <w:tab w:val="left" w:pos="284"/>
        </w:tabs>
        <w:spacing w:line="240" w:lineRule="auto"/>
        <w:jc w:val="both"/>
        <w:rPr>
          <w:bCs/>
          <w:iCs/>
          <w:szCs w:val="22"/>
        </w:rPr>
      </w:pPr>
      <w:r w:rsidRPr="00CC61C2">
        <w:rPr>
          <w:bCs/>
          <w:iCs/>
          <w:szCs w:val="22"/>
        </w:rPr>
        <w:t>Pri uzimanju 4 mg perindoprila / 1,25 mg indapamida 4% pacijenata imalo je hipokalijemiju (nivo kalijuma &lt; 3.4 mmol/l).</w:t>
      </w:r>
    </w:p>
    <w:p w14:paraId="14EFD631" w14:textId="77777777" w:rsidR="00D86BB7" w:rsidRPr="00CC61C2" w:rsidRDefault="00D86BB7" w:rsidP="00592131">
      <w:pPr>
        <w:tabs>
          <w:tab w:val="left" w:pos="0"/>
          <w:tab w:val="left" w:pos="284"/>
        </w:tabs>
        <w:spacing w:line="240" w:lineRule="auto"/>
        <w:jc w:val="both"/>
        <w:rPr>
          <w:bCs/>
          <w:iCs/>
          <w:szCs w:val="22"/>
        </w:rPr>
      </w:pPr>
      <w:r w:rsidRPr="00CC61C2">
        <w:rPr>
          <w:bCs/>
          <w:iCs/>
          <w:szCs w:val="22"/>
        </w:rPr>
        <w:t>Pri uzimanju 8 mg perindoprila / 2,5 mg indapamida 6% pacijenata imalo je hipokalijemiju (nivo kalijuma &lt; 3.4 mmol/l).</w:t>
      </w:r>
    </w:p>
    <w:p w14:paraId="4FF8DABC" w14:textId="77777777" w:rsidR="00D86BB7" w:rsidRPr="00CC61C2" w:rsidRDefault="00D86BB7" w:rsidP="00592131">
      <w:pPr>
        <w:widowControl w:val="0"/>
        <w:tabs>
          <w:tab w:val="left" w:pos="284"/>
        </w:tabs>
        <w:jc w:val="both"/>
        <w:rPr>
          <w:b/>
          <w:bCs/>
          <w:i/>
          <w:iCs/>
          <w:szCs w:val="22"/>
        </w:rPr>
      </w:pPr>
    </w:p>
    <w:p w14:paraId="18EC3C56" w14:textId="77777777" w:rsidR="00D86BB7" w:rsidRPr="00CC61C2" w:rsidRDefault="00D86BB7">
      <w:pPr>
        <w:widowControl w:val="0"/>
        <w:tabs>
          <w:tab w:val="left" w:pos="284"/>
        </w:tabs>
        <w:jc w:val="both"/>
        <w:rPr>
          <w:bCs/>
          <w:iCs/>
          <w:szCs w:val="22"/>
        </w:rPr>
      </w:pPr>
      <w:r w:rsidRPr="00CC61C2">
        <w:rPr>
          <w:bCs/>
          <w:iCs/>
          <w:szCs w:val="22"/>
        </w:rPr>
        <w:t>Najčešće prijavljena primijećena neželjena dejstva su:</w:t>
      </w:r>
    </w:p>
    <w:p w14:paraId="39D36125" w14:textId="77777777" w:rsidR="00D86BB7" w:rsidRPr="00CC61C2" w:rsidRDefault="00D86BB7">
      <w:pPr>
        <w:widowControl w:val="0"/>
        <w:tabs>
          <w:tab w:val="left" w:pos="284"/>
        </w:tabs>
        <w:ind w:left="567" w:hanging="567"/>
        <w:jc w:val="both"/>
        <w:rPr>
          <w:bCs/>
          <w:iCs/>
          <w:szCs w:val="22"/>
        </w:rPr>
      </w:pPr>
      <w:r w:rsidRPr="00CC61C2">
        <w:rPr>
          <w:bCs/>
          <w:iCs/>
          <w:szCs w:val="22"/>
        </w:rPr>
        <w:t xml:space="preserve">- </w:t>
      </w:r>
      <w:r w:rsidRPr="00CC61C2">
        <w:rPr>
          <w:bCs/>
          <w:iCs/>
          <w:szCs w:val="22"/>
        </w:rPr>
        <w:tab/>
      </w:r>
      <w:r w:rsidRPr="00CC61C2">
        <w:rPr>
          <w:bCs/>
          <w:iCs/>
          <w:szCs w:val="22"/>
        </w:rPr>
        <w:tab/>
        <w:t xml:space="preserve">sa perindoprilom: vrtoglavica, glavobolja, parestezija, disgeuzija, oštećenje vida, vertigo, tinitus, hipotenzija, kašalj, dispneja, bol u stomaku, konstipacija, dispepsija, dijareja, mučnina, povraćanje, pruritus, osip, </w:t>
      </w:r>
      <w:r w:rsidRPr="00CC61C2">
        <w:rPr>
          <w:szCs w:val="22"/>
        </w:rPr>
        <w:t xml:space="preserve">mišićni spazam </w:t>
      </w:r>
      <w:r w:rsidRPr="00CC61C2">
        <w:rPr>
          <w:bCs/>
          <w:iCs/>
          <w:szCs w:val="22"/>
        </w:rPr>
        <w:t>i astenija.</w:t>
      </w:r>
    </w:p>
    <w:p w14:paraId="7D42A13A" w14:textId="77777777" w:rsidR="00D86BB7" w:rsidRPr="00CC61C2" w:rsidRDefault="00D86BB7">
      <w:pPr>
        <w:widowControl w:val="0"/>
        <w:tabs>
          <w:tab w:val="left" w:pos="284"/>
        </w:tabs>
        <w:ind w:left="567" w:hanging="567"/>
        <w:jc w:val="both"/>
        <w:rPr>
          <w:bCs/>
          <w:iCs/>
          <w:szCs w:val="22"/>
        </w:rPr>
      </w:pPr>
      <w:r w:rsidRPr="00CC61C2">
        <w:rPr>
          <w:bCs/>
          <w:iCs/>
          <w:szCs w:val="22"/>
        </w:rPr>
        <w:t xml:space="preserve">- </w:t>
      </w:r>
      <w:r w:rsidRPr="00CC61C2">
        <w:rPr>
          <w:bCs/>
          <w:iCs/>
          <w:szCs w:val="22"/>
        </w:rPr>
        <w:tab/>
      </w:r>
      <w:r w:rsidRPr="00CC61C2">
        <w:rPr>
          <w:bCs/>
          <w:iCs/>
          <w:szCs w:val="22"/>
        </w:rPr>
        <w:tab/>
        <w:t>sa indapamidom: reakcije hipokalijemija, preosjetljivosti, uglavnom dermatološke, kod osoba sa predispozicijom na alergijske i astmatične reakcije i makulopapularni osip.</w:t>
      </w:r>
    </w:p>
    <w:p w14:paraId="003037A5" w14:textId="77777777" w:rsidR="00D86BB7" w:rsidRPr="00CC61C2" w:rsidRDefault="00D86BB7">
      <w:pPr>
        <w:widowControl w:val="0"/>
        <w:tabs>
          <w:tab w:val="left" w:pos="284"/>
        </w:tabs>
        <w:ind w:left="567" w:hanging="567"/>
        <w:jc w:val="both"/>
        <w:rPr>
          <w:bCs/>
          <w:iCs/>
          <w:szCs w:val="22"/>
        </w:rPr>
      </w:pPr>
      <w:r w:rsidRPr="00CC61C2">
        <w:rPr>
          <w:bCs/>
          <w:iCs/>
          <w:szCs w:val="22"/>
        </w:rPr>
        <w:t xml:space="preserve">- </w:t>
      </w:r>
      <w:r w:rsidRPr="00CC61C2">
        <w:rPr>
          <w:bCs/>
          <w:iCs/>
          <w:szCs w:val="22"/>
        </w:rPr>
        <w:tab/>
      </w:r>
      <w:r w:rsidRPr="00CC61C2">
        <w:rPr>
          <w:bCs/>
          <w:iCs/>
          <w:szCs w:val="22"/>
        </w:rPr>
        <w:tab/>
        <w:t>sa amlodipinom: somnolencija, vrtoglavica, glavobolja, palpitacije, crvenilo, bol u stomaku, mučnina, oticanje članaka, edem i umor.</w:t>
      </w:r>
    </w:p>
    <w:p w14:paraId="54D354EF" w14:textId="77777777" w:rsidR="00D86BB7" w:rsidRPr="00CC61C2" w:rsidRDefault="00D86BB7">
      <w:pPr>
        <w:widowControl w:val="0"/>
        <w:tabs>
          <w:tab w:val="left" w:pos="284"/>
        </w:tabs>
        <w:jc w:val="both"/>
        <w:rPr>
          <w:i/>
          <w:szCs w:val="22"/>
        </w:rPr>
      </w:pPr>
    </w:p>
    <w:p w14:paraId="4A6E442B" w14:textId="77777777" w:rsidR="00D86BB7" w:rsidRPr="00CC61C2" w:rsidRDefault="00D86BB7" w:rsidP="001237DA">
      <w:pPr>
        <w:widowControl w:val="0"/>
        <w:jc w:val="both"/>
        <w:rPr>
          <w:szCs w:val="22"/>
        </w:rPr>
      </w:pPr>
      <w:r w:rsidRPr="00CC61C2">
        <w:rPr>
          <w:szCs w:val="22"/>
        </w:rPr>
        <w:t>b.</w:t>
      </w:r>
      <w:r w:rsidRPr="00CC61C2">
        <w:rPr>
          <w:szCs w:val="22"/>
        </w:rPr>
        <w:tab/>
        <w:t>Tabelarni prikaz neželjenih dejstava</w:t>
      </w:r>
    </w:p>
    <w:p w14:paraId="033A0AB4" w14:textId="77777777" w:rsidR="00D86BB7" w:rsidRPr="00CC61C2" w:rsidRDefault="00D86BB7" w:rsidP="000D120B">
      <w:pPr>
        <w:widowControl w:val="0"/>
        <w:tabs>
          <w:tab w:val="left" w:pos="284"/>
        </w:tabs>
        <w:jc w:val="both"/>
        <w:rPr>
          <w:szCs w:val="22"/>
        </w:rPr>
      </w:pPr>
    </w:p>
    <w:p w14:paraId="64B95023" w14:textId="77777777" w:rsidR="00D86BB7" w:rsidRPr="00CC61C2" w:rsidRDefault="00D86BB7" w:rsidP="000D120B">
      <w:pPr>
        <w:widowControl w:val="0"/>
        <w:tabs>
          <w:tab w:val="left" w:pos="284"/>
        </w:tabs>
        <w:jc w:val="both"/>
        <w:rPr>
          <w:szCs w:val="22"/>
        </w:rPr>
      </w:pPr>
      <w:r w:rsidRPr="00CC61C2">
        <w:rPr>
          <w:szCs w:val="22"/>
        </w:rPr>
        <w:t>Neželjena dejstva koja mogu da se jave tokom terapije su razvrstana prema učestalosti ispoljavanja u sljedeće grupe:</w:t>
      </w:r>
    </w:p>
    <w:p w14:paraId="34444A20" w14:textId="77777777" w:rsidR="00D86BB7" w:rsidRPr="00CC61C2" w:rsidRDefault="00D86BB7" w:rsidP="001237DA">
      <w:pPr>
        <w:widowControl w:val="0"/>
        <w:numPr>
          <w:ilvl w:val="0"/>
          <w:numId w:val="1"/>
        </w:numPr>
        <w:tabs>
          <w:tab w:val="clear" w:pos="567"/>
          <w:tab w:val="left" w:pos="284"/>
        </w:tabs>
        <w:spacing w:line="240" w:lineRule="auto"/>
        <w:jc w:val="both"/>
        <w:rPr>
          <w:szCs w:val="22"/>
        </w:rPr>
      </w:pPr>
      <w:r w:rsidRPr="00CC61C2">
        <w:rPr>
          <w:szCs w:val="22"/>
        </w:rPr>
        <w:t>veoma često (≥ 1/10)</w:t>
      </w:r>
    </w:p>
    <w:p w14:paraId="3ADC7E53" w14:textId="77777777" w:rsidR="00D86BB7" w:rsidRPr="00CC61C2" w:rsidRDefault="00D86BB7" w:rsidP="000D120B">
      <w:pPr>
        <w:widowControl w:val="0"/>
        <w:numPr>
          <w:ilvl w:val="0"/>
          <w:numId w:val="1"/>
        </w:numPr>
        <w:tabs>
          <w:tab w:val="clear" w:pos="567"/>
          <w:tab w:val="left" w:pos="284"/>
          <w:tab w:val="num" w:pos="709"/>
        </w:tabs>
        <w:spacing w:line="240" w:lineRule="auto"/>
        <w:jc w:val="both"/>
        <w:rPr>
          <w:szCs w:val="22"/>
        </w:rPr>
      </w:pPr>
      <w:r w:rsidRPr="00CC61C2">
        <w:rPr>
          <w:szCs w:val="22"/>
        </w:rPr>
        <w:t>često (≥ 1/100 do &lt; 1/10)</w:t>
      </w:r>
    </w:p>
    <w:p w14:paraId="37E701AE" w14:textId="77777777" w:rsidR="00D86BB7" w:rsidRPr="00CC61C2" w:rsidRDefault="00D86BB7" w:rsidP="000D120B">
      <w:pPr>
        <w:widowControl w:val="0"/>
        <w:numPr>
          <w:ilvl w:val="0"/>
          <w:numId w:val="1"/>
        </w:numPr>
        <w:tabs>
          <w:tab w:val="clear" w:pos="567"/>
          <w:tab w:val="left" w:pos="284"/>
          <w:tab w:val="num" w:pos="709"/>
        </w:tabs>
        <w:spacing w:line="240" w:lineRule="auto"/>
        <w:jc w:val="both"/>
        <w:rPr>
          <w:szCs w:val="22"/>
        </w:rPr>
      </w:pPr>
      <w:r w:rsidRPr="00CC61C2">
        <w:rPr>
          <w:szCs w:val="22"/>
        </w:rPr>
        <w:t>povremeno (≥ 1/1.000 do &lt; 1/100)</w:t>
      </w:r>
    </w:p>
    <w:p w14:paraId="34384DA6" w14:textId="77777777" w:rsidR="00D86BB7" w:rsidRPr="00CC61C2" w:rsidRDefault="00D86BB7" w:rsidP="000D120B">
      <w:pPr>
        <w:widowControl w:val="0"/>
        <w:numPr>
          <w:ilvl w:val="0"/>
          <w:numId w:val="1"/>
        </w:numPr>
        <w:tabs>
          <w:tab w:val="clear" w:pos="567"/>
          <w:tab w:val="left" w:pos="284"/>
          <w:tab w:val="num" w:pos="709"/>
        </w:tabs>
        <w:spacing w:line="240" w:lineRule="auto"/>
        <w:jc w:val="both"/>
        <w:rPr>
          <w:szCs w:val="22"/>
        </w:rPr>
      </w:pPr>
      <w:r w:rsidRPr="00CC61C2">
        <w:rPr>
          <w:szCs w:val="22"/>
        </w:rPr>
        <w:t>rijetko (≥ 1/10.000 do &lt; 1/1.000)</w:t>
      </w:r>
    </w:p>
    <w:p w14:paraId="6F07A02F" w14:textId="77777777" w:rsidR="00D86BB7" w:rsidRPr="00CC61C2" w:rsidRDefault="00D86BB7" w:rsidP="00077095">
      <w:pPr>
        <w:numPr>
          <w:ilvl w:val="0"/>
          <w:numId w:val="1"/>
        </w:numPr>
        <w:tabs>
          <w:tab w:val="clear" w:pos="567"/>
          <w:tab w:val="left" w:pos="284"/>
        </w:tabs>
        <w:spacing w:line="240" w:lineRule="auto"/>
        <w:jc w:val="both"/>
        <w:rPr>
          <w:szCs w:val="22"/>
        </w:rPr>
      </w:pPr>
      <w:r w:rsidRPr="00CC61C2">
        <w:rPr>
          <w:szCs w:val="22"/>
        </w:rPr>
        <w:t>veoma rijetko (&lt; 1/10.000)</w:t>
      </w:r>
    </w:p>
    <w:p w14:paraId="129924D6" w14:textId="77777777" w:rsidR="00D86BB7" w:rsidRPr="00CC61C2" w:rsidRDefault="00D86BB7" w:rsidP="00592131">
      <w:pPr>
        <w:numPr>
          <w:ilvl w:val="0"/>
          <w:numId w:val="1"/>
        </w:numPr>
        <w:tabs>
          <w:tab w:val="clear" w:pos="567"/>
          <w:tab w:val="left" w:pos="284"/>
          <w:tab w:val="num" w:pos="709"/>
        </w:tabs>
        <w:spacing w:line="240" w:lineRule="auto"/>
        <w:jc w:val="both"/>
        <w:rPr>
          <w:szCs w:val="22"/>
        </w:rPr>
      </w:pPr>
      <w:r w:rsidRPr="00CC61C2">
        <w:rPr>
          <w:szCs w:val="22"/>
        </w:rPr>
        <w:t>nepoznato (ne može se procijeniti na osnovu raspoloživih podataka).</w:t>
      </w:r>
    </w:p>
    <w:p w14:paraId="1826DFAA" w14:textId="77777777" w:rsidR="00D86BB7" w:rsidRPr="00CC61C2" w:rsidRDefault="00D86BB7" w:rsidP="00592131">
      <w:pPr>
        <w:tabs>
          <w:tab w:val="left" w:pos="284"/>
        </w:tabs>
        <w:jc w:val="both"/>
        <w:rPr>
          <w:i/>
          <w:szCs w:val="22"/>
        </w:rPr>
      </w:pPr>
      <w:r w:rsidRPr="00CC61C2">
        <w:rPr>
          <w:szCs w:val="22"/>
        </w:rPr>
        <w:t>Unutar svake grupe učestalosti neželjena dejstva su prikazana po opadajućem stepenu ozbiljnosti.</w:t>
      </w:r>
    </w:p>
    <w:p w14:paraId="09C28DD8" w14:textId="77777777" w:rsidR="00E5447C" w:rsidRPr="00CC61C2" w:rsidRDefault="00E5447C">
      <w:pPr>
        <w:tabs>
          <w:tab w:val="left" w:pos="284"/>
        </w:tabs>
        <w:jc w:val="both"/>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2216"/>
        <w:gridCol w:w="1329"/>
        <w:gridCol w:w="1877"/>
        <w:gridCol w:w="1724"/>
      </w:tblGrid>
      <w:tr w:rsidR="00D86BB7" w:rsidRPr="00CC61C2" w14:paraId="6F42A7E0" w14:textId="77777777" w:rsidTr="002C09D7">
        <w:tc>
          <w:tcPr>
            <w:tcW w:w="943" w:type="pct"/>
            <w:vMerge w:val="restart"/>
            <w:shd w:val="clear" w:color="auto" w:fill="auto"/>
            <w:vAlign w:val="center"/>
          </w:tcPr>
          <w:p w14:paraId="2F230471" w14:textId="77777777" w:rsidR="00D86BB7" w:rsidRPr="00CC61C2" w:rsidRDefault="00D86BB7" w:rsidP="001237DA">
            <w:pPr>
              <w:widowControl w:val="0"/>
              <w:autoSpaceDE w:val="0"/>
              <w:autoSpaceDN w:val="0"/>
              <w:adjustRightInd w:val="0"/>
              <w:jc w:val="both"/>
              <w:rPr>
                <w:b/>
                <w:bCs/>
                <w:szCs w:val="22"/>
              </w:rPr>
            </w:pPr>
            <w:r w:rsidRPr="00CC61C2">
              <w:rPr>
                <w:b/>
                <w:bCs/>
                <w:noProof/>
                <w:szCs w:val="22"/>
              </w:rPr>
              <w:t xml:space="preserve">MedDRA klasifikacija sistema organa </w:t>
            </w:r>
          </w:p>
        </w:tc>
        <w:tc>
          <w:tcPr>
            <w:tcW w:w="1275" w:type="pct"/>
            <w:vMerge w:val="restart"/>
            <w:vAlign w:val="center"/>
          </w:tcPr>
          <w:p w14:paraId="6D6E2B21" w14:textId="77777777" w:rsidR="00D86BB7" w:rsidRPr="00CC61C2" w:rsidRDefault="00D86BB7" w:rsidP="001237DA">
            <w:pPr>
              <w:widowControl w:val="0"/>
              <w:autoSpaceDE w:val="0"/>
              <w:autoSpaceDN w:val="0"/>
              <w:adjustRightInd w:val="0"/>
              <w:jc w:val="both"/>
              <w:rPr>
                <w:szCs w:val="22"/>
              </w:rPr>
            </w:pPr>
            <w:r w:rsidRPr="00CC61C2">
              <w:rPr>
                <w:b/>
                <w:bCs/>
                <w:noProof/>
                <w:szCs w:val="22"/>
              </w:rPr>
              <w:t>Neželjena dejstva</w:t>
            </w:r>
          </w:p>
        </w:tc>
        <w:tc>
          <w:tcPr>
            <w:tcW w:w="2782" w:type="pct"/>
            <w:gridSpan w:val="3"/>
            <w:vAlign w:val="center"/>
          </w:tcPr>
          <w:p w14:paraId="36798727" w14:textId="77777777" w:rsidR="00D86BB7" w:rsidRPr="00CC61C2" w:rsidRDefault="00D86BB7" w:rsidP="001237DA">
            <w:pPr>
              <w:widowControl w:val="0"/>
              <w:jc w:val="both"/>
              <w:rPr>
                <w:b/>
                <w:bCs/>
                <w:szCs w:val="22"/>
              </w:rPr>
            </w:pPr>
            <w:r w:rsidRPr="00CC61C2">
              <w:rPr>
                <w:b/>
                <w:bCs/>
                <w:szCs w:val="22"/>
              </w:rPr>
              <w:t>Učestalost</w:t>
            </w:r>
          </w:p>
        </w:tc>
      </w:tr>
      <w:tr w:rsidR="00D86BB7" w:rsidRPr="00CC61C2" w14:paraId="7B63C215" w14:textId="77777777" w:rsidTr="002C09D7">
        <w:tc>
          <w:tcPr>
            <w:tcW w:w="943" w:type="pct"/>
            <w:vMerge/>
            <w:shd w:val="clear" w:color="auto" w:fill="auto"/>
            <w:vAlign w:val="center"/>
          </w:tcPr>
          <w:p w14:paraId="6B2F2BDE" w14:textId="77777777" w:rsidR="00D86BB7" w:rsidRPr="00CC61C2" w:rsidRDefault="00D86BB7" w:rsidP="001237DA">
            <w:pPr>
              <w:widowControl w:val="0"/>
              <w:tabs>
                <w:tab w:val="center" w:pos="4536"/>
                <w:tab w:val="right" w:pos="9072"/>
              </w:tabs>
              <w:jc w:val="both"/>
              <w:rPr>
                <w:noProof/>
                <w:szCs w:val="22"/>
              </w:rPr>
            </w:pPr>
          </w:p>
        </w:tc>
        <w:tc>
          <w:tcPr>
            <w:tcW w:w="1275" w:type="pct"/>
            <w:vMerge/>
            <w:vAlign w:val="center"/>
          </w:tcPr>
          <w:p w14:paraId="0BB2C848" w14:textId="77777777" w:rsidR="00D86BB7" w:rsidRPr="00CC61C2" w:rsidRDefault="00D86BB7" w:rsidP="001237DA">
            <w:pPr>
              <w:widowControl w:val="0"/>
              <w:jc w:val="both"/>
              <w:rPr>
                <w:szCs w:val="22"/>
              </w:rPr>
            </w:pPr>
          </w:p>
        </w:tc>
        <w:tc>
          <w:tcPr>
            <w:tcW w:w="690" w:type="pct"/>
            <w:vAlign w:val="center"/>
          </w:tcPr>
          <w:p w14:paraId="64BA2388" w14:textId="77777777" w:rsidR="00D86BB7" w:rsidRPr="00CC61C2" w:rsidRDefault="00D86BB7" w:rsidP="001237DA">
            <w:pPr>
              <w:widowControl w:val="0"/>
              <w:autoSpaceDE w:val="0"/>
              <w:autoSpaceDN w:val="0"/>
              <w:adjustRightInd w:val="0"/>
              <w:jc w:val="both"/>
              <w:rPr>
                <w:b/>
                <w:bCs/>
                <w:szCs w:val="22"/>
              </w:rPr>
            </w:pPr>
            <w:r w:rsidRPr="00CC61C2">
              <w:rPr>
                <w:b/>
                <w:bCs/>
                <w:szCs w:val="22"/>
              </w:rPr>
              <w:t>Perindopril</w:t>
            </w:r>
          </w:p>
        </w:tc>
        <w:tc>
          <w:tcPr>
            <w:tcW w:w="1088" w:type="pct"/>
            <w:vAlign w:val="center"/>
          </w:tcPr>
          <w:p w14:paraId="53F20D25" w14:textId="77777777" w:rsidR="00D86BB7" w:rsidRPr="00CC61C2" w:rsidRDefault="00D86BB7" w:rsidP="001237DA">
            <w:pPr>
              <w:widowControl w:val="0"/>
              <w:jc w:val="both"/>
              <w:rPr>
                <w:szCs w:val="22"/>
              </w:rPr>
            </w:pPr>
            <w:r w:rsidRPr="00CC61C2">
              <w:rPr>
                <w:b/>
                <w:bCs/>
                <w:szCs w:val="22"/>
              </w:rPr>
              <w:t>Indapamid</w:t>
            </w:r>
          </w:p>
        </w:tc>
        <w:tc>
          <w:tcPr>
            <w:tcW w:w="1004" w:type="pct"/>
            <w:vAlign w:val="center"/>
          </w:tcPr>
          <w:p w14:paraId="07EF1E22" w14:textId="77777777" w:rsidR="00D86BB7" w:rsidRPr="00CC61C2" w:rsidRDefault="00D86BB7" w:rsidP="001237DA">
            <w:pPr>
              <w:widowControl w:val="0"/>
              <w:jc w:val="both"/>
              <w:rPr>
                <w:b/>
                <w:bCs/>
                <w:szCs w:val="22"/>
              </w:rPr>
            </w:pPr>
            <w:r w:rsidRPr="00CC61C2">
              <w:rPr>
                <w:b/>
                <w:bCs/>
                <w:szCs w:val="22"/>
              </w:rPr>
              <w:t>Amlodipin</w:t>
            </w:r>
          </w:p>
        </w:tc>
      </w:tr>
      <w:tr w:rsidR="00D86BB7" w:rsidRPr="00CC61C2" w14:paraId="676A3EB4" w14:textId="77777777" w:rsidTr="002C09D7">
        <w:tc>
          <w:tcPr>
            <w:tcW w:w="943" w:type="pct"/>
            <w:shd w:val="clear" w:color="auto" w:fill="auto"/>
            <w:vAlign w:val="center"/>
          </w:tcPr>
          <w:p w14:paraId="3D19A7A0" w14:textId="77777777" w:rsidR="00D86BB7" w:rsidRPr="00CC61C2" w:rsidRDefault="00D86BB7" w:rsidP="009D6AD4">
            <w:pPr>
              <w:widowControl w:val="0"/>
              <w:rPr>
                <w:szCs w:val="22"/>
              </w:rPr>
            </w:pPr>
            <w:r w:rsidRPr="00CC61C2">
              <w:rPr>
                <w:b/>
                <w:bCs/>
                <w:noProof/>
                <w:szCs w:val="22"/>
              </w:rPr>
              <w:t xml:space="preserve">Infekcije i </w:t>
            </w:r>
            <w:r w:rsidRPr="00CC61C2">
              <w:rPr>
                <w:b/>
                <w:bCs/>
                <w:noProof/>
                <w:szCs w:val="22"/>
              </w:rPr>
              <w:lastRenderedPageBreak/>
              <w:t>infestacije</w:t>
            </w:r>
          </w:p>
        </w:tc>
        <w:tc>
          <w:tcPr>
            <w:tcW w:w="1275" w:type="pct"/>
            <w:vAlign w:val="center"/>
          </w:tcPr>
          <w:p w14:paraId="1C4072AE" w14:textId="77777777" w:rsidR="00D86BB7" w:rsidRPr="00CC61C2" w:rsidRDefault="00D86BB7" w:rsidP="001237DA">
            <w:pPr>
              <w:widowControl w:val="0"/>
              <w:jc w:val="both"/>
              <w:rPr>
                <w:szCs w:val="22"/>
              </w:rPr>
            </w:pPr>
            <w:r w:rsidRPr="00CC61C2">
              <w:rPr>
                <w:szCs w:val="22"/>
              </w:rPr>
              <w:lastRenderedPageBreak/>
              <w:t>Rinitis</w:t>
            </w:r>
          </w:p>
        </w:tc>
        <w:tc>
          <w:tcPr>
            <w:tcW w:w="690" w:type="pct"/>
            <w:vAlign w:val="center"/>
          </w:tcPr>
          <w:p w14:paraId="6F7C309C" w14:textId="77777777" w:rsidR="00D86BB7" w:rsidRPr="00CC61C2" w:rsidRDefault="00D86BB7" w:rsidP="001237DA">
            <w:pPr>
              <w:widowControl w:val="0"/>
              <w:jc w:val="both"/>
              <w:rPr>
                <w:szCs w:val="22"/>
              </w:rPr>
            </w:pPr>
            <w:r w:rsidRPr="00CC61C2">
              <w:rPr>
                <w:szCs w:val="22"/>
              </w:rPr>
              <w:t xml:space="preserve">Veoma </w:t>
            </w:r>
            <w:r w:rsidRPr="00CC61C2">
              <w:rPr>
                <w:szCs w:val="22"/>
              </w:rPr>
              <w:lastRenderedPageBreak/>
              <w:t>rijetko</w:t>
            </w:r>
          </w:p>
        </w:tc>
        <w:tc>
          <w:tcPr>
            <w:tcW w:w="1088" w:type="pct"/>
            <w:vAlign w:val="center"/>
          </w:tcPr>
          <w:p w14:paraId="0A61C1BE" w14:textId="77777777" w:rsidR="00D86BB7" w:rsidRPr="00CC61C2" w:rsidRDefault="00D86BB7" w:rsidP="001237DA">
            <w:pPr>
              <w:widowControl w:val="0"/>
              <w:jc w:val="both"/>
              <w:rPr>
                <w:szCs w:val="22"/>
              </w:rPr>
            </w:pPr>
            <w:r w:rsidRPr="00CC61C2">
              <w:rPr>
                <w:szCs w:val="22"/>
              </w:rPr>
              <w:lastRenderedPageBreak/>
              <w:t>-</w:t>
            </w:r>
          </w:p>
        </w:tc>
        <w:tc>
          <w:tcPr>
            <w:tcW w:w="1004" w:type="pct"/>
            <w:vAlign w:val="center"/>
          </w:tcPr>
          <w:p w14:paraId="63524D3E" w14:textId="77777777" w:rsidR="00D86BB7" w:rsidRPr="00CC61C2" w:rsidRDefault="00D86BB7" w:rsidP="001237DA">
            <w:pPr>
              <w:widowControl w:val="0"/>
              <w:jc w:val="both"/>
              <w:rPr>
                <w:szCs w:val="22"/>
              </w:rPr>
            </w:pPr>
            <w:r w:rsidRPr="00CC61C2">
              <w:rPr>
                <w:szCs w:val="22"/>
              </w:rPr>
              <w:t>Povremeno</w:t>
            </w:r>
          </w:p>
        </w:tc>
      </w:tr>
      <w:tr w:rsidR="00D86BB7" w:rsidRPr="00CC61C2" w14:paraId="54071B77" w14:textId="77777777" w:rsidTr="002C09D7">
        <w:tc>
          <w:tcPr>
            <w:tcW w:w="943" w:type="pct"/>
            <w:vMerge w:val="restart"/>
            <w:shd w:val="clear" w:color="auto" w:fill="auto"/>
            <w:vAlign w:val="center"/>
          </w:tcPr>
          <w:p w14:paraId="71F470E7" w14:textId="77777777" w:rsidR="00D86BB7" w:rsidRPr="00CC61C2" w:rsidRDefault="00D86BB7" w:rsidP="009D6AD4">
            <w:pPr>
              <w:widowControl w:val="0"/>
              <w:rPr>
                <w:szCs w:val="22"/>
              </w:rPr>
            </w:pPr>
            <w:r w:rsidRPr="00CC61C2">
              <w:rPr>
                <w:b/>
                <w:bCs/>
                <w:noProof/>
                <w:szCs w:val="22"/>
              </w:rPr>
              <w:t>Poremećaji krvi i limfnog sistema</w:t>
            </w:r>
          </w:p>
        </w:tc>
        <w:tc>
          <w:tcPr>
            <w:tcW w:w="1275" w:type="pct"/>
            <w:vAlign w:val="center"/>
          </w:tcPr>
          <w:p w14:paraId="499C553D" w14:textId="77777777" w:rsidR="00D86BB7" w:rsidRPr="00CC61C2" w:rsidRDefault="00D86BB7" w:rsidP="001237DA">
            <w:pPr>
              <w:widowControl w:val="0"/>
              <w:jc w:val="both"/>
              <w:rPr>
                <w:szCs w:val="22"/>
              </w:rPr>
            </w:pPr>
            <w:r w:rsidRPr="00CC61C2">
              <w:rPr>
                <w:szCs w:val="22"/>
              </w:rPr>
              <w:t xml:space="preserve">Eozinofilija </w:t>
            </w:r>
          </w:p>
        </w:tc>
        <w:tc>
          <w:tcPr>
            <w:tcW w:w="690" w:type="pct"/>
            <w:vAlign w:val="center"/>
          </w:tcPr>
          <w:p w14:paraId="0D7EE0CD" w14:textId="77777777" w:rsidR="00D86BB7" w:rsidRPr="00CC61C2" w:rsidRDefault="00D86BB7" w:rsidP="001237DA">
            <w:pPr>
              <w:widowControl w:val="0"/>
              <w:jc w:val="both"/>
              <w:rPr>
                <w:szCs w:val="22"/>
              </w:rPr>
            </w:pPr>
            <w:r w:rsidRPr="00CC61C2">
              <w:rPr>
                <w:szCs w:val="22"/>
              </w:rPr>
              <w:t>Povremeno*</w:t>
            </w:r>
          </w:p>
        </w:tc>
        <w:tc>
          <w:tcPr>
            <w:tcW w:w="1088" w:type="pct"/>
            <w:vAlign w:val="center"/>
          </w:tcPr>
          <w:p w14:paraId="5782D191" w14:textId="77777777" w:rsidR="00D86BB7" w:rsidRPr="00CC61C2" w:rsidRDefault="00D86BB7" w:rsidP="001237DA">
            <w:pPr>
              <w:widowControl w:val="0"/>
              <w:jc w:val="both"/>
              <w:rPr>
                <w:szCs w:val="22"/>
              </w:rPr>
            </w:pPr>
            <w:r w:rsidRPr="00CC61C2">
              <w:rPr>
                <w:szCs w:val="22"/>
              </w:rPr>
              <w:t>-</w:t>
            </w:r>
          </w:p>
        </w:tc>
        <w:tc>
          <w:tcPr>
            <w:tcW w:w="1004" w:type="pct"/>
            <w:vAlign w:val="center"/>
          </w:tcPr>
          <w:p w14:paraId="50AE9140" w14:textId="77777777" w:rsidR="00D86BB7" w:rsidRPr="00CC61C2" w:rsidRDefault="00D86BB7" w:rsidP="001237DA">
            <w:pPr>
              <w:widowControl w:val="0"/>
              <w:jc w:val="both"/>
              <w:rPr>
                <w:szCs w:val="22"/>
              </w:rPr>
            </w:pPr>
            <w:r w:rsidRPr="00CC61C2">
              <w:rPr>
                <w:szCs w:val="22"/>
              </w:rPr>
              <w:t>-</w:t>
            </w:r>
          </w:p>
        </w:tc>
      </w:tr>
      <w:tr w:rsidR="00D86BB7" w:rsidRPr="00CC61C2" w14:paraId="4B146316" w14:textId="77777777" w:rsidTr="002C09D7">
        <w:tc>
          <w:tcPr>
            <w:tcW w:w="943" w:type="pct"/>
            <w:vMerge/>
            <w:shd w:val="clear" w:color="auto" w:fill="auto"/>
            <w:vAlign w:val="center"/>
          </w:tcPr>
          <w:p w14:paraId="2FB58E8E" w14:textId="77777777" w:rsidR="00D86BB7" w:rsidRPr="00CC61C2" w:rsidRDefault="00D86BB7" w:rsidP="001237DA">
            <w:pPr>
              <w:widowControl w:val="0"/>
              <w:jc w:val="both"/>
              <w:rPr>
                <w:noProof/>
                <w:szCs w:val="22"/>
              </w:rPr>
            </w:pPr>
          </w:p>
        </w:tc>
        <w:tc>
          <w:tcPr>
            <w:tcW w:w="1275" w:type="pct"/>
            <w:vAlign w:val="center"/>
          </w:tcPr>
          <w:p w14:paraId="632AADC2" w14:textId="77777777" w:rsidR="00D86BB7" w:rsidRPr="00CC61C2" w:rsidRDefault="00D86BB7" w:rsidP="009D6AD4">
            <w:pPr>
              <w:widowControl w:val="0"/>
              <w:rPr>
                <w:szCs w:val="22"/>
              </w:rPr>
            </w:pPr>
            <w:r w:rsidRPr="00CC61C2">
              <w:rPr>
                <w:szCs w:val="22"/>
              </w:rPr>
              <w:t xml:space="preserve">Leukopenija (vidjeti </w:t>
            </w:r>
            <w:r w:rsidRPr="00CC61C2">
              <w:rPr>
                <w:noProof/>
                <w:szCs w:val="22"/>
              </w:rPr>
              <w:t>dio</w:t>
            </w:r>
            <w:r w:rsidRPr="00CC61C2">
              <w:rPr>
                <w:szCs w:val="22"/>
              </w:rPr>
              <w:t xml:space="preserve"> 4.4.)</w:t>
            </w:r>
          </w:p>
        </w:tc>
        <w:tc>
          <w:tcPr>
            <w:tcW w:w="690" w:type="pct"/>
            <w:vAlign w:val="center"/>
          </w:tcPr>
          <w:p w14:paraId="7758D2F3" w14:textId="77777777" w:rsidR="00D86BB7" w:rsidRPr="00CC61C2" w:rsidRDefault="00D86BB7" w:rsidP="001237DA">
            <w:pPr>
              <w:widowControl w:val="0"/>
              <w:jc w:val="both"/>
              <w:rPr>
                <w:szCs w:val="22"/>
              </w:rPr>
            </w:pPr>
            <w:r w:rsidRPr="00CC61C2">
              <w:rPr>
                <w:szCs w:val="22"/>
              </w:rPr>
              <w:t>Veoma rijetko</w:t>
            </w:r>
          </w:p>
        </w:tc>
        <w:tc>
          <w:tcPr>
            <w:tcW w:w="1088" w:type="pct"/>
            <w:vAlign w:val="center"/>
          </w:tcPr>
          <w:p w14:paraId="25A1AE90" w14:textId="77777777" w:rsidR="00D86BB7" w:rsidRPr="00CC61C2" w:rsidRDefault="00D86BB7" w:rsidP="001237DA">
            <w:pPr>
              <w:widowControl w:val="0"/>
              <w:jc w:val="both"/>
              <w:rPr>
                <w:szCs w:val="22"/>
              </w:rPr>
            </w:pPr>
            <w:r w:rsidRPr="00CC61C2">
              <w:rPr>
                <w:szCs w:val="22"/>
              </w:rPr>
              <w:t>Veoma rijetko</w:t>
            </w:r>
          </w:p>
        </w:tc>
        <w:tc>
          <w:tcPr>
            <w:tcW w:w="1004" w:type="pct"/>
            <w:vAlign w:val="center"/>
          </w:tcPr>
          <w:p w14:paraId="46B28E92" w14:textId="77777777" w:rsidR="00D86BB7" w:rsidRPr="00CC61C2" w:rsidRDefault="00D86BB7" w:rsidP="001237DA">
            <w:pPr>
              <w:widowControl w:val="0"/>
              <w:jc w:val="both"/>
              <w:rPr>
                <w:szCs w:val="22"/>
              </w:rPr>
            </w:pPr>
            <w:r w:rsidRPr="00CC61C2">
              <w:rPr>
                <w:szCs w:val="22"/>
              </w:rPr>
              <w:t>Veoma rijetko</w:t>
            </w:r>
          </w:p>
        </w:tc>
      </w:tr>
      <w:tr w:rsidR="00D86BB7" w:rsidRPr="00CC61C2" w14:paraId="281D23C1" w14:textId="77777777" w:rsidTr="002C09D7">
        <w:tc>
          <w:tcPr>
            <w:tcW w:w="943" w:type="pct"/>
            <w:vMerge/>
            <w:shd w:val="clear" w:color="auto" w:fill="auto"/>
            <w:vAlign w:val="center"/>
          </w:tcPr>
          <w:p w14:paraId="682A19FB" w14:textId="77777777" w:rsidR="00D86BB7" w:rsidRPr="00CC61C2" w:rsidRDefault="00D86BB7" w:rsidP="001237DA">
            <w:pPr>
              <w:widowControl w:val="0"/>
              <w:jc w:val="both"/>
              <w:rPr>
                <w:szCs w:val="22"/>
              </w:rPr>
            </w:pPr>
          </w:p>
        </w:tc>
        <w:tc>
          <w:tcPr>
            <w:tcW w:w="1275" w:type="pct"/>
            <w:vAlign w:val="center"/>
          </w:tcPr>
          <w:p w14:paraId="3233ADF7" w14:textId="77777777" w:rsidR="00D86BB7" w:rsidRPr="00CC61C2" w:rsidRDefault="00D86BB7" w:rsidP="009D6AD4">
            <w:pPr>
              <w:widowControl w:val="0"/>
              <w:rPr>
                <w:szCs w:val="22"/>
              </w:rPr>
            </w:pPr>
            <w:r w:rsidRPr="00CC61C2">
              <w:rPr>
                <w:szCs w:val="22"/>
              </w:rPr>
              <w:t xml:space="preserve">Neutropenija (vidjeti </w:t>
            </w:r>
            <w:r w:rsidRPr="00CC61C2">
              <w:rPr>
                <w:noProof/>
                <w:szCs w:val="22"/>
              </w:rPr>
              <w:t>dio</w:t>
            </w:r>
            <w:r w:rsidRPr="00CC61C2">
              <w:rPr>
                <w:szCs w:val="22"/>
              </w:rPr>
              <w:t xml:space="preserve"> 4.4.)</w:t>
            </w:r>
          </w:p>
        </w:tc>
        <w:tc>
          <w:tcPr>
            <w:tcW w:w="690" w:type="pct"/>
            <w:vAlign w:val="center"/>
          </w:tcPr>
          <w:p w14:paraId="03A5B945" w14:textId="77777777" w:rsidR="00D86BB7" w:rsidRPr="00CC61C2" w:rsidRDefault="00D86BB7" w:rsidP="001237DA">
            <w:pPr>
              <w:widowControl w:val="0"/>
              <w:jc w:val="both"/>
              <w:rPr>
                <w:szCs w:val="22"/>
              </w:rPr>
            </w:pPr>
            <w:r w:rsidRPr="00CC61C2">
              <w:rPr>
                <w:szCs w:val="22"/>
              </w:rPr>
              <w:t>Veoma rijetko</w:t>
            </w:r>
          </w:p>
        </w:tc>
        <w:tc>
          <w:tcPr>
            <w:tcW w:w="1088" w:type="pct"/>
            <w:vAlign w:val="center"/>
          </w:tcPr>
          <w:p w14:paraId="07C14C0F" w14:textId="77777777" w:rsidR="00D86BB7" w:rsidRPr="00CC61C2" w:rsidRDefault="00D86BB7" w:rsidP="001237DA">
            <w:pPr>
              <w:widowControl w:val="0"/>
              <w:jc w:val="both"/>
              <w:rPr>
                <w:szCs w:val="22"/>
              </w:rPr>
            </w:pPr>
            <w:r w:rsidRPr="00CC61C2">
              <w:rPr>
                <w:szCs w:val="22"/>
              </w:rPr>
              <w:t>-</w:t>
            </w:r>
          </w:p>
        </w:tc>
        <w:tc>
          <w:tcPr>
            <w:tcW w:w="1004" w:type="pct"/>
            <w:vAlign w:val="center"/>
          </w:tcPr>
          <w:p w14:paraId="1D8F9393" w14:textId="77777777" w:rsidR="00D86BB7" w:rsidRPr="00CC61C2" w:rsidRDefault="00D86BB7" w:rsidP="001237DA">
            <w:pPr>
              <w:widowControl w:val="0"/>
              <w:jc w:val="both"/>
              <w:rPr>
                <w:szCs w:val="22"/>
              </w:rPr>
            </w:pPr>
            <w:r w:rsidRPr="00CC61C2">
              <w:rPr>
                <w:szCs w:val="22"/>
              </w:rPr>
              <w:t>Veoma rijetko</w:t>
            </w:r>
          </w:p>
        </w:tc>
      </w:tr>
      <w:tr w:rsidR="00D86BB7" w:rsidRPr="00CC61C2" w14:paraId="1533345B" w14:textId="77777777" w:rsidTr="002C09D7">
        <w:tc>
          <w:tcPr>
            <w:tcW w:w="943" w:type="pct"/>
            <w:vMerge/>
            <w:shd w:val="clear" w:color="auto" w:fill="auto"/>
            <w:vAlign w:val="center"/>
          </w:tcPr>
          <w:p w14:paraId="00F1632E" w14:textId="77777777" w:rsidR="00D86BB7" w:rsidRPr="00CC61C2" w:rsidRDefault="00D86BB7" w:rsidP="001237DA">
            <w:pPr>
              <w:widowControl w:val="0"/>
              <w:jc w:val="both"/>
              <w:rPr>
                <w:noProof/>
                <w:szCs w:val="22"/>
              </w:rPr>
            </w:pPr>
          </w:p>
        </w:tc>
        <w:tc>
          <w:tcPr>
            <w:tcW w:w="1275" w:type="pct"/>
            <w:vAlign w:val="center"/>
          </w:tcPr>
          <w:p w14:paraId="47769ACD" w14:textId="77777777" w:rsidR="00D86BB7" w:rsidRPr="00CC61C2" w:rsidRDefault="00D86BB7" w:rsidP="009D6AD4">
            <w:pPr>
              <w:widowControl w:val="0"/>
              <w:rPr>
                <w:szCs w:val="22"/>
              </w:rPr>
            </w:pPr>
            <w:r w:rsidRPr="00CC61C2">
              <w:rPr>
                <w:szCs w:val="22"/>
              </w:rPr>
              <w:t xml:space="preserve">Agranulocitoza (vidjeti </w:t>
            </w:r>
            <w:r w:rsidRPr="00CC61C2">
              <w:rPr>
                <w:noProof/>
                <w:szCs w:val="22"/>
              </w:rPr>
              <w:t>dio</w:t>
            </w:r>
            <w:r w:rsidRPr="00CC61C2">
              <w:rPr>
                <w:szCs w:val="22"/>
              </w:rPr>
              <w:t xml:space="preserve"> 4.4.)</w:t>
            </w:r>
          </w:p>
        </w:tc>
        <w:tc>
          <w:tcPr>
            <w:tcW w:w="690" w:type="pct"/>
            <w:vAlign w:val="center"/>
          </w:tcPr>
          <w:p w14:paraId="2C1D8211" w14:textId="77777777" w:rsidR="00D86BB7" w:rsidRPr="00CC61C2" w:rsidRDefault="00D86BB7" w:rsidP="001237DA">
            <w:pPr>
              <w:widowControl w:val="0"/>
              <w:jc w:val="both"/>
              <w:rPr>
                <w:szCs w:val="22"/>
              </w:rPr>
            </w:pPr>
            <w:r w:rsidRPr="00CC61C2">
              <w:rPr>
                <w:szCs w:val="22"/>
              </w:rPr>
              <w:t>Veoma rijetko</w:t>
            </w:r>
          </w:p>
        </w:tc>
        <w:tc>
          <w:tcPr>
            <w:tcW w:w="1088" w:type="pct"/>
            <w:vAlign w:val="center"/>
          </w:tcPr>
          <w:p w14:paraId="03139215" w14:textId="77777777" w:rsidR="00D86BB7" w:rsidRPr="00CC61C2" w:rsidRDefault="00D86BB7" w:rsidP="001237DA">
            <w:pPr>
              <w:widowControl w:val="0"/>
              <w:jc w:val="both"/>
              <w:rPr>
                <w:szCs w:val="22"/>
              </w:rPr>
            </w:pPr>
            <w:r w:rsidRPr="00CC61C2">
              <w:rPr>
                <w:szCs w:val="22"/>
              </w:rPr>
              <w:t>Veoma rijetko</w:t>
            </w:r>
          </w:p>
        </w:tc>
        <w:tc>
          <w:tcPr>
            <w:tcW w:w="1004" w:type="pct"/>
            <w:vAlign w:val="center"/>
          </w:tcPr>
          <w:p w14:paraId="20D7E32F" w14:textId="77777777" w:rsidR="00D86BB7" w:rsidRPr="00CC61C2" w:rsidRDefault="00D86BB7" w:rsidP="001237DA">
            <w:pPr>
              <w:widowControl w:val="0"/>
              <w:jc w:val="both"/>
              <w:rPr>
                <w:szCs w:val="22"/>
              </w:rPr>
            </w:pPr>
            <w:r w:rsidRPr="00CC61C2">
              <w:rPr>
                <w:szCs w:val="22"/>
              </w:rPr>
              <w:t>-</w:t>
            </w:r>
          </w:p>
        </w:tc>
      </w:tr>
      <w:tr w:rsidR="00D86BB7" w:rsidRPr="00CC61C2" w14:paraId="28ED0CD3" w14:textId="77777777" w:rsidTr="002C09D7">
        <w:tc>
          <w:tcPr>
            <w:tcW w:w="943" w:type="pct"/>
            <w:vMerge/>
            <w:shd w:val="clear" w:color="auto" w:fill="auto"/>
            <w:vAlign w:val="center"/>
          </w:tcPr>
          <w:p w14:paraId="686C4CF7" w14:textId="77777777" w:rsidR="00D86BB7" w:rsidRPr="00CC61C2" w:rsidRDefault="00D86BB7" w:rsidP="001237DA">
            <w:pPr>
              <w:widowControl w:val="0"/>
              <w:jc w:val="both"/>
              <w:rPr>
                <w:noProof/>
                <w:szCs w:val="22"/>
              </w:rPr>
            </w:pPr>
          </w:p>
        </w:tc>
        <w:tc>
          <w:tcPr>
            <w:tcW w:w="1275" w:type="pct"/>
            <w:vAlign w:val="center"/>
          </w:tcPr>
          <w:p w14:paraId="1DD18BA1" w14:textId="77777777" w:rsidR="00D86BB7" w:rsidRPr="00CC61C2" w:rsidRDefault="00D86BB7" w:rsidP="009D6AD4">
            <w:pPr>
              <w:widowControl w:val="0"/>
              <w:tabs>
                <w:tab w:val="right" w:pos="4432"/>
              </w:tabs>
              <w:rPr>
                <w:szCs w:val="22"/>
              </w:rPr>
            </w:pPr>
            <w:r w:rsidRPr="00CC61C2">
              <w:rPr>
                <w:szCs w:val="22"/>
              </w:rPr>
              <w:t xml:space="preserve">Trombocitopenija (vidjeti </w:t>
            </w:r>
            <w:r w:rsidRPr="00CC61C2">
              <w:rPr>
                <w:noProof/>
                <w:szCs w:val="22"/>
              </w:rPr>
              <w:t>dio</w:t>
            </w:r>
            <w:r w:rsidRPr="00CC61C2">
              <w:rPr>
                <w:szCs w:val="22"/>
              </w:rPr>
              <w:t xml:space="preserve"> 4.4.)</w:t>
            </w:r>
          </w:p>
        </w:tc>
        <w:tc>
          <w:tcPr>
            <w:tcW w:w="690" w:type="pct"/>
            <w:vAlign w:val="center"/>
          </w:tcPr>
          <w:p w14:paraId="0AE6688C" w14:textId="77777777" w:rsidR="00D86BB7" w:rsidRPr="00CC61C2" w:rsidRDefault="00D86BB7" w:rsidP="001237DA">
            <w:pPr>
              <w:widowControl w:val="0"/>
              <w:jc w:val="both"/>
              <w:rPr>
                <w:szCs w:val="22"/>
              </w:rPr>
            </w:pPr>
            <w:r w:rsidRPr="00CC61C2">
              <w:rPr>
                <w:szCs w:val="22"/>
              </w:rPr>
              <w:t>Veoma rijetko</w:t>
            </w:r>
          </w:p>
        </w:tc>
        <w:tc>
          <w:tcPr>
            <w:tcW w:w="1088" w:type="pct"/>
            <w:vAlign w:val="center"/>
          </w:tcPr>
          <w:p w14:paraId="44457A28" w14:textId="77777777" w:rsidR="00D86BB7" w:rsidRPr="00CC61C2" w:rsidRDefault="00D86BB7" w:rsidP="001237DA">
            <w:pPr>
              <w:widowControl w:val="0"/>
              <w:jc w:val="both"/>
              <w:rPr>
                <w:szCs w:val="22"/>
              </w:rPr>
            </w:pPr>
            <w:r w:rsidRPr="00CC61C2">
              <w:rPr>
                <w:szCs w:val="22"/>
              </w:rPr>
              <w:t>Veoma rijetko</w:t>
            </w:r>
          </w:p>
        </w:tc>
        <w:tc>
          <w:tcPr>
            <w:tcW w:w="1004" w:type="pct"/>
            <w:vAlign w:val="center"/>
          </w:tcPr>
          <w:p w14:paraId="386C2C52" w14:textId="77777777" w:rsidR="00D86BB7" w:rsidRPr="00CC61C2" w:rsidRDefault="00D86BB7" w:rsidP="001237DA">
            <w:pPr>
              <w:widowControl w:val="0"/>
              <w:jc w:val="both"/>
              <w:rPr>
                <w:szCs w:val="22"/>
              </w:rPr>
            </w:pPr>
            <w:r w:rsidRPr="00CC61C2">
              <w:rPr>
                <w:szCs w:val="22"/>
              </w:rPr>
              <w:t>Veoma rijetko</w:t>
            </w:r>
          </w:p>
        </w:tc>
      </w:tr>
      <w:tr w:rsidR="00D86BB7" w:rsidRPr="00CC61C2" w14:paraId="61FA8833" w14:textId="77777777" w:rsidTr="002C09D7">
        <w:tc>
          <w:tcPr>
            <w:tcW w:w="943" w:type="pct"/>
            <w:vMerge/>
            <w:shd w:val="clear" w:color="auto" w:fill="auto"/>
            <w:vAlign w:val="center"/>
          </w:tcPr>
          <w:p w14:paraId="2911B59F" w14:textId="77777777" w:rsidR="00D86BB7" w:rsidRPr="00CC61C2" w:rsidRDefault="00D86BB7" w:rsidP="001237DA">
            <w:pPr>
              <w:widowControl w:val="0"/>
              <w:jc w:val="both"/>
              <w:rPr>
                <w:noProof/>
                <w:szCs w:val="22"/>
              </w:rPr>
            </w:pPr>
          </w:p>
        </w:tc>
        <w:tc>
          <w:tcPr>
            <w:tcW w:w="1275" w:type="pct"/>
            <w:vAlign w:val="center"/>
          </w:tcPr>
          <w:p w14:paraId="27716CBB" w14:textId="77777777" w:rsidR="00D86BB7" w:rsidRPr="00CC61C2" w:rsidRDefault="00D86BB7" w:rsidP="009D6AD4">
            <w:pPr>
              <w:widowControl w:val="0"/>
              <w:autoSpaceDE w:val="0"/>
              <w:autoSpaceDN w:val="0"/>
              <w:adjustRightInd w:val="0"/>
              <w:rPr>
                <w:szCs w:val="22"/>
              </w:rPr>
            </w:pPr>
            <w:r w:rsidRPr="00CC61C2">
              <w:rPr>
                <w:szCs w:val="22"/>
              </w:rPr>
              <w:t>Aplastična anemija</w:t>
            </w:r>
          </w:p>
        </w:tc>
        <w:tc>
          <w:tcPr>
            <w:tcW w:w="690" w:type="pct"/>
            <w:vAlign w:val="center"/>
          </w:tcPr>
          <w:p w14:paraId="4564FEDA" w14:textId="77777777" w:rsidR="00D86BB7" w:rsidRPr="00CC61C2" w:rsidRDefault="00D86BB7" w:rsidP="001237DA">
            <w:pPr>
              <w:widowControl w:val="0"/>
              <w:jc w:val="both"/>
              <w:rPr>
                <w:szCs w:val="22"/>
              </w:rPr>
            </w:pPr>
            <w:r w:rsidRPr="00CC61C2">
              <w:rPr>
                <w:szCs w:val="22"/>
              </w:rPr>
              <w:t>-</w:t>
            </w:r>
          </w:p>
        </w:tc>
        <w:tc>
          <w:tcPr>
            <w:tcW w:w="1088" w:type="pct"/>
            <w:vAlign w:val="center"/>
          </w:tcPr>
          <w:p w14:paraId="4E91BE85" w14:textId="77777777" w:rsidR="00D86BB7" w:rsidRPr="00CC61C2" w:rsidRDefault="00D86BB7" w:rsidP="001237DA">
            <w:pPr>
              <w:widowControl w:val="0"/>
              <w:jc w:val="both"/>
              <w:rPr>
                <w:szCs w:val="22"/>
              </w:rPr>
            </w:pPr>
            <w:r w:rsidRPr="00CC61C2">
              <w:rPr>
                <w:szCs w:val="22"/>
              </w:rPr>
              <w:t>Veoma rijetko</w:t>
            </w:r>
          </w:p>
        </w:tc>
        <w:tc>
          <w:tcPr>
            <w:tcW w:w="1004" w:type="pct"/>
            <w:vAlign w:val="center"/>
          </w:tcPr>
          <w:p w14:paraId="4846DF8A" w14:textId="77777777" w:rsidR="00D86BB7" w:rsidRPr="00CC61C2" w:rsidRDefault="00D86BB7" w:rsidP="001237DA">
            <w:pPr>
              <w:widowControl w:val="0"/>
              <w:jc w:val="both"/>
              <w:rPr>
                <w:szCs w:val="22"/>
              </w:rPr>
            </w:pPr>
            <w:r w:rsidRPr="00CC61C2">
              <w:rPr>
                <w:szCs w:val="22"/>
              </w:rPr>
              <w:t>-</w:t>
            </w:r>
          </w:p>
        </w:tc>
      </w:tr>
      <w:tr w:rsidR="00D86BB7" w:rsidRPr="00CC61C2" w14:paraId="239224D9" w14:textId="77777777" w:rsidTr="002C09D7">
        <w:tc>
          <w:tcPr>
            <w:tcW w:w="943" w:type="pct"/>
            <w:vMerge/>
            <w:shd w:val="clear" w:color="auto" w:fill="auto"/>
            <w:vAlign w:val="center"/>
          </w:tcPr>
          <w:p w14:paraId="6347E8E9" w14:textId="77777777" w:rsidR="00D86BB7" w:rsidRPr="00CC61C2" w:rsidRDefault="00D86BB7" w:rsidP="001237DA">
            <w:pPr>
              <w:widowControl w:val="0"/>
              <w:jc w:val="both"/>
              <w:rPr>
                <w:noProof/>
                <w:szCs w:val="22"/>
              </w:rPr>
            </w:pPr>
          </w:p>
        </w:tc>
        <w:tc>
          <w:tcPr>
            <w:tcW w:w="1275" w:type="pct"/>
            <w:vAlign w:val="center"/>
          </w:tcPr>
          <w:p w14:paraId="58BF316C" w14:textId="77777777" w:rsidR="00D86BB7" w:rsidRPr="00CC61C2" w:rsidRDefault="00D86BB7" w:rsidP="009D6AD4">
            <w:pPr>
              <w:widowControl w:val="0"/>
              <w:autoSpaceDE w:val="0"/>
              <w:autoSpaceDN w:val="0"/>
              <w:adjustRightInd w:val="0"/>
              <w:rPr>
                <w:szCs w:val="22"/>
              </w:rPr>
            </w:pPr>
            <w:r w:rsidRPr="00CC61C2">
              <w:rPr>
                <w:szCs w:val="22"/>
              </w:rPr>
              <w:t>Pancitopenija</w:t>
            </w:r>
          </w:p>
        </w:tc>
        <w:tc>
          <w:tcPr>
            <w:tcW w:w="690" w:type="pct"/>
            <w:vAlign w:val="center"/>
          </w:tcPr>
          <w:p w14:paraId="39D7E2F6" w14:textId="77777777" w:rsidR="00D86BB7" w:rsidRPr="00CC61C2" w:rsidRDefault="00D86BB7" w:rsidP="001237DA">
            <w:pPr>
              <w:widowControl w:val="0"/>
              <w:jc w:val="both"/>
              <w:rPr>
                <w:szCs w:val="22"/>
              </w:rPr>
            </w:pPr>
            <w:r w:rsidRPr="00CC61C2">
              <w:rPr>
                <w:szCs w:val="22"/>
              </w:rPr>
              <w:t>Veoma rijetko</w:t>
            </w:r>
          </w:p>
        </w:tc>
        <w:tc>
          <w:tcPr>
            <w:tcW w:w="1088" w:type="pct"/>
            <w:vAlign w:val="center"/>
          </w:tcPr>
          <w:p w14:paraId="2A2AD255" w14:textId="77777777" w:rsidR="00D86BB7" w:rsidRPr="00CC61C2" w:rsidRDefault="00D86BB7" w:rsidP="001237DA">
            <w:pPr>
              <w:widowControl w:val="0"/>
              <w:jc w:val="both"/>
              <w:rPr>
                <w:szCs w:val="22"/>
              </w:rPr>
            </w:pPr>
            <w:r w:rsidRPr="00CC61C2">
              <w:rPr>
                <w:szCs w:val="22"/>
              </w:rPr>
              <w:t>-</w:t>
            </w:r>
          </w:p>
        </w:tc>
        <w:tc>
          <w:tcPr>
            <w:tcW w:w="1004" w:type="pct"/>
            <w:vAlign w:val="center"/>
          </w:tcPr>
          <w:p w14:paraId="47D3CDFC" w14:textId="77777777" w:rsidR="00D86BB7" w:rsidRPr="00CC61C2" w:rsidRDefault="00D86BB7" w:rsidP="001237DA">
            <w:pPr>
              <w:widowControl w:val="0"/>
              <w:jc w:val="both"/>
              <w:rPr>
                <w:szCs w:val="22"/>
              </w:rPr>
            </w:pPr>
            <w:r w:rsidRPr="00CC61C2">
              <w:rPr>
                <w:szCs w:val="22"/>
              </w:rPr>
              <w:t>-</w:t>
            </w:r>
          </w:p>
        </w:tc>
      </w:tr>
      <w:tr w:rsidR="00D86BB7" w:rsidRPr="00CC61C2" w14:paraId="275B85BA" w14:textId="77777777" w:rsidTr="002C09D7">
        <w:tc>
          <w:tcPr>
            <w:tcW w:w="943" w:type="pct"/>
            <w:vMerge/>
            <w:shd w:val="clear" w:color="auto" w:fill="auto"/>
            <w:vAlign w:val="center"/>
          </w:tcPr>
          <w:p w14:paraId="389C6CAD" w14:textId="77777777" w:rsidR="00D86BB7" w:rsidRPr="00CC61C2" w:rsidRDefault="00D86BB7" w:rsidP="001237DA">
            <w:pPr>
              <w:widowControl w:val="0"/>
              <w:jc w:val="both"/>
              <w:rPr>
                <w:noProof/>
                <w:szCs w:val="22"/>
              </w:rPr>
            </w:pPr>
          </w:p>
        </w:tc>
        <w:tc>
          <w:tcPr>
            <w:tcW w:w="1275" w:type="pct"/>
            <w:vAlign w:val="center"/>
          </w:tcPr>
          <w:p w14:paraId="64020C80" w14:textId="77777777" w:rsidR="00D86BB7" w:rsidRPr="00CC61C2" w:rsidRDefault="00D86BB7" w:rsidP="009D6AD4">
            <w:pPr>
              <w:widowControl w:val="0"/>
              <w:autoSpaceDE w:val="0"/>
              <w:autoSpaceDN w:val="0"/>
              <w:adjustRightInd w:val="0"/>
              <w:rPr>
                <w:szCs w:val="22"/>
              </w:rPr>
            </w:pPr>
            <w:r w:rsidRPr="00CC61C2">
              <w:rPr>
                <w:szCs w:val="22"/>
              </w:rPr>
              <w:t>Hemolitička anemija</w:t>
            </w:r>
          </w:p>
        </w:tc>
        <w:tc>
          <w:tcPr>
            <w:tcW w:w="690" w:type="pct"/>
            <w:vAlign w:val="center"/>
          </w:tcPr>
          <w:p w14:paraId="3DA67AAB" w14:textId="77777777" w:rsidR="00D86BB7" w:rsidRPr="00CC61C2" w:rsidRDefault="00D86BB7" w:rsidP="001237DA">
            <w:pPr>
              <w:widowControl w:val="0"/>
              <w:jc w:val="both"/>
              <w:rPr>
                <w:szCs w:val="22"/>
              </w:rPr>
            </w:pPr>
            <w:r w:rsidRPr="00CC61C2">
              <w:rPr>
                <w:szCs w:val="22"/>
              </w:rPr>
              <w:t>Veoma rijetko</w:t>
            </w:r>
          </w:p>
        </w:tc>
        <w:tc>
          <w:tcPr>
            <w:tcW w:w="1088" w:type="pct"/>
            <w:vAlign w:val="center"/>
          </w:tcPr>
          <w:p w14:paraId="36BCC8BD" w14:textId="77777777" w:rsidR="00D86BB7" w:rsidRPr="00CC61C2" w:rsidRDefault="00D86BB7" w:rsidP="001237DA">
            <w:pPr>
              <w:widowControl w:val="0"/>
              <w:jc w:val="both"/>
              <w:rPr>
                <w:szCs w:val="22"/>
              </w:rPr>
            </w:pPr>
            <w:r w:rsidRPr="00CC61C2">
              <w:rPr>
                <w:szCs w:val="22"/>
              </w:rPr>
              <w:t>Veoma rijetko</w:t>
            </w:r>
          </w:p>
        </w:tc>
        <w:tc>
          <w:tcPr>
            <w:tcW w:w="1004" w:type="pct"/>
            <w:vAlign w:val="center"/>
          </w:tcPr>
          <w:p w14:paraId="036DD39B" w14:textId="77777777" w:rsidR="00D86BB7" w:rsidRPr="00CC61C2" w:rsidRDefault="00D86BB7" w:rsidP="001237DA">
            <w:pPr>
              <w:widowControl w:val="0"/>
              <w:jc w:val="both"/>
              <w:rPr>
                <w:szCs w:val="22"/>
              </w:rPr>
            </w:pPr>
            <w:r w:rsidRPr="00CC61C2">
              <w:rPr>
                <w:szCs w:val="22"/>
              </w:rPr>
              <w:t>-</w:t>
            </w:r>
          </w:p>
        </w:tc>
      </w:tr>
      <w:tr w:rsidR="00D86BB7" w:rsidRPr="00CC61C2" w14:paraId="41CA00D4" w14:textId="77777777" w:rsidTr="002C09D7">
        <w:tc>
          <w:tcPr>
            <w:tcW w:w="943" w:type="pct"/>
            <w:vMerge/>
            <w:shd w:val="clear" w:color="auto" w:fill="auto"/>
            <w:vAlign w:val="center"/>
          </w:tcPr>
          <w:p w14:paraId="7D25EEAF" w14:textId="77777777" w:rsidR="00D86BB7" w:rsidRPr="00CC61C2" w:rsidRDefault="00D86BB7" w:rsidP="001237DA">
            <w:pPr>
              <w:widowControl w:val="0"/>
              <w:jc w:val="both"/>
              <w:rPr>
                <w:noProof/>
                <w:szCs w:val="22"/>
              </w:rPr>
            </w:pPr>
          </w:p>
        </w:tc>
        <w:tc>
          <w:tcPr>
            <w:tcW w:w="1275" w:type="pct"/>
            <w:vAlign w:val="center"/>
          </w:tcPr>
          <w:p w14:paraId="33429FAB" w14:textId="77777777" w:rsidR="00D86BB7" w:rsidRPr="00CC61C2" w:rsidRDefault="00D86BB7" w:rsidP="009D6AD4">
            <w:pPr>
              <w:widowControl w:val="0"/>
              <w:autoSpaceDE w:val="0"/>
              <w:autoSpaceDN w:val="0"/>
              <w:adjustRightInd w:val="0"/>
              <w:rPr>
                <w:szCs w:val="22"/>
                <w:highlight w:val="yellow"/>
              </w:rPr>
            </w:pPr>
            <w:r w:rsidRPr="00CC61C2">
              <w:rPr>
                <w:szCs w:val="22"/>
              </w:rPr>
              <w:t>Anemija (vidjeti dio 4.4) je prijavljena sa inhibitorima angiotenzin konvertujućeg enzima u specifičnim okolnostima (pacijenti koji su imali transplantaciju bubrega, pacijenti na hemodijalizi)</w:t>
            </w:r>
          </w:p>
        </w:tc>
        <w:tc>
          <w:tcPr>
            <w:tcW w:w="690" w:type="pct"/>
            <w:vAlign w:val="center"/>
          </w:tcPr>
          <w:p w14:paraId="1DF432C6" w14:textId="77777777" w:rsidR="00D86BB7" w:rsidRPr="00CC61C2" w:rsidRDefault="00D86BB7" w:rsidP="001237DA">
            <w:pPr>
              <w:widowControl w:val="0"/>
              <w:jc w:val="both"/>
              <w:rPr>
                <w:szCs w:val="22"/>
              </w:rPr>
            </w:pPr>
            <w:r w:rsidRPr="00CC61C2">
              <w:rPr>
                <w:szCs w:val="22"/>
              </w:rPr>
              <w:t>Veoma rijetko</w:t>
            </w:r>
          </w:p>
        </w:tc>
        <w:tc>
          <w:tcPr>
            <w:tcW w:w="1088" w:type="pct"/>
            <w:vAlign w:val="center"/>
          </w:tcPr>
          <w:p w14:paraId="3C4C8CA1" w14:textId="77777777" w:rsidR="00D86BB7" w:rsidRPr="00CC61C2" w:rsidRDefault="00D86BB7" w:rsidP="001237DA">
            <w:pPr>
              <w:widowControl w:val="0"/>
              <w:jc w:val="both"/>
              <w:rPr>
                <w:szCs w:val="22"/>
              </w:rPr>
            </w:pPr>
            <w:r w:rsidRPr="00CC61C2">
              <w:rPr>
                <w:szCs w:val="22"/>
              </w:rPr>
              <w:t>Veoma rijteko</w:t>
            </w:r>
          </w:p>
        </w:tc>
        <w:tc>
          <w:tcPr>
            <w:tcW w:w="1004" w:type="pct"/>
            <w:vAlign w:val="center"/>
          </w:tcPr>
          <w:p w14:paraId="5FBBC6E4" w14:textId="77777777" w:rsidR="00D86BB7" w:rsidRPr="00CC61C2" w:rsidRDefault="00D86BB7" w:rsidP="001237DA">
            <w:pPr>
              <w:widowControl w:val="0"/>
              <w:jc w:val="both"/>
              <w:rPr>
                <w:szCs w:val="22"/>
              </w:rPr>
            </w:pPr>
            <w:r w:rsidRPr="00CC61C2">
              <w:rPr>
                <w:szCs w:val="22"/>
              </w:rPr>
              <w:t>-</w:t>
            </w:r>
          </w:p>
        </w:tc>
      </w:tr>
      <w:tr w:rsidR="00D86BB7" w:rsidRPr="00CC61C2" w14:paraId="6978288A" w14:textId="77777777" w:rsidTr="002C09D7">
        <w:tc>
          <w:tcPr>
            <w:tcW w:w="943" w:type="pct"/>
            <w:shd w:val="clear" w:color="auto" w:fill="auto"/>
            <w:vAlign w:val="center"/>
          </w:tcPr>
          <w:p w14:paraId="7D8EA359" w14:textId="77777777" w:rsidR="00D86BB7" w:rsidRPr="00CC61C2" w:rsidRDefault="00D86BB7" w:rsidP="001237DA">
            <w:pPr>
              <w:widowControl w:val="0"/>
              <w:jc w:val="both"/>
              <w:rPr>
                <w:szCs w:val="22"/>
              </w:rPr>
            </w:pPr>
            <w:r w:rsidRPr="00CC61C2">
              <w:rPr>
                <w:b/>
                <w:bCs/>
                <w:noProof/>
                <w:szCs w:val="22"/>
              </w:rPr>
              <w:t>Imunološki poremećaji</w:t>
            </w:r>
          </w:p>
        </w:tc>
        <w:tc>
          <w:tcPr>
            <w:tcW w:w="1275" w:type="pct"/>
            <w:vAlign w:val="center"/>
          </w:tcPr>
          <w:p w14:paraId="641D8178" w14:textId="77777777" w:rsidR="00D86BB7" w:rsidRPr="00CC61C2" w:rsidRDefault="00D86BB7" w:rsidP="009D6AD4">
            <w:pPr>
              <w:widowControl w:val="0"/>
              <w:rPr>
                <w:szCs w:val="22"/>
              </w:rPr>
            </w:pPr>
            <w:r w:rsidRPr="00CC61C2">
              <w:rPr>
                <w:szCs w:val="22"/>
              </w:rPr>
              <w:t>Preosjetljivost (reakcije, uglavnom dermatološke, kod osoba sa predispozicijom za alergijske i astmatične reakcije)</w:t>
            </w:r>
          </w:p>
        </w:tc>
        <w:tc>
          <w:tcPr>
            <w:tcW w:w="690" w:type="pct"/>
            <w:vAlign w:val="center"/>
          </w:tcPr>
          <w:p w14:paraId="5AFCC769" w14:textId="77777777" w:rsidR="00D86BB7" w:rsidRPr="00CC61C2" w:rsidRDefault="00D86BB7" w:rsidP="001237DA">
            <w:pPr>
              <w:widowControl w:val="0"/>
              <w:jc w:val="both"/>
              <w:rPr>
                <w:szCs w:val="22"/>
              </w:rPr>
            </w:pPr>
            <w:r w:rsidRPr="00CC61C2">
              <w:rPr>
                <w:szCs w:val="22"/>
              </w:rPr>
              <w:t>-</w:t>
            </w:r>
          </w:p>
        </w:tc>
        <w:tc>
          <w:tcPr>
            <w:tcW w:w="1088" w:type="pct"/>
            <w:vAlign w:val="center"/>
          </w:tcPr>
          <w:p w14:paraId="2E7AF9C9" w14:textId="77777777" w:rsidR="00D86BB7" w:rsidRPr="00CC61C2" w:rsidRDefault="00D86BB7" w:rsidP="001237DA">
            <w:pPr>
              <w:widowControl w:val="0"/>
              <w:jc w:val="both"/>
              <w:rPr>
                <w:szCs w:val="22"/>
              </w:rPr>
            </w:pPr>
            <w:r w:rsidRPr="00CC61C2">
              <w:rPr>
                <w:szCs w:val="22"/>
              </w:rPr>
              <w:t>Često</w:t>
            </w:r>
          </w:p>
        </w:tc>
        <w:tc>
          <w:tcPr>
            <w:tcW w:w="1004" w:type="pct"/>
            <w:vAlign w:val="center"/>
          </w:tcPr>
          <w:p w14:paraId="3ECD6A6A" w14:textId="77777777" w:rsidR="00D86BB7" w:rsidRPr="00CC61C2" w:rsidRDefault="00D86BB7" w:rsidP="001237DA">
            <w:pPr>
              <w:widowControl w:val="0"/>
              <w:jc w:val="both"/>
              <w:rPr>
                <w:szCs w:val="22"/>
              </w:rPr>
            </w:pPr>
            <w:r w:rsidRPr="00CC61C2">
              <w:rPr>
                <w:szCs w:val="22"/>
              </w:rPr>
              <w:t>Veoma rijetko</w:t>
            </w:r>
          </w:p>
        </w:tc>
      </w:tr>
      <w:tr w:rsidR="00D86BB7" w:rsidRPr="00CC61C2" w14:paraId="12E001FE" w14:textId="77777777" w:rsidTr="002C09D7">
        <w:tc>
          <w:tcPr>
            <w:tcW w:w="943" w:type="pct"/>
            <w:shd w:val="clear" w:color="auto" w:fill="auto"/>
            <w:vAlign w:val="center"/>
          </w:tcPr>
          <w:p w14:paraId="41B833A3" w14:textId="77777777" w:rsidR="00D86BB7" w:rsidRPr="00CC61C2" w:rsidRDefault="00D86BB7" w:rsidP="001237DA">
            <w:pPr>
              <w:widowControl w:val="0"/>
              <w:jc w:val="both"/>
              <w:rPr>
                <w:b/>
                <w:bCs/>
                <w:noProof/>
                <w:szCs w:val="22"/>
              </w:rPr>
            </w:pPr>
            <w:r w:rsidRPr="00CC61C2">
              <w:rPr>
                <w:b/>
                <w:noProof/>
                <w:szCs w:val="22"/>
              </w:rPr>
              <w:t>Endokrini poremećaji</w:t>
            </w:r>
          </w:p>
        </w:tc>
        <w:tc>
          <w:tcPr>
            <w:tcW w:w="1275" w:type="pct"/>
            <w:vAlign w:val="center"/>
          </w:tcPr>
          <w:p w14:paraId="52A1D792" w14:textId="77777777" w:rsidR="00D86BB7" w:rsidRPr="00CC61C2" w:rsidRDefault="00D86BB7" w:rsidP="009D6AD4">
            <w:pPr>
              <w:widowControl w:val="0"/>
              <w:rPr>
                <w:szCs w:val="22"/>
              </w:rPr>
            </w:pPr>
            <w:r w:rsidRPr="00CC61C2">
              <w:rPr>
                <w:szCs w:val="22"/>
              </w:rPr>
              <w:t>Sindrom neadekvatnog lučenja antidiuretskog hormona (eng. SIADH)</w:t>
            </w:r>
          </w:p>
        </w:tc>
        <w:tc>
          <w:tcPr>
            <w:tcW w:w="690" w:type="pct"/>
            <w:vAlign w:val="center"/>
          </w:tcPr>
          <w:p w14:paraId="25D7D056" w14:textId="77777777" w:rsidR="00D86BB7" w:rsidRPr="00CC61C2" w:rsidRDefault="00D86BB7" w:rsidP="001237DA">
            <w:pPr>
              <w:widowControl w:val="0"/>
              <w:jc w:val="both"/>
              <w:rPr>
                <w:szCs w:val="22"/>
                <w:highlight w:val="yellow"/>
              </w:rPr>
            </w:pPr>
            <w:r w:rsidRPr="00CC61C2">
              <w:rPr>
                <w:szCs w:val="22"/>
              </w:rPr>
              <w:t>Rijetko</w:t>
            </w:r>
          </w:p>
        </w:tc>
        <w:tc>
          <w:tcPr>
            <w:tcW w:w="1088" w:type="pct"/>
            <w:vAlign w:val="center"/>
          </w:tcPr>
          <w:p w14:paraId="636033FA" w14:textId="77777777" w:rsidR="00D86BB7" w:rsidRPr="00CC61C2" w:rsidRDefault="00D86BB7" w:rsidP="001237DA">
            <w:pPr>
              <w:widowControl w:val="0"/>
              <w:jc w:val="both"/>
              <w:rPr>
                <w:szCs w:val="22"/>
              </w:rPr>
            </w:pPr>
            <w:r w:rsidRPr="00CC61C2">
              <w:rPr>
                <w:szCs w:val="22"/>
              </w:rPr>
              <w:t>-</w:t>
            </w:r>
          </w:p>
        </w:tc>
        <w:tc>
          <w:tcPr>
            <w:tcW w:w="1004" w:type="pct"/>
            <w:vAlign w:val="center"/>
          </w:tcPr>
          <w:p w14:paraId="7CB6FB9F" w14:textId="77777777" w:rsidR="00D86BB7" w:rsidRPr="00CC61C2" w:rsidRDefault="00D86BB7" w:rsidP="001237DA">
            <w:pPr>
              <w:widowControl w:val="0"/>
              <w:jc w:val="both"/>
              <w:rPr>
                <w:szCs w:val="22"/>
              </w:rPr>
            </w:pPr>
            <w:r w:rsidRPr="00CC61C2">
              <w:rPr>
                <w:szCs w:val="22"/>
              </w:rPr>
              <w:t>-</w:t>
            </w:r>
          </w:p>
        </w:tc>
      </w:tr>
      <w:tr w:rsidR="00D86BB7" w:rsidRPr="00CC61C2" w14:paraId="23770FEF" w14:textId="77777777" w:rsidTr="002C09D7">
        <w:tc>
          <w:tcPr>
            <w:tcW w:w="943" w:type="pct"/>
            <w:vMerge w:val="restart"/>
            <w:shd w:val="clear" w:color="auto" w:fill="auto"/>
            <w:vAlign w:val="center"/>
          </w:tcPr>
          <w:p w14:paraId="36B9313C" w14:textId="77777777" w:rsidR="00D86BB7" w:rsidRPr="00CC61C2" w:rsidRDefault="00D86BB7" w:rsidP="009D6AD4">
            <w:pPr>
              <w:widowControl w:val="0"/>
              <w:tabs>
                <w:tab w:val="center" w:pos="4536"/>
                <w:tab w:val="right" w:pos="9072"/>
              </w:tabs>
              <w:rPr>
                <w:szCs w:val="22"/>
              </w:rPr>
            </w:pPr>
            <w:r w:rsidRPr="00CC61C2">
              <w:rPr>
                <w:b/>
                <w:bCs/>
                <w:noProof/>
                <w:szCs w:val="22"/>
              </w:rPr>
              <w:t xml:space="preserve">Poremećaji metabolizma i ishrane </w:t>
            </w:r>
          </w:p>
        </w:tc>
        <w:tc>
          <w:tcPr>
            <w:tcW w:w="1275" w:type="pct"/>
            <w:vAlign w:val="center"/>
          </w:tcPr>
          <w:p w14:paraId="79A29AF8" w14:textId="77777777" w:rsidR="00D86BB7" w:rsidRPr="00CC61C2" w:rsidRDefault="00D86BB7" w:rsidP="009D6AD4">
            <w:pPr>
              <w:widowControl w:val="0"/>
              <w:rPr>
                <w:szCs w:val="22"/>
              </w:rPr>
            </w:pPr>
            <w:r w:rsidRPr="00CC61C2">
              <w:rPr>
                <w:szCs w:val="22"/>
              </w:rPr>
              <w:t xml:space="preserve">Hipoglikemija (vidjeti </w:t>
            </w:r>
            <w:r w:rsidRPr="00CC61C2">
              <w:rPr>
                <w:noProof/>
                <w:szCs w:val="22"/>
              </w:rPr>
              <w:t>djelove</w:t>
            </w:r>
            <w:r w:rsidRPr="00CC61C2">
              <w:rPr>
                <w:szCs w:val="22"/>
              </w:rPr>
              <w:t xml:space="preserve"> 4.4. i 4.5.)</w:t>
            </w:r>
          </w:p>
        </w:tc>
        <w:tc>
          <w:tcPr>
            <w:tcW w:w="690" w:type="pct"/>
            <w:vAlign w:val="center"/>
          </w:tcPr>
          <w:p w14:paraId="6E200391" w14:textId="77777777" w:rsidR="00D86BB7" w:rsidRPr="00CC61C2" w:rsidRDefault="00D86BB7" w:rsidP="001237DA">
            <w:pPr>
              <w:jc w:val="both"/>
              <w:rPr>
                <w:szCs w:val="22"/>
              </w:rPr>
            </w:pPr>
            <w:r w:rsidRPr="00CC61C2">
              <w:rPr>
                <w:szCs w:val="22"/>
              </w:rPr>
              <w:t>Povremeno*</w:t>
            </w:r>
          </w:p>
        </w:tc>
        <w:tc>
          <w:tcPr>
            <w:tcW w:w="1088" w:type="pct"/>
            <w:vAlign w:val="center"/>
          </w:tcPr>
          <w:p w14:paraId="5D35CC08" w14:textId="77777777" w:rsidR="00D86BB7" w:rsidRPr="00CC61C2" w:rsidDel="008C6BC6" w:rsidRDefault="00D86BB7" w:rsidP="001237DA">
            <w:pPr>
              <w:widowControl w:val="0"/>
              <w:jc w:val="both"/>
              <w:rPr>
                <w:szCs w:val="22"/>
              </w:rPr>
            </w:pPr>
            <w:r w:rsidRPr="00CC61C2">
              <w:rPr>
                <w:szCs w:val="22"/>
              </w:rPr>
              <w:t>-</w:t>
            </w:r>
          </w:p>
        </w:tc>
        <w:tc>
          <w:tcPr>
            <w:tcW w:w="1004" w:type="pct"/>
            <w:vAlign w:val="center"/>
          </w:tcPr>
          <w:p w14:paraId="73E14092" w14:textId="77777777" w:rsidR="00D86BB7" w:rsidRPr="00CC61C2" w:rsidRDefault="00D86BB7" w:rsidP="001237DA">
            <w:pPr>
              <w:widowControl w:val="0"/>
              <w:jc w:val="both"/>
              <w:rPr>
                <w:szCs w:val="22"/>
              </w:rPr>
            </w:pPr>
            <w:r w:rsidRPr="00CC61C2">
              <w:rPr>
                <w:szCs w:val="22"/>
              </w:rPr>
              <w:t>-</w:t>
            </w:r>
          </w:p>
        </w:tc>
      </w:tr>
      <w:tr w:rsidR="00D86BB7" w:rsidRPr="00CC61C2" w14:paraId="0AF443A0" w14:textId="77777777" w:rsidTr="002C09D7">
        <w:tc>
          <w:tcPr>
            <w:tcW w:w="943" w:type="pct"/>
            <w:vMerge/>
            <w:shd w:val="clear" w:color="auto" w:fill="auto"/>
            <w:vAlign w:val="center"/>
          </w:tcPr>
          <w:p w14:paraId="29AB1712" w14:textId="77777777" w:rsidR="00D86BB7" w:rsidRPr="00CC61C2" w:rsidRDefault="00D86BB7" w:rsidP="001237DA">
            <w:pPr>
              <w:widowControl w:val="0"/>
              <w:tabs>
                <w:tab w:val="center" w:pos="4536"/>
                <w:tab w:val="right" w:pos="9072"/>
              </w:tabs>
              <w:jc w:val="both"/>
              <w:rPr>
                <w:szCs w:val="22"/>
              </w:rPr>
            </w:pPr>
          </w:p>
        </w:tc>
        <w:tc>
          <w:tcPr>
            <w:tcW w:w="1275" w:type="pct"/>
            <w:vAlign w:val="center"/>
          </w:tcPr>
          <w:p w14:paraId="23A0DFD0" w14:textId="5208AF11" w:rsidR="00D86BB7" w:rsidRPr="00CC61C2" w:rsidRDefault="00D86BB7" w:rsidP="009D6AD4">
            <w:pPr>
              <w:widowControl w:val="0"/>
              <w:rPr>
                <w:szCs w:val="22"/>
              </w:rPr>
            </w:pPr>
            <w:r w:rsidRPr="00CC61C2">
              <w:rPr>
                <w:szCs w:val="22"/>
              </w:rPr>
              <w:t>Hiperkal</w:t>
            </w:r>
            <w:r w:rsidR="00FD1B2D">
              <w:rPr>
                <w:szCs w:val="22"/>
              </w:rPr>
              <w:t>ij</w:t>
            </w:r>
            <w:r w:rsidRPr="00CC61C2">
              <w:rPr>
                <w:szCs w:val="22"/>
              </w:rPr>
              <w:t xml:space="preserve">emija, reverzibilna po obustavi lijeka (vidjeti </w:t>
            </w:r>
            <w:r w:rsidRPr="00CC61C2">
              <w:rPr>
                <w:noProof/>
                <w:szCs w:val="22"/>
              </w:rPr>
              <w:t>dio</w:t>
            </w:r>
            <w:r w:rsidRPr="00CC61C2">
              <w:rPr>
                <w:szCs w:val="22"/>
              </w:rPr>
              <w:t xml:space="preserve"> 4.4.)</w:t>
            </w:r>
          </w:p>
        </w:tc>
        <w:tc>
          <w:tcPr>
            <w:tcW w:w="690" w:type="pct"/>
            <w:vAlign w:val="center"/>
          </w:tcPr>
          <w:p w14:paraId="6DB6F2F8" w14:textId="77777777" w:rsidR="00D86BB7" w:rsidRPr="00CC61C2" w:rsidRDefault="00D86BB7" w:rsidP="001237DA">
            <w:pPr>
              <w:jc w:val="both"/>
              <w:rPr>
                <w:szCs w:val="22"/>
              </w:rPr>
            </w:pPr>
            <w:r w:rsidRPr="00CC61C2">
              <w:rPr>
                <w:szCs w:val="22"/>
              </w:rPr>
              <w:t>Povremeno*</w:t>
            </w:r>
          </w:p>
        </w:tc>
        <w:tc>
          <w:tcPr>
            <w:tcW w:w="1088" w:type="pct"/>
            <w:vAlign w:val="center"/>
          </w:tcPr>
          <w:p w14:paraId="1E940E14" w14:textId="77777777" w:rsidR="00D86BB7" w:rsidRPr="00CC61C2" w:rsidRDefault="00D86BB7" w:rsidP="001237DA">
            <w:pPr>
              <w:widowControl w:val="0"/>
              <w:jc w:val="both"/>
              <w:rPr>
                <w:szCs w:val="22"/>
              </w:rPr>
            </w:pPr>
            <w:r w:rsidRPr="00CC61C2">
              <w:rPr>
                <w:szCs w:val="22"/>
              </w:rPr>
              <w:t>-</w:t>
            </w:r>
          </w:p>
        </w:tc>
        <w:tc>
          <w:tcPr>
            <w:tcW w:w="1004" w:type="pct"/>
            <w:vAlign w:val="center"/>
          </w:tcPr>
          <w:p w14:paraId="30ECE404" w14:textId="77777777" w:rsidR="00D86BB7" w:rsidRPr="00CC61C2" w:rsidRDefault="00D86BB7" w:rsidP="001237DA">
            <w:pPr>
              <w:widowControl w:val="0"/>
              <w:jc w:val="both"/>
              <w:rPr>
                <w:szCs w:val="22"/>
              </w:rPr>
            </w:pPr>
            <w:r w:rsidRPr="00CC61C2">
              <w:rPr>
                <w:szCs w:val="22"/>
              </w:rPr>
              <w:t>-</w:t>
            </w:r>
          </w:p>
        </w:tc>
      </w:tr>
      <w:tr w:rsidR="00D86BB7" w:rsidRPr="00CC61C2" w14:paraId="76992700" w14:textId="77777777" w:rsidTr="002C09D7">
        <w:tc>
          <w:tcPr>
            <w:tcW w:w="943" w:type="pct"/>
            <w:vMerge/>
            <w:shd w:val="clear" w:color="auto" w:fill="auto"/>
            <w:vAlign w:val="center"/>
          </w:tcPr>
          <w:p w14:paraId="57D30041" w14:textId="77777777" w:rsidR="00D86BB7" w:rsidRPr="00CC61C2" w:rsidRDefault="00D86BB7" w:rsidP="001237DA">
            <w:pPr>
              <w:widowControl w:val="0"/>
              <w:tabs>
                <w:tab w:val="center" w:pos="4536"/>
                <w:tab w:val="right" w:pos="9072"/>
              </w:tabs>
              <w:jc w:val="both"/>
              <w:rPr>
                <w:szCs w:val="22"/>
              </w:rPr>
            </w:pPr>
          </w:p>
        </w:tc>
        <w:tc>
          <w:tcPr>
            <w:tcW w:w="1275" w:type="pct"/>
            <w:vAlign w:val="center"/>
          </w:tcPr>
          <w:p w14:paraId="54BDA11E" w14:textId="6EA90813" w:rsidR="00D86BB7" w:rsidRPr="00CC61C2" w:rsidRDefault="00D86BB7" w:rsidP="009D6AD4">
            <w:pPr>
              <w:widowControl w:val="0"/>
              <w:rPr>
                <w:szCs w:val="22"/>
              </w:rPr>
            </w:pPr>
            <w:r w:rsidRPr="00CC61C2">
              <w:rPr>
                <w:szCs w:val="22"/>
              </w:rPr>
              <w:t>Hiponatr</w:t>
            </w:r>
            <w:r w:rsidR="00863AFB">
              <w:rPr>
                <w:szCs w:val="22"/>
              </w:rPr>
              <w:t>ij</w:t>
            </w:r>
            <w:r w:rsidRPr="00CC61C2">
              <w:rPr>
                <w:szCs w:val="22"/>
              </w:rPr>
              <w:t xml:space="preserve">emija (vidjeti </w:t>
            </w:r>
            <w:r w:rsidRPr="00CC61C2">
              <w:rPr>
                <w:noProof/>
                <w:szCs w:val="22"/>
              </w:rPr>
              <w:t>dio</w:t>
            </w:r>
            <w:r w:rsidRPr="00CC61C2">
              <w:rPr>
                <w:szCs w:val="22"/>
              </w:rPr>
              <w:t xml:space="preserve"> 4.4.)</w:t>
            </w:r>
          </w:p>
        </w:tc>
        <w:tc>
          <w:tcPr>
            <w:tcW w:w="690" w:type="pct"/>
            <w:vAlign w:val="center"/>
          </w:tcPr>
          <w:p w14:paraId="09DADE22" w14:textId="77777777" w:rsidR="00D86BB7" w:rsidRPr="00CC61C2" w:rsidRDefault="00D86BB7" w:rsidP="001237DA">
            <w:pPr>
              <w:jc w:val="both"/>
              <w:rPr>
                <w:szCs w:val="22"/>
              </w:rPr>
            </w:pPr>
            <w:r w:rsidRPr="00CC61C2">
              <w:rPr>
                <w:szCs w:val="22"/>
              </w:rPr>
              <w:t>Povremeno*</w:t>
            </w:r>
          </w:p>
        </w:tc>
        <w:tc>
          <w:tcPr>
            <w:tcW w:w="1088" w:type="pct"/>
            <w:vAlign w:val="center"/>
          </w:tcPr>
          <w:p w14:paraId="2C8876D9" w14:textId="77777777" w:rsidR="00D86BB7" w:rsidRPr="00CC61C2" w:rsidRDefault="00D86BB7" w:rsidP="001237DA">
            <w:pPr>
              <w:widowControl w:val="0"/>
              <w:jc w:val="both"/>
              <w:rPr>
                <w:szCs w:val="22"/>
              </w:rPr>
            </w:pPr>
            <w:r w:rsidRPr="00CC61C2">
              <w:rPr>
                <w:szCs w:val="22"/>
              </w:rPr>
              <w:t>Povremeno</w:t>
            </w:r>
          </w:p>
        </w:tc>
        <w:tc>
          <w:tcPr>
            <w:tcW w:w="1004" w:type="pct"/>
            <w:vAlign w:val="center"/>
          </w:tcPr>
          <w:p w14:paraId="0A443B07" w14:textId="77777777" w:rsidR="00D86BB7" w:rsidRPr="00CC61C2" w:rsidRDefault="00D86BB7" w:rsidP="001237DA">
            <w:pPr>
              <w:widowControl w:val="0"/>
              <w:jc w:val="both"/>
              <w:rPr>
                <w:szCs w:val="22"/>
              </w:rPr>
            </w:pPr>
            <w:r w:rsidRPr="00CC61C2">
              <w:rPr>
                <w:szCs w:val="22"/>
              </w:rPr>
              <w:t>-</w:t>
            </w:r>
          </w:p>
        </w:tc>
      </w:tr>
      <w:tr w:rsidR="00D86BB7" w:rsidRPr="00CC61C2" w14:paraId="38DC4685" w14:textId="77777777" w:rsidTr="002C09D7">
        <w:tc>
          <w:tcPr>
            <w:tcW w:w="943" w:type="pct"/>
            <w:vMerge/>
            <w:shd w:val="clear" w:color="auto" w:fill="auto"/>
            <w:vAlign w:val="center"/>
          </w:tcPr>
          <w:p w14:paraId="6C7A1253" w14:textId="77777777" w:rsidR="00D86BB7" w:rsidRPr="00CC61C2" w:rsidRDefault="00D86BB7" w:rsidP="001237DA">
            <w:pPr>
              <w:widowControl w:val="0"/>
              <w:tabs>
                <w:tab w:val="center" w:pos="4536"/>
                <w:tab w:val="right" w:pos="9072"/>
              </w:tabs>
              <w:jc w:val="both"/>
              <w:rPr>
                <w:noProof/>
                <w:szCs w:val="22"/>
              </w:rPr>
            </w:pPr>
          </w:p>
        </w:tc>
        <w:tc>
          <w:tcPr>
            <w:tcW w:w="1275" w:type="pct"/>
            <w:vAlign w:val="center"/>
          </w:tcPr>
          <w:p w14:paraId="221DE693" w14:textId="77777777" w:rsidR="00D86BB7" w:rsidRPr="00CC61C2" w:rsidRDefault="00D86BB7" w:rsidP="009D6AD4">
            <w:pPr>
              <w:widowControl w:val="0"/>
              <w:rPr>
                <w:szCs w:val="22"/>
              </w:rPr>
            </w:pPr>
            <w:r w:rsidRPr="00CC61C2">
              <w:rPr>
                <w:szCs w:val="22"/>
              </w:rPr>
              <w:t>Hiperglikemija</w:t>
            </w:r>
          </w:p>
        </w:tc>
        <w:tc>
          <w:tcPr>
            <w:tcW w:w="690" w:type="pct"/>
            <w:vAlign w:val="center"/>
          </w:tcPr>
          <w:p w14:paraId="702368F2" w14:textId="77777777" w:rsidR="00D86BB7" w:rsidRPr="00CC61C2" w:rsidRDefault="00D86BB7" w:rsidP="001237DA">
            <w:pPr>
              <w:widowControl w:val="0"/>
              <w:jc w:val="both"/>
              <w:rPr>
                <w:szCs w:val="22"/>
              </w:rPr>
            </w:pPr>
            <w:r w:rsidRPr="00CC61C2">
              <w:rPr>
                <w:szCs w:val="22"/>
              </w:rPr>
              <w:t>-</w:t>
            </w:r>
          </w:p>
        </w:tc>
        <w:tc>
          <w:tcPr>
            <w:tcW w:w="1088" w:type="pct"/>
            <w:vAlign w:val="center"/>
          </w:tcPr>
          <w:p w14:paraId="197DFA10" w14:textId="77777777" w:rsidR="00D86BB7" w:rsidRPr="00CC61C2" w:rsidRDefault="00D86BB7" w:rsidP="001237DA">
            <w:pPr>
              <w:widowControl w:val="0"/>
              <w:jc w:val="both"/>
              <w:rPr>
                <w:szCs w:val="22"/>
              </w:rPr>
            </w:pPr>
            <w:r w:rsidRPr="00CC61C2">
              <w:rPr>
                <w:szCs w:val="22"/>
              </w:rPr>
              <w:t>Nepoznato</w:t>
            </w:r>
          </w:p>
        </w:tc>
        <w:tc>
          <w:tcPr>
            <w:tcW w:w="1004" w:type="pct"/>
            <w:vAlign w:val="center"/>
          </w:tcPr>
          <w:p w14:paraId="10EEEBE4" w14:textId="77777777" w:rsidR="00D86BB7" w:rsidRPr="00CC61C2" w:rsidRDefault="00D86BB7" w:rsidP="001237DA">
            <w:pPr>
              <w:widowControl w:val="0"/>
              <w:jc w:val="both"/>
              <w:rPr>
                <w:szCs w:val="22"/>
              </w:rPr>
            </w:pPr>
            <w:r w:rsidRPr="00CC61C2">
              <w:rPr>
                <w:szCs w:val="22"/>
              </w:rPr>
              <w:t>Veoma rijetko</w:t>
            </w:r>
          </w:p>
        </w:tc>
      </w:tr>
      <w:tr w:rsidR="00592131" w:rsidRPr="00CC61C2" w14:paraId="4FA2B7EF" w14:textId="77777777" w:rsidTr="002C09D7">
        <w:tc>
          <w:tcPr>
            <w:tcW w:w="943" w:type="pct"/>
            <w:vMerge/>
            <w:shd w:val="clear" w:color="auto" w:fill="auto"/>
            <w:vAlign w:val="center"/>
          </w:tcPr>
          <w:p w14:paraId="758A3B19" w14:textId="77777777" w:rsidR="00592131" w:rsidRPr="00CC61C2" w:rsidRDefault="00592131" w:rsidP="001237DA">
            <w:pPr>
              <w:widowControl w:val="0"/>
              <w:tabs>
                <w:tab w:val="center" w:pos="4536"/>
                <w:tab w:val="right" w:pos="9072"/>
              </w:tabs>
              <w:jc w:val="both"/>
              <w:rPr>
                <w:szCs w:val="22"/>
              </w:rPr>
            </w:pPr>
          </w:p>
        </w:tc>
        <w:tc>
          <w:tcPr>
            <w:tcW w:w="1275" w:type="pct"/>
            <w:vAlign w:val="center"/>
          </w:tcPr>
          <w:p w14:paraId="530A25AB" w14:textId="72E81685" w:rsidR="00592131" w:rsidRPr="00CC61C2" w:rsidRDefault="00592131" w:rsidP="009D6AD4">
            <w:pPr>
              <w:widowControl w:val="0"/>
              <w:rPr>
                <w:szCs w:val="22"/>
              </w:rPr>
            </w:pPr>
            <w:r w:rsidRPr="00CC61C2">
              <w:rPr>
                <w:szCs w:val="22"/>
              </w:rPr>
              <w:t>Hiperkalc</w:t>
            </w:r>
            <w:r w:rsidR="00863AFB">
              <w:rPr>
                <w:szCs w:val="22"/>
              </w:rPr>
              <w:t>ij</w:t>
            </w:r>
            <w:r w:rsidRPr="00CC61C2">
              <w:rPr>
                <w:szCs w:val="22"/>
              </w:rPr>
              <w:t>emija</w:t>
            </w:r>
          </w:p>
        </w:tc>
        <w:tc>
          <w:tcPr>
            <w:tcW w:w="690" w:type="pct"/>
            <w:vAlign w:val="center"/>
          </w:tcPr>
          <w:p w14:paraId="4753E710" w14:textId="21894E89" w:rsidR="00592131" w:rsidRPr="00CC61C2" w:rsidRDefault="00592131" w:rsidP="001237DA">
            <w:pPr>
              <w:widowControl w:val="0"/>
              <w:jc w:val="both"/>
              <w:rPr>
                <w:szCs w:val="22"/>
              </w:rPr>
            </w:pPr>
            <w:r w:rsidRPr="00CC61C2">
              <w:rPr>
                <w:szCs w:val="22"/>
              </w:rPr>
              <w:t xml:space="preserve"> Rijetko</w:t>
            </w:r>
          </w:p>
        </w:tc>
        <w:tc>
          <w:tcPr>
            <w:tcW w:w="1088" w:type="pct"/>
            <w:vAlign w:val="center"/>
          </w:tcPr>
          <w:p w14:paraId="78D437C3" w14:textId="2B96AADF" w:rsidR="00592131" w:rsidRPr="00CC61C2" w:rsidRDefault="00592131" w:rsidP="001237DA">
            <w:pPr>
              <w:widowControl w:val="0"/>
              <w:jc w:val="both"/>
              <w:rPr>
                <w:szCs w:val="22"/>
              </w:rPr>
            </w:pPr>
            <w:r w:rsidRPr="00CC61C2">
              <w:rPr>
                <w:szCs w:val="22"/>
              </w:rPr>
              <w:t>Rijetko</w:t>
            </w:r>
          </w:p>
        </w:tc>
        <w:tc>
          <w:tcPr>
            <w:tcW w:w="1004" w:type="pct"/>
            <w:vAlign w:val="center"/>
          </w:tcPr>
          <w:p w14:paraId="006C23B6" w14:textId="4E260354" w:rsidR="00592131" w:rsidRPr="00CC61C2" w:rsidRDefault="00592131" w:rsidP="001237DA">
            <w:pPr>
              <w:widowControl w:val="0"/>
              <w:jc w:val="both"/>
              <w:rPr>
                <w:szCs w:val="22"/>
              </w:rPr>
            </w:pPr>
            <w:r w:rsidRPr="00CC61C2">
              <w:rPr>
                <w:szCs w:val="22"/>
              </w:rPr>
              <w:softHyphen/>
              <w:t>-</w:t>
            </w:r>
          </w:p>
        </w:tc>
      </w:tr>
      <w:tr w:rsidR="00592131" w:rsidRPr="00CC61C2" w14:paraId="187294CF" w14:textId="77777777" w:rsidTr="002C09D7">
        <w:tc>
          <w:tcPr>
            <w:tcW w:w="943" w:type="pct"/>
            <w:vMerge/>
            <w:shd w:val="clear" w:color="auto" w:fill="auto"/>
            <w:vAlign w:val="center"/>
          </w:tcPr>
          <w:p w14:paraId="30773C38" w14:textId="77777777" w:rsidR="00592131" w:rsidRPr="00CC61C2" w:rsidRDefault="00592131" w:rsidP="001237DA">
            <w:pPr>
              <w:widowControl w:val="0"/>
              <w:tabs>
                <w:tab w:val="center" w:pos="4536"/>
                <w:tab w:val="right" w:pos="9072"/>
              </w:tabs>
              <w:jc w:val="both"/>
              <w:rPr>
                <w:szCs w:val="22"/>
              </w:rPr>
            </w:pPr>
          </w:p>
        </w:tc>
        <w:tc>
          <w:tcPr>
            <w:tcW w:w="1275" w:type="pct"/>
            <w:vAlign w:val="center"/>
          </w:tcPr>
          <w:p w14:paraId="694E00F7" w14:textId="77777777" w:rsidR="00592131" w:rsidRPr="00CC61C2" w:rsidRDefault="00592131" w:rsidP="009D6AD4">
            <w:pPr>
              <w:widowControl w:val="0"/>
              <w:rPr>
                <w:szCs w:val="22"/>
              </w:rPr>
            </w:pPr>
            <w:r w:rsidRPr="00CC61C2">
              <w:rPr>
                <w:szCs w:val="22"/>
              </w:rPr>
              <w:t>Hipokalijemija (vidjeti dio 4.4)</w:t>
            </w:r>
          </w:p>
        </w:tc>
        <w:tc>
          <w:tcPr>
            <w:tcW w:w="690" w:type="pct"/>
            <w:vAlign w:val="center"/>
          </w:tcPr>
          <w:p w14:paraId="7087EEA7" w14:textId="77777777" w:rsidR="00592131" w:rsidRPr="00CC61C2" w:rsidRDefault="00592131" w:rsidP="001237DA">
            <w:pPr>
              <w:widowControl w:val="0"/>
              <w:jc w:val="both"/>
              <w:rPr>
                <w:szCs w:val="22"/>
                <w:highlight w:val="yellow"/>
              </w:rPr>
            </w:pPr>
            <w:r w:rsidRPr="00CC61C2">
              <w:rPr>
                <w:szCs w:val="22"/>
              </w:rPr>
              <w:t>Nepoznato</w:t>
            </w:r>
          </w:p>
        </w:tc>
        <w:tc>
          <w:tcPr>
            <w:tcW w:w="1088" w:type="pct"/>
            <w:vAlign w:val="center"/>
          </w:tcPr>
          <w:p w14:paraId="29DB5E3A" w14:textId="77777777" w:rsidR="00592131" w:rsidRPr="00CC61C2" w:rsidRDefault="00592131" w:rsidP="001237DA">
            <w:pPr>
              <w:widowControl w:val="0"/>
              <w:jc w:val="both"/>
              <w:rPr>
                <w:szCs w:val="22"/>
                <w:highlight w:val="lightGray"/>
              </w:rPr>
            </w:pPr>
            <w:r w:rsidRPr="00CC61C2">
              <w:rPr>
                <w:szCs w:val="22"/>
              </w:rPr>
              <w:t>Često</w:t>
            </w:r>
          </w:p>
        </w:tc>
        <w:tc>
          <w:tcPr>
            <w:tcW w:w="1004" w:type="pct"/>
          </w:tcPr>
          <w:p w14:paraId="5FBA9DBA" w14:textId="77777777" w:rsidR="00592131" w:rsidRPr="00CC61C2" w:rsidRDefault="00592131" w:rsidP="001237DA">
            <w:pPr>
              <w:autoSpaceDE w:val="0"/>
              <w:autoSpaceDN w:val="0"/>
              <w:adjustRightInd w:val="0"/>
              <w:jc w:val="both"/>
              <w:rPr>
                <w:szCs w:val="22"/>
                <w:highlight w:val="lightGray"/>
              </w:rPr>
            </w:pPr>
          </w:p>
          <w:p w14:paraId="1541CD6D" w14:textId="77777777" w:rsidR="00592131" w:rsidRPr="00CC61C2" w:rsidRDefault="00592131" w:rsidP="001237DA">
            <w:pPr>
              <w:widowControl w:val="0"/>
              <w:jc w:val="both"/>
              <w:rPr>
                <w:szCs w:val="22"/>
                <w:highlight w:val="lightGray"/>
              </w:rPr>
            </w:pPr>
            <w:r w:rsidRPr="00CC61C2">
              <w:rPr>
                <w:szCs w:val="22"/>
              </w:rPr>
              <w:t>-</w:t>
            </w:r>
          </w:p>
        </w:tc>
      </w:tr>
      <w:tr w:rsidR="00592131" w:rsidRPr="00CC61C2" w14:paraId="062022EC" w14:textId="77777777" w:rsidTr="002C09D7">
        <w:tc>
          <w:tcPr>
            <w:tcW w:w="943" w:type="pct"/>
            <w:vMerge/>
            <w:shd w:val="clear" w:color="auto" w:fill="auto"/>
            <w:vAlign w:val="center"/>
          </w:tcPr>
          <w:p w14:paraId="7EC3843D" w14:textId="77777777" w:rsidR="00592131" w:rsidRPr="00CC61C2" w:rsidRDefault="00592131" w:rsidP="001237DA">
            <w:pPr>
              <w:widowControl w:val="0"/>
              <w:tabs>
                <w:tab w:val="center" w:pos="4536"/>
                <w:tab w:val="right" w:pos="9072"/>
              </w:tabs>
              <w:jc w:val="both"/>
              <w:rPr>
                <w:szCs w:val="22"/>
              </w:rPr>
            </w:pPr>
          </w:p>
        </w:tc>
        <w:tc>
          <w:tcPr>
            <w:tcW w:w="1275" w:type="pct"/>
            <w:vAlign w:val="center"/>
          </w:tcPr>
          <w:p w14:paraId="2DB51D76" w14:textId="77777777" w:rsidR="00592131" w:rsidRPr="00CC61C2" w:rsidRDefault="00592131" w:rsidP="009D6AD4">
            <w:pPr>
              <w:widowControl w:val="0"/>
              <w:rPr>
                <w:szCs w:val="22"/>
              </w:rPr>
            </w:pPr>
            <w:r w:rsidRPr="00CC61C2">
              <w:rPr>
                <w:szCs w:val="22"/>
              </w:rPr>
              <w:t>Hipohloremija</w:t>
            </w:r>
          </w:p>
        </w:tc>
        <w:tc>
          <w:tcPr>
            <w:tcW w:w="690" w:type="pct"/>
            <w:vAlign w:val="center"/>
          </w:tcPr>
          <w:p w14:paraId="1837F0BE" w14:textId="77777777" w:rsidR="00592131" w:rsidRPr="00CC61C2" w:rsidRDefault="00592131" w:rsidP="001237DA">
            <w:pPr>
              <w:widowControl w:val="0"/>
              <w:jc w:val="both"/>
              <w:rPr>
                <w:szCs w:val="22"/>
              </w:rPr>
            </w:pPr>
          </w:p>
        </w:tc>
        <w:tc>
          <w:tcPr>
            <w:tcW w:w="1088" w:type="pct"/>
            <w:vAlign w:val="center"/>
          </w:tcPr>
          <w:p w14:paraId="351B5755" w14:textId="77777777" w:rsidR="00592131" w:rsidRPr="00CC61C2" w:rsidRDefault="00592131" w:rsidP="001237DA">
            <w:pPr>
              <w:widowControl w:val="0"/>
              <w:jc w:val="both"/>
              <w:rPr>
                <w:szCs w:val="22"/>
              </w:rPr>
            </w:pPr>
            <w:r w:rsidRPr="00CC61C2">
              <w:rPr>
                <w:szCs w:val="22"/>
              </w:rPr>
              <w:t>Rijetko</w:t>
            </w:r>
          </w:p>
        </w:tc>
        <w:tc>
          <w:tcPr>
            <w:tcW w:w="1004" w:type="pct"/>
          </w:tcPr>
          <w:p w14:paraId="74F21518" w14:textId="77777777" w:rsidR="00592131" w:rsidRPr="00CC61C2" w:rsidRDefault="00592131" w:rsidP="001237DA">
            <w:pPr>
              <w:autoSpaceDE w:val="0"/>
              <w:autoSpaceDN w:val="0"/>
              <w:adjustRightInd w:val="0"/>
              <w:jc w:val="both"/>
              <w:rPr>
                <w:szCs w:val="22"/>
                <w:highlight w:val="lightGray"/>
              </w:rPr>
            </w:pPr>
          </w:p>
        </w:tc>
      </w:tr>
      <w:tr w:rsidR="00592131" w:rsidRPr="00CC61C2" w14:paraId="01C200F4" w14:textId="77777777" w:rsidTr="002C09D7">
        <w:tc>
          <w:tcPr>
            <w:tcW w:w="943" w:type="pct"/>
            <w:vMerge/>
            <w:shd w:val="clear" w:color="auto" w:fill="auto"/>
            <w:vAlign w:val="center"/>
          </w:tcPr>
          <w:p w14:paraId="19E86C1D" w14:textId="77777777" w:rsidR="00592131" w:rsidRPr="00CC61C2" w:rsidRDefault="00592131" w:rsidP="001237DA">
            <w:pPr>
              <w:widowControl w:val="0"/>
              <w:tabs>
                <w:tab w:val="center" w:pos="4536"/>
                <w:tab w:val="right" w:pos="9072"/>
              </w:tabs>
              <w:jc w:val="both"/>
              <w:rPr>
                <w:szCs w:val="22"/>
              </w:rPr>
            </w:pPr>
          </w:p>
        </w:tc>
        <w:tc>
          <w:tcPr>
            <w:tcW w:w="1275" w:type="pct"/>
            <w:vAlign w:val="center"/>
          </w:tcPr>
          <w:p w14:paraId="048846BE" w14:textId="1A541B16" w:rsidR="00592131" w:rsidRPr="00CC61C2" w:rsidRDefault="00863AFB" w:rsidP="009D6AD4">
            <w:pPr>
              <w:widowControl w:val="0"/>
              <w:rPr>
                <w:szCs w:val="22"/>
              </w:rPr>
            </w:pPr>
            <w:r w:rsidRPr="00CC61C2">
              <w:rPr>
                <w:szCs w:val="22"/>
              </w:rPr>
              <w:t>Hipomagnez</w:t>
            </w:r>
            <w:r>
              <w:rPr>
                <w:szCs w:val="22"/>
              </w:rPr>
              <w:t>ije</w:t>
            </w:r>
            <w:r w:rsidRPr="00CC61C2">
              <w:rPr>
                <w:szCs w:val="22"/>
              </w:rPr>
              <w:t>mija</w:t>
            </w:r>
          </w:p>
        </w:tc>
        <w:tc>
          <w:tcPr>
            <w:tcW w:w="690" w:type="pct"/>
            <w:vAlign w:val="center"/>
          </w:tcPr>
          <w:p w14:paraId="7B0E8EF5" w14:textId="77777777" w:rsidR="00592131" w:rsidRPr="00CC61C2" w:rsidRDefault="00592131" w:rsidP="001237DA">
            <w:pPr>
              <w:widowControl w:val="0"/>
              <w:jc w:val="both"/>
              <w:rPr>
                <w:szCs w:val="22"/>
              </w:rPr>
            </w:pPr>
          </w:p>
        </w:tc>
        <w:tc>
          <w:tcPr>
            <w:tcW w:w="1088" w:type="pct"/>
            <w:vAlign w:val="center"/>
          </w:tcPr>
          <w:p w14:paraId="788F4616" w14:textId="77777777" w:rsidR="00592131" w:rsidRPr="00CC61C2" w:rsidRDefault="00592131" w:rsidP="001237DA">
            <w:pPr>
              <w:widowControl w:val="0"/>
              <w:jc w:val="both"/>
              <w:rPr>
                <w:szCs w:val="22"/>
              </w:rPr>
            </w:pPr>
            <w:r w:rsidRPr="00CC61C2">
              <w:rPr>
                <w:szCs w:val="22"/>
              </w:rPr>
              <w:t>Rijetko</w:t>
            </w:r>
          </w:p>
        </w:tc>
        <w:tc>
          <w:tcPr>
            <w:tcW w:w="1004" w:type="pct"/>
          </w:tcPr>
          <w:p w14:paraId="2B80A837" w14:textId="77777777" w:rsidR="00592131" w:rsidRPr="00CC61C2" w:rsidRDefault="00592131" w:rsidP="001237DA">
            <w:pPr>
              <w:autoSpaceDE w:val="0"/>
              <w:autoSpaceDN w:val="0"/>
              <w:adjustRightInd w:val="0"/>
              <w:jc w:val="both"/>
              <w:rPr>
                <w:szCs w:val="22"/>
                <w:highlight w:val="lightGray"/>
              </w:rPr>
            </w:pPr>
          </w:p>
        </w:tc>
      </w:tr>
      <w:tr w:rsidR="00592131" w:rsidRPr="00CC61C2" w14:paraId="5717C0A2" w14:textId="77777777" w:rsidTr="002C09D7">
        <w:tc>
          <w:tcPr>
            <w:tcW w:w="943" w:type="pct"/>
            <w:vMerge w:val="restart"/>
            <w:shd w:val="clear" w:color="auto" w:fill="auto"/>
            <w:vAlign w:val="center"/>
          </w:tcPr>
          <w:p w14:paraId="0AAB423F" w14:textId="77777777" w:rsidR="00592131" w:rsidRPr="00CC61C2" w:rsidRDefault="00592131" w:rsidP="001237DA">
            <w:pPr>
              <w:widowControl w:val="0"/>
              <w:tabs>
                <w:tab w:val="center" w:pos="4536"/>
                <w:tab w:val="right" w:pos="9072"/>
              </w:tabs>
              <w:jc w:val="both"/>
              <w:rPr>
                <w:noProof/>
                <w:szCs w:val="22"/>
              </w:rPr>
            </w:pPr>
            <w:r w:rsidRPr="00CC61C2">
              <w:rPr>
                <w:b/>
                <w:bCs/>
                <w:noProof/>
                <w:szCs w:val="22"/>
              </w:rPr>
              <w:t>Psihijatrijski poremećaji</w:t>
            </w:r>
          </w:p>
        </w:tc>
        <w:tc>
          <w:tcPr>
            <w:tcW w:w="1275" w:type="pct"/>
            <w:vAlign w:val="center"/>
          </w:tcPr>
          <w:p w14:paraId="671927CE" w14:textId="77777777" w:rsidR="00592131" w:rsidRPr="00CC61C2" w:rsidRDefault="00592131" w:rsidP="001237DA">
            <w:pPr>
              <w:widowControl w:val="0"/>
              <w:jc w:val="both"/>
              <w:rPr>
                <w:szCs w:val="22"/>
              </w:rPr>
            </w:pPr>
            <w:r w:rsidRPr="00CC61C2">
              <w:rPr>
                <w:szCs w:val="22"/>
              </w:rPr>
              <w:t xml:space="preserve">Nesanica </w:t>
            </w:r>
          </w:p>
        </w:tc>
        <w:tc>
          <w:tcPr>
            <w:tcW w:w="690" w:type="pct"/>
            <w:vAlign w:val="center"/>
          </w:tcPr>
          <w:p w14:paraId="4B18EE28"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16754768"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2C411036" w14:textId="77777777" w:rsidR="00592131" w:rsidRPr="00CC61C2" w:rsidRDefault="00592131" w:rsidP="001237DA">
            <w:pPr>
              <w:jc w:val="both"/>
              <w:rPr>
                <w:szCs w:val="22"/>
              </w:rPr>
            </w:pPr>
            <w:r w:rsidRPr="00CC61C2">
              <w:rPr>
                <w:szCs w:val="22"/>
              </w:rPr>
              <w:t>Povremeno</w:t>
            </w:r>
          </w:p>
        </w:tc>
      </w:tr>
      <w:tr w:rsidR="00592131" w:rsidRPr="00CC61C2" w14:paraId="6E38BAF8" w14:textId="77777777" w:rsidTr="002C09D7">
        <w:tc>
          <w:tcPr>
            <w:tcW w:w="943" w:type="pct"/>
            <w:vMerge/>
            <w:shd w:val="clear" w:color="auto" w:fill="auto"/>
            <w:vAlign w:val="center"/>
          </w:tcPr>
          <w:p w14:paraId="4545D899" w14:textId="77777777" w:rsidR="00592131" w:rsidRPr="00CC61C2" w:rsidRDefault="00592131" w:rsidP="001237DA">
            <w:pPr>
              <w:widowControl w:val="0"/>
              <w:jc w:val="both"/>
              <w:rPr>
                <w:noProof/>
                <w:szCs w:val="22"/>
              </w:rPr>
            </w:pPr>
          </w:p>
        </w:tc>
        <w:tc>
          <w:tcPr>
            <w:tcW w:w="1275" w:type="pct"/>
            <w:vAlign w:val="center"/>
          </w:tcPr>
          <w:p w14:paraId="239345F1" w14:textId="77777777" w:rsidR="00592131" w:rsidRPr="00CC61C2" w:rsidRDefault="00592131" w:rsidP="001237DA">
            <w:pPr>
              <w:widowControl w:val="0"/>
              <w:jc w:val="both"/>
              <w:rPr>
                <w:szCs w:val="22"/>
              </w:rPr>
            </w:pPr>
            <w:r w:rsidRPr="00CC61C2">
              <w:rPr>
                <w:szCs w:val="22"/>
              </w:rPr>
              <w:t>Promjene raspoloženja</w:t>
            </w:r>
          </w:p>
        </w:tc>
        <w:tc>
          <w:tcPr>
            <w:tcW w:w="690" w:type="pct"/>
            <w:vAlign w:val="center"/>
          </w:tcPr>
          <w:p w14:paraId="63EEF8A7" w14:textId="77777777" w:rsidR="00592131" w:rsidRPr="00CC61C2" w:rsidRDefault="00592131" w:rsidP="001237DA">
            <w:pPr>
              <w:widowControl w:val="0"/>
              <w:jc w:val="both"/>
              <w:rPr>
                <w:szCs w:val="22"/>
              </w:rPr>
            </w:pPr>
            <w:r w:rsidRPr="00CC61C2">
              <w:rPr>
                <w:szCs w:val="22"/>
              </w:rPr>
              <w:t>Povremeno</w:t>
            </w:r>
          </w:p>
        </w:tc>
        <w:tc>
          <w:tcPr>
            <w:tcW w:w="1088" w:type="pct"/>
            <w:vAlign w:val="center"/>
          </w:tcPr>
          <w:p w14:paraId="61C61128"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068D1A5B" w14:textId="77777777" w:rsidR="00592131" w:rsidRPr="00CC61C2" w:rsidRDefault="00592131" w:rsidP="001237DA">
            <w:pPr>
              <w:jc w:val="both"/>
              <w:rPr>
                <w:szCs w:val="22"/>
              </w:rPr>
            </w:pPr>
            <w:r w:rsidRPr="00CC61C2">
              <w:rPr>
                <w:szCs w:val="22"/>
              </w:rPr>
              <w:t>Povremeno</w:t>
            </w:r>
          </w:p>
        </w:tc>
      </w:tr>
      <w:tr w:rsidR="00592131" w:rsidRPr="00CC61C2" w14:paraId="6E6FE909" w14:textId="77777777" w:rsidTr="002C09D7">
        <w:tc>
          <w:tcPr>
            <w:tcW w:w="943" w:type="pct"/>
            <w:vMerge/>
            <w:shd w:val="clear" w:color="auto" w:fill="auto"/>
            <w:vAlign w:val="center"/>
          </w:tcPr>
          <w:p w14:paraId="1169B8DA" w14:textId="77777777" w:rsidR="00592131" w:rsidRPr="00CC61C2" w:rsidRDefault="00592131" w:rsidP="001237DA">
            <w:pPr>
              <w:widowControl w:val="0"/>
              <w:jc w:val="both"/>
              <w:rPr>
                <w:noProof/>
                <w:szCs w:val="22"/>
              </w:rPr>
            </w:pPr>
          </w:p>
        </w:tc>
        <w:tc>
          <w:tcPr>
            <w:tcW w:w="1275" w:type="pct"/>
            <w:vAlign w:val="center"/>
          </w:tcPr>
          <w:p w14:paraId="1FE5474F" w14:textId="77777777" w:rsidR="00592131" w:rsidRPr="00CC61C2" w:rsidRDefault="00592131" w:rsidP="001237DA">
            <w:pPr>
              <w:widowControl w:val="0"/>
              <w:jc w:val="both"/>
              <w:rPr>
                <w:szCs w:val="22"/>
              </w:rPr>
            </w:pPr>
            <w:r w:rsidRPr="00CC61C2">
              <w:rPr>
                <w:szCs w:val="22"/>
              </w:rPr>
              <w:t>Depresija</w:t>
            </w:r>
          </w:p>
        </w:tc>
        <w:tc>
          <w:tcPr>
            <w:tcW w:w="690" w:type="pct"/>
            <w:vAlign w:val="center"/>
          </w:tcPr>
          <w:p w14:paraId="39ED5972" w14:textId="77777777" w:rsidR="00592131" w:rsidRPr="00CC61C2" w:rsidRDefault="00592131" w:rsidP="001237DA">
            <w:pPr>
              <w:widowControl w:val="0"/>
              <w:jc w:val="both"/>
              <w:rPr>
                <w:szCs w:val="22"/>
              </w:rPr>
            </w:pPr>
            <w:r w:rsidRPr="00CC61C2">
              <w:rPr>
                <w:szCs w:val="22"/>
              </w:rPr>
              <w:t>Povremeno</w:t>
            </w:r>
            <w:r w:rsidRPr="00CC61C2" w:rsidDel="00AF0EA0">
              <w:rPr>
                <w:szCs w:val="22"/>
              </w:rPr>
              <w:t xml:space="preserve"> </w:t>
            </w:r>
          </w:p>
        </w:tc>
        <w:tc>
          <w:tcPr>
            <w:tcW w:w="1088" w:type="pct"/>
            <w:vAlign w:val="center"/>
          </w:tcPr>
          <w:p w14:paraId="618D49A5"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044F39FA" w14:textId="77777777" w:rsidR="00592131" w:rsidRPr="00CC61C2" w:rsidRDefault="00592131" w:rsidP="001237DA">
            <w:pPr>
              <w:jc w:val="both"/>
              <w:rPr>
                <w:szCs w:val="22"/>
              </w:rPr>
            </w:pPr>
            <w:r w:rsidRPr="00CC61C2">
              <w:rPr>
                <w:szCs w:val="22"/>
              </w:rPr>
              <w:t>Povremeno</w:t>
            </w:r>
          </w:p>
        </w:tc>
      </w:tr>
      <w:tr w:rsidR="00592131" w:rsidRPr="00CC61C2" w14:paraId="6D332ABF" w14:textId="77777777" w:rsidTr="002C09D7">
        <w:tc>
          <w:tcPr>
            <w:tcW w:w="943" w:type="pct"/>
            <w:vMerge/>
            <w:shd w:val="clear" w:color="auto" w:fill="auto"/>
            <w:vAlign w:val="center"/>
          </w:tcPr>
          <w:p w14:paraId="564BE778" w14:textId="77777777" w:rsidR="00592131" w:rsidRPr="00CC61C2" w:rsidRDefault="00592131" w:rsidP="001237DA">
            <w:pPr>
              <w:widowControl w:val="0"/>
              <w:jc w:val="both"/>
              <w:rPr>
                <w:noProof/>
                <w:szCs w:val="22"/>
              </w:rPr>
            </w:pPr>
          </w:p>
        </w:tc>
        <w:tc>
          <w:tcPr>
            <w:tcW w:w="1275" w:type="pct"/>
            <w:vAlign w:val="center"/>
          </w:tcPr>
          <w:p w14:paraId="38FBC155" w14:textId="77777777" w:rsidR="00592131" w:rsidRPr="00CC61C2" w:rsidRDefault="00592131" w:rsidP="001237DA">
            <w:pPr>
              <w:widowControl w:val="0"/>
              <w:jc w:val="both"/>
              <w:rPr>
                <w:szCs w:val="22"/>
              </w:rPr>
            </w:pPr>
            <w:r w:rsidRPr="00CC61C2">
              <w:rPr>
                <w:szCs w:val="22"/>
              </w:rPr>
              <w:t>Poremećaji sna</w:t>
            </w:r>
          </w:p>
        </w:tc>
        <w:tc>
          <w:tcPr>
            <w:tcW w:w="690" w:type="pct"/>
            <w:vAlign w:val="center"/>
          </w:tcPr>
          <w:p w14:paraId="2D34B272" w14:textId="77777777" w:rsidR="00592131" w:rsidRPr="00CC61C2" w:rsidRDefault="00592131" w:rsidP="001237DA">
            <w:pPr>
              <w:widowControl w:val="0"/>
              <w:jc w:val="both"/>
              <w:rPr>
                <w:szCs w:val="22"/>
              </w:rPr>
            </w:pPr>
            <w:r w:rsidRPr="00CC61C2">
              <w:rPr>
                <w:szCs w:val="22"/>
              </w:rPr>
              <w:t>Povremeno</w:t>
            </w:r>
          </w:p>
        </w:tc>
        <w:tc>
          <w:tcPr>
            <w:tcW w:w="1088" w:type="pct"/>
            <w:vAlign w:val="center"/>
          </w:tcPr>
          <w:p w14:paraId="59AE8DB6"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187F7834" w14:textId="77777777" w:rsidR="00592131" w:rsidRPr="00CC61C2" w:rsidRDefault="00592131" w:rsidP="001237DA">
            <w:pPr>
              <w:widowControl w:val="0"/>
              <w:jc w:val="both"/>
              <w:rPr>
                <w:szCs w:val="22"/>
              </w:rPr>
            </w:pPr>
            <w:r w:rsidRPr="00CC61C2">
              <w:rPr>
                <w:szCs w:val="22"/>
              </w:rPr>
              <w:t>-</w:t>
            </w:r>
          </w:p>
        </w:tc>
      </w:tr>
      <w:tr w:rsidR="00592131" w:rsidRPr="00CC61C2" w14:paraId="0EAD43F6" w14:textId="77777777" w:rsidTr="002C09D7">
        <w:tc>
          <w:tcPr>
            <w:tcW w:w="943" w:type="pct"/>
            <w:vMerge/>
            <w:shd w:val="clear" w:color="auto" w:fill="auto"/>
            <w:vAlign w:val="center"/>
          </w:tcPr>
          <w:p w14:paraId="5EFBC2A4" w14:textId="77777777" w:rsidR="00592131" w:rsidRPr="00CC61C2" w:rsidRDefault="00592131" w:rsidP="001237DA">
            <w:pPr>
              <w:widowControl w:val="0"/>
              <w:jc w:val="both"/>
              <w:rPr>
                <w:noProof/>
                <w:szCs w:val="22"/>
              </w:rPr>
            </w:pPr>
          </w:p>
        </w:tc>
        <w:tc>
          <w:tcPr>
            <w:tcW w:w="1275" w:type="pct"/>
            <w:vAlign w:val="center"/>
          </w:tcPr>
          <w:p w14:paraId="7B670516" w14:textId="77777777" w:rsidR="00592131" w:rsidRPr="00CC61C2" w:rsidRDefault="00592131" w:rsidP="001237DA">
            <w:pPr>
              <w:widowControl w:val="0"/>
              <w:jc w:val="both"/>
              <w:rPr>
                <w:szCs w:val="22"/>
              </w:rPr>
            </w:pPr>
            <w:r w:rsidRPr="00CC61C2">
              <w:rPr>
                <w:szCs w:val="22"/>
              </w:rPr>
              <w:t>Konfuzija</w:t>
            </w:r>
          </w:p>
        </w:tc>
        <w:tc>
          <w:tcPr>
            <w:tcW w:w="690" w:type="pct"/>
            <w:vAlign w:val="center"/>
          </w:tcPr>
          <w:p w14:paraId="3A3B1255" w14:textId="77777777" w:rsidR="00592131" w:rsidRPr="00CC61C2" w:rsidRDefault="00592131" w:rsidP="001237DA">
            <w:pPr>
              <w:widowControl w:val="0"/>
              <w:autoSpaceDE w:val="0"/>
              <w:autoSpaceDN w:val="0"/>
              <w:adjustRightInd w:val="0"/>
              <w:jc w:val="both"/>
              <w:rPr>
                <w:szCs w:val="22"/>
              </w:rPr>
            </w:pPr>
            <w:r w:rsidRPr="00CC61C2">
              <w:rPr>
                <w:szCs w:val="22"/>
              </w:rPr>
              <w:t>Veoma rijetko</w:t>
            </w:r>
          </w:p>
        </w:tc>
        <w:tc>
          <w:tcPr>
            <w:tcW w:w="1088" w:type="pct"/>
            <w:vAlign w:val="center"/>
          </w:tcPr>
          <w:p w14:paraId="073B0BBE"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7F3E28B9" w14:textId="77777777" w:rsidR="00592131" w:rsidRPr="00CC61C2" w:rsidRDefault="00592131" w:rsidP="001237DA">
            <w:pPr>
              <w:widowControl w:val="0"/>
              <w:jc w:val="both"/>
              <w:rPr>
                <w:szCs w:val="22"/>
              </w:rPr>
            </w:pPr>
            <w:r w:rsidRPr="00CC61C2">
              <w:rPr>
                <w:szCs w:val="22"/>
              </w:rPr>
              <w:t>Rijetko</w:t>
            </w:r>
          </w:p>
        </w:tc>
      </w:tr>
      <w:tr w:rsidR="00592131" w:rsidRPr="00CC61C2" w14:paraId="289883BC" w14:textId="77777777" w:rsidTr="002C09D7">
        <w:tc>
          <w:tcPr>
            <w:tcW w:w="943" w:type="pct"/>
            <w:vMerge w:val="restart"/>
            <w:shd w:val="clear" w:color="auto" w:fill="auto"/>
            <w:vAlign w:val="center"/>
          </w:tcPr>
          <w:p w14:paraId="2814E67F" w14:textId="77777777" w:rsidR="00592131" w:rsidRPr="00CC61C2" w:rsidRDefault="00592131" w:rsidP="001237DA">
            <w:pPr>
              <w:widowControl w:val="0"/>
              <w:jc w:val="both"/>
              <w:rPr>
                <w:noProof/>
                <w:szCs w:val="22"/>
              </w:rPr>
            </w:pPr>
            <w:r w:rsidRPr="00CC61C2">
              <w:rPr>
                <w:b/>
                <w:bCs/>
                <w:noProof/>
                <w:szCs w:val="22"/>
              </w:rPr>
              <w:t xml:space="preserve">Poremećaji nervnog sistema </w:t>
            </w:r>
          </w:p>
        </w:tc>
        <w:tc>
          <w:tcPr>
            <w:tcW w:w="1275" w:type="pct"/>
            <w:vAlign w:val="center"/>
          </w:tcPr>
          <w:p w14:paraId="44DB5D78" w14:textId="77777777" w:rsidR="00592131" w:rsidRPr="00CC61C2" w:rsidRDefault="00592131" w:rsidP="001237DA">
            <w:pPr>
              <w:widowControl w:val="0"/>
              <w:jc w:val="both"/>
              <w:rPr>
                <w:szCs w:val="22"/>
              </w:rPr>
            </w:pPr>
            <w:r w:rsidRPr="00CC61C2">
              <w:rPr>
                <w:szCs w:val="22"/>
              </w:rPr>
              <w:t>Somnolencija</w:t>
            </w:r>
          </w:p>
        </w:tc>
        <w:tc>
          <w:tcPr>
            <w:tcW w:w="690" w:type="pct"/>
            <w:vAlign w:val="center"/>
          </w:tcPr>
          <w:p w14:paraId="2E9D9B70" w14:textId="77777777" w:rsidR="00592131" w:rsidRPr="00CC61C2" w:rsidRDefault="00592131" w:rsidP="001237DA">
            <w:pPr>
              <w:widowControl w:val="0"/>
              <w:jc w:val="both"/>
              <w:rPr>
                <w:szCs w:val="22"/>
              </w:rPr>
            </w:pPr>
            <w:r w:rsidRPr="00CC61C2">
              <w:rPr>
                <w:szCs w:val="22"/>
              </w:rPr>
              <w:t>Povremeno*</w:t>
            </w:r>
          </w:p>
        </w:tc>
        <w:tc>
          <w:tcPr>
            <w:tcW w:w="1088" w:type="pct"/>
            <w:vAlign w:val="center"/>
          </w:tcPr>
          <w:p w14:paraId="6F60DF2B"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725E5966" w14:textId="77777777" w:rsidR="00592131" w:rsidRPr="00CC61C2" w:rsidRDefault="00592131" w:rsidP="001237DA">
            <w:pPr>
              <w:widowControl w:val="0"/>
              <w:jc w:val="both"/>
              <w:rPr>
                <w:szCs w:val="22"/>
              </w:rPr>
            </w:pPr>
            <w:r w:rsidRPr="00CC61C2">
              <w:rPr>
                <w:szCs w:val="22"/>
              </w:rPr>
              <w:t>Često</w:t>
            </w:r>
          </w:p>
        </w:tc>
      </w:tr>
      <w:tr w:rsidR="00592131" w:rsidRPr="00CC61C2" w14:paraId="094EA8EC" w14:textId="77777777" w:rsidTr="002C09D7">
        <w:tc>
          <w:tcPr>
            <w:tcW w:w="943" w:type="pct"/>
            <w:vMerge/>
            <w:shd w:val="clear" w:color="auto" w:fill="auto"/>
            <w:vAlign w:val="center"/>
          </w:tcPr>
          <w:p w14:paraId="7E028980"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4261FB45" w14:textId="77777777" w:rsidR="00592131" w:rsidRPr="00CC61C2" w:rsidRDefault="00592131" w:rsidP="001237DA">
            <w:pPr>
              <w:widowControl w:val="0"/>
              <w:jc w:val="both"/>
              <w:rPr>
                <w:szCs w:val="22"/>
              </w:rPr>
            </w:pPr>
            <w:r w:rsidRPr="00CC61C2">
              <w:rPr>
                <w:szCs w:val="22"/>
              </w:rPr>
              <w:t>Omaglica</w:t>
            </w:r>
          </w:p>
        </w:tc>
        <w:tc>
          <w:tcPr>
            <w:tcW w:w="690" w:type="pct"/>
            <w:vAlign w:val="center"/>
          </w:tcPr>
          <w:p w14:paraId="43F16500" w14:textId="77777777" w:rsidR="00592131" w:rsidRPr="00CC61C2" w:rsidRDefault="00592131" w:rsidP="001237DA">
            <w:pPr>
              <w:widowControl w:val="0"/>
              <w:jc w:val="both"/>
              <w:rPr>
                <w:szCs w:val="22"/>
              </w:rPr>
            </w:pPr>
            <w:r w:rsidRPr="00CC61C2">
              <w:rPr>
                <w:szCs w:val="22"/>
              </w:rPr>
              <w:t>Često</w:t>
            </w:r>
          </w:p>
        </w:tc>
        <w:tc>
          <w:tcPr>
            <w:tcW w:w="1088" w:type="pct"/>
            <w:vAlign w:val="center"/>
          </w:tcPr>
          <w:p w14:paraId="1EBC9029"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42F34298" w14:textId="77777777" w:rsidR="00592131" w:rsidRPr="00CC61C2" w:rsidRDefault="00592131" w:rsidP="001237DA">
            <w:pPr>
              <w:widowControl w:val="0"/>
              <w:jc w:val="both"/>
              <w:rPr>
                <w:szCs w:val="22"/>
              </w:rPr>
            </w:pPr>
            <w:r w:rsidRPr="00CC61C2">
              <w:rPr>
                <w:szCs w:val="22"/>
              </w:rPr>
              <w:t>Često</w:t>
            </w:r>
          </w:p>
        </w:tc>
      </w:tr>
      <w:tr w:rsidR="00592131" w:rsidRPr="00CC61C2" w14:paraId="6746395C" w14:textId="77777777" w:rsidTr="002C09D7">
        <w:tc>
          <w:tcPr>
            <w:tcW w:w="943" w:type="pct"/>
            <w:vMerge/>
            <w:shd w:val="clear" w:color="auto" w:fill="auto"/>
            <w:vAlign w:val="center"/>
          </w:tcPr>
          <w:p w14:paraId="29B32833"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5919E46C" w14:textId="77777777" w:rsidR="00592131" w:rsidRPr="00CC61C2" w:rsidRDefault="00592131" w:rsidP="001237DA">
            <w:pPr>
              <w:widowControl w:val="0"/>
              <w:jc w:val="both"/>
              <w:rPr>
                <w:szCs w:val="22"/>
              </w:rPr>
            </w:pPr>
            <w:r w:rsidRPr="00CC61C2">
              <w:rPr>
                <w:szCs w:val="22"/>
              </w:rPr>
              <w:t>Glavobolja</w:t>
            </w:r>
          </w:p>
        </w:tc>
        <w:tc>
          <w:tcPr>
            <w:tcW w:w="690" w:type="pct"/>
            <w:vAlign w:val="center"/>
          </w:tcPr>
          <w:p w14:paraId="515CF067" w14:textId="77777777" w:rsidR="00592131" w:rsidRPr="00CC61C2" w:rsidRDefault="00592131" w:rsidP="001237DA">
            <w:pPr>
              <w:widowControl w:val="0"/>
              <w:jc w:val="both"/>
              <w:rPr>
                <w:szCs w:val="22"/>
              </w:rPr>
            </w:pPr>
            <w:r w:rsidRPr="00CC61C2">
              <w:rPr>
                <w:szCs w:val="22"/>
              </w:rPr>
              <w:t>Često</w:t>
            </w:r>
          </w:p>
        </w:tc>
        <w:tc>
          <w:tcPr>
            <w:tcW w:w="1088" w:type="pct"/>
            <w:vAlign w:val="center"/>
          </w:tcPr>
          <w:p w14:paraId="757F9235" w14:textId="77777777" w:rsidR="00592131" w:rsidRPr="00CC61C2" w:rsidRDefault="00592131" w:rsidP="001237DA">
            <w:pPr>
              <w:widowControl w:val="0"/>
              <w:jc w:val="both"/>
              <w:rPr>
                <w:szCs w:val="22"/>
              </w:rPr>
            </w:pPr>
            <w:r w:rsidRPr="00CC61C2">
              <w:rPr>
                <w:szCs w:val="22"/>
              </w:rPr>
              <w:t>Rijetko</w:t>
            </w:r>
          </w:p>
        </w:tc>
        <w:tc>
          <w:tcPr>
            <w:tcW w:w="1004" w:type="pct"/>
            <w:vAlign w:val="center"/>
          </w:tcPr>
          <w:p w14:paraId="3A18DF95" w14:textId="77777777" w:rsidR="00592131" w:rsidRPr="00CC61C2" w:rsidRDefault="00592131" w:rsidP="001237DA">
            <w:pPr>
              <w:widowControl w:val="0"/>
              <w:jc w:val="both"/>
              <w:rPr>
                <w:szCs w:val="22"/>
              </w:rPr>
            </w:pPr>
            <w:r w:rsidRPr="00CC61C2">
              <w:rPr>
                <w:szCs w:val="22"/>
              </w:rPr>
              <w:t>Često</w:t>
            </w:r>
          </w:p>
        </w:tc>
      </w:tr>
      <w:tr w:rsidR="00592131" w:rsidRPr="00CC61C2" w14:paraId="336361EA" w14:textId="77777777" w:rsidTr="002C09D7">
        <w:trPr>
          <w:trHeight w:val="291"/>
        </w:trPr>
        <w:tc>
          <w:tcPr>
            <w:tcW w:w="943" w:type="pct"/>
            <w:vMerge/>
            <w:shd w:val="clear" w:color="auto" w:fill="auto"/>
            <w:vAlign w:val="center"/>
          </w:tcPr>
          <w:p w14:paraId="0C135D49"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5DEE6B58" w14:textId="64776F2D" w:rsidR="00592131" w:rsidRPr="00CC61C2" w:rsidRDefault="00592131" w:rsidP="001237DA">
            <w:pPr>
              <w:widowControl w:val="0"/>
              <w:jc w:val="both"/>
              <w:rPr>
                <w:szCs w:val="22"/>
              </w:rPr>
            </w:pPr>
            <w:r w:rsidRPr="00CC61C2">
              <w:rPr>
                <w:szCs w:val="22"/>
              </w:rPr>
              <w:t>Tremor</w:t>
            </w:r>
          </w:p>
        </w:tc>
        <w:tc>
          <w:tcPr>
            <w:tcW w:w="690" w:type="pct"/>
            <w:vAlign w:val="center"/>
          </w:tcPr>
          <w:p w14:paraId="1E990728" w14:textId="3ADA1255" w:rsidR="00592131" w:rsidRPr="00CC61C2" w:rsidRDefault="00592131" w:rsidP="001237DA">
            <w:pPr>
              <w:widowControl w:val="0"/>
              <w:jc w:val="both"/>
              <w:rPr>
                <w:szCs w:val="22"/>
              </w:rPr>
            </w:pPr>
            <w:r w:rsidRPr="00CC61C2">
              <w:rPr>
                <w:szCs w:val="22"/>
              </w:rPr>
              <w:t>-</w:t>
            </w:r>
          </w:p>
        </w:tc>
        <w:tc>
          <w:tcPr>
            <w:tcW w:w="1088" w:type="pct"/>
            <w:vAlign w:val="center"/>
          </w:tcPr>
          <w:p w14:paraId="6FB44A7E" w14:textId="618D8C46" w:rsidR="00592131" w:rsidRPr="00CC61C2" w:rsidRDefault="00592131" w:rsidP="001237DA">
            <w:pPr>
              <w:widowControl w:val="0"/>
              <w:jc w:val="both"/>
              <w:rPr>
                <w:szCs w:val="22"/>
              </w:rPr>
            </w:pPr>
            <w:r w:rsidRPr="00CC61C2">
              <w:rPr>
                <w:szCs w:val="22"/>
              </w:rPr>
              <w:t>-</w:t>
            </w:r>
          </w:p>
        </w:tc>
        <w:tc>
          <w:tcPr>
            <w:tcW w:w="1004" w:type="pct"/>
            <w:vAlign w:val="center"/>
          </w:tcPr>
          <w:p w14:paraId="729AB01E" w14:textId="7878D306" w:rsidR="00592131" w:rsidRPr="00CC61C2" w:rsidRDefault="00592131" w:rsidP="001237DA">
            <w:pPr>
              <w:widowControl w:val="0"/>
              <w:jc w:val="both"/>
              <w:rPr>
                <w:szCs w:val="22"/>
              </w:rPr>
            </w:pPr>
            <w:r w:rsidRPr="00CC61C2">
              <w:rPr>
                <w:szCs w:val="22"/>
              </w:rPr>
              <w:t>Povremeno</w:t>
            </w:r>
          </w:p>
        </w:tc>
      </w:tr>
      <w:tr w:rsidR="00592131" w:rsidRPr="00CC61C2" w14:paraId="4DBEA7AE" w14:textId="77777777" w:rsidTr="002C09D7">
        <w:tc>
          <w:tcPr>
            <w:tcW w:w="943" w:type="pct"/>
            <w:vMerge/>
            <w:shd w:val="clear" w:color="auto" w:fill="auto"/>
            <w:vAlign w:val="center"/>
          </w:tcPr>
          <w:p w14:paraId="57B20E19"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64D3AE2B" w14:textId="77777777" w:rsidR="00592131" w:rsidRPr="00CC61C2" w:rsidRDefault="00592131" w:rsidP="001237DA">
            <w:pPr>
              <w:widowControl w:val="0"/>
              <w:jc w:val="both"/>
              <w:rPr>
                <w:szCs w:val="22"/>
              </w:rPr>
            </w:pPr>
            <w:r w:rsidRPr="00CC61C2">
              <w:rPr>
                <w:szCs w:val="22"/>
              </w:rPr>
              <w:t>Disguezija</w:t>
            </w:r>
          </w:p>
        </w:tc>
        <w:tc>
          <w:tcPr>
            <w:tcW w:w="690" w:type="pct"/>
            <w:vAlign w:val="center"/>
          </w:tcPr>
          <w:p w14:paraId="27CDA6B4" w14:textId="77777777" w:rsidR="00592131" w:rsidRPr="00CC61C2" w:rsidRDefault="00592131" w:rsidP="001237DA">
            <w:pPr>
              <w:widowControl w:val="0"/>
              <w:jc w:val="both"/>
              <w:rPr>
                <w:szCs w:val="22"/>
              </w:rPr>
            </w:pPr>
            <w:r w:rsidRPr="00CC61C2">
              <w:rPr>
                <w:szCs w:val="22"/>
              </w:rPr>
              <w:t>Često</w:t>
            </w:r>
          </w:p>
        </w:tc>
        <w:tc>
          <w:tcPr>
            <w:tcW w:w="1088" w:type="pct"/>
            <w:vAlign w:val="center"/>
          </w:tcPr>
          <w:p w14:paraId="1780FD44" w14:textId="77777777" w:rsidR="00592131" w:rsidRPr="00CC61C2" w:rsidDel="00FE1CF1" w:rsidRDefault="00592131" w:rsidP="001237DA">
            <w:pPr>
              <w:widowControl w:val="0"/>
              <w:jc w:val="both"/>
              <w:rPr>
                <w:szCs w:val="22"/>
              </w:rPr>
            </w:pPr>
            <w:r w:rsidRPr="00CC61C2">
              <w:rPr>
                <w:szCs w:val="22"/>
              </w:rPr>
              <w:t>-</w:t>
            </w:r>
          </w:p>
        </w:tc>
        <w:tc>
          <w:tcPr>
            <w:tcW w:w="1004" w:type="pct"/>
            <w:vAlign w:val="center"/>
          </w:tcPr>
          <w:p w14:paraId="4A80E42E" w14:textId="77777777" w:rsidR="00592131" w:rsidRPr="00CC61C2" w:rsidRDefault="00592131" w:rsidP="001237DA">
            <w:pPr>
              <w:jc w:val="both"/>
              <w:rPr>
                <w:szCs w:val="22"/>
              </w:rPr>
            </w:pPr>
            <w:r w:rsidRPr="00CC61C2">
              <w:rPr>
                <w:szCs w:val="22"/>
              </w:rPr>
              <w:t>Povremeno</w:t>
            </w:r>
          </w:p>
        </w:tc>
      </w:tr>
      <w:tr w:rsidR="00592131" w:rsidRPr="00CC61C2" w14:paraId="2E9E9393" w14:textId="77777777" w:rsidTr="002C09D7">
        <w:tc>
          <w:tcPr>
            <w:tcW w:w="943" w:type="pct"/>
            <w:vMerge/>
            <w:shd w:val="clear" w:color="auto" w:fill="auto"/>
            <w:vAlign w:val="center"/>
          </w:tcPr>
          <w:p w14:paraId="2633986D"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246B5BC0" w14:textId="77777777" w:rsidR="00592131" w:rsidRPr="00CC61C2" w:rsidRDefault="00592131" w:rsidP="001237DA">
            <w:pPr>
              <w:widowControl w:val="0"/>
              <w:jc w:val="both"/>
              <w:rPr>
                <w:szCs w:val="22"/>
              </w:rPr>
            </w:pPr>
            <w:r w:rsidRPr="00CC61C2">
              <w:rPr>
                <w:szCs w:val="22"/>
              </w:rPr>
              <w:t>Sinkopa</w:t>
            </w:r>
          </w:p>
        </w:tc>
        <w:tc>
          <w:tcPr>
            <w:tcW w:w="690" w:type="pct"/>
            <w:vAlign w:val="center"/>
          </w:tcPr>
          <w:p w14:paraId="45AB9989" w14:textId="77777777" w:rsidR="00592131" w:rsidRPr="00CC61C2" w:rsidRDefault="00592131" w:rsidP="001237DA">
            <w:pPr>
              <w:widowControl w:val="0"/>
              <w:jc w:val="both"/>
              <w:rPr>
                <w:szCs w:val="22"/>
              </w:rPr>
            </w:pPr>
            <w:r w:rsidRPr="00CC61C2">
              <w:rPr>
                <w:szCs w:val="22"/>
              </w:rPr>
              <w:t>Povremeno*</w:t>
            </w:r>
          </w:p>
        </w:tc>
        <w:tc>
          <w:tcPr>
            <w:tcW w:w="1088" w:type="pct"/>
            <w:vAlign w:val="center"/>
          </w:tcPr>
          <w:p w14:paraId="632DECDE" w14:textId="77777777" w:rsidR="00592131" w:rsidRPr="00CC61C2" w:rsidRDefault="00592131" w:rsidP="001237DA">
            <w:pPr>
              <w:widowControl w:val="0"/>
              <w:jc w:val="both"/>
              <w:rPr>
                <w:szCs w:val="22"/>
              </w:rPr>
            </w:pPr>
            <w:r w:rsidRPr="00CC61C2">
              <w:rPr>
                <w:szCs w:val="22"/>
              </w:rPr>
              <w:t>Nepoznato</w:t>
            </w:r>
          </w:p>
        </w:tc>
        <w:tc>
          <w:tcPr>
            <w:tcW w:w="1004" w:type="pct"/>
            <w:vAlign w:val="center"/>
          </w:tcPr>
          <w:p w14:paraId="73E4E127" w14:textId="77777777" w:rsidR="00592131" w:rsidRPr="00CC61C2" w:rsidRDefault="00592131" w:rsidP="001237DA">
            <w:pPr>
              <w:jc w:val="both"/>
              <w:rPr>
                <w:szCs w:val="22"/>
              </w:rPr>
            </w:pPr>
            <w:r w:rsidRPr="00CC61C2">
              <w:rPr>
                <w:szCs w:val="22"/>
              </w:rPr>
              <w:t>Povremeno</w:t>
            </w:r>
          </w:p>
        </w:tc>
      </w:tr>
      <w:tr w:rsidR="00592131" w:rsidRPr="00CC61C2" w14:paraId="0DC2779E" w14:textId="77777777" w:rsidTr="002C09D7">
        <w:tc>
          <w:tcPr>
            <w:tcW w:w="943" w:type="pct"/>
            <w:vMerge/>
            <w:shd w:val="clear" w:color="auto" w:fill="auto"/>
            <w:vAlign w:val="center"/>
          </w:tcPr>
          <w:p w14:paraId="1490325E"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7AE8E9F5" w14:textId="77777777" w:rsidR="00592131" w:rsidRPr="00CC61C2" w:rsidRDefault="00592131" w:rsidP="001237DA">
            <w:pPr>
              <w:widowControl w:val="0"/>
              <w:autoSpaceDE w:val="0"/>
              <w:autoSpaceDN w:val="0"/>
              <w:adjustRightInd w:val="0"/>
              <w:jc w:val="both"/>
              <w:rPr>
                <w:szCs w:val="22"/>
              </w:rPr>
            </w:pPr>
            <w:r w:rsidRPr="00CC61C2">
              <w:rPr>
                <w:szCs w:val="22"/>
              </w:rPr>
              <w:t>Hipoestezija</w:t>
            </w:r>
          </w:p>
        </w:tc>
        <w:tc>
          <w:tcPr>
            <w:tcW w:w="690" w:type="pct"/>
            <w:vAlign w:val="center"/>
          </w:tcPr>
          <w:p w14:paraId="5464437B"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257D99AE"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5E7D7370" w14:textId="77777777" w:rsidR="00592131" w:rsidRPr="00CC61C2" w:rsidRDefault="00592131" w:rsidP="001237DA">
            <w:pPr>
              <w:jc w:val="both"/>
              <w:rPr>
                <w:szCs w:val="22"/>
              </w:rPr>
            </w:pPr>
            <w:r w:rsidRPr="00CC61C2">
              <w:rPr>
                <w:szCs w:val="22"/>
              </w:rPr>
              <w:t>Povremeno</w:t>
            </w:r>
          </w:p>
        </w:tc>
      </w:tr>
      <w:tr w:rsidR="00592131" w:rsidRPr="00CC61C2" w14:paraId="473973AB" w14:textId="77777777" w:rsidTr="002C09D7">
        <w:tc>
          <w:tcPr>
            <w:tcW w:w="943" w:type="pct"/>
            <w:vMerge/>
            <w:shd w:val="clear" w:color="auto" w:fill="auto"/>
            <w:vAlign w:val="center"/>
          </w:tcPr>
          <w:p w14:paraId="78739966"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05D0D652" w14:textId="77777777" w:rsidR="00592131" w:rsidRPr="00CC61C2" w:rsidRDefault="00592131" w:rsidP="001237DA">
            <w:pPr>
              <w:widowControl w:val="0"/>
              <w:autoSpaceDE w:val="0"/>
              <w:autoSpaceDN w:val="0"/>
              <w:adjustRightInd w:val="0"/>
              <w:jc w:val="both"/>
              <w:rPr>
                <w:szCs w:val="22"/>
              </w:rPr>
            </w:pPr>
            <w:r w:rsidRPr="00CC61C2">
              <w:rPr>
                <w:szCs w:val="22"/>
              </w:rPr>
              <w:t>Parestezija</w:t>
            </w:r>
          </w:p>
        </w:tc>
        <w:tc>
          <w:tcPr>
            <w:tcW w:w="690" w:type="pct"/>
            <w:vAlign w:val="center"/>
          </w:tcPr>
          <w:p w14:paraId="37BAA96F" w14:textId="77777777" w:rsidR="00592131" w:rsidRPr="00CC61C2" w:rsidRDefault="00592131" w:rsidP="001237DA">
            <w:pPr>
              <w:widowControl w:val="0"/>
              <w:autoSpaceDE w:val="0"/>
              <w:autoSpaceDN w:val="0"/>
              <w:adjustRightInd w:val="0"/>
              <w:jc w:val="both"/>
              <w:rPr>
                <w:szCs w:val="22"/>
              </w:rPr>
            </w:pPr>
            <w:r w:rsidRPr="00CC61C2">
              <w:rPr>
                <w:szCs w:val="22"/>
              </w:rPr>
              <w:t>Često</w:t>
            </w:r>
          </w:p>
        </w:tc>
        <w:tc>
          <w:tcPr>
            <w:tcW w:w="1088" w:type="pct"/>
            <w:vAlign w:val="center"/>
          </w:tcPr>
          <w:p w14:paraId="0F02D028" w14:textId="77777777" w:rsidR="00592131" w:rsidRPr="00CC61C2" w:rsidRDefault="00592131" w:rsidP="001237DA">
            <w:pPr>
              <w:widowControl w:val="0"/>
              <w:jc w:val="both"/>
              <w:rPr>
                <w:szCs w:val="22"/>
              </w:rPr>
            </w:pPr>
            <w:r w:rsidRPr="00CC61C2">
              <w:rPr>
                <w:szCs w:val="22"/>
              </w:rPr>
              <w:t>Rijetko</w:t>
            </w:r>
          </w:p>
        </w:tc>
        <w:tc>
          <w:tcPr>
            <w:tcW w:w="1004" w:type="pct"/>
            <w:vAlign w:val="center"/>
          </w:tcPr>
          <w:p w14:paraId="79F85749" w14:textId="77777777" w:rsidR="00592131" w:rsidRPr="00CC61C2" w:rsidRDefault="00592131" w:rsidP="001237DA">
            <w:pPr>
              <w:jc w:val="both"/>
              <w:rPr>
                <w:szCs w:val="22"/>
              </w:rPr>
            </w:pPr>
            <w:r w:rsidRPr="00CC61C2">
              <w:rPr>
                <w:szCs w:val="22"/>
              </w:rPr>
              <w:t>Povremeno</w:t>
            </w:r>
          </w:p>
        </w:tc>
      </w:tr>
      <w:tr w:rsidR="00592131" w:rsidRPr="00CC61C2" w14:paraId="5F4D8DFA" w14:textId="77777777" w:rsidTr="002C09D7">
        <w:tc>
          <w:tcPr>
            <w:tcW w:w="943" w:type="pct"/>
            <w:vMerge/>
            <w:shd w:val="clear" w:color="auto" w:fill="auto"/>
            <w:vAlign w:val="center"/>
          </w:tcPr>
          <w:p w14:paraId="0217538C"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53ECCEF7" w14:textId="77777777" w:rsidR="00592131" w:rsidRPr="00CC61C2" w:rsidRDefault="00592131" w:rsidP="001237DA">
            <w:pPr>
              <w:widowControl w:val="0"/>
              <w:jc w:val="both"/>
              <w:rPr>
                <w:szCs w:val="22"/>
              </w:rPr>
            </w:pPr>
            <w:r w:rsidRPr="00CC61C2">
              <w:rPr>
                <w:szCs w:val="22"/>
              </w:rPr>
              <w:t>Hipertonija</w:t>
            </w:r>
          </w:p>
        </w:tc>
        <w:tc>
          <w:tcPr>
            <w:tcW w:w="690" w:type="pct"/>
            <w:vAlign w:val="center"/>
          </w:tcPr>
          <w:p w14:paraId="3ECCC0E9"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501179B1" w14:textId="77777777" w:rsidR="00592131" w:rsidRPr="00CC61C2" w:rsidRDefault="00592131" w:rsidP="001237DA">
            <w:pPr>
              <w:widowControl w:val="0"/>
              <w:autoSpaceDE w:val="0"/>
              <w:autoSpaceDN w:val="0"/>
              <w:adjustRightInd w:val="0"/>
              <w:jc w:val="both"/>
              <w:rPr>
                <w:szCs w:val="22"/>
              </w:rPr>
            </w:pPr>
            <w:r w:rsidRPr="00CC61C2">
              <w:rPr>
                <w:szCs w:val="22"/>
              </w:rPr>
              <w:t>-</w:t>
            </w:r>
          </w:p>
        </w:tc>
        <w:tc>
          <w:tcPr>
            <w:tcW w:w="1004" w:type="pct"/>
            <w:vAlign w:val="center"/>
          </w:tcPr>
          <w:p w14:paraId="49766D57" w14:textId="77777777" w:rsidR="00592131" w:rsidRPr="00CC61C2" w:rsidRDefault="00592131" w:rsidP="001237DA">
            <w:pPr>
              <w:widowControl w:val="0"/>
              <w:autoSpaceDE w:val="0"/>
              <w:autoSpaceDN w:val="0"/>
              <w:adjustRightInd w:val="0"/>
              <w:jc w:val="both"/>
              <w:rPr>
                <w:szCs w:val="22"/>
              </w:rPr>
            </w:pPr>
            <w:r w:rsidRPr="00CC61C2">
              <w:rPr>
                <w:szCs w:val="22"/>
              </w:rPr>
              <w:t>Veoma rijetko</w:t>
            </w:r>
          </w:p>
        </w:tc>
      </w:tr>
      <w:tr w:rsidR="00592131" w:rsidRPr="00CC61C2" w14:paraId="6FB27385" w14:textId="77777777" w:rsidTr="002C09D7">
        <w:tc>
          <w:tcPr>
            <w:tcW w:w="943" w:type="pct"/>
            <w:vMerge/>
            <w:shd w:val="clear" w:color="auto" w:fill="auto"/>
            <w:vAlign w:val="center"/>
          </w:tcPr>
          <w:p w14:paraId="3D4C94D3"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3DF636CC" w14:textId="77777777" w:rsidR="00592131" w:rsidRPr="00CC61C2" w:rsidRDefault="00592131" w:rsidP="001237DA">
            <w:pPr>
              <w:widowControl w:val="0"/>
              <w:jc w:val="both"/>
              <w:rPr>
                <w:szCs w:val="22"/>
              </w:rPr>
            </w:pPr>
            <w:r w:rsidRPr="00CC61C2">
              <w:rPr>
                <w:szCs w:val="22"/>
              </w:rPr>
              <w:t>Periferna neuropatija</w:t>
            </w:r>
          </w:p>
        </w:tc>
        <w:tc>
          <w:tcPr>
            <w:tcW w:w="690" w:type="pct"/>
            <w:vAlign w:val="center"/>
          </w:tcPr>
          <w:p w14:paraId="29A10947"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21EDA21E" w14:textId="77777777" w:rsidR="00592131" w:rsidRPr="00CC61C2" w:rsidRDefault="00592131" w:rsidP="001237DA">
            <w:pPr>
              <w:widowControl w:val="0"/>
              <w:autoSpaceDE w:val="0"/>
              <w:autoSpaceDN w:val="0"/>
              <w:adjustRightInd w:val="0"/>
              <w:jc w:val="both"/>
              <w:rPr>
                <w:szCs w:val="22"/>
              </w:rPr>
            </w:pPr>
            <w:r w:rsidRPr="00CC61C2">
              <w:rPr>
                <w:szCs w:val="22"/>
              </w:rPr>
              <w:t>-</w:t>
            </w:r>
          </w:p>
        </w:tc>
        <w:tc>
          <w:tcPr>
            <w:tcW w:w="1004" w:type="pct"/>
            <w:vAlign w:val="center"/>
          </w:tcPr>
          <w:p w14:paraId="34710AA7" w14:textId="77777777" w:rsidR="00592131" w:rsidRPr="00CC61C2" w:rsidRDefault="00592131" w:rsidP="001237DA">
            <w:pPr>
              <w:widowControl w:val="0"/>
              <w:autoSpaceDE w:val="0"/>
              <w:autoSpaceDN w:val="0"/>
              <w:adjustRightInd w:val="0"/>
              <w:jc w:val="both"/>
              <w:rPr>
                <w:szCs w:val="22"/>
              </w:rPr>
            </w:pPr>
            <w:r w:rsidRPr="00CC61C2">
              <w:rPr>
                <w:szCs w:val="22"/>
              </w:rPr>
              <w:t>Veoma rijetko</w:t>
            </w:r>
          </w:p>
        </w:tc>
      </w:tr>
      <w:tr w:rsidR="00592131" w:rsidRPr="00CC61C2" w14:paraId="68E0F6C9" w14:textId="77777777" w:rsidTr="002C09D7">
        <w:tc>
          <w:tcPr>
            <w:tcW w:w="943" w:type="pct"/>
            <w:vMerge/>
            <w:shd w:val="clear" w:color="auto" w:fill="auto"/>
            <w:vAlign w:val="center"/>
          </w:tcPr>
          <w:p w14:paraId="2C06A0C4"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155244F7" w14:textId="77777777" w:rsidR="00592131" w:rsidRPr="00CC61C2" w:rsidRDefault="00592131" w:rsidP="001237DA">
            <w:pPr>
              <w:widowControl w:val="0"/>
              <w:jc w:val="both"/>
              <w:rPr>
                <w:szCs w:val="22"/>
              </w:rPr>
            </w:pPr>
            <w:r w:rsidRPr="00CC61C2">
              <w:rPr>
                <w:szCs w:val="22"/>
              </w:rPr>
              <w:t>Ekstrapiramidalni poremećaj (ekstrapiramidalni sindrom)</w:t>
            </w:r>
          </w:p>
        </w:tc>
        <w:tc>
          <w:tcPr>
            <w:tcW w:w="690" w:type="pct"/>
            <w:vAlign w:val="center"/>
          </w:tcPr>
          <w:p w14:paraId="102C6F55"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13B7BAD1"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0A869A7A" w14:textId="77777777" w:rsidR="00592131" w:rsidRPr="00CC61C2" w:rsidRDefault="00592131" w:rsidP="001237DA">
            <w:pPr>
              <w:widowControl w:val="0"/>
              <w:jc w:val="both"/>
              <w:rPr>
                <w:szCs w:val="22"/>
              </w:rPr>
            </w:pPr>
            <w:r w:rsidRPr="00CC61C2">
              <w:rPr>
                <w:szCs w:val="22"/>
              </w:rPr>
              <w:t>Nepoznato</w:t>
            </w:r>
          </w:p>
        </w:tc>
      </w:tr>
      <w:tr w:rsidR="00592131" w:rsidRPr="00CC61C2" w14:paraId="77B613B3" w14:textId="77777777" w:rsidTr="002C09D7">
        <w:tc>
          <w:tcPr>
            <w:tcW w:w="943" w:type="pct"/>
            <w:vMerge/>
            <w:shd w:val="clear" w:color="auto" w:fill="auto"/>
            <w:vAlign w:val="center"/>
          </w:tcPr>
          <w:p w14:paraId="19686D44"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563480ED" w14:textId="77777777" w:rsidR="00592131" w:rsidRPr="00CC61C2" w:rsidRDefault="00592131" w:rsidP="009D6AD4">
            <w:pPr>
              <w:widowControl w:val="0"/>
              <w:rPr>
                <w:szCs w:val="22"/>
              </w:rPr>
            </w:pPr>
            <w:r w:rsidRPr="00CC61C2">
              <w:rPr>
                <w:szCs w:val="22"/>
              </w:rPr>
              <w:t>Moždani udar posljedično zbog izrazite hipotenzije kod pacijenata sa visokim rizikom (vidjeti dio 4.4)</w:t>
            </w:r>
          </w:p>
        </w:tc>
        <w:tc>
          <w:tcPr>
            <w:tcW w:w="690" w:type="pct"/>
            <w:vAlign w:val="center"/>
          </w:tcPr>
          <w:p w14:paraId="3742D8EB" w14:textId="77777777" w:rsidR="00592131" w:rsidRPr="00CC61C2" w:rsidRDefault="00592131" w:rsidP="001237DA">
            <w:pPr>
              <w:widowControl w:val="0"/>
              <w:jc w:val="both"/>
              <w:rPr>
                <w:szCs w:val="22"/>
              </w:rPr>
            </w:pPr>
            <w:r w:rsidRPr="00CC61C2">
              <w:rPr>
                <w:szCs w:val="22"/>
              </w:rPr>
              <w:t>Veoma rijetko</w:t>
            </w:r>
          </w:p>
        </w:tc>
        <w:tc>
          <w:tcPr>
            <w:tcW w:w="1088" w:type="pct"/>
            <w:vAlign w:val="center"/>
          </w:tcPr>
          <w:p w14:paraId="1A887A87" w14:textId="77777777" w:rsidR="00592131" w:rsidRPr="00CC61C2" w:rsidDel="004E7AF8" w:rsidRDefault="00592131" w:rsidP="001237DA">
            <w:pPr>
              <w:widowControl w:val="0"/>
              <w:jc w:val="both"/>
              <w:rPr>
                <w:szCs w:val="22"/>
              </w:rPr>
            </w:pPr>
            <w:r w:rsidRPr="00CC61C2">
              <w:rPr>
                <w:szCs w:val="22"/>
              </w:rPr>
              <w:t>-</w:t>
            </w:r>
          </w:p>
        </w:tc>
        <w:tc>
          <w:tcPr>
            <w:tcW w:w="1004" w:type="pct"/>
            <w:vAlign w:val="center"/>
          </w:tcPr>
          <w:p w14:paraId="00D147A4" w14:textId="77777777" w:rsidR="00592131" w:rsidRPr="00CC61C2" w:rsidRDefault="00592131" w:rsidP="001237DA">
            <w:pPr>
              <w:widowControl w:val="0"/>
              <w:jc w:val="both"/>
              <w:rPr>
                <w:szCs w:val="22"/>
              </w:rPr>
            </w:pPr>
            <w:r w:rsidRPr="00CC61C2">
              <w:rPr>
                <w:szCs w:val="22"/>
              </w:rPr>
              <w:t>-</w:t>
            </w:r>
          </w:p>
        </w:tc>
      </w:tr>
      <w:tr w:rsidR="00592131" w:rsidRPr="00CC61C2" w14:paraId="65163DD6" w14:textId="77777777" w:rsidTr="002C09D7">
        <w:tc>
          <w:tcPr>
            <w:tcW w:w="943" w:type="pct"/>
            <w:vMerge/>
            <w:shd w:val="clear" w:color="auto" w:fill="auto"/>
            <w:vAlign w:val="center"/>
          </w:tcPr>
          <w:p w14:paraId="1F1EB1EB"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2EAEC032" w14:textId="77777777" w:rsidR="00592131" w:rsidRDefault="00592131" w:rsidP="009D6AD4">
            <w:pPr>
              <w:widowControl w:val="0"/>
              <w:rPr>
                <w:szCs w:val="22"/>
              </w:rPr>
            </w:pPr>
            <w:r w:rsidRPr="00CC61C2">
              <w:rPr>
                <w:szCs w:val="22"/>
              </w:rPr>
              <w:t>Mogućnost pojave hepatičke encefalopatije u slučajevima hepatičke insuficijencije (vidjeti djelove 4.3 i 4.4)</w:t>
            </w:r>
          </w:p>
          <w:p w14:paraId="779C34FF" w14:textId="753C8B09" w:rsidR="00A160D0" w:rsidRPr="00CC61C2" w:rsidRDefault="00A160D0" w:rsidP="009D6AD4">
            <w:pPr>
              <w:widowControl w:val="0"/>
              <w:rPr>
                <w:szCs w:val="22"/>
              </w:rPr>
            </w:pPr>
          </w:p>
        </w:tc>
        <w:tc>
          <w:tcPr>
            <w:tcW w:w="690" w:type="pct"/>
            <w:vAlign w:val="center"/>
          </w:tcPr>
          <w:p w14:paraId="3EAA166B"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1E2AE369" w14:textId="77777777" w:rsidR="00592131" w:rsidRPr="00CC61C2" w:rsidRDefault="00592131" w:rsidP="001237DA">
            <w:pPr>
              <w:widowControl w:val="0"/>
              <w:jc w:val="both"/>
              <w:rPr>
                <w:szCs w:val="22"/>
              </w:rPr>
            </w:pPr>
            <w:r w:rsidRPr="00CC61C2">
              <w:rPr>
                <w:szCs w:val="22"/>
              </w:rPr>
              <w:t>Nepoznato</w:t>
            </w:r>
          </w:p>
        </w:tc>
        <w:tc>
          <w:tcPr>
            <w:tcW w:w="1004" w:type="pct"/>
            <w:vAlign w:val="center"/>
          </w:tcPr>
          <w:p w14:paraId="6E62F321" w14:textId="77777777" w:rsidR="00592131" w:rsidRPr="00CC61C2" w:rsidRDefault="00592131" w:rsidP="001237DA">
            <w:pPr>
              <w:widowControl w:val="0"/>
              <w:jc w:val="both"/>
              <w:rPr>
                <w:szCs w:val="22"/>
              </w:rPr>
            </w:pPr>
            <w:r w:rsidRPr="00CC61C2">
              <w:rPr>
                <w:szCs w:val="22"/>
              </w:rPr>
              <w:t>-</w:t>
            </w:r>
          </w:p>
        </w:tc>
      </w:tr>
      <w:tr w:rsidR="00592131" w:rsidRPr="00CC61C2" w14:paraId="619EA467" w14:textId="77777777" w:rsidTr="002C09D7">
        <w:tc>
          <w:tcPr>
            <w:tcW w:w="943" w:type="pct"/>
            <w:vMerge w:val="restart"/>
            <w:shd w:val="clear" w:color="auto" w:fill="auto"/>
            <w:vAlign w:val="center"/>
          </w:tcPr>
          <w:p w14:paraId="214F1688" w14:textId="77777777" w:rsidR="00592131" w:rsidRPr="00CC61C2" w:rsidRDefault="00592131" w:rsidP="001237DA">
            <w:pPr>
              <w:widowControl w:val="0"/>
              <w:tabs>
                <w:tab w:val="center" w:pos="4536"/>
                <w:tab w:val="right" w:pos="9072"/>
              </w:tabs>
              <w:jc w:val="both"/>
              <w:rPr>
                <w:noProof/>
                <w:szCs w:val="22"/>
              </w:rPr>
            </w:pPr>
            <w:r w:rsidRPr="00CC61C2">
              <w:rPr>
                <w:b/>
                <w:bCs/>
                <w:noProof/>
                <w:szCs w:val="22"/>
              </w:rPr>
              <w:t xml:space="preserve">Poremećaji oka </w:t>
            </w:r>
          </w:p>
        </w:tc>
        <w:tc>
          <w:tcPr>
            <w:tcW w:w="1275" w:type="pct"/>
            <w:vAlign w:val="center"/>
          </w:tcPr>
          <w:p w14:paraId="7220266F" w14:textId="77777777" w:rsidR="00592131" w:rsidRPr="00CC61C2" w:rsidRDefault="00592131" w:rsidP="001237DA">
            <w:pPr>
              <w:widowControl w:val="0"/>
              <w:jc w:val="both"/>
              <w:rPr>
                <w:szCs w:val="22"/>
              </w:rPr>
            </w:pPr>
            <w:r w:rsidRPr="00CC61C2">
              <w:rPr>
                <w:szCs w:val="22"/>
              </w:rPr>
              <w:t>Poremećaji vida</w:t>
            </w:r>
          </w:p>
        </w:tc>
        <w:tc>
          <w:tcPr>
            <w:tcW w:w="690" w:type="pct"/>
            <w:vAlign w:val="center"/>
          </w:tcPr>
          <w:p w14:paraId="566F7805" w14:textId="77777777" w:rsidR="00592131" w:rsidRPr="00CC61C2" w:rsidRDefault="00592131" w:rsidP="001237DA">
            <w:pPr>
              <w:widowControl w:val="0"/>
              <w:autoSpaceDE w:val="0"/>
              <w:autoSpaceDN w:val="0"/>
              <w:adjustRightInd w:val="0"/>
              <w:jc w:val="both"/>
              <w:rPr>
                <w:szCs w:val="22"/>
              </w:rPr>
            </w:pPr>
            <w:r w:rsidRPr="00CC61C2">
              <w:rPr>
                <w:szCs w:val="22"/>
              </w:rPr>
              <w:t>Često</w:t>
            </w:r>
          </w:p>
        </w:tc>
        <w:tc>
          <w:tcPr>
            <w:tcW w:w="1088" w:type="pct"/>
            <w:vAlign w:val="center"/>
          </w:tcPr>
          <w:p w14:paraId="0D5C2FDC" w14:textId="77777777" w:rsidR="00592131" w:rsidRPr="00CC61C2" w:rsidRDefault="00592131" w:rsidP="001237DA">
            <w:pPr>
              <w:widowControl w:val="0"/>
              <w:jc w:val="both"/>
              <w:rPr>
                <w:szCs w:val="22"/>
              </w:rPr>
            </w:pPr>
            <w:r w:rsidRPr="00CC61C2">
              <w:rPr>
                <w:szCs w:val="22"/>
              </w:rPr>
              <w:t>Nepoznato</w:t>
            </w:r>
          </w:p>
        </w:tc>
        <w:tc>
          <w:tcPr>
            <w:tcW w:w="1004" w:type="pct"/>
            <w:vAlign w:val="center"/>
          </w:tcPr>
          <w:p w14:paraId="24A4CECF" w14:textId="77777777" w:rsidR="00592131" w:rsidRPr="00CC61C2" w:rsidRDefault="00592131" w:rsidP="001237DA">
            <w:pPr>
              <w:widowControl w:val="0"/>
              <w:jc w:val="both"/>
              <w:rPr>
                <w:szCs w:val="22"/>
              </w:rPr>
            </w:pPr>
            <w:r w:rsidRPr="00CC61C2">
              <w:rPr>
                <w:szCs w:val="22"/>
              </w:rPr>
              <w:t>Često</w:t>
            </w:r>
          </w:p>
        </w:tc>
      </w:tr>
      <w:tr w:rsidR="00592131" w:rsidRPr="00CC61C2" w14:paraId="719E33EE" w14:textId="77777777" w:rsidTr="002C09D7">
        <w:tc>
          <w:tcPr>
            <w:tcW w:w="943" w:type="pct"/>
            <w:vMerge/>
            <w:shd w:val="clear" w:color="auto" w:fill="auto"/>
            <w:vAlign w:val="center"/>
          </w:tcPr>
          <w:p w14:paraId="1E15EF04" w14:textId="77777777" w:rsidR="00592131" w:rsidRPr="00CC61C2" w:rsidRDefault="00592131" w:rsidP="001237DA">
            <w:pPr>
              <w:widowControl w:val="0"/>
              <w:tabs>
                <w:tab w:val="center" w:pos="4536"/>
                <w:tab w:val="right" w:pos="9072"/>
              </w:tabs>
              <w:jc w:val="both"/>
              <w:rPr>
                <w:szCs w:val="22"/>
              </w:rPr>
            </w:pPr>
          </w:p>
        </w:tc>
        <w:tc>
          <w:tcPr>
            <w:tcW w:w="1275" w:type="pct"/>
            <w:vAlign w:val="center"/>
          </w:tcPr>
          <w:p w14:paraId="4A7F3FFF" w14:textId="77777777" w:rsidR="00592131" w:rsidRPr="00CC61C2" w:rsidRDefault="00592131" w:rsidP="001237DA">
            <w:pPr>
              <w:widowControl w:val="0"/>
              <w:jc w:val="both"/>
              <w:rPr>
                <w:szCs w:val="22"/>
              </w:rPr>
            </w:pPr>
            <w:r w:rsidRPr="00CC61C2">
              <w:rPr>
                <w:szCs w:val="22"/>
              </w:rPr>
              <w:t>Diplopija</w:t>
            </w:r>
          </w:p>
        </w:tc>
        <w:tc>
          <w:tcPr>
            <w:tcW w:w="690" w:type="pct"/>
            <w:vAlign w:val="center"/>
          </w:tcPr>
          <w:p w14:paraId="0EC707C9" w14:textId="77777777" w:rsidR="00592131" w:rsidRPr="00CC61C2" w:rsidRDefault="00592131" w:rsidP="001237DA">
            <w:pPr>
              <w:widowControl w:val="0"/>
              <w:autoSpaceDE w:val="0"/>
              <w:autoSpaceDN w:val="0"/>
              <w:adjustRightInd w:val="0"/>
              <w:jc w:val="both"/>
              <w:rPr>
                <w:szCs w:val="22"/>
              </w:rPr>
            </w:pPr>
            <w:r w:rsidRPr="00CC61C2">
              <w:rPr>
                <w:szCs w:val="22"/>
              </w:rPr>
              <w:t>-</w:t>
            </w:r>
          </w:p>
        </w:tc>
        <w:tc>
          <w:tcPr>
            <w:tcW w:w="1088" w:type="pct"/>
            <w:vAlign w:val="center"/>
          </w:tcPr>
          <w:p w14:paraId="04825DF3"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185AE209" w14:textId="77777777" w:rsidR="00592131" w:rsidRPr="00CC61C2" w:rsidRDefault="00592131" w:rsidP="001237DA">
            <w:pPr>
              <w:widowControl w:val="0"/>
              <w:jc w:val="both"/>
              <w:rPr>
                <w:szCs w:val="22"/>
              </w:rPr>
            </w:pPr>
            <w:r w:rsidRPr="00CC61C2">
              <w:rPr>
                <w:szCs w:val="22"/>
              </w:rPr>
              <w:t>Često</w:t>
            </w:r>
          </w:p>
        </w:tc>
      </w:tr>
      <w:tr w:rsidR="00592131" w:rsidRPr="00CC61C2" w14:paraId="4480CAD2" w14:textId="77777777" w:rsidTr="002C09D7">
        <w:tc>
          <w:tcPr>
            <w:tcW w:w="943" w:type="pct"/>
            <w:vMerge/>
            <w:shd w:val="clear" w:color="auto" w:fill="auto"/>
            <w:vAlign w:val="center"/>
          </w:tcPr>
          <w:p w14:paraId="5D3B284C" w14:textId="77777777" w:rsidR="00592131" w:rsidRPr="00CC61C2" w:rsidRDefault="00592131" w:rsidP="001237DA">
            <w:pPr>
              <w:widowControl w:val="0"/>
              <w:tabs>
                <w:tab w:val="center" w:pos="4536"/>
                <w:tab w:val="right" w:pos="9072"/>
              </w:tabs>
              <w:jc w:val="both"/>
              <w:rPr>
                <w:szCs w:val="22"/>
              </w:rPr>
            </w:pPr>
          </w:p>
        </w:tc>
        <w:tc>
          <w:tcPr>
            <w:tcW w:w="1275" w:type="pct"/>
            <w:vAlign w:val="center"/>
          </w:tcPr>
          <w:p w14:paraId="4185C8BF" w14:textId="77777777" w:rsidR="00592131" w:rsidRPr="00CC61C2" w:rsidRDefault="00592131" w:rsidP="001237DA">
            <w:pPr>
              <w:widowControl w:val="0"/>
              <w:jc w:val="both"/>
              <w:rPr>
                <w:szCs w:val="22"/>
              </w:rPr>
            </w:pPr>
            <w:r w:rsidRPr="00CC61C2">
              <w:rPr>
                <w:szCs w:val="22"/>
              </w:rPr>
              <w:t>Miopija (vidjeti dio 4.4)</w:t>
            </w:r>
          </w:p>
        </w:tc>
        <w:tc>
          <w:tcPr>
            <w:tcW w:w="690" w:type="pct"/>
            <w:vAlign w:val="center"/>
          </w:tcPr>
          <w:p w14:paraId="447318C2" w14:textId="77777777" w:rsidR="00592131" w:rsidRPr="00CC61C2" w:rsidRDefault="00592131" w:rsidP="001237DA">
            <w:pPr>
              <w:widowControl w:val="0"/>
              <w:autoSpaceDE w:val="0"/>
              <w:autoSpaceDN w:val="0"/>
              <w:adjustRightInd w:val="0"/>
              <w:jc w:val="both"/>
              <w:rPr>
                <w:szCs w:val="22"/>
              </w:rPr>
            </w:pPr>
            <w:r w:rsidRPr="00CC61C2">
              <w:rPr>
                <w:szCs w:val="22"/>
              </w:rPr>
              <w:t>-</w:t>
            </w:r>
          </w:p>
        </w:tc>
        <w:tc>
          <w:tcPr>
            <w:tcW w:w="1088" w:type="pct"/>
            <w:vAlign w:val="center"/>
          </w:tcPr>
          <w:p w14:paraId="0E89AE5C" w14:textId="77777777" w:rsidR="00592131" w:rsidRPr="00CC61C2" w:rsidRDefault="00592131" w:rsidP="001237DA">
            <w:pPr>
              <w:widowControl w:val="0"/>
              <w:jc w:val="both"/>
              <w:rPr>
                <w:szCs w:val="22"/>
              </w:rPr>
            </w:pPr>
            <w:r w:rsidRPr="00CC61C2">
              <w:rPr>
                <w:szCs w:val="22"/>
              </w:rPr>
              <w:t>Nepoznato</w:t>
            </w:r>
          </w:p>
        </w:tc>
        <w:tc>
          <w:tcPr>
            <w:tcW w:w="1004" w:type="pct"/>
            <w:vAlign w:val="center"/>
          </w:tcPr>
          <w:p w14:paraId="52F2B7C4" w14:textId="77777777" w:rsidR="00592131" w:rsidRPr="00CC61C2" w:rsidRDefault="00592131" w:rsidP="001237DA">
            <w:pPr>
              <w:widowControl w:val="0"/>
              <w:jc w:val="both"/>
              <w:rPr>
                <w:szCs w:val="22"/>
              </w:rPr>
            </w:pPr>
            <w:r w:rsidRPr="00CC61C2">
              <w:rPr>
                <w:szCs w:val="22"/>
              </w:rPr>
              <w:t>-</w:t>
            </w:r>
          </w:p>
        </w:tc>
      </w:tr>
      <w:tr w:rsidR="00592131" w:rsidRPr="00CC61C2" w14:paraId="6508BC46" w14:textId="77777777" w:rsidTr="002C09D7">
        <w:tc>
          <w:tcPr>
            <w:tcW w:w="943" w:type="pct"/>
            <w:vMerge/>
            <w:shd w:val="clear" w:color="auto" w:fill="auto"/>
            <w:vAlign w:val="center"/>
          </w:tcPr>
          <w:p w14:paraId="1BF1B45B" w14:textId="77777777" w:rsidR="00592131" w:rsidRPr="00CC61C2" w:rsidRDefault="00592131" w:rsidP="001237DA">
            <w:pPr>
              <w:widowControl w:val="0"/>
              <w:tabs>
                <w:tab w:val="center" w:pos="4536"/>
                <w:tab w:val="right" w:pos="9072"/>
              </w:tabs>
              <w:jc w:val="both"/>
              <w:rPr>
                <w:szCs w:val="22"/>
              </w:rPr>
            </w:pPr>
          </w:p>
        </w:tc>
        <w:tc>
          <w:tcPr>
            <w:tcW w:w="1275" w:type="pct"/>
            <w:vAlign w:val="center"/>
          </w:tcPr>
          <w:p w14:paraId="22A0C746" w14:textId="77777777" w:rsidR="00592131" w:rsidRPr="00CC61C2" w:rsidRDefault="00592131" w:rsidP="001237DA">
            <w:pPr>
              <w:widowControl w:val="0"/>
              <w:jc w:val="both"/>
              <w:rPr>
                <w:szCs w:val="22"/>
              </w:rPr>
            </w:pPr>
            <w:r w:rsidRPr="00CC61C2">
              <w:rPr>
                <w:szCs w:val="22"/>
              </w:rPr>
              <w:t>Zamućen vid</w:t>
            </w:r>
          </w:p>
        </w:tc>
        <w:tc>
          <w:tcPr>
            <w:tcW w:w="690" w:type="pct"/>
            <w:vAlign w:val="center"/>
          </w:tcPr>
          <w:p w14:paraId="0D099576" w14:textId="77777777" w:rsidR="00592131" w:rsidRPr="00CC61C2" w:rsidRDefault="00592131" w:rsidP="001237DA">
            <w:pPr>
              <w:widowControl w:val="0"/>
              <w:autoSpaceDE w:val="0"/>
              <w:autoSpaceDN w:val="0"/>
              <w:adjustRightInd w:val="0"/>
              <w:jc w:val="both"/>
              <w:rPr>
                <w:szCs w:val="22"/>
              </w:rPr>
            </w:pPr>
            <w:r w:rsidRPr="00CC61C2">
              <w:rPr>
                <w:szCs w:val="22"/>
              </w:rPr>
              <w:t>-</w:t>
            </w:r>
          </w:p>
        </w:tc>
        <w:tc>
          <w:tcPr>
            <w:tcW w:w="1088" w:type="pct"/>
            <w:vAlign w:val="center"/>
          </w:tcPr>
          <w:p w14:paraId="43B778DA" w14:textId="77777777" w:rsidR="00592131" w:rsidRPr="00CC61C2" w:rsidRDefault="00592131" w:rsidP="001237DA">
            <w:pPr>
              <w:widowControl w:val="0"/>
              <w:jc w:val="both"/>
              <w:rPr>
                <w:szCs w:val="22"/>
              </w:rPr>
            </w:pPr>
            <w:r w:rsidRPr="00CC61C2">
              <w:rPr>
                <w:szCs w:val="22"/>
              </w:rPr>
              <w:t>Nepoznato</w:t>
            </w:r>
          </w:p>
        </w:tc>
        <w:tc>
          <w:tcPr>
            <w:tcW w:w="1004" w:type="pct"/>
            <w:vAlign w:val="center"/>
          </w:tcPr>
          <w:p w14:paraId="70A42ABE" w14:textId="77777777" w:rsidR="00592131" w:rsidRPr="00CC61C2" w:rsidRDefault="00592131" w:rsidP="001237DA">
            <w:pPr>
              <w:widowControl w:val="0"/>
              <w:jc w:val="both"/>
              <w:rPr>
                <w:szCs w:val="22"/>
              </w:rPr>
            </w:pPr>
            <w:r w:rsidRPr="00CC61C2">
              <w:rPr>
                <w:szCs w:val="22"/>
              </w:rPr>
              <w:t>-</w:t>
            </w:r>
          </w:p>
        </w:tc>
      </w:tr>
      <w:tr w:rsidR="00592131" w:rsidRPr="00CC61C2" w14:paraId="10BDA006" w14:textId="77777777" w:rsidTr="002C09D7">
        <w:tc>
          <w:tcPr>
            <w:tcW w:w="943" w:type="pct"/>
            <w:vMerge/>
            <w:shd w:val="clear" w:color="auto" w:fill="auto"/>
            <w:vAlign w:val="center"/>
          </w:tcPr>
          <w:p w14:paraId="1B2BB002" w14:textId="77777777" w:rsidR="00592131" w:rsidRPr="00CC61C2" w:rsidRDefault="00592131" w:rsidP="001237DA">
            <w:pPr>
              <w:widowControl w:val="0"/>
              <w:tabs>
                <w:tab w:val="center" w:pos="4536"/>
                <w:tab w:val="right" w:pos="9072"/>
              </w:tabs>
              <w:jc w:val="both"/>
              <w:rPr>
                <w:szCs w:val="22"/>
              </w:rPr>
            </w:pPr>
          </w:p>
        </w:tc>
        <w:tc>
          <w:tcPr>
            <w:tcW w:w="1275" w:type="pct"/>
            <w:vAlign w:val="center"/>
          </w:tcPr>
          <w:p w14:paraId="760C09C0" w14:textId="77777777" w:rsidR="00592131" w:rsidRPr="00CC61C2" w:rsidRDefault="00592131" w:rsidP="001237DA">
            <w:pPr>
              <w:widowControl w:val="0"/>
              <w:jc w:val="both"/>
              <w:rPr>
                <w:szCs w:val="22"/>
              </w:rPr>
            </w:pPr>
            <w:r w:rsidRPr="00CC61C2">
              <w:rPr>
                <w:szCs w:val="22"/>
              </w:rPr>
              <w:t>Horoidalna efuzija</w:t>
            </w:r>
          </w:p>
        </w:tc>
        <w:tc>
          <w:tcPr>
            <w:tcW w:w="690" w:type="pct"/>
            <w:vAlign w:val="center"/>
          </w:tcPr>
          <w:p w14:paraId="46DF0076" w14:textId="77777777" w:rsidR="00592131" w:rsidRPr="00CC61C2" w:rsidRDefault="00592131" w:rsidP="001237DA">
            <w:pPr>
              <w:widowControl w:val="0"/>
              <w:autoSpaceDE w:val="0"/>
              <w:autoSpaceDN w:val="0"/>
              <w:adjustRightInd w:val="0"/>
              <w:jc w:val="both"/>
              <w:rPr>
                <w:szCs w:val="22"/>
              </w:rPr>
            </w:pPr>
            <w:r w:rsidRPr="00CC61C2">
              <w:rPr>
                <w:szCs w:val="22"/>
              </w:rPr>
              <w:t>-</w:t>
            </w:r>
          </w:p>
        </w:tc>
        <w:tc>
          <w:tcPr>
            <w:tcW w:w="1088" w:type="pct"/>
            <w:vAlign w:val="center"/>
          </w:tcPr>
          <w:p w14:paraId="7421967D" w14:textId="77777777" w:rsidR="00592131" w:rsidRPr="00CC61C2" w:rsidRDefault="00592131" w:rsidP="001237DA">
            <w:pPr>
              <w:widowControl w:val="0"/>
              <w:jc w:val="both"/>
              <w:rPr>
                <w:szCs w:val="22"/>
              </w:rPr>
            </w:pPr>
            <w:r w:rsidRPr="00CC61C2">
              <w:rPr>
                <w:szCs w:val="22"/>
              </w:rPr>
              <w:t>Nepoznato</w:t>
            </w:r>
          </w:p>
        </w:tc>
        <w:tc>
          <w:tcPr>
            <w:tcW w:w="1004" w:type="pct"/>
          </w:tcPr>
          <w:p w14:paraId="479741A1" w14:textId="77777777" w:rsidR="00592131" w:rsidRPr="00CC61C2" w:rsidRDefault="00592131" w:rsidP="001237DA">
            <w:pPr>
              <w:widowControl w:val="0"/>
              <w:jc w:val="both"/>
              <w:rPr>
                <w:szCs w:val="22"/>
              </w:rPr>
            </w:pPr>
            <w:r w:rsidRPr="00CC61C2">
              <w:rPr>
                <w:szCs w:val="22"/>
              </w:rPr>
              <w:t>-</w:t>
            </w:r>
          </w:p>
        </w:tc>
      </w:tr>
      <w:tr w:rsidR="00592131" w:rsidRPr="00CC61C2" w14:paraId="2D59013D" w14:textId="77777777" w:rsidTr="002C09D7">
        <w:tc>
          <w:tcPr>
            <w:tcW w:w="943" w:type="pct"/>
            <w:vMerge/>
            <w:shd w:val="clear" w:color="auto" w:fill="auto"/>
            <w:vAlign w:val="center"/>
          </w:tcPr>
          <w:p w14:paraId="55B0B42F" w14:textId="77777777" w:rsidR="00592131" w:rsidRPr="00CC61C2" w:rsidRDefault="00592131" w:rsidP="001237DA">
            <w:pPr>
              <w:widowControl w:val="0"/>
              <w:tabs>
                <w:tab w:val="center" w:pos="4536"/>
                <w:tab w:val="right" w:pos="9072"/>
              </w:tabs>
              <w:jc w:val="both"/>
              <w:rPr>
                <w:szCs w:val="22"/>
              </w:rPr>
            </w:pPr>
          </w:p>
        </w:tc>
        <w:tc>
          <w:tcPr>
            <w:tcW w:w="1275" w:type="pct"/>
          </w:tcPr>
          <w:p w14:paraId="0B6B16A9" w14:textId="77777777" w:rsidR="00592131" w:rsidRDefault="00592131" w:rsidP="009D6AD4">
            <w:pPr>
              <w:widowControl w:val="0"/>
              <w:rPr>
                <w:szCs w:val="22"/>
              </w:rPr>
            </w:pPr>
            <w:r w:rsidRPr="00CC61C2">
              <w:rPr>
                <w:szCs w:val="22"/>
              </w:rPr>
              <w:t>Akutni glaukom zatvorenog ugla</w:t>
            </w:r>
          </w:p>
          <w:p w14:paraId="76FD5D24" w14:textId="102C37F3" w:rsidR="00A160D0" w:rsidRPr="00CC61C2" w:rsidRDefault="00A160D0" w:rsidP="009D6AD4">
            <w:pPr>
              <w:widowControl w:val="0"/>
              <w:rPr>
                <w:szCs w:val="22"/>
              </w:rPr>
            </w:pPr>
          </w:p>
        </w:tc>
        <w:tc>
          <w:tcPr>
            <w:tcW w:w="690" w:type="pct"/>
          </w:tcPr>
          <w:p w14:paraId="70EB27C2" w14:textId="77777777" w:rsidR="00592131" w:rsidRPr="00CC61C2" w:rsidRDefault="00592131" w:rsidP="001237DA">
            <w:pPr>
              <w:widowControl w:val="0"/>
              <w:autoSpaceDE w:val="0"/>
              <w:autoSpaceDN w:val="0"/>
              <w:adjustRightInd w:val="0"/>
              <w:jc w:val="both"/>
              <w:rPr>
                <w:szCs w:val="22"/>
              </w:rPr>
            </w:pPr>
            <w:r w:rsidRPr="00CC61C2">
              <w:rPr>
                <w:szCs w:val="22"/>
              </w:rPr>
              <w:t>-</w:t>
            </w:r>
          </w:p>
        </w:tc>
        <w:tc>
          <w:tcPr>
            <w:tcW w:w="1088" w:type="pct"/>
          </w:tcPr>
          <w:p w14:paraId="08613D15" w14:textId="77777777" w:rsidR="00592131" w:rsidRPr="00CC61C2" w:rsidRDefault="00592131" w:rsidP="001237DA">
            <w:pPr>
              <w:widowControl w:val="0"/>
              <w:jc w:val="both"/>
              <w:rPr>
                <w:szCs w:val="22"/>
              </w:rPr>
            </w:pPr>
            <w:r w:rsidRPr="00CC61C2">
              <w:rPr>
                <w:szCs w:val="22"/>
              </w:rPr>
              <w:t>Nepoznato</w:t>
            </w:r>
          </w:p>
        </w:tc>
        <w:tc>
          <w:tcPr>
            <w:tcW w:w="1004" w:type="pct"/>
          </w:tcPr>
          <w:p w14:paraId="15710EFF" w14:textId="77777777" w:rsidR="00592131" w:rsidRPr="00CC61C2" w:rsidRDefault="00592131" w:rsidP="001237DA">
            <w:pPr>
              <w:widowControl w:val="0"/>
              <w:jc w:val="both"/>
              <w:rPr>
                <w:szCs w:val="22"/>
              </w:rPr>
            </w:pPr>
            <w:r w:rsidRPr="00CC61C2">
              <w:rPr>
                <w:szCs w:val="22"/>
              </w:rPr>
              <w:t>-</w:t>
            </w:r>
          </w:p>
        </w:tc>
      </w:tr>
      <w:tr w:rsidR="00592131" w:rsidRPr="00CC61C2" w14:paraId="4AE3DD65" w14:textId="77777777" w:rsidTr="002C09D7">
        <w:trPr>
          <w:trHeight w:val="493"/>
        </w:trPr>
        <w:tc>
          <w:tcPr>
            <w:tcW w:w="943" w:type="pct"/>
            <w:vMerge w:val="restart"/>
            <w:shd w:val="clear" w:color="auto" w:fill="auto"/>
            <w:vAlign w:val="center"/>
          </w:tcPr>
          <w:p w14:paraId="4A914844" w14:textId="77777777" w:rsidR="00592131" w:rsidRPr="00CC61C2" w:rsidRDefault="00592131" w:rsidP="009D6AD4">
            <w:pPr>
              <w:widowControl w:val="0"/>
              <w:tabs>
                <w:tab w:val="center" w:pos="4536"/>
                <w:tab w:val="right" w:pos="9072"/>
              </w:tabs>
              <w:rPr>
                <w:b/>
                <w:bCs/>
                <w:noProof/>
                <w:szCs w:val="22"/>
              </w:rPr>
            </w:pPr>
            <w:r w:rsidRPr="00CC61C2">
              <w:rPr>
                <w:b/>
                <w:bCs/>
                <w:noProof/>
                <w:szCs w:val="22"/>
              </w:rPr>
              <w:t xml:space="preserve">Poremećaji uha i centra za ravnotežu </w:t>
            </w:r>
          </w:p>
        </w:tc>
        <w:tc>
          <w:tcPr>
            <w:tcW w:w="1275" w:type="pct"/>
            <w:vAlign w:val="center"/>
          </w:tcPr>
          <w:p w14:paraId="428E4101" w14:textId="77777777" w:rsidR="00592131" w:rsidRPr="00CC61C2" w:rsidRDefault="00592131" w:rsidP="001237DA">
            <w:pPr>
              <w:widowControl w:val="0"/>
              <w:jc w:val="both"/>
              <w:rPr>
                <w:szCs w:val="22"/>
                <w:highlight w:val="lightGray"/>
              </w:rPr>
            </w:pPr>
            <w:r w:rsidRPr="00CC61C2">
              <w:rPr>
                <w:szCs w:val="22"/>
              </w:rPr>
              <w:t>Vertigo</w:t>
            </w:r>
          </w:p>
        </w:tc>
        <w:tc>
          <w:tcPr>
            <w:tcW w:w="690" w:type="pct"/>
            <w:vAlign w:val="center"/>
          </w:tcPr>
          <w:p w14:paraId="66609735" w14:textId="77777777" w:rsidR="00592131" w:rsidRPr="00CC61C2" w:rsidRDefault="00592131" w:rsidP="001237DA">
            <w:pPr>
              <w:widowControl w:val="0"/>
              <w:autoSpaceDE w:val="0"/>
              <w:autoSpaceDN w:val="0"/>
              <w:adjustRightInd w:val="0"/>
              <w:jc w:val="both"/>
              <w:rPr>
                <w:szCs w:val="22"/>
              </w:rPr>
            </w:pPr>
            <w:r w:rsidRPr="00CC61C2">
              <w:rPr>
                <w:szCs w:val="22"/>
              </w:rPr>
              <w:t>Često</w:t>
            </w:r>
          </w:p>
        </w:tc>
        <w:tc>
          <w:tcPr>
            <w:tcW w:w="1088" w:type="pct"/>
            <w:vAlign w:val="center"/>
          </w:tcPr>
          <w:p w14:paraId="2295AFE9" w14:textId="77777777" w:rsidR="00592131" w:rsidRPr="00CC61C2" w:rsidRDefault="00592131" w:rsidP="001237DA">
            <w:pPr>
              <w:widowControl w:val="0"/>
              <w:jc w:val="both"/>
              <w:rPr>
                <w:szCs w:val="22"/>
              </w:rPr>
            </w:pPr>
            <w:r w:rsidRPr="00CC61C2">
              <w:rPr>
                <w:szCs w:val="22"/>
              </w:rPr>
              <w:t>Rijetko</w:t>
            </w:r>
          </w:p>
        </w:tc>
        <w:tc>
          <w:tcPr>
            <w:tcW w:w="1004" w:type="pct"/>
          </w:tcPr>
          <w:p w14:paraId="638A4772" w14:textId="77777777" w:rsidR="00592131" w:rsidRPr="00CC61C2" w:rsidRDefault="00592131" w:rsidP="001237DA">
            <w:pPr>
              <w:widowControl w:val="0"/>
              <w:jc w:val="both"/>
              <w:rPr>
                <w:szCs w:val="22"/>
              </w:rPr>
            </w:pPr>
            <w:r w:rsidRPr="00CC61C2">
              <w:rPr>
                <w:szCs w:val="22"/>
              </w:rPr>
              <w:t>-</w:t>
            </w:r>
          </w:p>
        </w:tc>
      </w:tr>
      <w:tr w:rsidR="00592131" w:rsidRPr="00CC61C2" w14:paraId="102E1109" w14:textId="77777777" w:rsidTr="002C09D7">
        <w:trPr>
          <w:trHeight w:val="493"/>
        </w:trPr>
        <w:tc>
          <w:tcPr>
            <w:tcW w:w="943" w:type="pct"/>
            <w:vMerge/>
            <w:shd w:val="clear" w:color="auto" w:fill="auto"/>
            <w:vAlign w:val="center"/>
          </w:tcPr>
          <w:p w14:paraId="22B144A2" w14:textId="77777777" w:rsidR="00592131" w:rsidRPr="00CC61C2" w:rsidRDefault="00592131" w:rsidP="009D6AD4">
            <w:pPr>
              <w:widowControl w:val="0"/>
              <w:tabs>
                <w:tab w:val="center" w:pos="4536"/>
                <w:tab w:val="right" w:pos="9072"/>
              </w:tabs>
              <w:rPr>
                <w:noProof/>
                <w:szCs w:val="22"/>
              </w:rPr>
            </w:pPr>
          </w:p>
        </w:tc>
        <w:tc>
          <w:tcPr>
            <w:tcW w:w="1275" w:type="pct"/>
            <w:vAlign w:val="center"/>
          </w:tcPr>
          <w:p w14:paraId="05A2C5A2" w14:textId="77777777" w:rsidR="00592131" w:rsidRPr="00CC61C2" w:rsidRDefault="00592131" w:rsidP="001237DA">
            <w:pPr>
              <w:widowControl w:val="0"/>
              <w:jc w:val="both"/>
              <w:rPr>
                <w:szCs w:val="22"/>
              </w:rPr>
            </w:pPr>
            <w:r w:rsidRPr="00CC61C2">
              <w:rPr>
                <w:szCs w:val="22"/>
              </w:rPr>
              <w:t>Tinitus</w:t>
            </w:r>
          </w:p>
        </w:tc>
        <w:tc>
          <w:tcPr>
            <w:tcW w:w="690" w:type="pct"/>
            <w:vAlign w:val="center"/>
          </w:tcPr>
          <w:p w14:paraId="508495F7" w14:textId="77777777" w:rsidR="00592131" w:rsidRPr="00CC61C2" w:rsidRDefault="00592131" w:rsidP="001237DA">
            <w:pPr>
              <w:widowControl w:val="0"/>
              <w:autoSpaceDE w:val="0"/>
              <w:autoSpaceDN w:val="0"/>
              <w:adjustRightInd w:val="0"/>
              <w:jc w:val="both"/>
              <w:rPr>
                <w:szCs w:val="22"/>
              </w:rPr>
            </w:pPr>
            <w:r w:rsidRPr="00CC61C2">
              <w:rPr>
                <w:szCs w:val="22"/>
              </w:rPr>
              <w:t>Često</w:t>
            </w:r>
          </w:p>
        </w:tc>
        <w:tc>
          <w:tcPr>
            <w:tcW w:w="1088" w:type="pct"/>
            <w:vAlign w:val="center"/>
          </w:tcPr>
          <w:p w14:paraId="097A14D4"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2B7DB24D" w14:textId="77777777" w:rsidR="00592131" w:rsidRPr="00CC61C2" w:rsidRDefault="00592131" w:rsidP="001237DA">
            <w:pPr>
              <w:widowControl w:val="0"/>
              <w:jc w:val="both"/>
              <w:rPr>
                <w:szCs w:val="22"/>
              </w:rPr>
            </w:pPr>
            <w:r w:rsidRPr="00CC61C2">
              <w:rPr>
                <w:szCs w:val="22"/>
              </w:rPr>
              <w:t>Povremeno</w:t>
            </w:r>
          </w:p>
        </w:tc>
      </w:tr>
      <w:tr w:rsidR="00592131" w:rsidRPr="00CC61C2" w14:paraId="335E1217" w14:textId="77777777" w:rsidTr="002C09D7">
        <w:tc>
          <w:tcPr>
            <w:tcW w:w="943" w:type="pct"/>
            <w:vMerge w:val="restart"/>
            <w:shd w:val="clear" w:color="auto" w:fill="auto"/>
            <w:vAlign w:val="center"/>
          </w:tcPr>
          <w:p w14:paraId="525050AC" w14:textId="77777777" w:rsidR="00592131" w:rsidRPr="00CC61C2" w:rsidRDefault="00592131" w:rsidP="009D6AD4">
            <w:pPr>
              <w:widowControl w:val="0"/>
              <w:tabs>
                <w:tab w:val="center" w:pos="4536"/>
                <w:tab w:val="right" w:pos="9072"/>
              </w:tabs>
              <w:rPr>
                <w:noProof/>
                <w:szCs w:val="22"/>
              </w:rPr>
            </w:pPr>
            <w:r w:rsidRPr="00CC61C2">
              <w:rPr>
                <w:b/>
                <w:bCs/>
                <w:noProof/>
                <w:szCs w:val="22"/>
              </w:rPr>
              <w:t xml:space="preserve">Kardiološki poremećaji </w:t>
            </w:r>
          </w:p>
        </w:tc>
        <w:tc>
          <w:tcPr>
            <w:tcW w:w="1275" w:type="pct"/>
            <w:vAlign w:val="center"/>
          </w:tcPr>
          <w:p w14:paraId="6E33BE7B" w14:textId="77777777" w:rsidR="00592131" w:rsidRPr="00CC61C2" w:rsidRDefault="00592131" w:rsidP="001237DA">
            <w:pPr>
              <w:widowControl w:val="0"/>
              <w:jc w:val="both"/>
              <w:rPr>
                <w:szCs w:val="22"/>
              </w:rPr>
            </w:pPr>
            <w:r w:rsidRPr="00CC61C2">
              <w:rPr>
                <w:szCs w:val="22"/>
              </w:rPr>
              <w:t>Palpitacije</w:t>
            </w:r>
          </w:p>
        </w:tc>
        <w:tc>
          <w:tcPr>
            <w:tcW w:w="690" w:type="pct"/>
            <w:vAlign w:val="center"/>
          </w:tcPr>
          <w:p w14:paraId="521F7961" w14:textId="77777777" w:rsidR="00592131" w:rsidRPr="00CC61C2" w:rsidRDefault="00592131" w:rsidP="001237DA">
            <w:pPr>
              <w:widowControl w:val="0"/>
              <w:jc w:val="both"/>
              <w:rPr>
                <w:szCs w:val="22"/>
              </w:rPr>
            </w:pPr>
            <w:r w:rsidRPr="00CC61C2">
              <w:rPr>
                <w:szCs w:val="22"/>
              </w:rPr>
              <w:t>Povremeno*</w:t>
            </w:r>
          </w:p>
        </w:tc>
        <w:tc>
          <w:tcPr>
            <w:tcW w:w="1088" w:type="pct"/>
            <w:vAlign w:val="center"/>
          </w:tcPr>
          <w:p w14:paraId="1C807274" w14:textId="77777777" w:rsidR="00592131" w:rsidRPr="00CC61C2" w:rsidRDefault="00592131" w:rsidP="001237DA">
            <w:pPr>
              <w:widowControl w:val="0"/>
              <w:autoSpaceDE w:val="0"/>
              <w:autoSpaceDN w:val="0"/>
              <w:adjustRightInd w:val="0"/>
              <w:jc w:val="both"/>
              <w:rPr>
                <w:szCs w:val="22"/>
              </w:rPr>
            </w:pPr>
            <w:r w:rsidRPr="00CC61C2">
              <w:rPr>
                <w:szCs w:val="22"/>
              </w:rPr>
              <w:t>-</w:t>
            </w:r>
          </w:p>
        </w:tc>
        <w:tc>
          <w:tcPr>
            <w:tcW w:w="1004" w:type="pct"/>
            <w:vAlign w:val="center"/>
          </w:tcPr>
          <w:p w14:paraId="06B39B6B" w14:textId="77777777" w:rsidR="00592131" w:rsidRPr="00CC61C2" w:rsidRDefault="00592131" w:rsidP="001237DA">
            <w:pPr>
              <w:widowControl w:val="0"/>
              <w:autoSpaceDE w:val="0"/>
              <w:autoSpaceDN w:val="0"/>
              <w:adjustRightInd w:val="0"/>
              <w:jc w:val="both"/>
              <w:rPr>
                <w:szCs w:val="22"/>
              </w:rPr>
            </w:pPr>
            <w:r w:rsidRPr="00CC61C2">
              <w:rPr>
                <w:szCs w:val="22"/>
              </w:rPr>
              <w:t>Često</w:t>
            </w:r>
          </w:p>
        </w:tc>
      </w:tr>
      <w:tr w:rsidR="00592131" w:rsidRPr="00CC61C2" w14:paraId="2FC5E1B6" w14:textId="77777777" w:rsidTr="002C09D7">
        <w:tc>
          <w:tcPr>
            <w:tcW w:w="943" w:type="pct"/>
            <w:vMerge/>
            <w:shd w:val="clear" w:color="auto" w:fill="auto"/>
            <w:vAlign w:val="center"/>
          </w:tcPr>
          <w:p w14:paraId="3AE8DB5D"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123464EA" w14:textId="77777777" w:rsidR="00592131" w:rsidRPr="00CC61C2" w:rsidRDefault="00592131" w:rsidP="009D6AD4">
            <w:pPr>
              <w:widowControl w:val="0"/>
              <w:autoSpaceDE w:val="0"/>
              <w:autoSpaceDN w:val="0"/>
              <w:adjustRightInd w:val="0"/>
              <w:rPr>
                <w:szCs w:val="22"/>
              </w:rPr>
            </w:pPr>
            <w:r w:rsidRPr="00CC61C2">
              <w:rPr>
                <w:szCs w:val="22"/>
              </w:rPr>
              <w:t xml:space="preserve">Angina pektoris </w:t>
            </w:r>
            <w:r w:rsidRPr="00CC61C2">
              <w:rPr>
                <w:noProof/>
                <w:szCs w:val="22"/>
              </w:rPr>
              <w:t xml:space="preserve">(vidjeti dio 4.4) </w:t>
            </w:r>
          </w:p>
        </w:tc>
        <w:tc>
          <w:tcPr>
            <w:tcW w:w="690" w:type="pct"/>
            <w:vAlign w:val="center"/>
          </w:tcPr>
          <w:p w14:paraId="7F102E95" w14:textId="77777777" w:rsidR="00592131" w:rsidRPr="00CC61C2" w:rsidRDefault="00592131" w:rsidP="001237DA">
            <w:pPr>
              <w:widowControl w:val="0"/>
              <w:autoSpaceDE w:val="0"/>
              <w:autoSpaceDN w:val="0"/>
              <w:adjustRightInd w:val="0"/>
              <w:jc w:val="both"/>
              <w:rPr>
                <w:szCs w:val="22"/>
              </w:rPr>
            </w:pPr>
            <w:r w:rsidRPr="00CC61C2">
              <w:rPr>
                <w:szCs w:val="22"/>
              </w:rPr>
              <w:t>Veoma rijetko</w:t>
            </w:r>
          </w:p>
        </w:tc>
        <w:tc>
          <w:tcPr>
            <w:tcW w:w="1088" w:type="pct"/>
            <w:vAlign w:val="center"/>
          </w:tcPr>
          <w:p w14:paraId="2AD81892"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3F33580E" w14:textId="77777777" w:rsidR="00592131" w:rsidRPr="00CC61C2" w:rsidRDefault="00592131" w:rsidP="001237DA">
            <w:pPr>
              <w:widowControl w:val="0"/>
              <w:jc w:val="both"/>
              <w:rPr>
                <w:szCs w:val="22"/>
              </w:rPr>
            </w:pPr>
            <w:r w:rsidRPr="00CC61C2">
              <w:rPr>
                <w:szCs w:val="22"/>
              </w:rPr>
              <w:t>-</w:t>
            </w:r>
          </w:p>
        </w:tc>
      </w:tr>
      <w:tr w:rsidR="00592131" w:rsidRPr="00CC61C2" w14:paraId="6B303664" w14:textId="77777777" w:rsidTr="002C09D7">
        <w:tc>
          <w:tcPr>
            <w:tcW w:w="943" w:type="pct"/>
            <w:vMerge/>
            <w:shd w:val="clear" w:color="auto" w:fill="auto"/>
            <w:vAlign w:val="center"/>
          </w:tcPr>
          <w:p w14:paraId="5570C7AD"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62A91967" w14:textId="77777777" w:rsidR="00592131" w:rsidRPr="00CC61C2" w:rsidRDefault="00592131" w:rsidP="009D6AD4">
            <w:pPr>
              <w:widowControl w:val="0"/>
              <w:autoSpaceDE w:val="0"/>
              <w:autoSpaceDN w:val="0"/>
              <w:adjustRightInd w:val="0"/>
              <w:rPr>
                <w:szCs w:val="22"/>
              </w:rPr>
            </w:pPr>
            <w:r w:rsidRPr="00CC61C2">
              <w:rPr>
                <w:szCs w:val="22"/>
              </w:rPr>
              <w:t>Tahikardija</w:t>
            </w:r>
          </w:p>
        </w:tc>
        <w:tc>
          <w:tcPr>
            <w:tcW w:w="690" w:type="pct"/>
            <w:vAlign w:val="center"/>
          </w:tcPr>
          <w:p w14:paraId="0C40714B" w14:textId="77777777" w:rsidR="00592131" w:rsidRPr="00CC61C2" w:rsidRDefault="00592131" w:rsidP="001237DA">
            <w:pPr>
              <w:widowControl w:val="0"/>
              <w:jc w:val="both"/>
              <w:rPr>
                <w:szCs w:val="22"/>
              </w:rPr>
            </w:pPr>
            <w:r w:rsidRPr="00CC61C2">
              <w:rPr>
                <w:szCs w:val="22"/>
              </w:rPr>
              <w:t>Povremeno*</w:t>
            </w:r>
          </w:p>
        </w:tc>
        <w:tc>
          <w:tcPr>
            <w:tcW w:w="1088" w:type="pct"/>
            <w:vAlign w:val="center"/>
          </w:tcPr>
          <w:p w14:paraId="1F46FACD"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011058ED" w14:textId="77777777" w:rsidR="00592131" w:rsidRPr="00CC61C2" w:rsidDel="00066BDC" w:rsidRDefault="00592131" w:rsidP="001237DA">
            <w:pPr>
              <w:widowControl w:val="0"/>
              <w:jc w:val="both"/>
              <w:rPr>
                <w:szCs w:val="22"/>
              </w:rPr>
            </w:pPr>
            <w:r w:rsidRPr="00CC61C2">
              <w:rPr>
                <w:szCs w:val="22"/>
              </w:rPr>
              <w:t>Povremeno</w:t>
            </w:r>
          </w:p>
        </w:tc>
      </w:tr>
      <w:tr w:rsidR="00592131" w:rsidRPr="00CC61C2" w14:paraId="6950D1D9" w14:textId="77777777" w:rsidTr="002C09D7">
        <w:tc>
          <w:tcPr>
            <w:tcW w:w="943" w:type="pct"/>
            <w:vMerge/>
            <w:shd w:val="clear" w:color="auto" w:fill="auto"/>
            <w:vAlign w:val="center"/>
          </w:tcPr>
          <w:p w14:paraId="33A3804F"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227E1DF5" w14:textId="77777777" w:rsidR="00592131" w:rsidRPr="00CC61C2" w:rsidRDefault="00592131" w:rsidP="009D6AD4">
            <w:pPr>
              <w:widowControl w:val="0"/>
              <w:autoSpaceDE w:val="0"/>
              <w:autoSpaceDN w:val="0"/>
              <w:adjustRightInd w:val="0"/>
              <w:rPr>
                <w:szCs w:val="22"/>
              </w:rPr>
            </w:pPr>
            <w:r w:rsidRPr="00CC61C2">
              <w:rPr>
                <w:szCs w:val="22"/>
              </w:rPr>
              <w:t>Aritmija (uključujući bradikardiju, ventrikularnu tahikardiju i fibrilaciju atrija)</w:t>
            </w:r>
          </w:p>
        </w:tc>
        <w:tc>
          <w:tcPr>
            <w:tcW w:w="690" w:type="pct"/>
            <w:vAlign w:val="center"/>
          </w:tcPr>
          <w:p w14:paraId="5B500FE0" w14:textId="77777777" w:rsidR="00592131" w:rsidRPr="00CC61C2" w:rsidRDefault="00592131" w:rsidP="001237DA">
            <w:pPr>
              <w:widowControl w:val="0"/>
              <w:jc w:val="both"/>
              <w:rPr>
                <w:szCs w:val="22"/>
              </w:rPr>
            </w:pPr>
            <w:r w:rsidRPr="00CC61C2">
              <w:rPr>
                <w:szCs w:val="22"/>
              </w:rPr>
              <w:t>Veoma rijetko</w:t>
            </w:r>
          </w:p>
        </w:tc>
        <w:tc>
          <w:tcPr>
            <w:tcW w:w="1088" w:type="pct"/>
            <w:vAlign w:val="center"/>
          </w:tcPr>
          <w:p w14:paraId="297DF658" w14:textId="77777777" w:rsidR="00592131" w:rsidRPr="00CC61C2" w:rsidRDefault="00592131" w:rsidP="001237DA">
            <w:pPr>
              <w:widowControl w:val="0"/>
              <w:jc w:val="both"/>
              <w:rPr>
                <w:szCs w:val="22"/>
              </w:rPr>
            </w:pPr>
            <w:r w:rsidRPr="00CC61C2">
              <w:rPr>
                <w:szCs w:val="22"/>
              </w:rPr>
              <w:t>Veoma rijetko</w:t>
            </w:r>
          </w:p>
        </w:tc>
        <w:tc>
          <w:tcPr>
            <w:tcW w:w="1004" w:type="pct"/>
            <w:vAlign w:val="center"/>
          </w:tcPr>
          <w:p w14:paraId="60604C02" w14:textId="77777777" w:rsidR="00592131" w:rsidRPr="00CC61C2" w:rsidRDefault="00592131" w:rsidP="001237DA">
            <w:pPr>
              <w:widowControl w:val="0"/>
              <w:jc w:val="both"/>
              <w:rPr>
                <w:szCs w:val="22"/>
              </w:rPr>
            </w:pPr>
            <w:r w:rsidRPr="00CC61C2">
              <w:rPr>
                <w:szCs w:val="22"/>
              </w:rPr>
              <w:t>Povremeno</w:t>
            </w:r>
          </w:p>
        </w:tc>
      </w:tr>
      <w:tr w:rsidR="00592131" w:rsidRPr="00CC61C2" w14:paraId="48A9F7EA" w14:textId="77777777" w:rsidTr="002C09D7">
        <w:tc>
          <w:tcPr>
            <w:tcW w:w="943" w:type="pct"/>
            <w:vMerge/>
            <w:shd w:val="clear" w:color="auto" w:fill="auto"/>
            <w:vAlign w:val="center"/>
          </w:tcPr>
          <w:p w14:paraId="5C8F6BF7"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052DBF6C" w14:textId="77777777" w:rsidR="00592131" w:rsidRPr="00CC61C2" w:rsidRDefault="00592131" w:rsidP="009D6AD4">
            <w:pPr>
              <w:widowControl w:val="0"/>
              <w:autoSpaceDE w:val="0"/>
              <w:autoSpaceDN w:val="0"/>
              <w:adjustRightInd w:val="0"/>
              <w:rPr>
                <w:szCs w:val="22"/>
              </w:rPr>
            </w:pPr>
            <w:r w:rsidRPr="00CC61C2">
              <w:rPr>
                <w:i/>
                <w:szCs w:val="22"/>
              </w:rPr>
              <w:t>Torsade de pointes</w:t>
            </w:r>
            <w:r w:rsidRPr="00CC61C2">
              <w:rPr>
                <w:szCs w:val="22"/>
              </w:rPr>
              <w:t xml:space="preserve"> (potencijalno sa fatalnim ishodom) </w:t>
            </w:r>
            <w:r w:rsidRPr="00CC61C2">
              <w:rPr>
                <w:noProof/>
                <w:szCs w:val="22"/>
              </w:rPr>
              <w:lastRenderedPageBreak/>
              <w:t xml:space="preserve">(vidjeti djelove 4.4 i 4.5) </w:t>
            </w:r>
          </w:p>
        </w:tc>
        <w:tc>
          <w:tcPr>
            <w:tcW w:w="690" w:type="pct"/>
            <w:vAlign w:val="center"/>
          </w:tcPr>
          <w:p w14:paraId="471539CC" w14:textId="77777777" w:rsidR="00592131" w:rsidRPr="00CC61C2" w:rsidRDefault="00592131" w:rsidP="001237DA">
            <w:pPr>
              <w:widowControl w:val="0"/>
              <w:jc w:val="both"/>
              <w:rPr>
                <w:szCs w:val="22"/>
              </w:rPr>
            </w:pPr>
            <w:r w:rsidRPr="00CC61C2">
              <w:rPr>
                <w:szCs w:val="22"/>
              </w:rPr>
              <w:lastRenderedPageBreak/>
              <w:t>-</w:t>
            </w:r>
          </w:p>
        </w:tc>
        <w:tc>
          <w:tcPr>
            <w:tcW w:w="1088" w:type="pct"/>
            <w:vAlign w:val="center"/>
          </w:tcPr>
          <w:p w14:paraId="14571D5B" w14:textId="77777777" w:rsidR="00592131" w:rsidRPr="00CC61C2" w:rsidRDefault="00592131" w:rsidP="001237DA">
            <w:pPr>
              <w:widowControl w:val="0"/>
              <w:jc w:val="both"/>
              <w:rPr>
                <w:szCs w:val="22"/>
              </w:rPr>
            </w:pPr>
            <w:r w:rsidRPr="00CC61C2">
              <w:rPr>
                <w:szCs w:val="22"/>
              </w:rPr>
              <w:t>Nepoznato</w:t>
            </w:r>
          </w:p>
        </w:tc>
        <w:tc>
          <w:tcPr>
            <w:tcW w:w="1004" w:type="pct"/>
            <w:vAlign w:val="center"/>
          </w:tcPr>
          <w:p w14:paraId="6D0DE228" w14:textId="77777777" w:rsidR="00592131" w:rsidRPr="00CC61C2" w:rsidRDefault="00592131" w:rsidP="001237DA">
            <w:pPr>
              <w:widowControl w:val="0"/>
              <w:jc w:val="both"/>
              <w:rPr>
                <w:szCs w:val="22"/>
              </w:rPr>
            </w:pPr>
            <w:r w:rsidRPr="00CC61C2">
              <w:rPr>
                <w:szCs w:val="22"/>
              </w:rPr>
              <w:t>-</w:t>
            </w:r>
          </w:p>
        </w:tc>
      </w:tr>
      <w:tr w:rsidR="00592131" w:rsidRPr="00CC61C2" w14:paraId="43601BC0" w14:textId="77777777" w:rsidTr="002C09D7">
        <w:tc>
          <w:tcPr>
            <w:tcW w:w="943" w:type="pct"/>
            <w:vMerge/>
            <w:shd w:val="clear" w:color="auto" w:fill="auto"/>
            <w:vAlign w:val="center"/>
          </w:tcPr>
          <w:p w14:paraId="3B98AEB0"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6B72783E" w14:textId="77777777" w:rsidR="00592131" w:rsidRPr="00CC61C2" w:rsidRDefault="00592131" w:rsidP="009D6AD4">
            <w:pPr>
              <w:widowControl w:val="0"/>
              <w:autoSpaceDE w:val="0"/>
              <w:autoSpaceDN w:val="0"/>
              <w:adjustRightInd w:val="0"/>
              <w:rPr>
                <w:i/>
                <w:szCs w:val="22"/>
              </w:rPr>
            </w:pPr>
            <w:r w:rsidRPr="00CC61C2">
              <w:rPr>
                <w:szCs w:val="22"/>
              </w:rPr>
              <w:t xml:space="preserve">Infarkt miokarda moguće posljedično zbog izrazite hipotenzije kod pacijenata sa visokim rizikom </w:t>
            </w:r>
            <w:r w:rsidRPr="00CC61C2">
              <w:rPr>
                <w:noProof/>
                <w:szCs w:val="22"/>
              </w:rPr>
              <w:t>(vidjeti dio 4.4)</w:t>
            </w:r>
          </w:p>
        </w:tc>
        <w:tc>
          <w:tcPr>
            <w:tcW w:w="690" w:type="pct"/>
            <w:vAlign w:val="center"/>
          </w:tcPr>
          <w:p w14:paraId="217BC85A" w14:textId="77777777" w:rsidR="00592131" w:rsidRPr="00CC61C2" w:rsidDel="004E7AF8" w:rsidRDefault="00592131" w:rsidP="001237DA">
            <w:pPr>
              <w:widowControl w:val="0"/>
              <w:jc w:val="both"/>
              <w:rPr>
                <w:szCs w:val="22"/>
              </w:rPr>
            </w:pPr>
            <w:r w:rsidRPr="00CC61C2">
              <w:rPr>
                <w:szCs w:val="22"/>
              </w:rPr>
              <w:t>Veoma rijetko</w:t>
            </w:r>
          </w:p>
        </w:tc>
        <w:tc>
          <w:tcPr>
            <w:tcW w:w="1088" w:type="pct"/>
            <w:vAlign w:val="center"/>
          </w:tcPr>
          <w:p w14:paraId="24C1F8D7"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40742945" w14:textId="77777777" w:rsidR="00592131" w:rsidRPr="00CC61C2" w:rsidRDefault="00592131" w:rsidP="001237DA">
            <w:pPr>
              <w:widowControl w:val="0"/>
              <w:jc w:val="both"/>
              <w:rPr>
                <w:szCs w:val="22"/>
              </w:rPr>
            </w:pPr>
            <w:r w:rsidRPr="00CC61C2">
              <w:rPr>
                <w:szCs w:val="22"/>
              </w:rPr>
              <w:t>Veoma rijetko</w:t>
            </w:r>
          </w:p>
        </w:tc>
      </w:tr>
      <w:tr w:rsidR="00592131" w:rsidRPr="00CC61C2" w14:paraId="13DC37F4" w14:textId="77777777" w:rsidTr="002C09D7">
        <w:tc>
          <w:tcPr>
            <w:tcW w:w="943" w:type="pct"/>
            <w:vMerge w:val="restart"/>
            <w:shd w:val="clear" w:color="auto" w:fill="auto"/>
            <w:vAlign w:val="center"/>
          </w:tcPr>
          <w:p w14:paraId="59156CDD" w14:textId="77777777" w:rsidR="00592131" w:rsidRPr="00CC61C2" w:rsidRDefault="00592131" w:rsidP="001237DA">
            <w:pPr>
              <w:widowControl w:val="0"/>
              <w:tabs>
                <w:tab w:val="center" w:pos="4536"/>
                <w:tab w:val="right" w:pos="9072"/>
              </w:tabs>
              <w:jc w:val="both"/>
              <w:rPr>
                <w:noProof/>
                <w:szCs w:val="22"/>
              </w:rPr>
            </w:pPr>
            <w:r w:rsidRPr="00CC61C2">
              <w:rPr>
                <w:b/>
                <w:bCs/>
                <w:noProof/>
                <w:szCs w:val="22"/>
              </w:rPr>
              <w:t xml:space="preserve">Vaskularni poremećaji </w:t>
            </w:r>
          </w:p>
        </w:tc>
        <w:tc>
          <w:tcPr>
            <w:tcW w:w="1275" w:type="pct"/>
            <w:vAlign w:val="center"/>
          </w:tcPr>
          <w:p w14:paraId="25FE4B81" w14:textId="77777777" w:rsidR="00592131" w:rsidRPr="00CC61C2" w:rsidRDefault="00592131" w:rsidP="001237DA">
            <w:pPr>
              <w:widowControl w:val="0"/>
              <w:jc w:val="both"/>
              <w:rPr>
                <w:noProof/>
                <w:szCs w:val="22"/>
              </w:rPr>
            </w:pPr>
            <w:r w:rsidRPr="00CC61C2">
              <w:rPr>
                <w:noProof/>
                <w:szCs w:val="22"/>
              </w:rPr>
              <w:t xml:space="preserve">Crvenilo </w:t>
            </w:r>
          </w:p>
        </w:tc>
        <w:tc>
          <w:tcPr>
            <w:tcW w:w="690" w:type="pct"/>
            <w:vAlign w:val="center"/>
          </w:tcPr>
          <w:p w14:paraId="27A358F3" w14:textId="77777777" w:rsidR="00592131" w:rsidRPr="00CC61C2" w:rsidRDefault="00592131" w:rsidP="001237DA">
            <w:pPr>
              <w:widowControl w:val="0"/>
              <w:jc w:val="both"/>
              <w:rPr>
                <w:szCs w:val="22"/>
              </w:rPr>
            </w:pPr>
            <w:r w:rsidRPr="00CC61C2">
              <w:rPr>
                <w:szCs w:val="22"/>
              </w:rPr>
              <w:t>Rijetko</w:t>
            </w:r>
            <w:r w:rsidRPr="00CC61C2" w:rsidDel="00940022">
              <w:rPr>
                <w:szCs w:val="22"/>
              </w:rPr>
              <w:t xml:space="preserve"> </w:t>
            </w:r>
          </w:p>
        </w:tc>
        <w:tc>
          <w:tcPr>
            <w:tcW w:w="1088" w:type="pct"/>
            <w:vAlign w:val="center"/>
          </w:tcPr>
          <w:p w14:paraId="409827E3" w14:textId="77777777" w:rsidR="00592131" w:rsidRPr="00CC61C2" w:rsidRDefault="00592131" w:rsidP="001237DA">
            <w:pPr>
              <w:widowControl w:val="0"/>
              <w:autoSpaceDE w:val="0"/>
              <w:autoSpaceDN w:val="0"/>
              <w:adjustRightInd w:val="0"/>
              <w:jc w:val="both"/>
              <w:rPr>
                <w:szCs w:val="22"/>
              </w:rPr>
            </w:pPr>
            <w:r w:rsidRPr="00CC61C2">
              <w:rPr>
                <w:szCs w:val="22"/>
              </w:rPr>
              <w:t>-</w:t>
            </w:r>
          </w:p>
        </w:tc>
        <w:tc>
          <w:tcPr>
            <w:tcW w:w="1004" w:type="pct"/>
            <w:vAlign w:val="center"/>
          </w:tcPr>
          <w:p w14:paraId="283EFF7D" w14:textId="77777777" w:rsidR="00592131" w:rsidRPr="00CC61C2" w:rsidRDefault="00592131" w:rsidP="001237DA">
            <w:pPr>
              <w:widowControl w:val="0"/>
              <w:autoSpaceDE w:val="0"/>
              <w:autoSpaceDN w:val="0"/>
              <w:adjustRightInd w:val="0"/>
              <w:jc w:val="both"/>
              <w:rPr>
                <w:szCs w:val="22"/>
              </w:rPr>
            </w:pPr>
            <w:r w:rsidRPr="00CC61C2">
              <w:rPr>
                <w:szCs w:val="22"/>
              </w:rPr>
              <w:t>Često</w:t>
            </w:r>
          </w:p>
        </w:tc>
      </w:tr>
      <w:tr w:rsidR="00592131" w:rsidRPr="00CC61C2" w14:paraId="0E8249D2" w14:textId="77777777" w:rsidTr="002C09D7">
        <w:tc>
          <w:tcPr>
            <w:tcW w:w="943" w:type="pct"/>
            <w:vMerge/>
            <w:shd w:val="clear" w:color="auto" w:fill="auto"/>
            <w:vAlign w:val="center"/>
          </w:tcPr>
          <w:p w14:paraId="025B4171"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01EA4F91" w14:textId="77777777" w:rsidR="00592131" w:rsidRPr="00CC61C2" w:rsidRDefault="00592131" w:rsidP="009D6AD4">
            <w:pPr>
              <w:widowControl w:val="0"/>
              <w:rPr>
                <w:noProof/>
                <w:szCs w:val="22"/>
              </w:rPr>
            </w:pPr>
            <w:r w:rsidRPr="00CC61C2">
              <w:rPr>
                <w:noProof/>
                <w:szCs w:val="22"/>
              </w:rPr>
              <w:t>Hipotenzija (i efekti povezani sa hipotenzijom) (vidjeti dio 4.4)</w:t>
            </w:r>
          </w:p>
        </w:tc>
        <w:tc>
          <w:tcPr>
            <w:tcW w:w="690" w:type="pct"/>
            <w:vAlign w:val="center"/>
          </w:tcPr>
          <w:p w14:paraId="14FB140B" w14:textId="77777777" w:rsidR="00592131" w:rsidRPr="00CC61C2" w:rsidRDefault="00592131" w:rsidP="001237DA">
            <w:pPr>
              <w:widowControl w:val="0"/>
              <w:autoSpaceDE w:val="0"/>
              <w:autoSpaceDN w:val="0"/>
              <w:adjustRightInd w:val="0"/>
              <w:jc w:val="both"/>
              <w:rPr>
                <w:szCs w:val="22"/>
              </w:rPr>
            </w:pPr>
            <w:r w:rsidRPr="00CC61C2">
              <w:rPr>
                <w:szCs w:val="22"/>
              </w:rPr>
              <w:t>Često</w:t>
            </w:r>
          </w:p>
        </w:tc>
        <w:tc>
          <w:tcPr>
            <w:tcW w:w="1088" w:type="pct"/>
            <w:vAlign w:val="center"/>
          </w:tcPr>
          <w:p w14:paraId="7F3CB477" w14:textId="77777777" w:rsidR="00592131" w:rsidRPr="00CC61C2" w:rsidRDefault="00592131" w:rsidP="001237DA">
            <w:pPr>
              <w:widowControl w:val="0"/>
              <w:jc w:val="both"/>
              <w:rPr>
                <w:szCs w:val="22"/>
              </w:rPr>
            </w:pPr>
            <w:r w:rsidRPr="00CC61C2">
              <w:rPr>
                <w:szCs w:val="22"/>
              </w:rPr>
              <w:t>Veoma rijetko</w:t>
            </w:r>
          </w:p>
        </w:tc>
        <w:tc>
          <w:tcPr>
            <w:tcW w:w="1004" w:type="pct"/>
            <w:vAlign w:val="center"/>
          </w:tcPr>
          <w:p w14:paraId="56E446F0" w14:textId="77777777" w:rsidR="00592131" w:rsidRPr="00CC61C2" w:rsidRDefault="00592131" w:rsidP="001237DA">
            <w:pPr>
              <w:widowControl w:val="0"/>
              <w:jc w:val="both"/>
              <w:rPr>
                <w:szCs w:val="22"/>
              </w:rPr>
            </w:pPr>
            <w:r w:rsidRPr="00CC61C2">
              <w:rPr>
                <w:szCs w:val="22"/>
              </w:rPr>
              <w:t>Povremeno</w:t>
            </w:r>
          </w:p>
        </w:tc>
      </w:tr>
      <w:tr w:rsidR="00592131" w:rsidRPr="00CC61C2" w14:paraId="781001AB" w14:textId="77777777" w:rsidTr="002C09D7">
        <w:tc>
          <w:tcPr>
            <w:tcW w:w="943" w:type="pct"/>
            <w:vMerge/>
            <w:shd w:val="clear" w:color="auto" w:fill="auto"/>
            <w:vAlign w:val="center"/>
          </w:tcPr>
          <w:p w14:paraId="3756AE98"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1374C4A1" w14:textId="77777777" w:rsidR="00592131" w:rsidRPr="00CC61C2" w:rsidRDefault="00592131" w:rsidP="009D6AD4">
            <w:pPr>
              <w:widowControl w:val="0"/>
              <w:rPr>
                <w:noProof/>
                <w:szCs w:val="22"/>
              </w:rPr>
            </w:pPr>
            <w:r w:rsidRPr="00CC61C2">
              <w:rPr>
                <w:noProof/>
                <w:szCs w:val="22"/>
              </w:rPr>
              <w:t>Vaskulitis</w:t>
            </w:r>
          </w:p>
        </w:tc>
        <w:tc>
          <w:tcPr>
            <w:tcW w:w="690" w:type="pct"/>
            <w:vAlign w:val="center"/>
          </w:tcPr>
          <w:p w14:paraId="01A80BF0" w14:textId="77777777" w:rsidR="00592131" w:rsidRPr="00CC61C2" w:rsidRDefault="00592131" w:rsidP="001237DA">
            <w:pPr>
              <w:widowControl w:val="0"/>
              <w:autoSpaceDE w:val="0"/>
              <w:autoSpaceDN w:val="0"/>
              <w:adjustRightInd w:val="0"/>
              <w:jc w:val="both"/>
              <w:rPr>
                <w:szCs w:val="22"/>
              </w:rPr>
            </w:pPr>
            <w:r w:rsidRPr="00CC61C2">
              <w:rPr>
                <w:szCs w:val="22"/>
              </w:rPr>
              <w:t>Povremeno*</w:t>
            </w:r>
          </w:p>
        </w:tc>
        <w:tc>
          <w:tcPr>
            <w:tcW w:w="1088" w:type="pct"/>
            <w:vAlign w:val="center"/>
          </w:tcPr>
          <w:p w14:paraId="26DEB98D" w14:textId="77777777" w:rsidR="00592131" w:rsidRPr="00CC61C2" w:rsidRDefault="00592131" w:rsidP="001237DA">
            <w:pPr>
              <w:widowControl w:val="0"/>
              <w:autoSpaceDE w:val="0"/>
              <w:autoSpaceDN w:val="0"/>
              <w:adjustRightInd w:val="0"/>
              <w:jc w:val="both"/>
              <w:rPr>
                <w:szCs w:val="22"/>
              </w:rPr>
            </w:pPr>
            <w:r w:rsidRPr="00CC61C2">
              <w:rPr>
                <w:szCs w:val="22"/>
              </w:rPr>
              <w:t>-</w:t>
            </w:r>
          </w:p>
        </w:tc>
        <w:tc>
          <w:tcPr>
            <w:tcW w:w="1004" w:type="pct"/>
            <w:vAlign w:val="center"/>
          </w:tcPr>
          <w:p w14:paraId="49811503" w14:textId="77777777" w:rsidR="00592131" w:rsidRPr="00CC61C2" w:rsidRDefault="00592131" w:rsidP="001237DA">
            <w:pPr>
              <w:widowControl w:val="0"/>
              <w:autoSpaceDE w:val="0"/>
              <w:autoSpaceDN w:val="0"/>
              <w:adjustRightInd w:val="0"/>
              <w:jc w:val="both"/>
              <w:rPr>
                <w:szCs w:val="22"/>
              </w:rPr>
            </w:pPr>
            <w:r w:rsidRPr="00CC61C2">
              <w:rPr>
                <w:szCs w:val="22"/>
              </w:rPr>
              <w:t>Veoma rijetko</w:t>
            </w:r>
          </w:p>
        </w:tc>
      </w:tr>
      <w:tr w:rsidR="00592131" w:rsidRPr="00CC61C2" w14:paraId="6F678EA3" w14:textId="77777777" w:rsidTr="002C09D7">
        <w:tc>
          <w:tcPr>
            <w:tcW w:w="943" w:type="pct"/>
            <w:vMerge/>
            <w:shd w:val="clear" w:color="auto" w:fill="auto"/>
            <w:vAlign w:val="center"/>
          </w:tcPr>
          <w:p w14:paraId="191D0318"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090C80DF" w14:textId="77777777" w:rsidR="00592131" w:rsidRPr="00CC61C2" w:rsidRDefault="00592131" w:rsidP="009D6AD4">
            <w:pPr>
              <w:widowControl w:val="0"/>
              <w:rPr>
                <w:noProof/>
                <w:szCs w:val="22"/>
                <w:highlight w:val="red"/>
              </w:rPr>
            </w:pPr>
            <w:r w:rsidRPr="00CC61C2">
              <w:rPr>
                <w:szCs w:val="22"/>
              </w:rPr>
              <w:t>Raynaud-ov fenomen</w:t>
            </w:r>
          </w:p>
        </w:tc>
        <w:tc>
          <w:tcPr>
            <w:tcW w:w="690" w:type="pct"/>
            <w:vAlign w:val="center"/>
          </w:tcPr>
          <w:p w14:paraId="3FB893A0" w14:textId="77777777" w:rsidR="00592131" w:rsidRPr="00CC61C2" w:rsidRDefault="00592131" w:rsidP="001237DA">
            <w:pPr>
              <w:widowControl w:val="0"/>
              <w:autoSpaceDE w:val="0"/>
              <w:autoSpaceDN w:val="0"/>
              <w:adjustRightInd w:val="0"/>
              <w:jc w:val="both"/>
              <w:rPr>
                <w:szCs w:val="22"/>
                <w:highlight w:val="red"/>
              </w:rPr>
            </w:pPr>
            <w:r w:rsidRPr="00CC61C2">
              <w:rPr>
                <w:szCs w:val="22"/>
              </w:rPr>
              <w:t>Nepoznato</w:t>
            </w:r>
          </w:p>
        </w:tc>
        <w:tc>
          <w:tcPr>
            <w:tcW w:w="1088" w:type="pct"/>
            <w:vAlign w:val="center"/>
          </w:tcPr>
          <w:p w14:paraId="270425D6" w14:textId="77777777" w:rsidR="00592131" w:rsidRPr="00CC61C2" w:rsidRDefault="00592131" w:rsidP="001237DA">
            <w:pPr>
              <w:widowControl w:val="0"/>
              <w:autoSpaceDE w:val="0"/>
              <w:autoSpaceDN w:val="0"/>
              <w:adjustRightInd w:val="0"/>
              <w:jc w:val="both"/>
              <w:rPr>
                <w:szCs w:val="22"/>
              </w:rPr>
            </w:pPr>
            <w:r w:rsidRPr="00CC61C2">
              <w:rPr>
                <w:szCs w:val="22"/>
              </w:rPr>
              <w:t>-</w:t>
            </w:r>
          </w:p>
        </w:tc>
        <w:tc>
          <w:tcPr>
            <w:tcW w:w="1004" w:type="pct"/>
          </w:tcPr>
          <w:p w14:paraId="652C4BDF" w14:textId="77777777" w:rsidR="00592131" w:rsidRPr="00CC61C2" w:rsidRDefault="00592131" w:rsidP="001237DA">
            <w:pPr>
              <w:widowControl w:val="0"/>
              <w:autoSpaceDE w:val="0"/>
              <w:autoSpaceDN w:val="0"/>
              <w:adjustRightInd w:val="0"/>
              <w:jc w:val="both"/>
              <w:rPr>
                <w:szCs w:val="22"/>
              </w:rPr>
            </w:pPr>
            <w:r w:rsidRPr="00CC61C2">
              <w:rPr>
                <w:szCs w:val="22"/>
              </w:rPr>
              <w:t>-</w:t>
            </w:r>
          </w:p>
        </w:tc>
      </w:tr>
      <w:tr w:rsidR="00592131" w:rsidRPr="00CC61C2" w14:paraId="2C8C1DB8" w14:textId="77777777" w:rsidTr="002C09D7">
        <w:tc>
          <w:tcPr>
            <w:tcW w:w="943" w:type="pct"/>
            <w:vMerge w:val="restart"/>
            <w:shd w:val="clear" w:color="auto" w:fill="auto"/>
            <w:vAlign w:val="center"/>
          </w:tcPr>
          <w:p w14:paraId="72D8013E" w14:textId="77777777" w:rsidR="00592131" w:rsidRPr="00CC61C2" w:rsidRDefault="00592131" w:rsidP="009D6AD4">
            <w:pPr>
              <w:widowControl w:val="0"/>
              <w:tabs>
                <w:tab w:val="center" w:pos="4536"/>
                <w:tab w:val="right" w:pos="9072"/>
              </w:tabs>
              <w:rPr>
                <w:noProof/>
                <w:szCs w:val="22"/>
              </w:rPr>
            </w:pPr>
            <w:r w:rsidRPr="00CC61C2">
              <w:rPr>
                <w:b/>
                <w:bCs/>
                <w:noProof/>
                <w:szCs w:val="22"/>
              </w:rPr>
              <w:t xml:space="preserve">Respiratorni, torakalni i medijastinalni poremećaji </w:t>
            </w:r>
          </w:p>
        </w:tc>
        <w:tc>
          <w:tcPr>
            <w:tcW w:w="1275" w:type="pct"/>
            <w:vAlign w:val="center"/>
          </w:tcPr>
          <w:p w14:paraId="63B49571" w14:textId="77777777" w:rsidR="00592131" w:rsidRPr="00CC61C2" w:rsidRDefault="00592131" w:rsidP="009D6AD4">
            <w:pPr>
              <w:widowControl w:val="0"/>
              <w:rPr>
                <w:noProof/>
                <w:szCs w:val="22"/>
              </w:rPr>
            </w:pPr>
            <w:r w:rsidRPr="00CC61C2">
              <w:rPr>
                <w:noProof/>
                <w:szCs w:val="22"/>
              </w:rPr>
              <w:t>Dispneja</w:t>
            </w:r>
          </w:p>
        </w:tc>
        <w:tc>
          <w:tcPr>
            <w:tcW w:w="690" w:type="pct"/>
            <w:vAlign w:val="center"/>
          </w:tcPr>
          <w:p w14:paraId="21D5FBE0" w14:textId="77777777" w:rsidR="00592131" w:rsidRPr="00CC61C2" w:rsidRDefault="00592131" w:rsidP="001237DA">
            <w:pPr>
              <w:widowControl w:val="0"/>
              <w:jc w:val="both"/>
              <w:rPr>
                <w:szCs w:val="22"/>
              </w:rPr>
            </w:pPr>
            <w:r w:rsidRPr="00CC61C2">
              <w:rPr>
                <w:szCs w:val="22"/>
              </w:rPr>
              <w:t>Često</w:t>
            </w:r>
          </w:p>
        </w:tc>
        <w:tc>
          <w:tcPr>
            <w:tcW w:w="1088" w:type="pct"/>
            <w:vAlign w:val="center"/>
          </w:tcPr>
          <w:p w14:paraId="292C8277"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2B95CAA6" w14:textId="77777777" w:rsidR="00592131" w:rsidRPr="00CC61C2" w:rsidRDefault="00592131" w:rsidP="001237DA">
            <w:pPr>
              <w:widowControl w:val="0"/>
              <w:jc w:val="both"/>
              <w:rPr>
                <w:szCs w:val="22"/>
              </w:rPr>
            </w:pPr>
            <w:r w:rsidRPr="00CC61C2">
              <w:rPr>
                <w:szCs w:val="22"/>
              </w:rPr>
              <w:t>Često</w:t>
            </w:r>
          </w:p>
        </w:tc>
      </w:tr>
      <w:tr w:rsidR="00592131" w:rsidRPr="00CC61C2" w14:paraId="104C9B2E" w14:textId="77777777" w:rsidTr="002C09D7">
        <w:tc>
          <w:tcPr>
            <w:tcW w:w="943" w:type="pct"/>
            <w:vMerge/>
            <w:shd w:val="clear" w:color="auto" w:fill="auto"/>
            <w:vAlign w:val="center"/>
          </w:tcPr>
          <w:p w14:paraId="165CE666"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04FFA6A2" w14:textId="77777777" w:rsidR="00592131" w:rsidRPr="00CC61C2" w:rsidRDefault="00592131" w:rsidP="009D6AD4">
            <w:pPr>
              <w:widowControl w:val="0"/>
              <w:rPr>
                <w:noProof/>
                <w:szCs w:val="22"/>
              </w:rPr>
            </w:pPr>
            <w:r w:rsidRPr="00CC61C2">
              <w:rPr>
                <w:noProof/>
                <w:szCs w:val="22"/>
              </w:rPr>
              <w:t xml:space="preserve">Kašalj </w:t>
            </w:r>
            <w:r w:rsidRPr="00CC61C2">
              <w:rPr>
                <w:szCs w:val="22"/>
              </w:rPr>
              <w:t>(vidjeti dio 4.4)</w:t>
            </w:r>
          </w:p>
        </w:tc>
        <w:tc>
          <w:tcPr>
            <w:tcW w:w="690" w:type="pct"/>
            <w:vAlign w:val="center"/>
          </w:tcPr>
          <w:p w14:paraId="5EA84494" w14:textId="77777777" w:rsidR="00592131" w:rsidRPr="00CC61C2" w:rsidRDefault="00592131" w:rsidP="001237DA">
            <w:pPr>
              <w:widowControl w:val="0"/>
              <w:jc w:val="both"/>
              <w:rPr>
                <w:szCs w:val="22"/>
              </w:rPr>
            </w:pPr>
            <w:r w:rsidRPr="00CC61C2">
              <w:rPr>
                <w:szCs w:val="22"/>
              </w:rPr>
              <w:t>Često</w:t>
            </w:r>
          </w:p>
        </w:tc>
        <w:tc>
          <w:tcPr>
            <w:tcW w:w="1088" w:type="pct"/>
            <w:vAlign w:val="center"/>
          </w:tcPr>
          <w:p w14:paraId="785BD6A7" w14:textId="77777777" w:rsidR="00592131" w:rsidRPr="00CC61C2" w:rsidRDefault="00592131" w:rsidP="001237DA">
            <w:pPr>
              <w:widowControl w:val="0"/>
              <w:autoSpaceDE w:val="0"/>
              <w:autoSpaceDN w:val="0"/>
              <w:adjustRightInd w:val="0"/>
              <w:jc w:val="both"/>
              <w:rPr>
                <w:szCs w:val="22"/>
              </w:rPr>
            </w:pPr>
            <w:r w:rsidRPr="00CC61C2">
              <w:rPr>
                <w:szCs w:val="22"/>
              </w:rPr>
              <w:t>-</w:t>
            </w:r>
          </w:p>
        </w:tc>
        <w:tc>
          <w:tcPr>
            <w:tcW w:w="1004" w:type="pct"/>
            <w:vAlign w:val="center"/>
          </w:tcPr>
          <w:p w14:paraId="7646AC4A" w14:textId="77777777" w:rsidR="00592131" w:rsidRPr="00CC61C2" w:rsidRDefault="00592131" w:rsidP="001237DA">
            <w:pPr>
              <w:widowControl w:val="0"/>
              <w:autoSpaceDE w:val="0"/>
              <w:autoSpaceDN w:val="0"/>
              <w:adjustRightInd w:val="0"/>
              <w:jc w:val="both"/>
              <w:rPr>
                <w:szCs w:val="22"/>
              </w:rPr>
            </w:pPr>
            <w:r w:rsidRPr="00CC61C2">
              <w:rPr>
                <w:szCs w:val="22"/>
              </w:rPr>
              <w:t>Povremeno</w:t>
            </w:r>
          </w:p>
        </w:tc>
      </w:tr>
      <w:tr w:rsidR="00592131" w:rsidRPr="00CC61C2" w14:paraId="226498FC" w14:textId="77777777" w:rsidTr="002C09D7">
        <w:tc>
          <w:tcPr>
            <w:tcW w:w="943" w:type="pct"/>
            <w:vMerge/>
            <w:shd w:val="clear" w:color="auto" w:fill="auto"/>
            <w:vAlign w:val="center"/>
          </w:tcPr>
          <w:p w14:paraId="65E9F6C5"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5BACD335" w14:textId="77777777" w:rsidR="00592131" w:rsidRPr="00CC61C2" w:rsidRDefault="00592131" w:rsidP="009D6AD4">
            <w:pPr>
              <w:widowControl w:val="0"/>
              <w:rPr>
                <w:noProof/>
                <w:szCs w:val="22"/>
              </w:rPr>
            </w:pPr>
            <w:r w:rsidRPr="00CC61C2">
              <w:rPr>
                <w:noProof/>
                <w:szCs w:val="22"/>
              </w:rPr>
              <w:t>Bronhospazam</w:t>
            </w:r>
          </w:p>
        </w:tc>
        <w:tc>
          <w:tcPr>
            <w:tcW w:w="690" w:type="pct"/>
            <w:vAlign w:val="center"/>
          </w:tcPr>
          <w:p w14:paraId="102F8AD3" w14:textId="77777777" w:rsidR="00592131" w:rsidRPr="00CC61C2" w:rsidRDefault="00592131" w:rsidP="001237DA">
            <w:pPr>
              <w:widowControl w:val="0"/>
              <w:jc w:val="both"/>
              <w:rPr>
                <w:szCs w:val="22"/>
              </w:rPr>
            </w:pPr>
            <w:r w:rsidRPr="00CC61C2">
              <w:rPr>
                <w:szCs w:val="22"/>
              </w:rPr>
              <w:t>Povremeno</w:t>
            </w:r>
          </w:p>
        </w:tc>
        <w:tc>
          <w:tcPr>
            <w:tcW w:w="1088" w:type="pct"/>
            <w:vAlign w:val="center"/>
          </w:tcPr>
          <w:p w14:paraId="0AED69B7"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50FD59A3" w14:textId="77777777" w:rsidR="00592131" w:rsidRPr="00CC61C2" w:rsidRDefault="00592131" w:rsidP="001237DA">
            <w:pPr>
              <w:widowControl w:val="0"/>
              <w:jc w:val="both"/>
              <w:rPr>
                <w:szCs w:val="22"/>
              </w:rPr>
            </w:pPr>
            <w:r w:rsidRPr="00CC61C2">
              <w:rPr>
                <w:szCs w:val="22"/>
              </w:rPr>
              <w:t>-</w:t>
            </w:r>
          </w:p>
        </w:tc>
      </w:tr>
      <w:tr w:rsidR="00592131" w:rsidRPr="00CC61C2" w14:paraId="4B64DF5B" w14:textId="77777777" w:rsidTr="002C09D7">
        <w:tc>
          <w:tcPr>
            <w:tcW w:w="943" w:type="pct"/>
            <w:vMerge/>
            <w:shd w:val="clear" w:color="auto" w:fill="auto"/>
            <w:vAlign w:val="center"/>
          </w:tcPr>
          <w:p w14:paraId="084DBC10"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2934745A" w14:textId="77777777" w:rsidR="00592131" w:rsidRPr="00CC61C2" w:rsidRDefault="00592131" w:rsidP="009D6AD4">
            <w:pPr>
              <w:widowControl w:val="0"/>
              <w:rPr>
                <w:noProof/>
                <w:szCs w:val="22"/>
              </w:rPr>
            </w:pPr>
            <w:r w:rsidRPr="00CC61C2">
              <w:rPr>
                <w:noProof/>
                <w:szCs w:val="22"/>
              </w:rPr>
              <w:t>Eozinofilna pneumonija</w:t>
            </w:r>
          </w:p>
        </w:tc>
        <w:tc>
          <w:tcPr>
            <w:tcW w:w="690" w:type="pct"/>
            <w:vAlign w:val="center"/>
          </w:tcPr>
          <w:p w14:paraId="5C605F8F" w14:textId="77777777" w:rsidR="00592131" w:rsidRPr="00CC61C2" w:rsidRDefault="00592131" w:rsidP="001237DA">
            <w:pPr>
              <w:widowControl w:val="0"/>
              <w:autoSpaceDE w:val="0"/>
              <w:autoSpaceDN w:val="0"/>
              <w:adjustRightInd w:val="0"/>
              <w:jc w:val="both"/>
              <w:rPr>
                <w:szCs w:val="22"/>
              </w:rPr>
            </w:pPr>
            <w:r w:rsidRPr="00CC61C2">
              <w:rPr>
                <w:szCs w:val="22"/>
              </w:rPr>
              <w:t>Veoma rijetko</w:t>
            </w:r>
          </w:p>
        </w:tc>
        <w:tc>
          <w:tcPr>
            <w:tcW w:w="1088" w:type="pct"/>
            <w:vAlign w:val="center"/>
          </w:tcPr>
          <w:p w14:paraId="783ED9FF"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1E3DFECE" w14:textId="77777777" w:rsidR="00592131" w:rsidRPr="00CC61C2" w:rsidRDefault="00592131" w:rsidP="001237DA">
            <w:pPr>
              <w:widowControl w:val="0"/>
              <w:jc w:val="both"/>
              <w:rPr>
                <w:szCs w:val="22"/>
              </w:rPr>
            </w:pPr>
            <w:r w:rsidRPr="00CC61C2">
              <w:rPr>
                <w:szCs w:val="22"/>
              </w:rPr>
              <w:t>-</w:t>
            </w:r>
          </w:p>
        </w:tc>
      </w:tr>
      <w:tr w:rsidR="00592131" w:rsidRPr="00CC61C2" w14:paraId="3D2E70AC" w14:textId="77777777" w:rsidTr="002C09D7">
        <w:tc>
          <w:tcPr>
            <w:tcW w:w="943" w:type="pct"/>
            <w:vMerge w:val="restart"/>
            <w:shd w:val="clear" w:color="auto" w:fill="auto"/>
            <w:vAlign w:val="center"/>
          </w:tcPr>
          <w:p w14:paraId="77D97A93" w14:textId="77777777" w:rsidR="00592131" w:rsidRPr="00CC61C2" w:rsidRDefault="00592131" w:rsidP="001237DA">
            <w:pPr>
              <w:widowControl w:val="0"/>
              <w:tabs>
                <w:tab w:val="center" w:pos="4536"/>
                <w:tab w:val="right" w:pos="9072"/>
              </w:tabs>
              <w:jc w:val="both"/>
              <w:rPr>
                <w:noProof/>
                <w:szCs w:val="22"/>
              </w:rPr>
            </w:pPr>
            <w:r w:rsidRPr="00CC61C2">
              <w:rPr>
                <w:b/>
                <w:bCs/>
                <w:noProof/>
                <w:szCs w:val="22"/>
              </w:rPr>
              <w:t xml:space="preserve">Gastrointestinalni poremećaji </w:t>
            </w:r>
          </w:p>
        </w:tc>
        <w:tc>
          <w:tcPr>
            <w:tcW w:w="1275" w:type="pct"/>
            <w:vAlign w:val="center"/>
          </w:tcPr>
          <w:p w14:paraId="6D405568" w14:textId="77777777" w:rsidR="00592131" w:rsidRPr="00CC61C2" w:rsidRDefault="00592131" w:rsidP="009D6AD4">
            <w:pPr>
              <w:widowControl w:val="0"/>
              <w:rPr>
                <w:szCs w:val="22"/>
              </w:rPr>
            </w:pPr>
            <w:r w:rsidRPr="00CC61C2">
              <w:rPr>
                <w:szCs w:val="22"/>
              </w:rPr>
              <w:t>Bolovi u abdomenu</w:t>
            </w:r>
          </w:p>
        </w:tc>
        <w:tc>
          <w:tcPr>
            <w:tcW w:w="690" w:type="pct"/>
            <w:vAlign w:val="center"/>
          </w:tcPr>
          <w:p w14:paraId="5819684C" w14:textId="77777777" w:rsidR="00592131" w:rsidRPr="00CC61C2" w:rsidRDefault="00592131" w:rsidP="001237DA">
            <w:pPr>
              <w:widowControl w:val="0"/>
              <w:jc w:val="both"/>
              <w:rPr>
                <w:szCs w:val="22"/>
              </w:rPr>
            </w:pPr>
            <w:r w:rsidRPr="00CC61C2">
              <w:rPr>
                <w:szCs w:val="22"/>
              </w:rPr>
              <w:t>Često</w:t>
            </w:r>
          </w:p>
        </w:tc>
        <w:tc>
          <w:tcPr>
            <w:tcW w:w="1088" w:type="pct"/>
            <w:vAlign w:val="center"/>
          </w:tcPr>
          <w:p w14:paraId="61C30CA4"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12C8D209" w14:textId="77777777" w:rsidR="00592131" w:rsidRPr="00CC61C2" w:rsidRDefault="00592131" w:rsidP="001237DA">
            <w:pPr>
              <w:widowControl w:val="0"/>
              <w:jc w:val="both"/>
              <w:rPr>
                <w:szCs w:val="22"/>
              </w:rPr>
            </w:pPr>
            <w:r w:rsidRPr="00CC61C2">
              <w:rPr>
                <w:szCs w:val="22"/>
              </w:rPr>
              <w:t>Često</w:t>
            </w:r>
          </w:p>
        </w:tc>
      </w:tr>
      <w:tr w:rsidR="00592131" w:rsidRPr="00CC61C2" w14:paraId="6B1B6656" w14:textId="77777777" w:rsidTr="002C09D7">
        <w:tc>
          <w:tcPr>
            <w:tcW w:w="943" w:type="pct"/>
            <w:vMerge/>
            <w:shd w:val="clear" w:color="auto" w:fill="auto"/>
            <w:vAlign w:val="center"/>
          </w:tcPr>
          <w:p w14:paraId="39A54250"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13EDCA03" w14:textId="77777777" w:rsidR="00592131" w:rsidRPr="00CC61C2" w:rsidRDefault="00592131" w:rsidP="009D6AD4">
            <w:pPr>
              <w:widowControl w:val="0"/>
              <w:rPr>
                <w:szCs w:val="22"/>
              </w:rPr>
            </w:pPr>
            <w:r w:rsidRPr="00CC61C2">
              <w:rPr>
                <w:szCs w:val="22"/>
              </w:rPr>
              <w:t>Konstipacija</w:t>
            </w:r>
          </w:p>
        </w:tc>
        <w:tc>
          <w:tcPr>
            <w:tcW w:w="690" w:type="pct"/>
            <w:vAlign w:val="center"/>
          </w:tcPr>
          <w:p w14:paraId="246B8B7D" w14:textId="77777777" w:rsidR="00592131" w:rsidRPr="00CC61C2" w:rsidRDefault="00592131" w:rsidP="001237DA">
            <w:pPr>
              <w:widowControl w:val="0"/>
              <w:jc w:val="both"/>
              <w:rPr>
                <w:szCs w:val="22"/>
              </w:rPr>
            </w:pPr>
            <w:r w:rsidRPr="00CC61C2">
              <w:rPr>
                <w:szCs w:val="22"/>
              </w:rPr>
              <w:t>Često</w:t>
            </w:r>
          </w:p>
        </w:tc>
        <w:tc>
          <w:tcPr>
            <w:tcW w:w="1088" w:type="pct"/>
            <w:vAlign w:val="center"/>
          </w:tcPr>
          <w:p w14:paraId="4CD30F4E" w14:textId="77777777" w:rsidR="00592131" w:rsidRPr="00CC61C2" w:rsidRDefault="00592131" w:rsidP="001237DA">
            <w:pPr>
              <w:widowControl w:val="0"/>
              <w:jc w:val="both"/>
              <w:rPr>
                <w:szCs w:val="22"/>
              </w:rPr>
            </w:pPr>
            <w:r w:rsidRPr="00CC61C2">
              <w:rPr>
                <w:szCs w:val="22"/>
              </w:rPr>
              <w:t>Rijetko</w:t>
            </w:r>
            <w:r w:rsidRPr="00CC61C2" w:rsidDel="00E50C1D">
              <w:rPr>
                <w:szCs w:val="22"/>
              </w:rPr>
              <w:t xml:space="preserve"> </w:t>
            </w:r>
          </w:p>
        </w:tc>
        <w:tc>
          <w:tcPr>
            <w:tcW w:w="1004" w:type="pct"/>
            <w:vAlign w:val="center"/>
          </w:tcPr>
          <w:p w14:paraId="57FEF575" w14:textId="77777777" w:rsidR="00592131" w:rsidRPr="00CC61C2" w:rsidRDefault="00592131" w:rsidP="001237DA">
            <w:pPr>
              <w:widowControl w:val="0"/>
              <w:jc w:val="both"/>
              <w:rPr>
                <w:szCs w:val="22"/>
              </w:rPr>
            </w:pPr>
            <w:r w:rsidRPr="00CC61C2">
              <w:rPr>
                <w:szCs w:val="22"/>
              </w:rPr>
              <w:t>Često</w:t>
            </w:r>
          </w:p>
        </w:tc>
      </w:tr>
      <w:tr w:rsidR="00592131" w:rsidRPr="00CC61C2" w14:paraId="676EF0C1" w14:textId="77777777" w:rsidTr="002C09D7">
        <w:tc>
          <w:tcPr>
            <w:tcW w:w="943" w:type="pct"/>
            <w:vMerge/>
            <w:shd w:val="clear" w:color="auto" w:fill="auto"/>
            <w:vAlign w:val="center"/>
          </w:tcPr>
          <w:p w14:paraId="1531F378"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385610BF" w14:textId="77777777" w:rsidR="00592131" w:rsidRPr="00CC61C2" w:rsidRDefault="00592131" w:rsidP="009D6AD4">
            <w:pPr>
              <w:widowControl w:val="0"/>
              <w:rPr>
                <w:szCs w:val="22"/>
              </w:rPr>
            </w:pPr>
            <w:r w:rsidRPr="00CC61C2">
              <w:rPr>
                <w:szCs w:val="22"/>
              </w:rPr>
              <w:t>Mučnina</w:t>
            </w:r>
          </w:p>
        </w:tc>
        <w:tc>
          <w:tcPr>
            <w:tcW w:w="690" w:type="pct"/>
            <w:vAlign w:val="center"/>
          </w:tcPr>
          <w:p w14:paraId="58CD342B" w14:textId="77777777" w:rsidR="00592131" w:rsidRPr="00CC61C2" w:rsidRDefault="00592131" w:rsidP="001237DA">
            <w:pPr>
              <w:widowControl w:val="0"/>
              <w:jc w:val="both"/>
              <w:rPr>
                <w:szCs w:val="22"/>
              </w:rPr>
            </w:pPr>
            <w:r w:rsidRPr="00CC61C2">
              <w:rPr>
                <w:szCs w:val="22"/>
              </w:rPr>
              <w:t>Često</w:t>
            </w:r>
          </w:p>
        </w:tc>
        <w:tc>
          <w:tcPr>
            <w:tcW w:w="1088" w:type="pct"/>
            <w:vAlign w:val="center"/>
          </w:tcPr>
          <w:p w14:paraId="53574C15" w14:textId="77777777" w:rsidR="00592131" w:rsidRPr="00CC61C2" w:rsidRDefault="00592131" w:rsidP="001237DA">
            <w:pPr>
              <w:widowControl w:val="0"/>
              <w:jc w:val="both"/>
              <w:rPr>
                <w:szCs w:val="22"/>
              </w:rPr>
            </w:pPr>
            <w:r w:rsidRPr="00CC61C2">
              <w:rPr>
                <w:szCs w:val="22"/>
              </w:rPr>
              <w:t>Rijetko</w:t>
            </w:r>
            <w:r w:rsidRPr="00CC61C2" w:rsidDel="00E50C1D">
              <w:rPr>
                <w:szCs w:val="22"/>
              </w:rPr>
              <w:t xml:space="preserve"> </w:t>
            </w:r>
          </w:p>
        </w:tc>
        <w:tc>
          <w:tcPr>
            <w:tcW w:w="1004" w:type="pct"/>
            <w:vAlign w:val="center"/>
          </w:tcPr>
          <w:p w14:paraId="570EA223" w14:textId="77777777" w:rsidR="00592131" w:rsidRPr="00CC61C2" w:rsidRDefault="00592131" w:rsidP="001237DA">
            <w:pPr>
              <w:widowControl w:val="0"/>
              <w:jc w:val="both"/>
              <w:rPr>
                <w:szCs w:val="22"/>
              </w:rPr>
            </w:pPr>
            <w:r w:rsidRPr="00CC61C2">
              <w:rPr>
                <w:szCs w:val="22"/>
              </w:rPr>
              <w:t>Često</w:t>
            </w:r>
          </w:p>
        </w:tc>
      </w:tr>
      <w:tr w:rsidR="00592131" w:rsidRPr="00CC61C2" w14:paraId="0C90148F" w14:textId="77777777" w:rsidTr="002C09D7">
        <w:tc>
          <w:tcPr>
            <w:tcW w:w="943" w:type="pct"/>
            <w:vMerge/>
            <w:shd w:val="clear" w:color="auto" w:fill="auto"/>
            <w:vAlign w:val="center"/>
          </w:tcPr>
          <w:p w14:paraId="2617065D"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5C5BE6FD" w14:textId="77777777" w:rsidR="00592131" w:rsidRPr="00CC61C2" w:rsidRDefault="00592131" w:rsidP="009D6AD4">
            <w:pPr>
              <w:widowControl w:val="0"/>
              <w:rPr>
                <w:noProof/>
                <w:szCs w:val="22"/>
              </w:rPr>
            </w:pPr>
            <w:r w:rsidRPr="00CC61C2">
              <w:rPr>
                <w:noProof/>
                <w:szCs w:val="22"/>
              </w:rPr>
              <w:t>Povraćanje</w:t>
            </w:r>
          </w:p>
        </w:tc>
        <w:tc>
          <w:tcPr>
            <w:tcW w:w="690" w:type="pct"/>
            <w:vAlign w:val="center"/>
          </w:tcPr>
          <w:p w14:paraId="4CB96382" w14:textId="77777777" w:rsidR="00592131" w:rsidRPr="00CC61C2" w:rsidRDefault="00592131" w:rsidP="001237DA">
            <w:pPr>
              <w:widowControl w:val="0"/>
              <w:jc w:val="both"/>
              <w:rPr>
                <w:szCs w:val="22"/>
              </w:rPr>
            </w:pPr>
            <w:r w:rsidRPr="00CC61C2">
              <w:rPr>
                <w:szCs w:val="22"/>
              </w:rPr>
              <w:t>Često</w:t>
            </w:r>
          </w:p>
        </w:tc>
        <w:tc>
          <w:tcPr>
            <w:tcW w:w="1088" w:type="pct"/>
            <w:vAlign w:val="center"/>
          </w:tcPr>
          <w:p w14:paraId="7F2B45C5" w14:textId="77777777" w:rsidR="00592131" w:rsidRPr="00CC61C2" w:rsidRDefault="00592131" w:rsidP="001237DA">
            <w:pPr>
              <w:widowControl w:val="0"/>
              <w:jc w:val="both"/>
              <w:rPr>
                <w:szCs w:val="22"/>
              </w:rPr>
            </w:pPr>
            <w:r w:rsidRPr="00CC61C2">
              <w:rPr>
                <w:szCs w:val="22"/>
              </w:rPr>
              <w:t>Povremeno</w:t>
            </w:r>
          </w:p>
        </w:tc>
        <w:tc>
          <w:tcPr>
            <w:tcW w:w="1004" w:type="pct"/>
            <w:vAlign w:val="center"/>
          </w:tcPr>
          <w:p w14:paraId="3A2084B6" w14:textId="77777777" w:rsidR="00592131" w:rsidRPr="00CC61C2" w:rsidRDefault="00592131" w:rsidP="001237DA">
            <w:pPr>
              <w:widowControl w:val="0"/>
              <w:jc w:val="both"/>
              <w:rPr>
                <w:szCs w:val="22"/>
              </w:rPr>
            </w:pPr>
            <w:r w:rsidRPr="00CC61C2">
              <w:rPr>
                <w:szCs w:val="22"/>
              </w:rPr>
              <w:t>Povremeno</w:t>
            </w:r>
          </w:p>
        </w:tc>
      </w:tr>
      <w:tr w:rsidR="00592131" w:rsidRPr="00CC61C2" w14:paraId="690B0C68" w14:textId="77777777" w:rsidTr="002C09D7">
        <w:tc>
          <w:tcPr>
            <w:tcW w:w="943" w:type="pct"/>
            <w:vMerge/>
            <w:shd w:val="clear" w:color="auto" w:fill="auto"/>
            <w:vAlign w:val="center"/>
          </w:tcPr>
          <w:p w14:paraId="0E716EA5"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30AE685D" w14:textId="77777777" w:rsidR="00592131" w:rsidRPr="00CC61C2" w:rsidRDefault="00592131" w:rsidP="009D6AD4">
            <w:pPr>
              <w:widowControl w:val="0"/>
              <w:rPr>
                <w:noProof/>
                <w:szCs w:val="22"/>
              </w:rPr>
            </w:pPr>
            <w:r w:rsidRPr="00CC61C2">
              <w:rPr>
                <w:noProof/>
                <w:szCs w:val="22"/>
              </w:rPr>
              <w:t>Dispepsija</w:t>
            </w:r>
          </w:p>
        </w:tc>
        <w:tc>
          <w:tcPr>
            <w:tcW w:w="690" w:type="pct"/>
            <w:vAlign w:val="center"/>
          </w:tcPr>
          <w:p w14:paraId="2DE68902" w14:textId="77777777" w:rsidR="00592131" w:rsidRPr="00CC61C2" w:rsidRDefault="00592131" w:rsidP="001237DA">
            <w:pPr>
              <w:widowControl w:val="0"/>
              <w:jc w:val="both"/>
              <w:rPr>
                <w:szCs w:val="22"/>
              </w:rPr>
            </w:pPr>
            <w:r w:rsidRPr="00CC61C2">
              <w:rPr>
                <w:szCs w:val="22"/>
              </w:rPr>
              <w:t>Često</w:t>
            </w:r>
          </w:p>
        </w:tc>
        <w:tc>
          <w:tcPr>
            <w:tcW w:w="1088" w:type="pct"/>
            <w:vAlign w:val="center"/>
          </w:tcPr>
          <w:p w14:paraId="0022E7AC"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561E7212" w14:textId="77777777" w:rsidR="00592131" w:rsidRPr="00CC61C2" w:rsidRDefault="00592131" w:rsidP="001237DA">
            <w:pPr>
              <w:widowControl w:val="0"/>
              <w:jc w:val="both"/>
              <w:rPr>
                <w:szCs w:val="22"/>
              </w:rPr>
            </w:pPr>
            <w:r w:rsidRPr="00CC61C2">
              <w:rPr>
                <w:szCs w:val="22"/>
              </w:rPr>
              <w:t>Često</w:t>
            </w:r>
          </w:p>
        </w:tc>
      </w:tr>
      <w:tr w:rsidR="00592131" w:rsidRPr="00CC61C2" w14:paraId="48FFC32A" w14:textId="77777777" w:rsidTr="002C09D7">
        <w:tc>
          <w:tcPr>
            <w:tcW w:w="943" w:type="pct"/>
            <w:vMerge/>
            <w:shd w:val="clear" w:color="auto" w:fill="auto"/>
            <w:vAlign w:val="center"/>
          </w:tcPr>
          <w:p w14:paraId="67E7E146"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45BA1F0F" w14:textId="77777777" w:rsidR="00592131" w:rsidRPr="00CC61C2" w:rsidRDefault="00592131" w:rsidP="009D6AD4">
            <w:pPr>
              <w:widowControl w:val="0"/>
              <w:rPr>
                <w:noProof/>
                <w:szCs w:val="22"/>
              </w:rPr>
            </w:pPr>
            <w:r w:rsidRPr="00CC61C2">
              <w:rPr>
                <w:noProof/>
                <w:szCs w:val="22"/>
              </w:rPr>
              <w:t>Poremećaji pražnjenja crijeva</w:t>
            </w:r>
          </w:p>
        </w:tc>
        <w:tc>
          <w:tcPr>
            <w:tcW w:w="690" w:type="pct"/>
            <w:vAlign w:val="center"/>
          </w:tcPr>
          <w:p w14:paraId="10465A1E"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75FBF84D"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5E71A625" w14:textId="77777777" w:rsidR="00592131" w:rsidRPr="00CC61C2" w:rsidRDefault="00592131" w:rsidP="001237DA">
            <w:pPr>
              <w:widowControl w:val="0"/>
              <w:jc w:val="both"/>
              <w:rPr>
                <w:szCs w:val="22"/>
              </w:rPr>
            </w:pPr>
            <w:r w:rsidRPr="00CC61C2">
              <w:rPr>
                <w:szCs w:val="22"/>
              </w:rPr>
              <w:t>Često</w:t>
            </w:r>
          </w:p>
        </w:tc>
      </w:tr>
      <w:tr w:rsidR="00592131" w:rsidRPr="00CC61C2" w14:paraId="000D2B07" w14:textId="77777777" w:rsidTr="002C09D7">
        <w:tc>
          <w:tcPr>
            <w:tcW w:w="943" w:type="pct"/>
            <w:vMerge/>
            <w:shd w:val="clear" w:color="auto" w:fill="auto"/>
            <w:vAlign w:val="center"/>
          </w:tcPr>
          <w:p w14:paraId="16EF076A"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6AFC2939" w14:textId="77777777" w:rsidR="00592131" w:rsidRPr="00CC61C2" w:rsidRDefault="00592131" w:rsidP="009D6AD4">
            <w:pPr>
              <w:widowControl w:val="0"/>
              <w:rPr>
                <w:noProof/>
                <w:szCs w:val="22"/>
              </w:rPr>
            </w:pPr>
            <w:r w:rsidRPr="00CC61C2">
              <w:rPr>
                <w:noProof/>
                <w:szCs w:val="22"/>
              </w:rPr>
              <w:t>Suva usta</w:t>
            </w:r>
          </w:p>
        </w:tc>
        <w:tc>
          <w:tcPr>
            <w:tcW w:w="690" w:type="pct"/>
            <w:vAlign w:val="center"/>
          </w:tcPr>
          <w:p w14:paraId="66C666FE" w14:textId="77777777" w:rsidR="00592131" w:rsidRPr="00CC61C2" w:rsidRDefault="00592131" w:rsidP="001237DA">
            <w:pPr>
              <w:widowControl w:val="0"/>
              <w:jc w:val="both"/>
              <w:rPr>
                <w:szCs w:val="22"/>
                <w:highlight w:val="yellow"/>
              </w:rPr>
            </w:pPr>
            <w:r w:rsidRPr="00CC61C2">
              <w:rPr>
                <w:szCs w:val="22"/>
              </w:rPr>
              <w:t>Često</w:t>
            </w:r>
            <w:r w:rsidRPr="00CC61C2">
              <w:rPr>
                <w:szCs w:val="22"/>
                <w:highlight w:val="yellow"/>
              </w:rPr>
              <w:t xml:space="preserve"> </w:t>
            </w:r>
          </w:p>
        </w:tc>
        <w:tc>
          <w:tcPr>
            <w:tcW w:w="1088" w:type="pct"/>
            <w:vAlign w:val="center"/>
          </w:tcPr>
          <w:p w14:paraId="6469FEB4" w14:textId="77777777" w:rsidR="00592131" w:rsidRPr="00CC61C2" w:rsidRDefault="00592131" w:rsidP="001237DA">
            <w:pPr>
              <w:widowControl w:val="0"/>
              <w:jc w:val="both"/>
              <w:rPr>
                <w:szCs w:val="22"/>
                <w:highlight w:val="yellow"/>
              </w:rPr>
            </w:pPr>
            <w:r w:rsidRPr="00CC61C2">
              <w:rPr>
                <w:szCs w:val="22"/>
              </w:rPr>
              <w:t>Često</w:t>
            </w:r>
            <w:r w:rsidRPr="00CC61C2" w:rsidDel="00E43997">
              <w:rPr>
                <w:szCs w:val="22"/>
              </w:rPr>
              <w:t xml:space="preserve"> </w:t>
            </w:r>
          </w:p>
        </w:tc>
        <w:tc>
          <w:tcPr>
            <w:tcW w:w="1004" w:type="pct"/>
            <w:vAlign w:val="center"/>
          </w:tcPr>
          <w:p w14:paraId="515D36D3" w14:textId="77777777" w:rsidR="00592131" w:rsidRPr="00CC61C2" w:rsidRDefault="00592131" w:rsidP="001237DA">
            <w:pPr>
              <w:widowControl w:val="0"/>
              <w:jc w:val="both"/>
              <w:rPr>
                <w:szCs w:val="22"/>
              </w:rPr>
            </w:pPr>
            <w:r w:rsidRPr="00CC61C2">
              <w:rPr>
                <w:szCs w:val="22"/>
              </w:rPr>
              <w:t>Povremeno</w:t>
            </w:r>
          </w:p>
        </w:tc>
      </w:tr>
      <w:tr w:rsidR="00592131" w:rsidRPr="00CC61C2" w14:paraId="008EC35B" w14:textId="77777777" w:rsidTr="002C09D7">
        <w:tc>
          <w:tcPr>
            <w:tcW w:w="943" w:type="pct"/>
            <w:vMerge/>
            <w:shd w:val="clear" w:color="auto" w:fill="auto"/>
            <w:vAlign w:val="center"/>
          </w:tcPr>
          <w:p w14:paraId="14384E03"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4F1591D9" w14:textId="77777777" w:rsidR="00592131" w:rsidRPr="00CC61C2" w:rsidRDefault="00592131" w:rsidP="009D6AD4">
            <w:pPr>
              <w:widowControl w:val="0"/>
              <w:rPr>
                <w:noProof/>
                <w:szCs w:val="22"/>
              </w:rPr>
            </w:pPr>
            <w:r w:rsidRPr="00CC61C2">
              <w:rPr>
                <w:noProof/>
                <w:szCs w:val="22"/>
              </w:rPr>
              <w:t>Proliv</w:t>
            </w:r>
          </w:p>
        </w:tc>
        <w:tc>
          <w:tcPr>
            <w:tcW w:w="690" w:type="pct"/>
            <w:vAlign w:val="center"/>
          </w:tcPr>
          <w:p w14:paraId="09890147" w14:textId="77777777" w:rsidR="00592131" w:rsidRPr="00CC61C2" w:rsidRDefault="00592131" w:rsidP="001237DA">
            <w:pPr>
              <w:widowControl w:val="0"/>
              <w:jc w:val="both"/>
              <w:rPr>
                <w:szCs w:val="22"/>
              </w:rPr>
            </w:pPr>
            <w:r w:rsidRPr="00CC61C2">
              <w:rPr>
                <w:szCs w:val="22"/>
              </w:rPr>
              <w:t>Često</w:t>
            </w:r>
          </w:p>
        </w:tc>
        <w:tc>
          <w:tcPr>
            <w:tcW w:w="1088" w:type="pct"/>
            <w:vAlign w:val="center"/>
          </w:tcPr>
          <w:p w14:paraId="6802C114"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4CB616A0" w14:textId="77777777" w:rsidR="00592131" w:rsidRPr="00CC61C2" w:rsidRDefault="00592131" w:rsidP="001237DA">
            <w:pPr>
              <w:widowControl w:val="0"/>
              <w:jc w:val="both"/>
              <w:rPr>
                <w:szCs w:val="22"/>
              </w:rPr>
            </w:pPr>
            <w:r w:rsidRPr="00CC61C2">
              <w:rPr>
                <w:szCs w:val="22"/>
              </w:rPr>
              <w:t>Često</w:t>
            </w:r>
          </w:p>
        </w:tc>
      </w:tr>
      <w:tr w:rsidR="00592131" w:rsidRPr="00CC61C2" w14:paraId="68CB1A79" w14:textId="77777777" w:rsidTr="002C09D7">
        <w:tc>
          <w:tcPr>
            <w:tcW w:w="943" w:type="pct"/>
            <w:vMerge/>
            <w:shd w:val="clear" w:color="auto" w:fill="auto"/>
            <w:vAlign w:val="center"/>
          </w:tcPr>
          <w:p w14:paraId="7FE93B9E"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31A11A21" w14:textId="77777777" w:rsidR="00592131" w:rsidRPr="00CC61C2" w:rsidRDefault="00592131" w:rsidP="009D6AD4">
            <w:pPr>
              <w:widowControl w:val="0"/>
              <w:rPr>
                <w:noProof/>
                <w:szCs w:val="22"/>
              </w:rPr>
            </w:pPr>
            <w:r w:rsidRPr="00CC61C2">
              <w:rPr>
                <w:noProof/>
                <w:szCs w:val="22"/>
              </w:rPr>
              <w:t>Promjene u ritmu pražnjena crijeva</w:t>
            </w:r>
          </w:p>
        </w:tc>
        <w:tc>
          <w:tcPr>
            <w:tcW w:w="690" w:type="pct"/>
            <w:vAlign w:val="center"/>
          </w:tcPr>
          <w:p w14:paraId="0C74416D" w14:textId="77777777" w:rsidR="00592131" w:rsidRPr="00CC61C2" w:rsidRDefault="00592131" w:rsidP="001237DA">
            <w:pPr>
              <w:widowControl w:val="0"/>
              <w:autoSpaceDE w:val="0"/>
              <w:autoSpaceDN w:val="0"/>
              <w:adjustRightInd w:val="0"/>
              <w:jc w:val="both"/>
              <w:rPr>
                <w:szCs w:val="22"/>
              </w:rPr>
            </w:pPr>
            <w:r w:rsidRPr="00CC61C2">
              <w:rPr>
                <w:szCs w:val="22"/>
              </w:rPr>
              <w:t>-</w:t>
            </w:r>
          </w:p>
        </w:tc>
        <w:tc>
          <w:tcPr>
            <w:tcW w:w="1088" w:type="pct"/>
            <w:vAlign w:val="center"/>
          </w:tcPr>
          <w:p w14:paraId="62FEB97A" w14:textId="77777777" w:rsidR="00592131" w:rsidRPr="00CC61C2" w:rsidRDefault="00592131" w:rsidP="001237DA">
            <w:pPr>
              <w:widowControl w:val="0"/>
              <w:autoSpaceDE w:val="0"/>
              <w:autoSpaceDN w:val="0"/>
              <w:adjustRightInd w:val="0"/>
              <w:jc w:val="both"/>
              <w:rPr>
                <w:szCs w:val="22"/>
              </w:rPr>
            </w:pPr>
            <w:r w:rsidRPr="00CC61C2">
              <w:rPr>
                <w:szCs w:val="22"/>
              </w:rPr>
              <w:t>-</w:t>
            </w:r>
          </w:p>
        </w:tc>
        <w:tc>
          <w:tcPr>
            <w:tcW w:w="1004" w:type="pct"/>
            <w:vAlign w:val="center"/>
          </w:tcPr>
          <w:p w14:paraId="611E7714" w14:textId="77777777" w:rsidR="00592131" w:rsidRPr="00CC61C2" w:rsidRDefault="00592131" w:rsidP="001237DA">
            <w:pPr>
              <w:widowControl w:val="0"/>
              <w:autoSpaceDE w:val="0"/>
              <w:autoSpaceDN w:val="0"/>
              <w:adjustRightInd w:val="0"/>
              <w:jc w:val="both"/>
              <w:rPr>
                <w:szCs w:val="22"/>
              </w:rPr>
            </w:pPr>
            <w:r w:rsidRPr="00CC61C2">
              <w:rPr>
                <w:szCs w:val="22"/>
              </w:rPr>
              <w:t>Često</w:t>
            </w:r>
            <w:r w:rsidRPr="00CC61C2" w:rsidDel="00E43997">
              <w:rPr>
                <w:szCs w:val="22"/>
              </w:rPr>
              <w:t xml:space="preserve"> </w:t>
            </w:r>
          </w:p>
        </w:tc>
      </w:tr>
      <w:tr w:rsidR="00592131" w:rsidRPr="00CC61C2" w14:paraId="3BE8BC03" w14:textId="77777777" w:rsidTr="002C09D7">
        <w:tc>
          <w:tcPr>
            <w:tcW w:w="943" w:type="pct"/>
            <w:vMerge/>
            <w:shd w:val="clear" w:color="auto" w:fill="auto"/>
            <w:vAlign w:val="center"/>
          </w:tcPr>
          <w:p w14:paraId="52C3767D"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2FA56DC8" w14:textId="77777777" w:rsidR="00592131" w:rsidRPr="00CC61C2" w:rsidRDefault="00592131" w:rsidP="009D6AD4">
            <w:pPr>
              <w:widowControl w:val="0"/>
              <w:rPr>
                <w:noProof/>
                <w:szCs w:val="22"/>
              </w:rPr>
            </w:pPr>
            <w:r w:rsidRPr="00CC61C2">
              <w:rPr>
                <w:noProof/>
                <w:szCs w:val="22"/>
              </w:rPr>
              <w:t>Pankreatitis</w:t>
            </w:r>
          </w:p>
        </w:tc>
        <w:tc>
          <w:tcPr>
            <w:tcW w:w="690" w:type="pct"/>
            <w:vAlign w:val="center"/>
          </w:tcPr>
          <w:p w14:paraId="7871595C" w14:textId="77777777" w:rsidR="00592131" w:rsidRPr="00CC61C2" w:rsidRDefault="00592131" w:rsidP="001237DA">
            <w:pPr>
              <w:widowControl w:val="0"/>
              <w:autoSpaceDE w:val="0"/>
              <w:autoSpaceDN w:val="0"/>
              <w:adjustRightInd w:val="0"/>
              <w:jc w:val="both"/>
              <w:rPr>
                <w:szCs w:val="22"/>
              </w:rPr>
            </w:pPr>
            <w:r w:rsidRPr="00CC61C2">
              <w:rPr>
                <w:szCs w:val="22"/>
              </w:rPr>
              <w:t>Veoma rijetko</w:t>
            </w:r>
          </w:p>
        </w:tc>
        <w:tc>
          <w:tcPr>
            <w:tcW w:w="1088" w:type="pct"/>
            <w:vAlign w:val="center"/>
          </w:tcPr>
          <w:p w14:paraId="2F7E181B" w14:textId="77777777" w:rsidR="00592131" w:rsidRPr="00CC61C2" w:rsidRDefault="00592131" w:rsidP="001237DA">
            <w:pPr>
              <w:widowControl w:val="0"/>
              <w:autoSpaceDE w:val="0"/>
              <w:autoSpaceDN w:val="0"/>
              <w:adjustRightInd w:val="0"/>
              <w:jc w:val="both"/>
              <w:rPr>
                <w:szCs w:val="22"/>
              </w:rPr>
            </w:pPr>
            <w:r w:rsidRPr="00CC61C2">
              <w:rPr>
                <w:szCs w:val="22"/>
              </w:rPr>
              <w:t>Veoma rijetko</w:t>
            </w:r>
          </w:p>
        </w:tc>
        <w:tc>
          <w:tcPr>
            <w:tcW w:w="1004" w:type="pct"/>
            <w:vAlign w:val="center"/>
          </w:tcPr>
          <w:p w14:paraId="136F9D0D" w14:textId="77777777" w:rsidR="00592131" w:rsidRPr="00CC61C2" w:rsidRDefault="00592131" w:rsidP="001237DA">
            <w:pPr>
              <w:widowControl w:val="0"/>
              <w:autoSpaceDE w:val="0"/>
              <w:autoSpaceDN w:val="0"/>
              <w:adjustRightInd w:val="0"/>
              <w:jc w:val="both"/>
              <w:rPr>
                <w:szCs w:val="22"/>
              </w:rPr>
            </w:pPr>
            <w:r w:rsidRPr="00CC61C2">
              <w:rPr>
                <w:szCs w:val="22"/>
              </w:rPr>
              <w:t>Veoma rijetko</w:t>
            </w:r>
          </w:p>
        </w:tc>
      </w:tr>
      <w:tr w:rsidR="00592131" w:rsidRPr="00CC61C2" w14:paraId="7440EEA3" w14:textId="77777777" w:rsidTr="002C09D7">
        <w:tc>
          <w:tcPr>
            <w:tcW w:w="943" w:type="pct"/>
            <w:vMerge/>
            <w:shd w:val="clear" w:color="auto" w:fill="auto"/>
            <w:vAlign w:val="center"/>
          </w:tcPr>
          <w:p w14:paraId="6A819315"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07F47E39" w14:textId="77777777" w:rsidR="00592131" w:rsidRPr="00CC61C2" w:rsidRDefault="00592131" w:rsidP="009D6AD4">
            <w:pPr>
              <w:widowControl w:val="0"/>
              <w:rPr>
                <w:noProof/>
                <w:szCs w:val="22"/>
              </w:rPr>
            </w:pPr>
            <w:r w:rsidRPr="00CC61C2">
              <w:rPr>
                <w:noProof/>
                <w:szCs w:val="22"/>
              </w:rPr>
              <w:t>Gastritis</w:t>
            </w:r>
          </w:p>
        </w:tc>
        <w:tc>
          <w:tcPr>
            <w:tcW w:w="690" w:type="pct"/>
            <w:vAlign w:val="center"/>
          </w:tcPr>
          <w:p w14:paraId="499B1245"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5D18B86E" w14:textId="77777777" w:rsidR="00592131" w:rsidRPr="00CC61C2" w:rsidRDefault="00592131" w:rsidP="001237DA">
            <w:pPr>
              <w:widowControl w:val="0"/>
              <w:autoSpaceDE w:val="0"/>
              <w:autoSpaceDN w:val="0"/>
              <w:adjustRightInd w:val="0"/>
              <w:jc w:val="both"/>
              <w:rPr>
                <w:szCs w:val="22"/>
              </w:rPr>
            </w:pPr>
            <w:r w:rsidRPr="00CC61C2">
              <w:rPr>
                <w:szCs w:val="22"/>
              </w:rPr>
              <w:t>-</w:t>
            </w:r>
          </w:p>
        </w:tc>
        <w:tc>
          <w:tcPr>
            <w:tcW w:w="1004" w:type="pct"/>
            <w:vAlign w:val="center"/>
          </w:tcPr>
          <w:p w14:paraId="18684C39" w14:textId="77777777" w:rsidR="00592131" w:rsidRPr="00CC61C2" w:rsidRDefault="00592131" w:rsidP="001237DA">
            <w:pPr>
              <w:widowControl w:val="0"/>
              <w:autoSpaceDE w:val="0"/>
              <w:autoSpaceDN w:val="0"/>
              <w:adjustRightInd w:val="0"/>
              <w:jc w:val="both"/>
              <w:rPr>
                <w:szCs w:val="22"/>
              </w:rPr>
            </w:pPr>
            <w:r w:rsidRPr="00CC61C2">
              <w:rPr>
                <w:szCs w:val="22"/>
              </w:rPr>
              <w:t>Veoma rijetko</w:t>
            </w:r>
          </w:p>
        </w:tc>
      </w:tr>
      <w:tr w:rsidR="00592131" w:rsidRPr="00CC61C2" w14:paraId="50E79893" w14:textId="77777777" w:rsidTr="002C09D7">
        <w:tc>
          <w:tcPr>
            <w:tcW w:w="943" w:type="pct"/>
            <w:vMerge/>
            <w:shd w:val="clear" w:color="auto" w:fill="auto"/>
            <w:vAlign w:val="center"/>
          </w:tcPr>
          <w:p w14:paraId="7A0FCB70" w14:textId="77777777" w:rsidR="00592131" w:rsidRPr="00CC61C2" w:rsidRDefault="00592131" w:rsidP="001237DA">
            <w:pPr>
              <w:widowControl w:val="0"/>
              <w:tabs>
                <w:tab w:val="center" w:pos="4536"/>
                <w:tab w:val="right" w:pos="9072"/>
              </w:tabs>
              <w:jc w:val="both"/>
              <w:rPr>
                <w:noProof/>
                <w:szCs w:val="22"/>
              </w:rPr>
            </w:pPr>
          </w:p>
        </w:tc>
        <w:tc>
          <w:tcPr>
            <w:tcW w:w="1275" w:type="pct"/>
          </w:tcPr>
          <w:p w14:paraId="4AFC7B00" w14:textId="77777777" w:rsidR="00592131" w:rsidRPr="00CC61C2" w:rsidRDefault="00592131" w:rsidP="009D6AD4">
            <w:pPr>
              <w:widowControl w:val="0"/>
              <w:rPr>
                <w:noProof/>
                <w:szCs w:val="22"/>
              </w:rPr>
            </w:pPr>
            <w:r w:rsidRPr="00CC61C2">
              <w:rPr>
                <w:szCs w:val="22"/>
              </w:rPr>
              <w:t>Anoreksija</w:t>
            </w:r>
          </w:p>
        </w:tc>
        <w:tc>
          <w:tcPr>
            <w:tcW w:w="690" w:type="pct"/>
            <w:vAlign w:val="center"/>
          </w:tcPr>
          <w:p w14:paraId="53079DD1" w14:textId="77777777" w:rsidR="00592131" w:rsidRPr="00CC61C2" w:rsidRDefault="00592131" w:rsidP="001237DA">
            <w:pPr>
              <w:widowControl w:val="0"/>
              <w:jc w:val="both"/>
              <w:rPr>
                <w:szCs w:val="22"/>
              </w:rPr>
            </w:pPr>
            <w:r w:rsidRPr="00CC61C2">
              <w:rPr>
                <w:szCs w:val="22"/>
              </w:rPr>
              <w:t>Često</w:t>
            </w:r>
          </w:p>
        </w:tc>
        <w:tc>
          <w:tcPr>
            <w:tcW w:w="1088" w:type="pct"/>
            <w:vAlign w:val="center"/>
          </w:tcPr>
          <w:p w14:paraId="663E4D90" w14:textId="77777777" w:rsidR="00592131" w:rsidRPr="00CC61C2" w:rsidRDefault="00592131" w:rsidP="001237DA">
            <w:pPr>
              <w:widowControl w:val="0"/>
              <w:autoSpaceDE w:val="0"/>
              <w:autoSpaceDN w:val="0"/>
              <w:adjustRightInd w:val="0"/>
              <w:jc w:val="both"/>
              <w:rPr>
                <w:szCs w:val="22"/>
              </w:rPr>
            </w:pPr>
            <w:r w:rsidRPr="00CC61C2">
              <w:rPr>
                <w:szCs w:val="22"/>
              </w:rPr>
              <w:t>Često</w:t>
            </w:r>
          </w:p>
        </w:tc>
        <w:tc>
          <w:tcPr>
            <w:tcW w:w="1004" w:type="pct"/>
          </w:tcPr>
          <w:p w14:paraId="7F328A11" w14:textId="77777777" w:rsidR="00592131" w:rsidRPr="00CC61C2" w:rsidRDefault="00592131" w:rsidP="001237DA">
            <w:pPr>
              <w:widowControl w:val="0"/>
              <w:autoSpaceDE w:val="0"/>
              <w:autoSpaceDN w:val="0"/>
              <w:adjustRightInd w:val="0"/>
              <w:jc w:val="both"/>
              <w:rPr>
                <w:szCs w:val="22"/>
              </w:rPr>
            </w:pPr>
            <w:r w:rsidRPr="00CC61C2">
              <w:rPr>
                <w:szCs w:val="22"/>
              </w:rPr>
              <w:t>-</w:t>
            </w:r>
          </w:p>
        </w:tc>
      </w:tr>
      <w:tr w:rsidR="00592131" w:rsidRPr="00CC61C2" w14:paraId="4BF072D9" w14:textId="77777777" w:rsidTr="002C09D7">
        <w:tc>
          <w:tcPr>
            <w:tcW w:w="943" w:type="pct"/>
            <w:vMerge/>
            <w:shd w:val="clear" w:color="auto" w:fill="auto"/>
            <w:vAlign w:val="center"/>
          </w:tcPr>
          <w:p w14:paraId="5FD5168B"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380D2F5A" w14:textId="77777777" w:rsidR="00592131" w:rsidRDefault="00592131" w:rsidP="009D6AD4">
            <w:pPr>
              <w:widowControl w:val="0"/>
              <w:rPr>
                <w:szCs w:val="22"/>
              </w:rPr>
            </w:pPr>
            <w:r w:rsidRPr="00CC61C2">
              <w:rPr>
                <w:szCs w:val="22"/>
              </w:rPr>
              <w:t>Hiperplazija desni</w:t>
            </w:r>
          </w:p>
          <w:p w14:paraId="0CCEB5DB" w14:textId="413F64DC" w:rsidR="00A160D0" w:rsidRPr="00CC61C2" w:rsidRDefault="00A160D0" w:rsidP="009D6AD4">
            <w:pPr>
              <w:widowControl w:val="0"/>
              <w:rPr>
                <w:szCs w:val="22"/>
              </w:rPr>
            </w:pPr>
          </w:p>
        </w:tc>
        <w:tc>
          <w:tcPr>
            <w:tcW w:w="690" w:type="pct"/>
            <w:vAlign w:val="center"/>
          </w:tcPr>
          <w:p w14:paraId="7123407D"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706DE282" w14:textId="77777777" w:rsidR="00592131" w:rsidRPr="00CC61C2" w:rsidRDefault="00592131" w:rsidP="001237DA">
            <w:pPr>
              <w:widowControl w:val="0"/>
              <w:autoSpaceDE w:val="0"/>
              <w:autoSpaceDN w:val="0"/>
              <w:adjustRightInd w:val="0"/>
              <w:jc w:val="both"/>
              <w:rPr>
                <w:szCs w:val="22"/>
              </w:rPr>
            </w:pPr>
            <w:r w:rsidRPr="00CC61C2">
              <w:rPr>
                <w:szCs w:val="22"/>
              </w:rPr>
              <w:t>-</w:t>
            </w:r>
          </w:p>
        </w:tc>
        <w:tc>
          <w:tcPr>
            <w:tcW w:w="1004" w:type="pct"/>
            <w:vAlign w:val="center"/>
          </w:tcPr>
          <w:p w14:paraId="42979308" w14:textId="77777777" w:rsidR="00592131" w:rsidRPr="00CC61C2" w:rsidRDefault="00592131" w:rsidP="001237DA">
            <w:pPr>
              <w:widowControl w:val="0"/>
              <w:autoSpaceDE w:val="0"/>
              <w:autoSpaceDN w:val="0"/>
              <w:adjustRightInd w:val="0"/>
              <w:jc w:val="both"/>
              <w:rPr>
                <w:szCs w:val="22"/>
              </w:rPr>
            </w:pPr>
            <w:r w:rsidRPr="00CC61C2">
              <w:rPr>
                <w:szCs w:val="22"/>
              </w:rPr>
              <w:t>Veoma rijetko</w:t>
            </w:r>
          </w:p>
        </w:tc>
      </w:tr>
      <w:tr w:rsidR="00592131" w:rsidRPr="00CC61C2" w14:paraId="059B840C" w14:textId="77777777" w:rsidTr="002C09D7">
        <w:tc>
          <w:tcPr>
            <w:tcW w:w="943" w:type="pct"/>
            <w:vMerge w:val="restart"/>
            <w:shd w:val="clear" w:color="auto" w:fill="auto"/>
            <w:vAlign w:val="center"/>
          </w:tcPr>
          <w:p w14:paraId="6272B99C" w14:textId="77777777" w:rsidR="00592131" w:rsidRPr="00CC61C2" w:rsidRDefault="00592131" w:rsidP="001237DA">
            <w:pPr>
              <w:widowControl w:val="0"/>
              <w:tabs>
                <w:tab w:val="center" w:pos="4536"/>
                <w:tab w:val="right" w:pos="9072"/>
              </w:tabs>
              <w:jc w:val="both"/>
              <w:rPr>
                <w:noProof/>
                <w:szCs w:val="22"/>
              </w:rPr>
            </w:pPr>
            <w:r w:rsidRPr="00CC61C2">
              <w:rPr>
                <w:b/>
                <w:bCs/>
                <w:noProof/>
                <w:szCs w:val="22"/>
              </w:rPr>
              <w:t>Hepatobilijarni poremećaji</w:t>
            </w:r>
          </w:p>
        </w:tc>
        <w:tc>
          <w:tcPr>
            <w:tcW w:w="1275" w:type="pct"/>
            <w:vAlign w:val="center"/>
          </w:tcPr>
          <w:p w14:paraId="66477A26" w14:textId="77777777" w:rsidR="00592131" w:rsidRPr="00CC61C2" w:rsidRDefault="00592131" w:rsidP="001237DA">
            <w:pPr>
              <w:widowControl w:val="0"/>
              <w:autoSpaceDE w:val="0"/>
              <w:autoSpaceDN w:val="0"/>
              <w:adjustRightInd w:val="0"/>
              <w:jc w:val="both"/>
              <w:rPr>
                <w:noProof/>
                <w:szCs w:val="22"/>
              </w:rPr>
            </w:pPr>
            <w:r w:rsidRPr="00CC61C2">
              <w:rPr>
                <w:noProof/>
                <w:szCs w:val="22"/>
              </w:rPr>
              <w:t xml:space="preserve">Žutica </w:t>
            </w:r>
          </w:p>
        </w:tc>
        <w:tc>
          <w:tcPr>
            <w:tcW w:w="690" w:type="pct"/>
            <w:vAlign w:val="center"/>
          </w:tcPr>
          <w:p w14:paraId="5F25F3E5"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4E0A8E34" w14:textId="77777777" w:rsidR="00592131" w:rsidRPr="00CC61C2" w:rsidRDefault="00592131" w:rsidP="001237DA">
            <w:pPr>
              <w:widowControl w:val="0"/>
              <w:autoSpaceDE w:val="0"/>
              <w:autoSpaceDN w:val="0"/>
              <w:adjustRightInd w:val="0"/>
              <w:jc w:val="both"/>
              <w:rPr>
                <w:szCs w:val="22"/>
              </w:rPr>
            </w:pPr>
            <w:r w:rsidRPr="00CC61C2">
              <w:rPr>
                <w:szCs w:val="22"/>
              </w:rPr>
              <w:t>-</w:t>
            </w:r>
          </w:p>
        </w:tc>
        <w:tc>
          <w:tcPr>
            <w:tcW w:w="1004" w:type="pct"/>
            <w:vAlign w:val="center"/>
          </w:tcPr>
          <w:p w14:paraId="05FE3DF5" w14:textId="77777777" w:rsidR="00592131" w:rsidRPr="00CC61C2" w:rsidRDefault="00592131" w:rsidP="001237DA">
            <w:pPr>
              <w:widowControl w:val="0"/>
              <w:autoSpaceDE w:val="0"/>
              <w:autoSpaceDN w:val="0"/>
              <w:adjustRightInd w:val="0"/>
              <w:jc w:val="both"/>
              <w:rPr>
                <w:szCs w:val="22"/>
              </w:rPr>
            </w:pPr>
            <w:r w:rsidRPr="00CC61C2">
              <w:rPr>
                <w:szCs w:val="22"/>
              </w:rPr>
              <w:t>Veoma rijetko</w:t>
            </w:r>
          </w:p>
        </w:tc>
      </w:tr>
      <w:tr w:rsidR="00592131" w:rsidRPr="00CC61C2" w14:paraId="380CBF71" w14:textId="77777777" w:rsidTr="002C09D7">
        <w:tc>
          <w:tcPr>
            <w:tcW w:w="943" w:type="pct"/>
            <w:vMerge/>
            <w:shd w:val="clear" w:color="auto" w:fill="auto"/>
            <w:vAlign w:val="center"/>
          </w:tcPr>
          <w:p w14:paraId="3A2581FF"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4BF8F1F9" w14:textId="77777777" w:rsidR="00592131" w:rsidRPr="00CC61C2" w:rsidRDefault="00592131" w:rsidP="001237DA">
            <w:pPr>
              <w:widowControl w:val="0"/>
              <w:autoSpaceDE w:val="0"/>
              <w:autoSpaceDN w:val="0"/>
              <w:adjustRightInd w:val="0"/>
              <w:jc w:val="both"/>
              <w:rPr>
                <w:noProof/>
                <w:szCs w:val="22"/>
              </w:rPr>
            </w:pPr>
            <w:r w:rsidRPr="00CC61C2">
              <w:rPr>
                <w:noProof/>
                <w:szCs w:val="22"/>
              </w:rPr>
              <w:t xml:space="preserve">Hepatitis (vidjeti dio 4.4) </w:t>
            </w:r>
          </w:p>
        </w:tc>
        <w:tc>
          <w:tcPr>
            <w:tcW w:w="690" w:type="pct"/>
            <w:vAlign w:val="center"/>
          </w:tcPr>
          <w:p w14:paraId="2867AB3C" w14:textId="77777777" w:rsidR="00592131" w:rsidRPr="00CC61C2" w:rsidRDefault="00592131" w:rsidP="001237DA">
            <w:pPr>
              <w:widowControl w:val="0"/>
              <w:autoSpaceDE w:val="0"/>
              <w:autoSpaceDN w:val="0"/>
              <w:adjustRightInd w:val="0"/>
              <w:jc w:val="both"/>
              <w:rPr>
                <w:szCs w:val="22"/>
              </w:rPr>
            </w:pPr>
            <w:r w:rsidRPr="00CC61C2">
              <w:rPr>
                <w:szCs w:val="22"/>
              </w:rPr>
              <w:t>Veoma rijetko</w:t>
            </w:r>
          </w:p>
        </w:tc>
        <w:tc>
          <w:tcPr>
            <w:tcW w:w="1088" w:type="pct"/>
            <w:vAlign w:val="center"/>
          </w:tcPr>
          <w:p w14:paraId="2C20E51B" w14:textId="77777777" w:rsidR="00592131" w:rsidRPr="00CC61C2" w:rsidRDefault="00592131" w:rsidP="001237DA">
            <w:pPr>
              <w:widowControl w:val="0"/>
              <w:jc w:val="both"/>
              <w:rPr>
                <w:szCs w:val="22"/>
              </w:rPr>
            </w:pPr>
            <w:r w:rsidRPr="00CC61C2">
              <w:rPr>
                <w:szCs w:val="22"/>
              </w:rPr>
              <w:t>Nepoznato</w:t>
            </w:r>
            <w:r w:rsidRPr="00CC61C2" w:rsidDel="00CF7B1E">
              <w:rPr>
                <w:szCs w:val="22"/>
              </w:rPr>
              <w:t xml:space="preserve"> </w:t>
            </w:r>
          </w:p>
        </w:tc>
        <w:tc>
          <w:tcPr>
            <w:tcW w:w="1004" w:type="pct"/>
            <w:vAlign w:val="center"/>
          </w:tcPr>
          <w:p w14:paraId="0501FB27" w14:textId="77777777" w:rsidR="00592131" w:rsidRPr="00CC61C2" w:rsidRDefault="00592131" w:rsidP="001237DA">
            <w:pPr>
              <w:widowControl w:val="0"/>
              <w:jc w:val="both"/>
              <w:rPr>
                <w:szCs w:val="22"/>
              </w:rPr>
            </w:pPr>
            <w:r w:rsidRPr="00CC61C2">
              <w:rPr>
                <w:szCs w:val="22"/>
              </w:rPr>
              <w:t>Veoma rijetko</w:t>
            </w:r>
          </w:p>
        </w:tc>
      </w:tr>
      <w:tr w:rsidR="00592131" w:rsidRPr="00CC61C2" w14:paraId="35A05C3F" w14:textId="77777777" w:rsidTr="002C09D7">
        <w:tc>
          <w:tcPr>
            <w:tcW w:w="943" w:type="pct"/>
            <w:vMerge/>
            <w:shd w:val="clear" w:color="auto" w:fill="auto"/>
            <w:vAlign w:val="center"/>
          </w:tcPr>
          <w:p w14:paraId="5C191556"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4954626D" w14:textId="77777777" w:rsidR="00592131" w:rsidRPr="00CC61C2" w:rsidRDefault="00592131" w:rsidP="001237DA">
            <w:pPr>
              <w:widowControl w:val="0"/>
              <w:autoSpaceDE w:val="0"/>
              <w:autoSpaceDN w:val="0"/>
              <w:adjustRightInd w:val="0"/>
              <w:jc w:val="both"/>
              <w:rPr>
                <w:szCs w:val="22"/>
              </w:rPr>
            </w:pPr>
            <w:r w:rsidRPr="00CC61C2">
              <w:rPr>
                <w:szCs w:val="22"/>
              </w:rPr>
              <w:t>Abnormalna funkcija jetre</w:t>
            </w:r>
          </w:p>
        </w:tc>
        <w:tc>
          <w:tcPr>
            <w:tcW w:w="690" w:type="pct"/>
            <w:vAlign w:val="center"/>
          </w:tcPr>
          <w:p w14:paraId="4550D5CD" w14:textId="77777777" w:rsidR="00592131" w:rsidRPr="00CC61C2" w:rsidRDefault="00592131" w:rsidP="001237DA">
            <w:pPr>
              <w:widowControl w:val="0"/>
              <w:autoSpaceDE w:val="0"/>
              <w:autoSpaceDN w:val="0"/>
              <w:adjustRightInd w:val="0"/>
              <w:jc w:val="both"/>
              <w:rPr>
                <w:szCs w:val="22"/>
              </w:rPr>
            </w:pPr>
            <w:r w:rsidRPr="00CC61C2">
              <w:rPr>
                <w:szCs w:val="22"/>
              </w:rPr>
              <w:t>-</w:t>
            </w:r>
          </w:p>
        </w:tc>
        <w:tc>
          <w:tcPr>
            <w:tcW w:w="1088" w:type="pct"/>
            <w:vAlign w:val="center"/>
          </w:tcPr>
          <w:p w14:paraId="4926EA05" w14:textId="77777777" w:rsidR="00592131" w:rsidRPr="00CC61C2" w:rsidRDefault="00592131" w:rsidP="001237DA">
            <w:pPr>
              <w:widowControl w:val="0"/>
              <w:autoSpaceDE w:val="0"/>
              <w:autoSpaceDN w:val="0"/>
              <w:adjustRightInd w:val="0"/>
              <w:jc w:val="both"/>
              <w:rPr>
                <w:szCs w:val="22"/>
              </w:rPr>
            </w:pPr>
            <w:r w:rsidRPr="00CC61C2">
              <w:rPr>
                <w:szCs w:val="22"/>
              </w:rPr>
              <w:t>Veoma rijetko</w:t>
            </w:r>
          </w:p>
        </w:tc>
        <w:tc>
          <w:tcPr>
            <w:tcW w:w="1004" w:type="pct"/>
            <w:vAlign w:val="center"/>
          </w:tcPr>
          <w:p w14:paraId="74ECA5C5" w14:textId="77777777" w:rsidR="00592131" w:rsidRPr="00CC61C2" w:rsidDel="004755F9" w:rsidRDefault="00592131" w:rsidP="001237DA">
            <w:pPr>
              <w:widowControl w:val="0"/>
              <w:autoSpaceDE w:val="0"/>
              <w:autoSpaceDN w:val="0"/>
              <w:adjustRightInd w:val="0"/>
              <w:jc w:val="both"/>
              <w:rPr>
                <w:szCs w:val="22"/>
              </w:rPr>
            </w:pPr>
            <w:r w:rsidRPr="00CC61C2">
              <w:rPr>
                <w:szCs w:val="22"/>
              </w:rPr>
              <w:t>-</w:t>
            </w:r>
          </w:p>
        </w:tc>
      </w:tr>
      <w:tr w:rsidR="00592131" w:rsidRPr="00CC61C2" w14:paraId="63A857F1" w14:textId="77777777" w:rsidTr="002C09D7">
        <w:tc>
          <w:tcPr>
            <w:tcW w:w="943" w:type="pct"/>
            <w:vMerge w:val="restart"/>
            <w:shd w:val="clear" w:color="auto" w:fill="auto"/>
            <w:vAlign w:val="center"/>
          </w:tcPr>
          <w:p w14:paraId="63FFA318" w14:textId="77777777" w:rsidR="00592131" w:rsidRPr="00CC61C2" w:rsidRDefault="00592131" w:rsidP="001237DA">
            <w:pPr>
              <w:tabs>
                <w:tab w:val="left" w:pos="284"/>
              </w:tabs>
              <w:jc w:val="both"/>
              <w:rPr>
                <w:b/>
                <w:bCs/>
                <w:noProof/>
                <w:szCs w:val="22"/>
              </w:rPr>
            </w:pPr>
            <w:r w:rsidRPr="00CC61C2">
              <w:rPr>
                <w:b/>
                <w:bCs/>
                <w:noProof/>
                <w:szCs w:val="22"/>
              </w:rPr>
              <w:t xml:space="preserve">Poremećaji kože i potkožnog tkiva </w:t>
            </w:r>
          </w:p>
          <w:p w14:paraId="6120B120"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3E37F78F" w14:textId="77777777" w:rsidR="00592131" w:rsidRPr="00CC61C2" w:rsidRDefault="00592131" w:rsidP="001237DA">
            <w:pPr>
              <w:widowControl w:val="0"/>
              <w:autoSpaceDE w:val="0"/>
              <w:autoSpaceDN w:val="0"/>
              <w:adjustRightInd w:val="0"/>
              <w:jc w:val="both"/>
              <w:rPr>
                <w:noProof/>
                <w:szCs w:val="22"/>
              </w:rPr>
            </w:pPr>
            <w:r w:rsidRPr="00CC61C2">
              <w:rPr>
                <w:noProof/>
                <w:szCs w:val="22"/>
              </w:rPr>
              <w:t>Kvinkeov edem</w:t>
            </w:r>
          </w:p>
        </w:tc>
        <w:tc>
          <w:tcPr>
            <w:tcW w:w="690" w:type="pct"/>
            <w:vAlign w:val="center"/>
          </w:tcPr>
          <w:p w14:paraId="0421081D"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0240E7E0" w14:textId="77777777" w:rsidR="00592131" w:rsidRPr="00CC61C2" w:rsidRDefault="00592131" w:rsidP="001237DA">
            <w:pPr>
              <w:widowControl w:val="0"/>
              <w:autoSpaceDE w:val="0"/>
              <w:autoSpaceDN w:val="0"/>
              <w:adjustRightInd w:val="0"/>
              <w:jc w:val="both"/>
              <w:rPr>
                <w:szCs w:val="22"/>
              </w:rPr>
            </w:pPr>
            <w:r w:rsidRPr="00CC61C2">
              <w:rPr>
                <w:szCs w:val="22"/>
              </w:rPr>
              <w:t>-</w:t>
            </w:r>
          </w:p>
        </w:tc>
        <w:tc>
          <w:tcPr>
            <w:tcW w:w="1004" w:type="pct"/>
            <w:vAlign w:val="center"/>
          </w:tcPr>
          <w:p w14:paraId="0F0C3DB7" w14:textId="77777777" w:rsidR="00592131" w:rsidRPr="00CC61C2" w:rsidRDefault="00592131" w:rsidP="001237DA">
            <w:pPr>
              <w:widowControl w:val="0"/>
              <w:autoSpaceDE w:val="0"/>
              <w:autoSpaceDN w:val="0"/>
              <w:adjustRightInd w:val="0"/>
              <w:jc w:val="both"/>
              <w:rPr>
                <w:szCs w:val="22"/>
              </w:rPr>
            </w:pPr>
            <w:r w:rsidRPr="00CC61C2">
              <w:rPr>
                <w:szCs w:val="22"/>
              </w:rPr>
              <w:t>Veoma rijetko</w:t>
            </w:r>
          </w:p>
        </w:tc>
      </w:tr>
      <w:tr w:rsidR="00592131" w:rsidRPr="00CC61C2" w14:paraId="40AA9357" w14:textId="77777777" w:rsidTr="002C09D7">
        <w:tc>
          <w:tcPr>
            <w:tcW w:w="943" w:type="pct"/>
            <w:vMerge/>
            <w:shd w:val="clear" w:color="auto" w:fill="auto"/>
            <w:vAlign w:val="center"/>
          </w:tcPr>
          <w:p w14:paraId="4C42ADD0"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3512E8AB" w14:textId="77777777" w:rsidR="00592131" w:rsidRPr="00CC61C2" w:rsidRDefault="00592131" w:rsidP="009D6AD4">
            <w:pPr>
              <w:widowControl w:val="0"/>
              <w:autoSpaceDE w:val="0"/>
              <w:autoSpaceDN w:val="0"/>
              <w:adjustRightInd w:val="0"/>
              <w:rPr>
                <w:noProof/>
                <w:szCs w:val="22"/>
              </w:rPr>
            </w:pPr>
            <w:r w:rsidRPr="00CC61C2">
              <w:rPr>
                <w:noProof/>
                <w:szCs w:val="22"/>
              </w:rPr>
              <w:t>Angioedem (vidjeti dio 4.4)</w:t>
            </w:r>
          </w:p>
        </w:tc>
        <w:tc>
          <w:tcPr>
            <w:tcW w:w="690" w:type="pct"/>
            <w:vAlign w:val="center"/>
          </w:tcPr>
          <w:p w14:paraId="3174B560" w14:textId="77777777" w:rsidR="00592131" w:rsidRPr="00CC61C2" w:rsidRDefault="00592131" w:rsidP="001237DA">
            <w:pPr>
              <w:widowControl w:val="0"/>
              <w:jc w:val="both"/>
              <w:rPr>
                <w:szCs w:val="22"/>
              </w:rPr>
            </w:pPr>
            <w:r w:rsidRPr="00CC61C2">
              <w:rPr>
                <w:szCs w:val="22"/>
              </w:rPr>
              <w:t>Povremeno</w:t>
            </w:r>
          </w:p>
        </w:tc>
        <w:tc>
          <w:tcPr>
            <w:tcW w:w="1088" w:type="pct"/>
            <w:vAlign w:val="center"/>
          </w:tcPr>
          <w:p w14:paraId="655EE1C4" w14:textId="77777777" w:rsidR="00592131" w:rsidRPr="00CC61C2" w:rsidRDefault="00592131" w:rsidP="001237DA">
            <w:pPr>
              <w:widowControl w:val="0"/>
              <w:autoSpaceDE w:val="0"/>
              <w:autoSpaceDN w:val="0"/>
              <w:adjustRightInd w:val="0"/>
              <w:jc w:val="both"/>
              <w:rPr>
                <w:szCs w:val="22"/>
              </w:rPr>
            </w:pPr>
            <w:r w:rsidRPr="00CC61C2">
              <w:rPr>
                <w:szCs w:val="22"/>
              </w:rPr>
              <w:t>Veoma rijetko</w:t>
            </w:r>
          </w:p>
        </w:tc>
        <w:tc>
          <w:tcPr>
            <w:tcW w:w="1004" w:type="pct"/>
            <w:vAlign w:val="center"/>
          </w:tcPr>
          <w:p w14:paraId="0407F765" w14:textId="77777777" w:rsidR="00592131" w:rsidRPr="00CC61C2" w:rsidRDefault="00592131" w:rsidP="001237DA">
            <w:pPr>
              <w:widowControl w:val="0"/>
              <w:autoSpaceDE w:val="0"/>
              <w:autoSpaceDN w:val="0"/>
              <w:adjustRightInd w:val="0"/>
              <w:jc w:val="both"/>
              <w:rPr>
                <w:szCs w:val="22"/>
              </w:rPr>
            </w:pPr>
            <w:r w:rsidRPr="00CC61C2">
              <w:rPr>
                <w:szCs w:val="22"/>
              </w:rPr>
              <w:t>Veoma rijetko</w:t>
            </w:r>
          </w:p>
        </w:tc>
      </w:tr>
      <w:tr w:rsidR="00592131" w:rsidRPr="00CC61C2" w14:paraId="39B78A55" w14:textId="77777777" w:rsidTr="002C09D7">
        <w:tc>
          <w:tcPr>
            <w:tcW w:w="943" w:type="pct"/>
            <w:vMerge/>
            <w:shd w:val="clear" w:color="auto" w:fill="auto"/>
            <w:vAlign w:val="center"/>
          </w:tcPr>
          <w:p w14:paraId="6AE34C8A"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2CFC4577" w14:textId="77777777" w:rsidR="00592131" w:rsidRPr="00CC61C2" w:rsidRDefault="00592131" w:rsidP="009D6AD4">
            <w:pPr>
              <w:widowControl w:val="0"/>
              <w:rPr>
                <w:noProof/>
                <w:szCs w:val="22"/>
              </w:rPr>
            </w:pPr>
            <w:r w:rsidRPr="00CC61C2">
              <w:rPr>
                <w:noProof/>
                <w:szCs w:val="22"/>
              </w:rPr>
              <w:t xml:space="preserve">Multiformni eritem </w:t>
            </w:r>
          </w:p>
        </w:tc>
        <w:tc>
          <w:tcPr>
            <w:tcW w:w="690" w:type="pct"/>
            <w:vAlign w:val="center"/>
          </w:tcPr>
          <w:p w14:paraId="6501BF78" w14:textId="77777777" w:rsidR="00592131" w:rsidRPr="00CC61C2" w:rsidRDefault="00592131" w:rsidP="001237DA">
            <w:pPr>
              <w:widowControl w:val="0"/>
              <w:autoSpaceDE w:val="0"/>
              <w:autoSpaceDN w:val="0"/>
              <w:adjustRightInd w:val="0"/>
              <w:jc w:val="both"/>
              <w:rPr>
                <w:szCs w:val="22"/>
              </w:rPr>
            </w:pPr>
            <w:r w:rsidRPr="00CC61C2">
              <w:rPr>
                <w:szCs w:val="22"/>
              </w:rPr>
              <w:t>Veoma rijetko</w:t>
            </w:r>
          </w:p>
        </w:tc>
        <w:tc>
          <w:tcPr>
            <w:tcW w:w="1088" w:type="pct"/>
            <w:vAlign w:val="center"/>
          </w:tcPr>
          <w:p w14:paraId="0F1B4540" w14:textId="77777777" w:rsidR="00592131" w:rsidRPr="00CC61C2" w:rsidRDefault="00592131" w:rsidP="001237DA">
            <w:pPr>
              <w:widowControl w:val="0"/>
              <w:autoSpaceDE w:val="0"/>
              <w:autoSpaceDN w:val="0"/>
              <w:adjustRightInd w:val="0"/>
              <w:jc w:val="both"/>
              <w:rPr>
                <w:szCs w:val="22"/>
              </w:rPr>
            </w:pPr>
            <w:r w:rsidRPr="00CC61C2">
              <w:rPr>
                <w:szCs w:val="22"/>
              </w:rPr>
              <w:t>-</w:t>
            </w:r>
          </w:p>
        </w:tc>
        <w:tc>
          <w:tcPr>
            <w:tcW w:w="1004" w:type="pct"/>
            <w:vAlign w:val="center"/>
          </w:tcPr>
          <w:p w14:paraId="243C55E2" w14:textId="77777777" w:rsidR="00592131" w:rsidRPr="00CC61C2" w:rsidRDefault="00592131" w:rsidP="001237DA">
            <w:pPr>
              <w:widowControl w:val="0"/>
              <w:autoSpaceDE w:val="0"/>
              <w:autoSpaceDN w:val="0"/>
              <w:adjustRightInd w:val="0"/>
              <w:jc w:val="both"/>
              <w:rPr>
                <w:szCs w:val="22"/>
              </w:rPr>
            </w:pPr>
            <w:r w:rsidRPr="00CC61C2">
              <w:rPr>
                <w:szCs w:val="22"/>
              </w:rPr>
              <w:t>Veoma rijetko</w:t>
            </w:r>
          </w:p>
        </w:tc>
      </w:tr>
      <w:tr w:rsidR="00592131" w:rsidRPr="00CC61C2" w14:paraId="3B6B69AA" w14:textId="77777777" w:rsidTr="002C09D7">
        <w:tc>
          <w:tcPr>
            <w:tcW w:w="943" w:type="pct"/>
            <w:vMerge/>
            <w:shd w:val="clear" w:color="auto" w:fill="auto"/>
            <w:vAlign w:val="center"/>
          </w:tcPr>
          <w:p w14:paraId="5142A071"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0411E66C" w14:textId="77777777" w:rsidR="00592131" w:rsidRPr="00CC61C2" w:rsidRDefault="00592131" w:rsidP="009D6AD4">
            <w:pPr>
              <w:widowControl w:val="0"/>
              <w:rPr>
                <w:szCs w:val="22"/>
              </w:rPr>
            </w:pPr>
            <w:r w:rsidRPr="00CC61C2">
              <w:rPr>
                <w:szCs w:val="22"/>
              </w:rPr>
              <w:t xml:space="preserve">Urtikarija </w:t>
            </w:r>
            <w:r w:rsidRPr="00CC61C2">
              <w:rPr>
                <w:noProof/>
                <w:szCs w:val="22"/>
              </w:rPr>
              <w:t>(vidjeti dio 4.4)</w:t>
            </w:r>
          </w:p>
        </w:tc>
        <w:tc>
          <w:tcPr>
            <w:tcW w:w="690" w:type="pct"/>
            <w:vAlign w:val="center"/>
          </w:tcPr>
          <w:p w14:paraId="3DC168C5" w14:textId="77777777" w:rsidR="00592131" w:rsidRPr="00CC61C2" w:rsidRDefault="00592131" w:rsidP="001237DA">
            <w:pPr>
              <w:widowControl w:val="0"/>
              <w:jc w:val="both"/>
              <w:rPr>
                <w:szCs w:val="22"/>
              </w:rPr>
            </w:pPr>
            <w:r w:rsidRPr="00CC61C2">
              <w:rPr>
                <w:szCs w:val="22"/>
              </w:rPr>
              <w:t>Povremeno</w:t>
            </w:r>
          </w:p>
        </w:tc>
        <w:tc>
          <w:tcPr>
            <w:tcW w:w="1088" w:type="pct"/>
            <w:vAlign w:val="center"/>
          </w:tcPr>
          <w:p w14:paraId="3FDD157F" w14:textId="77777777" w:rsidR="00592131" w:rsidRPr="00CC61C2" w:rsidRDefault="00592131" w:rsidP="001237DA">
            <w:pPr>
              <w:widowControl w:val="0"/>
              <w:autoSpaceDE w:val="0"/>
              <w:autoSpaceDN w:val="0"/>
              <w:adjustRightInd w:val="0"/>
              <w:jc w:val="both"/>
              <w:rPr>
                <w:szCs w:val="22"/>
              </w:rPr>
            </w:pPr>
            <w:r w:rsidRPr="00CC61C2">
              <w:rPr>
                <w:szCs w:val="22"/>
              </w:rPr>
              <w:t>Veoma rijetko</w:t>
            </w:r>
          </w:p>
        </w:tc>
        <w:tc>
          <w:tcPr>
            <w:tcW w:w="1004" w:type="pct"/>
            <w:vAlign w:val="center"/>
          </w:tcPr>
          <w:p w14:paraId="1F8E915D" w14:textId="77777777" w:rsidR="00592131" w:rsidRPr="00CC61C2" w:rsidRDefault="00592131" w:rsidP="001237DA">
            <w:pPr>
              <w:jc w:val="both"/>
              <w:rPr>
                <w:szCs w:val="22"/>
              </w:rPr>
            </w:pPr>
            <w:r w:rsidRPr="00CC61C2">
              <w:rPr>
                <w:szCs w:val="22"/>
              </w:rPr>
              <w:t>Povremeno</w:t>
            </w:r>
          </w:p>
        </w:tc>
      </w:tr>
      <w:tr w:rsidR="00592131" w:rsidRPr="00CC61C2" w14:paraId="2C170CEA" w14:textId="77777777" w:rsidTr="002C09D7">
        <w:tc>
          <w:tcPr>
            <w:tcW w:w="943" w:type="pct"/>
            <w:vMerge/>
            <w:shd w:val="clear" w:color="auto" w:fill="auto"/>
            <w:vAlign w:val="center"/>
          </w:tcPr>
          <w:p w14:paraId="22C1602C"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6F934169" w14:textId="77777777" w:rsidR="00592131" w:rsidRPr="00CC61C2" w:rsidRDefault="00592131" w:rsidP="009D6AD4">
            <w:pPr>
              <w:widowControl w:val="0"/>
              <w:rPr>
                <w:szCs w:val="22"/>
              </w:rPr>
            </w:pPr>
            <w:r w:rsidRPr="00CC61C2">
              <w:rPr>
                <w:szCs w:val="22"/>
              </w:rPr>
              <w:t>Egzantem</w:t>
            </w:r>
          </w:p>
        </w:tc>
        <w:tc>
          <w:tcPr>
            <w:tcW w:w="690" w:type="pct"/>
            <w:vAlign w:val="center"/>
          </w:tcPr>
          <w:p w14:paraId="7F4159A5"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0918FC91"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1E9DF043" w14:textId="77777777" w:rsidR="00592131" w:rsidRPr="00CC61C2" w:rsidRDefault="00592131" w:rsidP="001237DA">
            <w:pPr>
              <w:jc w:val="both"/>
              <w:rPr>
                <w:szCs w:val="22"/>
              </w:rPr>
            </w:pPr>
            <w:r w:rsidRPr="00CC61C2">
              <w:rPr>
                <w:szCs w:val="22"/>
              </w:rPr>
              <w:t>Povremeno</w:t>
            </w:r>
          </w:p>
        </w:tc>
      </w:tr>
      <w:tr w:rsidR="00592131" w:rsidRPr="00CC61C2" w14:paraId="3B8291C2" w14:textId="77777777" w:rsidTr="002C09D7">
        <w:tc>
          <w:tcPr>
            <w:tcW w:w="943" w:type="pct"/>
            <w:vMerge/>
            <w:shd w:val="clear" w:color="auto" w:fill="auto"/>
            <w:vAlign w:val="center"/>
          </w:tcPr>
          <w:p w14:paraId="0B5726EE"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297D3B99" w14:textId="77777777" w:rsidR="00592131" w:rsidRPr="00CC61C2" w:rsidRDefault="00592131" w:rsidP="009D6AD4">
            <w:pPr>
              <w:widowControl w:val="0"/>
              <w:rPr>
                <w:noProof/>
                <w:szCs w:val="22"/>
              </w:rPr>
            </w:pPr>
            <w:r w:rsidRPr="00CC61C2">
              <w:rPr>
                <w:noProof/>
                <w:szCs w:val="22"/>
              </w:rPr>
              <w:t>Alopecija</w:t>
            </w:r>
          </w:p>
        </w:tc>
        <w:tc>
          <w:tcPr>
            <w:tcW w:w="690" w:type="pct"/>
            <w:vAlign w:val="center"/>
          </w:tcPr>
          <w:p w14:paraId="44642CD5"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5218AF76"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181011AB" w14:textId="77777777" w:rsidR="00592131" w:rsidRPr="00CC61C2" w:rsidRDefault="00592131" w:rsidP="001237DA">
            <w:pPr>
              <w:jc w:val="both"/>
              <w:rPr>
                <w:szCs w:val="22"/>
              </w:rPr>
            </w:pPr>
            <w:r w:rsidRPr="00CC61C2">
              <w:rPr>
                <w:szCs w:val="22"/>
              </w:rPr>
              <w:t>Povremeno</w:t>
            </w:r>
          </w:p>
        </w:tc>
      </w:tr>
      <w:tr w:rsidR="00592131" w:rsidRPr="00CC61C2" w14:paraId="47613473" w14:textId="77777777" w:rsidTr="002C09D7">
        <w:tc>
          <w:tcPr>
            <w:tcW w:w="943" w:type="pct"/>
            <w:vMerge/>
            <w:shd w:val="clear" w:color="auto" w:fill="auto"/>
            <w:vAlign w:val="center"/>
          </w:tcPr>
          <w:p w14:paraId="1B1E81A4"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7C6032F6" w14:textId="77777777" w:rsidR="00592131" w:rsidRPr="00CC61C2" w:rsidRDefault="00592131" w:rsidP="009D6AD4">
            <w:pPr>
              <w:widowControl w:val="0"/>
              <w:rPr>
                <w:noProof/>
                <w:szCs w:val="22"/>
              </w:rPr>
            </w:pPr>
            <w:r w:rsidRPr="00CC61C2">
              <w:rPr>
                <w:noProof/>
                <w:szCs w:val="22"/>
              </w:rPr>
              <w:t>Purpura</w:t>
            </w:r>
          </w:p>
        </w:tc>
        <w:tc>
          <w:tcPr>
            <w:tcW w:w="690" w:type="pct"/>
            <w:vAlign w:val="center"/>
          </w:tcPr>
          <w:p w14:paraId="11900506"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5D1D822E" w14:textId="77777777" w:rsidR="00592131" w:rsidRPr="00CC61C2" w:rsidRDefault="00592131" w:rsidP="001237DA">
            <w:pPr>
              <w:widowControl w:val="0"/>
              <w:jc w:val="both"/>
              <w:rPr>
                <w:szCs w:val="22"/>
              </w:rPr>
            </w:pPr>
            <w:r w:rsidRPr="00CC61C2">
              <w:rPr>
                <w:szCs w:val="22"/>
              </w:rPr>
              <w:t xml:space="preserve">Povremeno </w:t>
            </w:r>
          </w:p>
        </w:tc>
        <w:tc>
          <w:tcPr>
            <w:tcW w:w="1004" w:type="pct"/>
            <w:vAlign w:val="center"/>
          </w:tcPr>
          <w:p w14:paraId="50181818" w14:textId="77777777" w:rsidR="00592131" w:rsidRPr="00CC61C2" w:rsidRDefault="00592131" w:rsidP="001237DA">
            <w:pPr>
              <w:jc w:val="both"/>
              <w:rPr>
                <w:szCs w:val="22"/>
              </w:rPr>
            </w:pPr>
            <w:r w:rsidRPr="00CC61C2">
              <w:rPr>
                <w:szCs w:val="22"/>
              </w:rPr>
              <w:t>Povremeno</w:t>
            </w:r>
          </w:p>
        </w:tc>
      </w:tr>
      <w:tr w:rsidR="00592131" w:rsidRPr="00CC61C2" w14:paraId="212EC4E1" w14:textId="77777777" w:rsidTr="002C09D7">
        <w:tc>
          <w:tcPr>
            <w:tcW w:w="943" w:type="pct"/>
            <w:vMerge/>
            <w:shd w:val="clear" w:color="auto" w:fill="auto"/>
            <w:vAlign w:val="center"/>
          </w:tcPr>
          <w:p w14:paraId="7725F08C"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058A23B9" w14:textId="77777777" w:rsidR="00592131" w:rsidRPr="00CC61C2" w:rsidRDefault="00592131" w:rsidP="009D6AD4">
            <w:pPr>
              <w:widowControl w:val="0"/>
              <w:rPr>
                <w:noProof/>
                <w:szCs w:val="22"/>
              </w:rPr>
            </w:pPr>
            <w:r w:rsidRPr="00CC61C2">
              <w:rPr>
                <w:noProof/>
                <w:szCs w:val="22"/>
              </w:rPr>
              <w:t>Promjena boje kože</w:t>
            </w:r>
          </w:p>
        </w:tc>
        <w:tc>
          <w:tcPr>
            <w:tcW w:w="690" w:type="pct"/>
            <w:vAlign w:val="center"/>
          </w:tcPr>
          <w:p w14:paraId="1F89233C"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6B198305"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4CC448EF" w14:textId="77777777" w:rsidR="00592131" w:rsidRPr="00CC61C2" w:rsidRDefault="00592131" w:rsidP="001237DA">
            <w:pPr>
              <w:jc w:val="both"/>
              <w:rPr>
                <w:szCs w:val="22"/>
              </w:rPr>
            </w:pPr>
            <w:r w:rsidRPr="00CC61C2">
              <w:rPr>
                <w:szCs w:val="22"/>
              </w:rPr>
              <w:t>Povremeno</w:t>
            </w:r>
          </w:p>
        </w:tc>
      </w:tr>
      <w:tr w:rsidR="00592131" w:rsidRPr="00CC61C2" w14:paraId="67F79E6D" w14:textId="77777777" w:rsidTr="002C09D7">
        <w:tc>
          <w:tcPr>
            <w:tcW w:w="943" w:type="pct"/>
            <w:vMerge/>
            <w:shd w:val="clear" w:color="auto" w:fill="auto"/>
            <w:vAlign w:val="center"/>
          </w:tcPr>
          <w:p w14:paraId="1A43AD3A"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31595A78" w14:textId="77777777" w:rsidR="00592131" w:rsidRPr="00CC61C2" w:rsidRDefault="00592131" w:rsidP="009D6AD4">
            <w:pPr>
              <w:widowControl w:val="0"/>
              <w:autoSpaceDE w:val="0"/>
              <w:autoSpaceDN w:val="0"/>
              <w:adjustRightInd w:val="0"/>
              <w:rPr>
                <w:noProof/>
                <w:szCs w:val="22"/>
              </w:rPr>
            </w:pPr>
            <w:r w:rsidRPr="00CC61C2">
              <w:rPr>
                <w:noProof/>
                <w:szCs w:val="22"/>
              </w:rPr>
              <w:t>Hiperhidroza</w:t>
            </w:r>
          </w:p>
        </w:tc>
        <w:tc>
          <w:tcPr>
            <w:tcW w:w="690" w:type="pct"/>
            <w:vAlign w:val="center"/>
          </w:tcPr>
          <w:p w14:paraId="4BF0839C" w14:textId="77777777" w:rsidR="00592131" w:rsidRPr="00CC61C2" w:rsidRDefault="00592131" w:rsidP="001237DA">
            <w:pPr>
              <w:widowControl w:val="0"/>
              <w:jc w:val="both"/>
              <w:rPr>
                <w:szCs w:val="22"/>
              </w:rPr>
            </w:pPr>
            <w:r w:rsidRPr="00CC61C2">
              <w:rPr>
                <w:szCs w:val="22"/>
              </w:rPr>
              <w:t>Povremeno</w:t>
            </w:r>
          </w:p>
        </w:tc>
        <w:tc>
          <w:tcPr>
            <w:tcW w:w="1088" w:type="pct"/>
            <w:vAlign w:val="center"/>
          </w:tcPr>
          <w:p w14:paraId="64F5E597"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4875BD9A" w14:textId="77777777" w:rsidR="00592131" w:rsidRPr="00CC61C2" w:rsidRDefault="00592131" w:rsidP="001237DA">
            <w:pPr>
              <w:jc w:val="both"/>
              <w:rPr>
                <w:szCs w:val="22"/>
              </w:rPr>
            </w:pPr>
            <w:r w:rsidRPr="00CC61C2">
              <w:rPr>
                <w:szCs w:val="22"/>
              </w:rPr>
              <w:t>Povremeno</w:t>
            </w:r>
          </w:p>
        </w:tc>
      </w:tr>
      <w:tr w:rsidR="00592131" w:rsidRPr="00CC61C2" w14:paraId="0A35A1A2" w14:textId="77777777" w:rsidTr="002C09D7">
        <w:tc>
          <w:tcPr>
            <w:tcW w:w="943" w:type="pct"/>
            <w:vMerge/>
            <w:shd w:val="clear" w:color="auto" w:fill="auto"/>
            <w:vAlign w:val="center"/>
          </w:tcPr>
          <w:p w14:paraId="2185A181"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1E91868A" w14:textId="77777777" w:rsidR="00592131" w:rsidRPr="00CC61C2" w:rsidRDefault="00592131" w:rsidP="009D6AD4">
            <w:pPr>
              <w:widowControl w:val="0"/>
              <w:rPr>
                <w:noProof/>
                <w:szCs w:val="22"/>
              </w:rPr>
            </w:pPr>
            <w:r w:rsidRPr="00CC61C2">
              <w:rPr>
                <w:noProof/>
                <w:szCs w:val="22"/>
              </w:rPr>
              <w:t>Pruritus</w:t>
            </w:r>
          </w:p>
        </w:tc>
        <w:tc>
          <w:tcPr>
            <w:tcW w:w="690" w:type="pct"/>
            <w:vAlign w:val="center"/>
          </w:tcPr>
          <w:p w14:paraId="4FE32A35" w14:textId="77777777" w:rsidR="00592131" w:rsidRPr="00CC61C2" w:rsidRDefault="00592131" w:rsidP="001237DA">
            <w:pPr>
              <w:widowControl w:val="0"/>
              <w:jc w:val="both"/>
              <w:rPr>
                <w:szCs w:val="22"/>
              </w:rPr>
            </w:pPr>
            <w:r w:rsidRPr="00CC61C2">
              <w:rPr>
                <w:szCs w:val="22"/>
              </w:rPr>
              <w:t>Često</w:t>
            </w:r>
          </w:p>
        </w:tc>
        <w:tc>
          <w:tcPr>
            <w:tcW w:w="1088" w:type="pct"/>
            <w:vAlign w:val="center"/>
          </w:tcPr>
          <w:p w14:paraId="58D7176F"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4EAAD18B" w14:textId="77777777" w:rsidR="00592131" w:rsidRPr="00CC61C2" w:rsidRDefault="00592131" w:rsidP="001237DA">
            <w:pPr>
              <w:jc w:val="both"/>
              <w:rPr>
                <w:szCs w:val="22"/>
              </w:rPr>
            </w:pPr>
            <w:r w:rsidRPr="00CC61C2">
              <w:rPr>
                <w:szCs w:val="22"/>
              </w:rPr>
              <w:t>Povremeno</w:t>
            </w:r>
          </w:p>
        </w:tc>
      </w:tr>
      <w:tr w:rsidR="00592131" w:rsidRPr="00CC61C2" w14:paraId="57C2209E" w14:textId="77777777" w:rsidTr="002C09D7">
        <w:tc>
          <w:tcPr>
            <w:tcW w:w="943" w:type="pct"/>
            <w:vMerge/>
            <w:shd w:val="clear" w:color="auto" w:fill="auto"/>
            <w:vAlign w:val="center"/>
          </w:tcPr>
          <w:p w14:paraId="4686790D"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2FDEC037" w14:textId="77777777" w:rsidR="00592131" w:rsidRPr="00CC61C2" w:rsidRDefault="00592131" w:rsidP="009D6AD4">
            <w:pPr>
              <w:widowControl w:val="0"/>
              <w:rPr>
                <w:noProof/>
                <w:szCs w:val="22"/>
              </w:rPr>
            </w:pPr>
            <w:r w:rsidRPr="00CC61C2">
              <w:rPr>
                <w:noProof/>
                <w:szCs w:val="22"/>
              </w:rPr>
              <w:t>Osip</w:t>
            </w:r>
          </w:p>
        </w:tc>
        <w:tc>
          <w:tcPr>
            <w:tcW w:w="690" w:type="pct"/>
            <w:vAlign w:val="center"/>
          </w:tcPr>
          <w:p w14:paraId="0F80C551" w14:textId="77777777" w:rsidR="00592131" w:rsidRPr="00CC61C2" w:rsidRDefault="00592131" w:rsidP="001237DA">
            <w:pPr>
              <w:widowControl w:val="0"/>
              <w:jc w:val="both"/>
              <w:rPr>
                <w:szCs w:val="22"/>
              </w:rPr>
            </w:pPr>
            <w:r w:rsidRPr="00CC61C2">
              <w:rPr>
                <w:szCs w:val="22"/>
              </w:rPr>
              <w:t>Često</w:t>
            </w:r>
          </w:p>
        </w:tc>
        <w:tc>
          <w:tcPr>
            <w:tcW w:w="1088" w:type="pct"/>
            <w:vAlign w:val="center"/>
          </w:tcPr>
          <w:p w14:paraId="5A1E64E7"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5B11DFC3" w14:textId="77777777" w:rsidR="00592131" w:rsidRPr="00CC61C2" w:rsidRDefault="00592131" w:rsidP="001237DA">
            <w:pPr>
              <w:jc w:val="both"/>
              <w:rPr>
                <w:szCs w:val="22"/>
              </w:rPr>
            </w:pPr>
            <w:r w:rsidRPr="00CC61C2">
              <w:rPr>
                <w:szCs w:val="22"/>
              </w:rPr>
              <w:t>Povremeno</w:t>
            </w:r>
          </w:p>
        </w:tc>
      </w:tr>
      <w:tr w:rsidR="00592131" w:rsidRPr="00CC61C2" w14:paraId="692CF092" w14:textId="77777777" w:rsidTr="002C09D7">
        <w:tc>
          <w:tcPr>
            <w:tcW w:w="943" w:type="pct"/>
            <w:vMerge/>
            <w:shd w:val="clear" w:color="auto" w:fill="auto"/>
            <w:vAlign w:val="center"/>
          </w:tcPr>
          <w:p w14:paraId="4D6A3300"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7E336C86" w14:textId="77777777" w:rsidR="00592131" w:rsidRPr="00CC61C2" w:rsidRDefault="00592131" w:rsidP="009D6AD4">
            <w:pPr>
              <w:widowControl w:val="0"/>
              <w:rPr>
                <w:szCs w:val="22"/>
              </w:rPr>
            </w:pPr>
            <w:r w:rsidRPr="00CC61C2">
              <w:rPr>
                <w:szCs w:val="22"/>
              </w:rPr>
              <w:t>Eksfolijativni dermatitis</w:t>
            </w:r>
          </w:p>
        </w:tc>
        <w:tc>
          <w:tcPr>
            <w:tcW w:w="690" w:type="pct"/>
            <w:vAlign w:val="center"/>
          </w:tcPr>
          <w:p w14:paraId="15D7559B"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00FBD7C8" w14:textId="77777777" w:rsidR="00592131" w:rsidRPr="00CC61C2" w:rsidRDefault="00592131" w:rsidP="001237DA">
            <w:pPr>
              <w:widowControl w:val="0"/>
              <w:autoSpaceDE w:val="0"/>
              <w:autoSpaceDN w:val="0"/>
              <w:adjustRightInd w:val="0"/>
              <w:jc w:val="both"/>
              <w:rPr>
                <w:szCs w:val="22"/>
              </w:rPr>
            </w:pPr>
            <w:r w:rsidRPr="00CC61C2">
              <w:rPr>
                <w:szCs w:val="22"/>
              </w:rPr>
              <w:t>-</w:t>
            </w:r>
          </w:p>
        </w:tc>
        <w:tc>
          <w:tcPr>
            <w:tcW w:w="1004" w:type="pct"/>
            <w:vAlign w:val="center"/>
          </w:tcPr>
          <w:p w14:paraId="5891B72C" w14:textId="77777777" w:rsidR="00592131" w:rsidRPr="00CC61C2" w:rsidRDefault="00592131" w:rsidP="001237DA">
            <w:pPr>
              <w:widowControl w:val="0"/>
              <w:autoSpaceDE w:val="0"/>
              <w:autoSpaceDN w:val="0"/>
              <w:adjustRightInd w:val="0"/>
              <w:jc w:val="both"/>
              <w:rPr>
                <w:szCs w:val="22"/>
              </w:rPr>
            </w:pPr>
            <w:r w:rsidRPr="00CC61C2">
              <w:rPr>
                <w:szCs w:val="22"/>
              </w:rPr>
              <w:t>Veoma rijetko</w:t>
            </w:r>
          </w:p>
        </w:tc>
      </w:tr>
      <w:tr w:rsidR="00592131" w:rsidRPr="00CC61C2" w14:paraId="5CB28726" w14:textId="77777777" w:rsidTr="002C09D7">
        <w:tc>
          <w:tcPr>
            <w:tcW w:w="943" w:type="pct"/>
            <w:vMerge/>
            <w:shd w:val="clear" w:color="auto" w:fill="auto"/>
            <w:vAlign w:val="center"/>
          </w:tcPr>
          <w:p w14:paraId="7C15F152"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70D7C049" w14:textId="77777777" w:rsidR="00592131" w:rsidRPr="00CC61C2" w:rsidRDefault="00592131" w:rsidP="009D6AD4">
            <w:pPr>
              <w:widowControl w:val="0"/>
              <w:rPr>
                <w:szCs w:val="22"/>
              </w:rPr>
            </w:pPr>
            <w:r w:rsidRPr="00CC61C2">
              <w:rPr>
                <w:szCs w:val="22"/>
              </w:rPr>
              <w:t>Stevens-Johnsonov sindrom</w:t>
            </w:r>
          </w:p>
        </w:tc>
        <w:tc>
          <w:tcPr>
            <w:tcW w:w="690" w:type="pct"/>
            <w:vAlign w:val="center"/>
          </w:tcPr>
          <w:p w14:paraId="1FF8A722" w14:textId="77777777" w:rsidR="00592131" w:rsidRPr="00CC61C2" w:rsidRDefault="00592131" w:rsidP="001237DA">
            <w:pPr>
              <w:widowControl w:val="0"/>
              <w:autoSpaceDE w:val="0"/>
              <w:autoSpaceDN w:val="0"/>
              <w:adjustRightInd w:val="0"/>
              <w:jc w:val="both"/>
              <w:rPr>
                <w:szCs w:val="22"/>
              </w:rPr>
            </w:pPr>
            <w:r w:rsidRPr="00CC61C2">
              <w:rPr>
                <w:szCs w:val="22"/>
              </w:rPr>
              <w:t>-</w:t>
            </w:r>
          </w:p>
        </w:tc>
        <w:tc>
          <w:tcPr>
            <w:tcW w:w="1088" w:type="pct"/>
            <w:vAlign w:val="center"/>
          </w:tcPr>
          <w:p w14:paraId="21308B82" w14:textId="77777777" w:rsidR="00592131" w:rsidRPr="00CC61C2" w:rsidRDefault="00592131" w:rsidP="001237DA">
            <w:pPr>
              <w:widowControl w:val="0"/>
              <w:autoSpaceDE w:val="0"/>
              <w:autoSpaceDN w:val="0"/>
              <w:adjustRightInd w:val="0"/>
              <w:jc w:val="both"/>
              <w:rPr>
                <w:szCs w:val="22"/>
              </w:rPr>
            </w:pPr>
            <w:r w:rsidRPr="00CC61C2">
              <w:rPr>
                <w:szCs w:val="22"/>
              </w:rPr>
              <w:t>Veoma rijetko</w:t>
            </w:r>
          </w:p>
        </w:tc>
        <w:tc>
          <w:tcPr>
            <w:tcW w:w="1004" w:type="pct"/>
            <w:vAlign w:val="center"/>
          </w:tcPr>
          <w:p w14:paraId="5E64D0FE" w14:textId="77777777" w:rsidR="00592131" w:rsidRPr="00CC61C2" w:rsidRDefault="00592131" w:rsidP="001237DA">
            <w:pPr>
              <w:widowControl w:val="0"/>
              <w:autoSpaceDE w:val="0"/>
              <w:autoSpaceDN w:val="0"/>
              <w:adjustRightInd w:val="0"/>
              <w:jc w:val="both"/>
              <w:rPr>
                <w:szCs w:val="22"/>
              </w:rPr>
            </w:pPr>
            <w:r w:rsidRPr="00CC61C2">
              <w:rPr>
                <w:szCs w:val="22"/>
              </w:rPr>
              <w:t>Veoma rijetko</w:t>
            </w:r>
          </w:p>
        </w:tc>
      </w:tr>
      <w:tr w:rsidR="00592131" w:rsidRPr="00CC61C2" w14:paraId="7516983F" w14:textId="77777777" w:rsidTr="002C09D7">
        <w:tc>
          <w:tcPr>
            <w:tcW w:w="943" w:type="pct"/>
            <w:vMerge/>
            <w:shd w:val="clear" w:color="auto" w:fill="auto"/>
            <w:vAlign w:val="center"/>
          </w:tcPr>
          <w:p w14:paraId="47F7A5B4"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029CCF9F" w14:textId="77777777" w:rsidR="00592131" w:rsidRPr="00CC61C2" w:rsidRDefault="00592131" w:rsidP="009D6AD4">
            <w:pPr>
              <w:widowControl w:val="0"/>
              <w:rPr>
                <w:szCs w:val="22"/>
              </w:rPr>
            </w:pPr>
            <w:r w:rsidRPr="00CC61C2">
              <w:rPr>
                <w:szCs w:val="22"/>
              </w:rPr>
              <w:t>Reakcije fotosenzitivnosti</w:t>
            </w:r>
          </w:p>
        </w:tc>
        <w:tc>
          <w:tcPr>
            <w:tcW w:w="690" w:type="pct"/>
            <w:vAlign w:val="center"/>
          </w:tcPr>
          <w:p w14:paraId="54D5C972" w14:textId="77777777" w:rsidR="00592131" w:rsidRPr="00CC61C2" w:rsidRDefault="00592131" w:rsidP="001237DA">
            <w:pPr>
              <w:widowControl w:val="0"/>
              <w:autoSpaceDE w:val="0"/>
              <w:autoSpaceDN w:val="0"/>
              <w:adjustRightInd w:val="0"/>
              <w:jc w:val="both"/>
              <w:rPr>
                <w:szCs w:val="22"/>
              </w:rPr>
            </w:pPr>
            <w:r w:rsidRPr="00CC61C2">
              <w:rPr>
                <w:szCs w:val="22"/>
              </w:rPr>
              <w:t>Povremeno*</w:t>
            </w:r>
          </w:p>
        </w:tc>
        <w:tc>
          <w:tcPr>
            <w:tcW w:w="1088" w:type="pct"/>
            <w:vAlign w:val="center"/>
          </w:tcPr>
          <w:p w14:paraId="289E0D95" w14:textId="77777777" w:rsidR="00592131" w:rsidRPr="00CC61C2" w:rsidRDefault="00592131" w:rsidP="001237DA">
            <w:pPr>
              <w:widowControl w:val="0"/>
              <w:autoSpaceDE w:val="0"/>
              <w:autoSpaceDN w:val="0"/>
              <w:adjustRightInd w:val="0"/>
              <w:jc w:val="both"/>
              <w:rPr>
                <w:szCs w:val="22"/>
              </w:rPr>
            </w:pPr>
            <w:r w:rsidRPr="00CC61C2">
              <w:rPr>
                <w:szCs w:val="22"/>
              </w:rPr>
              <w:t>Nepoznato (vidjeti dio 4.4)</w:t>
            </w:r>
          </w:p>
        </w:tc>
        <w:tc>
          <w:tcPr>
            <w:tcW w:w="1004" w:type="pct"/>
            <w:vAlign w:val="center"/>
          </w:tcPr>
          <w:p w14:paraId="527BDE93" w14:textId="77777777" w:rsidR="00592131" w:rsidRPr="00CC61C2" w:rsidRDefault="00592131" w:rsidP="001237DA">
            <w:pPr>
              <w:widowControl w:val="0"/>
              <w:autoSpaceDE w:val="0"/>
              <w:autoSpaceDN w:val="0"/>
              <w:adjustRightInd w:val="0"/>
              <w:jc w:val="both"/>
              <w:rPr>
                <w:szCs w:val="22"/>
              </w:rPr>
            </w:pPr>
            <w:r w:rsidRPr="00CC61C2">
              <w:rPr>
                <w:szCs w:val="22"/>
              </w:rPr>
              <w:t>Veoma rijetko</w:t>
            </w:r>
          </w:p>
        </w:tc>
      </w:tr>
      <w:tr w:rsidR="00592131" w:rsidRPr="00CC61C2" w14:paraId="41722802" w14:textId="77777777" w:rsidTr="002C09D7">
        <w:tc>
          <w:tcPr>
            <w:tcW w:w="943" w:type="pct"/>
            <w:vMerge/>
            <w:shd w:val="clear" w:color="auto" w:fill="auto"/>
            <w:vAlign w:val="center"/>
          </w:tcPr>
          <w:p w14:paraId="7EDBA9D6"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4C0F67CF" w14:textId="77777777" w:rsidR="00592131" w:rsidRPr="00CC61C2" w:rsidRDefault="00592131" w:rsidP="009D6AD4">
            <w:pPr>
              <w:widowControl w:val="0"/>
              <w:rPr>
                <w:szCs w:val="22"/>
              </w:rPr>
            </w:pPr>
            <w:r w:rsidRPr="00CC61C2">
              <w:rPr>
                <w:szCs w:val="22"/>
              </w:rPr>
              <w:t>Pogoršanje psorijaze</w:t>
            </w:r>
          </w:p>
        </w:tc>
        <w:tc>
          <w:tcPr>
            <w:tcW w:w="690" w:type="pct"/>
            <w:vAlign w:val="center"/>
          </w:tcPr>
          <w:p w14:paraId="060E4DCA" w14:textId="7502BAA2" w:rsidR="00592131" w:rsidRPr="00CC61C2" w:rsidRDefault="00592131" w:rsidP="001237DA">
            <w:pPr>
              <w:widowControl w:val="0"/>
              <w:autoSpaceDE w:val="0"/>
              <w:autoSpaceDN w:val="0"/>
              <w:adjustRightInd w:val="0"/>
              <w:jc w:val="both"/>
              <w:rPr>
                <w:szCs w:val="22"/>
              </w:rPr>
            </w:pPr>
            <w:r w:rsidRPr="00CC61C2">
              <w:rPr>
                <w:szCs w:val="22"/>
              </w:rPr>
              <w:t>Rijetko*</w:t>
            </w:r>
          </w:p>
        </w:tc>
        <w:tc>
          <w:tcPr>
            <w:tcW w:w="1088" w:type="pct"/>
            <w:vAlign w:val="center"/>
          </w:tcPr>
          <w:p w14:paraId="6DCAECD6" w14:textId="77777777" w:rsidR="00592131" w:rsidRPr="00CC61C2" w:rsidRDefault="00592131" w:rsidP="001237DA">
            <w:pPr>
              <w:widowControl w:val="0"/>
              <w:autoSpaceDE w:val="0"/>
              <w:autoSpaceDN w:val="0"/>
              <w:adjustRightInd w:val="0"/>
              <w:jc w:val="both"/>
              <w:rPr>
                <w:szCs w:val="22"/>
              </w:rPr>
            </w:pPr>
            <w:r w:rsidRPr="00CC61C2">
              <w:rPr>
                <w:szCs w:val="22"/>
              </w:rPr>
              <w:t>-</w:t>
            </w:r>
          </w:p>
        </w:tc>
        <w:tc>
          <w:tcPr>
            <w:tcW w:w="1004" w:type="pct"/>
            <w:vAlign w:val="center"/>
          </w:tcPr>
          <w:p w14:paraId="1CECBF43" w14:textId="77777777" w:rsidR="00592131" w:rsidRPr="00CC61C2" w:rsidRDefault="00592131" w:rsidP="001237DA">
            <w:pPr>
              <w:widowControl w:val="0"/>
              <w:autoSpaceDE w:val="0"/>
              <w:autoSpaceDN w:val="0"/>
              <w:adjustRightInd w:val="0"/>
              <w:jc w:val="both"/>
              <w:rPr>
                <w:szCs w:val="22"/>
              </w:rPr>
            </w:pPr>
            <w:r w:rsidRPr="00CC61C2">
              <w:rPr>
                <w:szCs w:val="22"/>
              </w:rPr>
              <w:t>-</w:t>
            </w:r>
          </w:p>
        </w:tc>
      </w:tr>
      <w:tr w:rsidR="00592131" w:rsidRPr="00CC61C2" w14:paraId="0AFF1B7D" w14:textId="77777777" w:rsidTr="002C09D7">
        <w:tc>
          <w:tcPr>
            <w:tcW w:w="943" w:type="pct"/>
            <w:vMerge/>
            <w:shd w:val="clear" w:color="auto" w:fill="auto"/>
            <w:vAlign w:val="center"/>
          </w:tcPr>
          <w:p w14:paraId="5375B72E"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66015379" w14:textId="77777777" w:rsidR="00592131" w:rsidRPr="00CC61C2" w:rsidRDefault="00592131" w:rsidP="009D6AD4">
            <w:pPr>
              <w:widowControl w:val="0"/>
              <w:rPr>
                <w:szCs w:val="22"/>
              </w:rPr>
            </w:pPr>
            <w:r w:rsidRPr="00CC61C2">
              <w:rPr>
                <w:szCs w:val="22"/>
              </w:rPr>
              <w:t>Pemfigus</w:t>
            </w:r>
          </w:p>
        </w:tc>
        <w:tc>
          <w:tcPr>
            <w:tcW w:w="690" w:type="pct"/>
            <w:vAlign w:val="center"/>
          </w:tcPr>
          <w:p w14:paraId="5BEC3B25" w14:textId="77777777" w:rsidR="00592131" w:rsidRPr="00CC61C2" w:rsidRDefault="00592131" w:rsidP="001237DA">
            <w:pPr>
              <w:widowControl w:val="0"/>
              <w:autoSpaceDE w:val="0"/>
              <w:autoSpaceDN w:val="0"/>
              <w:adjustRightInd w:val="0"/>
              <w:jc w:val="both"/>
              <w:rPr>
                <w:szCs w:val="22"/>
              </w:rPr>
            </w:pPr>
            <w:r w:rsidRPr="00CC61C2">
              <w:rPr>
                <w:szCs w:val="22"/>
              </w:rPr>
              <w:t>Povremeno*</w:t>
            </w:r>
          </w:p>
        </w:tc>
        <w:tc>
          <w:tcPr>
            <w:tcW w:w="1088" w:type="pct"/>
            <w:vAlign w:val="center"/>
          </w:tcPr>
          <w:p w14:paraId="10A5F3C1" w14:textId="77777777" w:rsidR="00592131" w:rsidRPr="00CC61C2" w:rsidRDefault="00592131" w:rsidP="001237DA">
            <w:pPr>
              <w:widowControl w:val="0"/>
              <w:autoSpaceDE w:val="0"/>
              <w:autoSpaceDN w:val="0"/>
              <w:adjustRightInd w:val="0"/>
              <w:jc w:val="both"/>
              <w:rPr>
                <w:szCs w:val="22"/>
              </w:rPr>
            </w:pPr>
            <w:r w:rsidRPr="00CC61C2">
              <w:rPr>
                <w:szCs w:val="22"/>
              </w:rPr>
              <w:t>-</w:t>
            </w:r>
          </w:p>
        </w:tc>
        <w:tc>
          <w:tcPr>
            <w:tcW w:w="1004" w:type="pct"/>
            <w:vAlign w:val="center"/>
          </w:tcPr>
          <w:p w14:paraId="4984E983" w14:textId="77777777" w:rsidR="00592131" w:rsidRPr="00CC61C2" w:rsidRDefault="00592131" w:rsidP="001237DA">
            <w:pPr>
              <w:widowControl w:val="0"/>
              <w:autoSpaceDE w:val="0"/>
              <w:autoSpaceDN w:val="0"/>
              <w:adjustRightInd w:val="0"/>
              <w:jc w:val="both"/>
              <w:rPr>
                <w:szCs w:val="22"/>
              </w:rPr>
            </w:pPr>
            <w:r w:rsidRPr="00CC61C2">
              <w:rPr>
                <w:szCs w:val="22"/>
              </w:rPr>
              <w:t>-</w:t>
            </w:r>
          </w:p>
        </w:tc>
      </w:tr>
      <w:tr w:rsidR="00592131" w:rsidRPr="00CC61C2" w14:paraId="522F58FF" w14:textId="77777777" w:rsidTr="002C09D7">
        <w:tc>
          <w:tcPr>
            <w:tcW w:w="943" w:type="pct"/>
            <w:vMerge/>
            <w:shd w:val="clear" w:color="auto" w:fill="auto"/>
            <w:vAlign w:val="center"/>
          </w:tcPr>
          <w:p w14:paraId="77CE362A"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3D00EC75" w14:textId="77777777" w:rsidR="00592131" w:rsidRPr="00CC61C2" w:rsidRDefault="00592131" w:rsidP="009D6AD4">
            <w:pPr>
              <w:widowControl w:val="0"/>
              <w:rPr>
                <w:szCs w:val="22"/>
              </w:rPr>
            </w:pPr>
            <w:r w:rsidRPr="00CC61C2">
              <w:rPr>
                <w:szCs w:val="22"/>
              </w:rPr>
              <w:t>Osip, makulopapulozni</w:t>
            </w:r>
          </w:p>
        </w:tc>
        <w:tc>
          <w:tcPr>
            <w:tcW w:w="690" w:type="pct"/>
            <w:vAlign w:val="center"/>
          </w:tcPr>
          <w:p w14:paraId="677C2070"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1FF56406" w14:textId="77777777" w:rsidR="00592131" w:rsidRPr="00CC61C2" w:rsidRDefault="00592131" w:rsidP="001237DA">
            <w:pPr>
              <w:widowControl w:val="0"/>
              <w:autoSpaceDE w:val="0"/>
              <w:autoSpaceDN w:val="0"/>
              <w:adjustRightInd w:val="0"/>
              <w:jc w:val="both"/>
              <w:rPr>
                <w:szCs w:val="22"/>
              </w:rPr>
            </w:pPr>
            <w:r w:rsidRPr="00CC61C2">
              <w:rPr>
                <w:szCs w:val="22"/>
              </w:rPr>
              <w:t>Često</w:t>
            </w:r>
          </w:p>
        </w:tc>
        <w:tc>
          <w:tcPr>
            <w:tcW w:w="1004" w:type="pct"/>
            <w:vAlign w:val="center"/>
          </w:tcPr>
          <w:p w14:paraId="240AECE8" w14:textId="77777777" w:rsidR="00592131" w:rsidRPr="00CC61C2" w:rsidRDefault="00592131" w:rsidP="001237DA">
            <w:pPr>
              <w:widowControl w:val="0"/>
              <w:autoSpaceDE w:val="0"/>
              <w:autoSpaceDN w:val="0"/>
              <w:adjustRightInd w:val="0"/>
              <w:jc w:val="both"/>
              <w:rPr>
                <w:szCs w:val="22"/>
              </w:rPr>
            </w:pPr>
            <w:r w:rsidRPr="00CC61C2">
              <w:rPr>
                <w:szCs w:val="22"/>
              </w:rPr>
              <w:t>-</w:t>
            </w:r>
          </w:p>
        </w:tc>
      </w:tr>
      <w:tr w:rsidR="00592131" w:rsidRPr="00CC61C2" w14:paraId="022E231B" w14:textId="77777777" w:rsidTr="002C09D7">
        <w:tc>
          <w:tcPr>
            <w:tcW w:w="943" w:type="pct"/>
            <w:vMerge/>
            <w:shd w:val="clear" w:color="auto" w:fill="auto"/>
            <w:vAlign w:val="center"/>
          </w:tcPr>
          <w:p w14:paraId="7D760ADF"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348BFDDB" w14:textId="77777777" w:rsidR="00592131" w:rsidRPr="00CC61C2" w:rsidRDefault="00592131" w:rsidP="009D6AD4">
            <w:pPr>
              <w:widowControl w:val="0"/>
              <w:rPr>
                <w:szCs w:val="22"/>
              </w:rPr>
            </w:pPr>
            <w:r w:rsidRPr="00CC61C2">
              <w:rPr>
                <w:szCs w:val="22"/>
              </w:rPr>
              <w:t>Toksična epidermalna nekroliza</w:t>
            </w:r>
          </w:p>
        </w:tc>
        <w:tc>
          <w:tcPr>
            <w:tcW w:w="690" w:type="pct"/>
            <w:vAlign w:val="center"/>
          </w:tcPr>
          <w:p w14:paraId="79968350" w14:textId="77777777" w:rsidR="00592131" w:rsidRPr="00CC61C2" w:rsidRDefault="00592131" w:rsidP="001237DA">
            <w:pPr>
              <w:widowControl w:val="0"/>
              <w:autoSpaceDE w:val="0"/>
              <w:autoSpaceDN w:val="0"/>
              <w:adjustRightInd w:val="0"/>
              <w:jc w:val="both"/>
              <w:rPr>
                <w:szCs w:val="22"/>
              </w:rPr>
            </w:pPr>
            <w:r w:rsidRPr="00CC61C2">
              <w:rPr>
                <w:szCs w:val="22"/>
              </w:rPr>
              <w:t>-</w:t>
            </w:r>
          </w:p>
        </w:tc>
        <w:tc>
          <w:tcPr>
            <w:tcW w:w="1088" w:type="pct"/>
            <w:vAlign w:val="center"/>
          </w:tcPr>
          <w:p w14:paraId="1E387C37" w14:textId="77777777" w:rsidR="00592131" w:rsidRPr="00CC61C2" w:rsidRDefault="00592131" w:rsidP="001237DA">
            <w:pPr>
              <w:widowControl w:val="0"/>
              <w:autoSpaceDE w:val="0"/>
              <w:autoSpaceDN w:val="0"/>
              <w:adjustRightInd w:val="0"/>
              <w:jc w:val="both"/>
              <w:rPr>
                <w:szCs w:val="22"/>
              </w:rPr>
            </w:pPr>
            <w:r w:rsidRPr="00CC61C2">
              <w:rPr>
                <w:szCs w:val="22"/>
              </w:rPr>
              <w:t>Veoma rijetko</w:t>
            </w:r>
          </w:p>
        </w:tc>
        <w:tc>
          <w:tcPr>
            <w:tcW w:w="1004" w:type="pct"/>
            <w:vAlign w:val="center"/>
          </w:tcPr>
          <w:p w14:paraId="78021009" w14:textId="77777777" w:rsidR="00592131" w:rsidRPr="00CC61C2" w:rsidRDefault="00592131" w:rsidP="001237DA">
            <w:pPr>
              <w:widowControl w:val="0"/>
              <w:autoSpaceDE w:val="0"/>
              <w:autoSpaceDN w:val="0"/>
              <w:adjustRightInd w:val="0"/>
              <w:jc w:val="both"/>
              <w:rPr>
                <w:szCs w:val="22"/>
              </w:rPr>
            </w:pPr>
            <w:r w:rsidRPr="00CC61C2">
              <w:rPr>
                <w:szCs w:val="22"/>
              </w:rPr>
              <w:t>Nepoznato</w:t>
            </w:r>
          </w:p>
        </w:tc>
      </w:tr>
      <w:tr w:rsidR="00592131" w:rsidRPr="00CC61C2" w14:paraId="7FFE5BC8" w14:textId="77777777" w:rsidTr="002C09D7">
        <w:tc>
          <w:tcPr>
            <w:tcW w:w="943" w:type="pct"/>
            <w:vMerge w:val="restart"/>
            <w:shd w:val="clear" w:color="auto" w:fill="auto"/>
            <w:vAlign w:val="center"/>
          </w:tcPr>
          <w:p w14:paraId="3F0583C6" w14:textId="77777777" w:rsidR="00592131" w:rsidRPr="00CC61C2" w:rsidRDefault="00592131" w:rsidP="001237DA">
            <w:pPr>
              <w:widowControl w:val="0"/>
              <w:tabs>
                <w:tab w:val="center" w:pos="4536"/>
                <w:tab w:val="right" w:pos="9072"/>
              </w:tabs>
              <w:jc w:val="both"/>
              <w:rPr>
                <w:b/>
                <w:bCs/>
                <w:noProof/>
                <w:szCs w:val="22"/>
              </w:rPr>
            </w:pPr>
            <w:r w:rsidRPr="00CC61C2">
              <w:rPr>
                <w:b/>
                <w:bCs/>
                <w:noProof/>
                <w:szCs w:val="22"/>
              </w:rPr>
              <w:t>Poremećaji mišićno-skeletnog sistema i vezivnog tkiva</w:t>
            </w:r>
          </w:p>
          <w:p w14:paraId="519D08EA" w14:textId="77777777" w:rsidR="00592131" w:rsidRPr="00CC61C2" w:rsidRDefault="00592131" w:rsidP="001237DA">
            <w:pPr>
              <w:widowControl w:val="0"/>
              <w:tabs>
                <w:tab w:val="center" w:pos="4536"/>
                <w:tab w:val="right" w:pos="9072"/>
              </w:tabs>
              <w:jc w:val="both"/>
              <w:rPr>
                <w:b/>
                <w:bCs/>
                <w:noProof/>
                <w:szCs w:val="22"/>
              </w:rPr>
            </w:pPr>
          </w:p>
          <w:p w14:paraId="106BDC84" w14:textId="77777777" w:rsidR="00592131" w:rsidRPr="00CC61C2" w:rsidRDefault="00592131" w:rsidP="001237DA">
            <w:pPr>
              <w:widowControl w:val="0"/>
              <w:tabs>
                <w:tab w:val="center" w:pos="4536"/>
                <w:tab w:val="right" w:pos="9072"/>
              </w:tabs>
              <w:jc w:val="both"/>
              <w:rPr>
                <w:b/>
                <w:bCs/>
                <w:noProof/>
                <w:szCs w:val="22"/>
              </w:rPr>
            </w:pPr>
          </w:p>
          <w:p w14:paraId="14F76FD3" w14:textId="77777777" w:rsidR="00592131" w:rsidRPr="00CC61C2" w:rsidRDefault="00592131" w:rsidP="001237DA">
            <w:pPr>
              <w:widowControl w:val="0"/>
              <w:tabs>
                <w:tab w:val="center" w:pos="4536"/>
                <w:tab w:val="right" w:pos="9072"/>
              </w:tabs>
              <w:jc w:val="both"/>
              <w:rPr>
                <w:b/>
                <w:bCs/>
                <w:noProof/>
                <w:szCs w:val="22"/>
              </w:rPr>
            </w:pPr>
          </w:p>
          <w:p w14:paraId="7389AA25"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03514C00" w14:textId="77777777" w:rsidR="00592131" w:rsidRPr="00CC61C2" w:rsidRDefault="00592131" w:rsidP="001237DA">
            <w:pPr>
              <w:pStyle w:val="Default"/>
              <w:jc w:val="both"/>
              <w:rPr>
                <w:color w:val="auto"/>
                <w:sz w:val="22"/>
                <w:szCs w:val="22"/>
                <w:lang w:val="sr-Latn-ME"/>
              </w:rPr>
            </w:pPr>
            <w:r w:rsidRPr="00CC61C2">
              <w:rPr>
                <w:color w:val="auto"/>
                <w:sz w:val="22"/>
                <w:szCs w:val="22"/>
                <w:lang w:val="sr-Latn-ME"/>
              </w:rPr>
              <w:t>Oticanje zglobova</w:t>
            </w:r>
          </w:p>
        </w:tc>
        <w:tc>
          <w:tcPr>
            <w:tcW w:w="690" w:type="pct"/>
            <w:vAlign w:val="center"/>
          </w:tcPr>
          <w:p w14:paraId="60DD4788"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240E1AB4"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4C234441" w14:textId="77777777" w:rsidR="00592131" w:rsidRPr="00CC61C2" w:rsidRDefault="00592131" w:rsidP="001237DA">
            <w:pPr>
              <w:widowControl w:val="0"/>
              <w:jc w:val="both"/>
              <w:rPr>
                <w:szCs w:val="22"/>
              </w:rPr>
            </w:pPr>
            <w:r w:rsidRPr="00CC61C2">
              <w:rPr>
                <w:szCs w:val="22"/>
              </w:rPr>
              <w:t>Često</w:t>
            </w:r>
          </w:p>
        </w:tc>
      </w:tr>
      <w:tr w:rsidR="00592131" w:rsidRPr="00CC61C2" w14:paraId="3BE9281E" w14:textId="77777777" w:rsidTr="002C09D7">
        <w:tc>
          <w:tcPr>
            <w:tcW w:w="943" w:type="pct"/>
            <w:vMerge/>
            <w:shd w:val="clear" w:color="auto" w:fill="auto"/>
            <w:vAlign w:val="center"/>
          </w:tcPr>
          <w:p w14:paraId="5C14169E"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09B49B1F" w14:textId="77777777" w:rsidR="00592131" w:rsidRPr="00CC61C2" w:rsidRDefault="00592131" w:rsidP="001237DA">
            <w:pPr>
              <w:widowControl w:val="0"/>
              <w:jc w:val="both"/>
              <w:rPr>
                <w:noProof/>
                <w:szCs w:val="22"/>
              </w:rPr>
            </w:pPr>
            <w:r w:rsidRPr="00CC61C2">
              <w:rPr>
                <w:noProof/>
                <w:szCs w:val="22"/>
              </w:rPr>
              <w:t>Artralgija</w:t>
            </w:r>
          </w:p>
        </w:tc>
        <w:tc>
          <w:tcPr>
            <w:tcW w:w="690" w:type="pct"/>
            <w:vAlign w:val="center"/>
          </w:tcPr>
          <w:p w14:paraId="70AFA111" w14:textId="77777777" w:rsidR="00592131" w:rsidRPr="00CC61C2" w:rsidRDefault="00592131" w:rsidP="001237DA">
            <w:pPr>
              <w:jc w:val="both"/>
              <w:rPr>
                <w:szCs w:val="22"/>
              </w:rPr>
            </w:pPr>
            <w:r w:rsidRPr="00CC61C2">
              <w:rPr>
                <w:szCs w:val="22"/>
              </w:rPr>
              <w:t>Povremeno*</w:t>
            </w:r>
          </w:p>
        </w:tc>
        <w:tc>
          <w:tcPr>
            <w:tcW w:w="1088" w:type="pct"/>
            <w:vAlign w:val="center"/>
          </w:tcPr>
          <w:p w14:paraId="1CC2FAD8"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7F1DF912" w14:textId="77777777" w:rsidR="00592131" w:rsidRPr="00CC61C2" w:rsidRDefault="00592131" w:rsidP="001237DA">
            <w:pPr>
              <w:jc w:val="both"/>
              <w:rPr>
                <w:szCs w:val="22"/>
              </w:rPr>
            </w:pPr>
            <w:r w:rsidRPr="00CC61C2">
              <w:rPr>
                <w:szCs w:val="22"/>
              </w:rPr>
              <w:t>Povremeno</w:t>
            </w:r>
          </w:p>
        </w:tc>
      </w:tr>
      <w:tr w:rsidR="00592131" w:rsidRPr="00CC61C2" w14:paraId="7198AAFA" w14:textId="77777777" w:rsidTr="002C09D7">
        <w:tc>
          <w:tcPr>
            <w:tcW w:w="943" w:type="pct"/>
            <w:vMerge/>
            <w:shd w:val="clear" w:color="auto" w:fill="auto"/>
            <w:vAlign w:val="center"/>
          </w:tcPr>
          <w:p w14:paraId="7AB4D50C"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065E1883" w14:textId="77777777" w:rsidR="00592131" w:rsidRPr="00CC61C2" w:rsidRDefault="00592131" w:rsidP="001237DA">
            <w:pPr>
              <w:widowControl w:val="0"/>
              <w:jc w:val="both"/>
              <w:rPr>
                <w:noProof/>
                <w:szCs w:val="22"/>
              </w:rPr>
            </w:pPr>
            <w:r w:rsidRPr="00CC61C2">
              <w:rPr>
                <w:noProof/>
                <w:szCs w:val="22"/>
              </w:rPr>
              <w:t>Mijalgija</w:t>
            </w:r>
          </w:p>
        </w:tc>
        <w:tc>
          <w:tcPr>
            <w:tcW w:w="690" w:type="pct"/>
            <w:vAlign w:val="center"/>
          </w:tcPr>
          <w:p w14:paraId="62DF0379" w14:textId="77777777" w:rsidR="00592131" w:rsidRPr="00CC61C2" w:rsidRDefault="00592131" w:rsidP="001237DA">
            <w:pPr>
              <w:jc w:val="both"/>
              <w:rPr>
                <w:szCs w:val="22"/>
              </w:rPr>
            </w:pPr>
            <w:r w:rsidRPr="00CC61C2">
              <w:rPr>
                <w:szCs w:val="22"/>
              </w:rPr>
              <w:t>Povremeno*</w:t>
            </w:r>
          </w:p>
        </w:tc>
        <w:tc>
          <w:tcPr>
            <w:tcW w:w="1088" w:type="pct"/>
            <w:vAlign w:val="center"/>
          </w:tcPr>
          <w:p w14:paraId="20952767"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15156A38" w14:textId="77777777" w:rsidR="00592131" w:rsidRPr="00CC61C2" w:rsidRDefault="00592131" w:rsidP="001237DA">
            <w:pPr>
              <w:jc w:val="both"/>
              <w:rPr>
                <w:szCs w:val="22"/>
              </w:rPr>
            </w:pPr>
            <w:r w:rsidRPr="00CC61C2">
              <w:rPr>
                <w:szCs w:val="22"/>
              </w:rPr>
              <w:t>Povremeno</w:t>
            </w:r>
          </w:p>
        </w:tc>
      </w:tr>
      <w:tr w:rsidR="00592131" w:rsidRPr="00CC61C2" w14:paraId="22FF687F" w14:textId="77777777" w:rsidTr="002C09D7">
        <w:tc>
          <w:tcPr>
            <w:tcW w:w="943" w:type="pct"/>
            <w:vMerge/>
            <w:shd w:val="clear" w:color="auto" w:fill="auto"/>
            <w:vAlign w:val="center"/>
          </w:tcPr>
          <w:p w14:paraId="08E42159"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32E015CB" w14:textId="77777777" w:rsidR="00592131" w:rsidRPr="00CC61C2" w:rsidRDefault="00592131" w:rsidP="001237DA">
            <w:pPr>
              <w:widowControl w:val="0"/>
              <w:jc w:val="both"/>
              <w:rPr>
                <w:noProof/>
                <w:szCs w:val="22"/>
              </w:rPr>
            </w:pPr>
            <w:r w:rsidRPr="00CC61C2">
              <w:rPr>
                <w:szCs w:val="22"/>
              </w:rPr>
              <w:t>Mišićni spazam</w:t>
            </w:r>
          </w:p>
        </w:tc>
        <w:tc>
          <w:tcPr>
            <w:tcW w:w="690" w:type="pct"/>
            <w:vAlign w:val="center"/>
          </w:tcPr>
          <w:p w14:paraId="59B0EB01" w14:textId="77777777" w:rsidR="00592131" w:rsidRPr="00CC61C2" w:rsidRDefault="00592131" w:rsidP="001237DA">
            <w:pPr>
              <w:widowControl w:val="0"/>
              <w:jc w:val="both"/>
              <w:rPr>
                <w:szCs w:val="22"/>
              </w:rPr>
            </w:pPr>
            <w:r w:rsidRPr="00CC61C2">
              <w:rPr>
                <w:szCs w:val="22"/>
              </w:rPr>
              <w:t>Često</w:t>
            </w:r>
          </w:p>
        </w:tc>
        <w:tc>
          <w:tcPr>
            <w:tcW w:w="1088" w:type="pct"/>
            <w:vAlign w:val="center"/>
          </w:tcPr>
          <w:p w14:paraId="73347288" w14:textId="77777777" w:rsidR="00592131" w:rsidRPr="00CC61C2" w:rsidRDefault="00592131" w:rsidP="001237DA">
            <w:pPr>
              <w:widowControl w:val="0"/>
              <w:jc w:val="both"/>
              <w:rPr>
                <w:szCs w:val="22"/>
              </w:rPr>
            </w:pPr>
            <w:r w:rsidRPr="00CC61C2">
              <w:rPr>
                <w:szCs w:val="22"/>
              </w:rPr>
              <w:t>Nepoznato</w:t>
            </w:r>
          </w:p>
        </w:tc>
        <w:tc>
          <w:tcPr>
            <w:tcW w:w="1004" w:type="pct"/>
            <w:vAlign w:val="center"/>
          </w:tcPr>
          <w:p w14:paraId="3E1ABE32" w14:textId="77777777" w:rsidR="00592131" w:rsidRPr="00CC61C2" w:rsidRDefault="00592131" w:rsidP="001237DA">
            <w:pPr>
              <w:widowControl w:val="0"/>
              <w:jc w:val="both"/>
              <w:rPr>
                <w:szCs w:val="22"/>
              </w:rPr>
            </w:pPr>
            <w:r w:rsidRPr="00CC61C2">
              <w:rPr>
                <w:szCs w:val="22"/>
              </w:rPr>
              <w:t>Često</w:t>
            </w:r>
          </w:p>
        </w:tc>
      </w:tr>
      <w:tr w:rsidR="00592131" w:rsidRPr="00CC61C2" w14:paraId="05021BF9" w14:textId="77777777" w:rsidTr="002C09D7">
        <w:tc>
          <w:tcPr>
            <w:tcW w:w="943" w:type="pct"/>
            <w:vMerge/>
            <w:shd w:val="clear" w:color="auto" w:fill="auto"/>
            <w:vAlign w:val="center"/>
          </w:tcPr>
          <w:p w14:paraId="3B588BEE"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4EFD015A" w14:textId="77777777" w:rsidR="00592131" w:rsidRPr="00CC61C2" w:rsidRDefault="00592131" w:rsidP="001237DA">
            <w:pPr>
              <w:widowControl w:val="0"/>
              <w:jc w:val="both"/>
              <w:rPr>
                <w:noProof/>
                <w:szCs w:val="22"/>
              </w:rPr>
            </w:pPr>
            <w:r w:rsidRPr="00CC61C2">
              <w:rPr>
                <w:noProof/>
                <w:szCs w:val="22"/>
              </w:rPr>
              <w:t xml:space="preserve">Bol u leđima </w:t>
            </w:r>
          </w:p>
        </w:tc>
        <w:tc>
          <w:tcPr>
            <w:tcW w:w="690" w:type="pct"/>
            <w:vAlign w:val="center"/>
          </w:tcPr>
          <w:p w14:paraId="5B29B601"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6A383C2C"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0A694ED6" w14:textId="77777777" w:rsidR="00592131" w:rsidRPr="00CC61C2" w:rsidRDefault="00592131" w:rsidP="001237DA">
            <w:pPr>
              <w:widowControl w:val="0"/>
              <w:jc w:val="both"/>
              <w:rPr>
                <w:szCs w:val="22"/>
              </w:rPr>
            </w:pPr>
            <w:r w:rsidRPr="00CC61C2">
              <w:rPr>
                <w:szCs w:val="22"/>
              </w:rPr>
              <w:t>Povremeno</w:t>
            </w:r>
          </w:p>
        </w:tc>
      </w:tr>
      <w:tr w:rsidR="00592131" w:rsidRPr="00CC61C2" w14:paraId="720CB242" w14:textId="77777777" w:rsidTr="002C09D7">
        <w:tc>
          <w:tcPr>
            <w:tcW w:w="943" w:type="pct"/>
            <w:vMerge/>
            <w:shd w:val="clear" w:color="auto" w:fill="auto"/>
            <w:vAlign w:val="center"/>
          </w:tcPr>
          <w:p w14:paraId="3CF7C3B9"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081C66C1" w14:textId="77777777" w:rsidR="00592131" w:rsidRPr="00CC61C2" w:rsidRDefault="00592131" w:rsidP="001237DA">
            <w:pPr>
              <w:widowControl w:val="0"/>
              <w:jc w:val="both"/>
              <w:rPr>
                <w:noProof/>
                <w:szCs w:val="22"/>
              </w:rPr>
            </w:pPr>
            <w:r w:rsidRPr="00CC61C2">
              <w:rPr>
                <w:noProof/>
                <w:szCs w:val="22"/>
              </w:rPr>
              <w:t>Pogoršanje postojećeg sistemskog eritematoznog lupusa</w:t>
            </w:r>
          </w:p>
        </w:tc>
        <w:tc>
          <w:tcPr>
            <w:tcW w:w="690" w:type="pct"/>
            <w:vAlign w:val="center"/>
          </w:tcPr>
          <w:p w14:paraId="449EA5B9" w14:textId="77777777" w:rsidR="00592131" w:rsidRPr="00CC61C2" w:rsidRDefault="00592131" w:rsidP="001237DA">
            <w:pPr>
              <w:widowControl w:val="0"/>
              <w:jc w:val="both"/>
              <w:rPr>
                <w:szCs w:val="22"/>
                <w:highlight w:val="yellow"/>
              </w:rPr>
            </w:pPr>
            <w:r w:rsidRPr="00CC61C2">
              <w:rPr>
                <w:szCs w:val="22"/>
              </w:rPr>
              <w:t>Nepoznato</w:t>
            </w:r>
          </w:p>
        </w:tc>
        <w:tc>
          <w:tcPr>
            <w:tcW w:w="1088" w:type="pct"/>
            <w:vAlign w:val="center"/>
          </w:tcPr>
          <w:p w14:paraId="1548791C" w14:textId="77777777" w:rsidR="00592131" w:rsidRPr="00CC61C2" w:rsidDel="00346F03" w:rsidRDefault="00592131" w:rsidP="001237DA">
            <w:pPr>
              <w:widowControl w:val="0"/>
              <w:jc w:val="both"/>
              <w:rPr>
                <w:szCs w:val="22"/>
                <w:highlight w:val="yellow"/>
              </w:rPr>
            </w:pPr>
            <w:r w:rsidRPr="00CC61C2">
              <w:rPr>
                <w:szCs w:val="22"/>
              </w:rPr>
              <w:t>Nepoznato</w:t>
            </w:r>
          </w:p>
        </w:tc>
        <w:tc>
          <w:tcPr>
            <w:tcW w:w="1004" w:type="pct"/>
            <w:vAlign w:val="center"/>
          </w:tcPr>
          <w:p w14:paraId="185AE4EA" w14:textId="77777777" w:rsidR="00592131" w:rsidRPr="00CC61C2" w:rsidRDefault="00592131" w:rsidP="001237DA">
            <w:pPr>
              <w:widowControl w:val="0"/>
              <w:jc w:val="both"/>
              <w:rPr>
                <w:szCs w:val="22"/>
              </w:rPr>
            </w:pPr>
            <w:r w:rsidRPr="00CC61C2">
              <w:rPr>
                <w:szCs w:val="22"/>
              </w:rPr>
              <w:t>-</w:t>
            </w:r>
          </w:p>
        </w:tc>
      </w:tr>
      <w:tr w:rsidR="00592131" w:rsidRPr="00CC61C2" w14:paraId="07CEE06F" w14:textId="77777777" w:rsidTr="002C09D7">
        <w:tc>
          <w:tcPr>
            <w:tcW w:w="943" w:type="pct"/>
            <w:vMerge/>
            <w:shd w:val="clear" w:color="auto" w:fill="auto"/>
            <w:vAlign w:val="center"/>
          </w:tcPr>
          <w:p w14:paraId="6C1F723A" w14:textId="77777777" w:rsidR="00592131" w:rsidRPr="00CC61C2" w:rsidRDefault="00592131" w:rsidP="001237DA">
            <w:pPr>
              <w:widowControl w:val="0"/>
              <w:tabs>
                <w:tab w:val="center" w:pos="4536"/>
                <w:tab w:val="right" w:pos="9072"/>
              </w:tabs>
              <w:jc w:val="both"/>
              <w:rPr>
                <w:noProof/>
                <w:szCs w:val="22"/>
              </w:rPr>
            </w:pPr>
          </w:p>
        </w:tc>
        <w:tc>
          <w:tcPr>
            <w:tcW w:w="1275" w:type="pct"/>
          </w:tcPr>
          <w:p w14:paraId="0D6E1CC6" w14:textId="77777777" w:rsidR="00592131" w:rsidRPr="00CC61C2" w:rsidRDefault="00592131" w:rsidP="001237DA">
            <w:pPr>
              <w:widowControl w:val="0"/>
              <w:jc w:val="both"/>
              <w:rPr>
                <w:noProof/>
                <w:szCs w:val="22"/>
              </w:rPr>
            </w:pPr>
            <w:r w:rsidRPr="00CC61C2">
              <w:rPr>
                <w:szCs w:val="22"/>
              </w:rPr>
              <w:t>Mišićna slabost</w:t>
            </w:r>
          </w:p>
        </w:tc>
        <w:tc>
          <w:tcPr>
            <w:tcW w:w="690" w:type="pct"/>
          </w:tcPr>
          <w:p w14:paraId="54529B97" w14:textId="77777777" w:rsidR="00592131" w:rsidRPr="00CC61C2" w:rsidRDefault="00592131" w:rsidP="001237DA">
            <w:pPr>
              <w:widowControl w:val="0"/>
              <w:jc w:val="both"/>
              <w:rPr>
                <w:szCs w:val="22"/>
              </w:rPr>
            </w:pPr>
            <w:r w:rsidRPr="00CC61C2">
              <w:rPr>
                <w:szCs w:val="22"/>
              </w:rPr>
              <w:t>-</w:t>
            </w:r>
          </w:p>
        </w:tc>
        <w:tc>
          <w:tcPr>
            <w:tcW w:w="1088" w:type="pct"/>
          </w:tcPr>
          <w:p w14:paraId="0027CA86" w14:textId="77777777" w:rsidR="00592131" w:rsidRPr="00CC61C2" w:rsidRDefault="00592131" w:rsidP="001237DA">
            <w:pPr>
              <w:widowControl w:val="0"/>
              <w:jc w:val="both"/>
              <w:rPr>
                <w:szCs w:val="22"/>
              </w:rPr>
            </w:pPr>
            <w:r w:rsidRPr="00CC61C2">
              <w:rPr>
                <w:szCs w:val="22"/>
              </w:rPr>
              <w:t>Nepoznato</w:t>
            </w:r>
          </w:p>
        </w:tc>
        <w:tc>
          <w:tcPr>
            <w:tcW w:w="1004" w:type="pct"/>
          </w:tcPr>
          <w:p w14:paraId="119121EB" w14:textId="77777777" w:rsidR="00592131" w:rsidRPr="00CC61C2" w:rsidRDefault="00592131" w:rsidP="001237DA">
            <w:pPr>
              <w:widowControl w:val="0"/>
              <w:jc w:val="both"/>
              <w:rPr>
                <w:szCs w:val="22"/>
              </w:rPr>
            </w:pPr>
            <w:r w:rsidRPr="00CC61C2">
              <w:rPr>
                <w:szCs w:val="22"/>
              </w:rPr>
              <w:t>-</w:t>
            </w:r>
          </w:p>
        </w:tc>
      </w:tr>
      <w:tr w:rsidR="00592131" w:rsidRPr="00CC61C2" w14:paraId="6D8A5E81" w14:textId="77777777" w:rsidTr="002C09D7">
        <w:tc>
          <w:tcPr>
            <w:tcW w:w="943" w:type="pct"/>
            <w:vMerge/>
            <w:shd w:val="clear" w:color="auto" w:fill="auto"/>
            <w:vAlign w:val="center"/>
          </w:tcPr>
          <w:p w14:paraId="2684BCAD" w14:textId="77777777" w:rsidR="00592131" w:rsidRPr="00CC61C2" w:rsidRDefault="00592131" w:rsidP="001237DA">
            <w:pPr>
              <w:widowControl w:val="0"/>
              <w:tabs>
                <w:tab w:val="center" w:pos="4536"/>
                <w:tab w:val="right" w:pos="9072"/>
              </w:tabs>
              <w:jc w:val="both"/>
              <w:rPr>
                <w:noProof/>
                <w:szCs w:val="22"/>
              </w:rPr>
            </w:pPr>
          </w:p>
        </w:tc>
        <w:tc>
          <w:tcPr>
            <w:tcW w:w="1275" w:type="pct"/>
          </w:tcPr>
          <w:p w14:paraId="4D470747" w14:textId="77777777" w:rsidR="00592131" w:rsidRPr="00CC61C2" w:rsidRDefault="00592131" w:rsidP="001237DA">
            <w:pPr>
              <w:widowControl w:val="0"/>
              <w:jc w:val="both"/>
              <w:rPr>
                <w:noProof/>
                <w:szCs w:val="22"/>
              </w:rPr>
            </w:pPr>
            <w:r w:rsidRPr="00CC61C2">
              <w:rPr>
                <w:szCs w:val="22"/>
              </w:rPr>
              <w:t>Rabdomioliza</w:t>
            </w:r>
          </w:p>
        </w:tc>
        <w:tc>
          <w:tcPr>
            <w:tcW w:w="690" w:type="pct"/>
          </w:tcPr>
          <w:p w14:paraId="38EF1752" w14:textId="77777777" w:rsidR="00592131" w:rsidRPr="00CC61C2" w:rsidRDefault="00592131" w:rsidP="001237DA">
            <w:pPr>
              <w:widowControl w:val="0"/>
              <w:jc w:val="both"/>
              <w:rPr>
                <w:szCs w:val="22"/>
              </w:rPr>
            </w:pPr>
            <w:r w:rsidRPr="00CC61C2">
              <w:rPr>
                <w:szCs w:val="22"/>
              </w:rPr>
              <w:t>-</w:t>
            </w:r>
          </w:p>
        </w:tc>
        <w:tc>
          <w:tcPr>
            <w:tcW w:w="1088" w:type="pct"/>
          </w:tcPr>
          <w:p w14:paraId="475E672D" w14:textId="77777777" w:rsidR="00592131" w:rsidRPr="00CC61C2" w:rsidRDefault="00592131" w:rsidP="001237DA">
            <w:pPr>
              <w:widowControl w:val="0"/>
              <w:jc w:val="both"/>
              <w:rPr>
                <w:szCs w:val="22"/>
              </w:rPr>
            </w:pPr>
            <w:r w:rsidRPr="00CC61C2">
              <w:rPr>
                <w:szCs w:val="22"/>
              </w:rPr>
              <w:t>Nepoznato</w:t>
            </w:r>
          </w:p>
        </w:tc>
        <w:tc>
          <w:tcPr>
            <w:tcW w:w="1004" w:type="pct"/>
          </w:tcPr>
          <w:p w14:paraId="0BA900A5" w14:textId="77777777" w:rsidR="00592131" w:rsidRPr="00CC61C2" w:rsidRDefault="00592131" w:rsidP="001237DA">
            <w:pPr>
              <w:widowControl w:val="0"/>
              <w:jc w:val="both"/>
              <w:rPr>
                <w:szCs w:val="22"/>
              </w:rPr>
            </w:pPr>
            <w:r w:rsidRPr="00CC61C2">
              <w:rPr>
                <w:szCs w:val="22"/>
              </w:rPr>
              <w:t>-</w:t>
            </w:r>
          </w:p>
        </w:tc>
      </w:tr>
      <w:tr w:rsidR="00592131" w:rsidRPr="00CC61C2" w14:paraId="50A1709B" w14:textId="77777777" w:rsidTr="002C09D7">
        <w:tc>
          <w:tcPr>
            <w:tcW w:w="943" w:type="pct"/>
            <w:vMerge w:val="restart"/>
            <w:shd w:val="clear" w:color="auto" w:fill="auto"/>
            <w:vAlign w:val="center"/>
          </w:tcPr>
          <w:p w14:paraId="70586D47" w14:textId="77777777" w:rsidR="00592131" w:rsidRPr="00CC61C2" w:rsidRDefault="00592131" w:rsidP="009D6AD4">
            <w:pPr>
              <w:widowControl w:val="0"/>
              <w:tabs>
                <w:tab w:val="center" w:pos="4536"/>
                <w:tab w:val="right" w:pos="9072"/>
              </w:tabs>
              <w:rPr>
                <w:szCs w:val="22"/>
              </w:rPr>
            </w:pPr>
            <w:r w:rsidRPr="00CC61C2">
              <w:rPr>
                <w:b/>
                <w:bCs/>
                <w:noProof/>
                <w:szCs w:val="22"/>
              </w:rPr>
              <w:t>Poremećaji bubrega i urinarnog sistema</w:t>
            </w:r>
          </w:p>
        </w:tc>
        <w:tc>
          <w:tcPr>
            <w:tcW w:w="1275" w:type="pct"/>
            <w:vAlign w:val="center"/>
          </w:tcPr>
          <w:p w14:paraId="0B6524B9" w14:textId="77777777" w:rsidR="00592131" w:rsidRPr="00CC61C2" w:rsidRDefault="00592131" w:rsidP="001237DA">
            <w:pPr>
              <w:widowControl w:val="0"/>
              <w:jc w:val="both"/>
              <w:rPr>
                <w:noProof/>
                <w:szCs w:val="22"/>
                <w:highlight w:val="yellow"/>
              </w:rPr>
            </w:pPr>
            <w:r w:rsidRPr="00CC61C2">
              <w:rPr>
                <w:szCs w:val="22"/>
              </w:rPr>
              <w:t>Anurija/Oligurija</w:t>
            </w:r>
          </w:p>
        </w:tc>
        <w:tc>
          <w:tcPr>
            <w:tcW w:w="690" w:type="pct"/>
            <w:vAlign w:val="center"/>
          </w:tcPr>
          <w:p w14:paraId="423E7E49" w14:textId="77777777" w:rsidR="00592131" w:rsidRPr="00CC61C2" w:rsidRDefault="00592131" w:rsidP="001237DA">
            <w:pPr>
              <w:widowControl w:val="0"/>
              <w:jc w:val="both"/>
              <w:rPr>
                <w:szCs w:val="22"/>
                <w:highlight w:val="yellow"/>
              </w:rPr>
            </w:pPr>
            <w:r w:rsidRPr="00CC61C2">
              <w:rPr>
                <w:szCs w:val="22"/>
              </w:rPr>
              <w:t>Rijetko</w:t>
            </w:r>
          </w:p>
        </w:tc>
        <w:tc>
          <w:tcPr>
            <w:tcW w:w="1088" w:type="pct"/>
            <w:vAlign w:val="center"/>
          </w:tcPr>
          <w:p w14:paraId="727F8F62" w14:textId="77777777" w:rsidR="00592131" w:rsidRPr="00CC61C2" w:rsidRDefault="00592131" w:rsidP="001237DA">
            <w:pPr>
              <w:widowControl w:val="0"/>
              <w:jc w:val="both"/>
              <w:rPr>
                <w:szCs w:val="22"/>
              </w:rPr>
            </w:pPr>
            <w:r w:rsidRPr="00CC61C2">
              <w:rPr>
                <w:szCs w:val="22"/>
              </w:rPr>
              <w:t>-</w:t>
            </w:r>
          </w:p>
        </w:tc>
        <w:tc>
          <w:tcPr>
            <w:tcW w:w="1004" w:type="pct"/>
          </w:tcPr>
          <w:p w14:paraId="22AC8CC7" w14:textId="77777777" w:rsidR="00592131" w:rsidRPr="00CC61C2" w:rsidRDefault="00592131" w:rsidP="001237DA">
            <w:pPr>
              <w:jc w:val="both"/>
              <w:rPr>
                <w:szCs w:val="22"/>
              </w:rPr>
            </w:pPr>
            <w:r w:rsidRPr="00CC61C2">
              <w:rPr>
                <w:szCs w:val="22"/>
              </w:rPr>
              <w:t>-</w:t>
            </w:r>
          </w:p>
        </w:tc>
      </w:tr>
      <w:tr w:rsidR="00592131" w:rsidRPr="00CC61C2" w14:paraId="246B4312" w14:textId="77777777" w:rsidTr="002C09D7">
        <w:tc>
          <w:tcPr>
            <w:tcW w:w="943" w:type="pct"/>
            <w:vMerge/>
            <w:shd w:val="clear" w:color="auto" w:fill="auto"/>
            <w:vAlign w:val="center"/>
          </w:tcPr>
          <w:p w14:paraId="5C69BAA1" w14:textId="77777777" w:rsidR="00592131" w:rsidRPr="00CC61C2" w:rsidRDefault="00592131" w:rsidP="001237DA">
            <w:pPr>
              <w:widowControl w:val="0"/>
              <w:tabs>
                <w:tab w:val="center" w:pos="4536"/>
                <w:tab w:val="right" w:pos="9072"/>
              </w:tabs>
              <w:jc w:val="both"/>
              <w:rPr>
                <w:szCs w:val="22"/>
              </w:rPr>
            </w:pPr>
          </w:p>
        </w:tc>
        <w:tc>
          <w:tcPr>
            <w:tcW w:w="1275" w:type="pct"/>
            <w:vAlign w:val="center"/>
          </w:tcPr>
          <w:p w14:paraId="5F29A7E6" w14:textId="77777777" w:rsidR="00592131" w:rsidRPr="00CC61C2" w:rsidRDefault="00592131" w:rsidP="001237DA">
            <w:pPr>
              <w:widowControl w:val="0"/>
              <w:jc w:val="both"/>
              <w:rPr>
                <w:noProof/>
                <w:szCs w:val="22"/>
              </w:rPr>
            </w:pPr>
            <w:r w:rsidRPr="00CC61C2">
              <w:rPr>
                <w:szCs w:val="22"/>
              </w:rPr>
              <w:t>Poremećaj mokrenja, nokturija, povećana učestalost mokrenja</w:t>
            </w:r>
          </w:p>
        </w:tc>
        <w:tc>
          <w:tcPr>
            <w:tcW w:w="690" w:type="pct"/>
            <w:vAlign w:val="center"/>
          </w:tcPr>
          <w:p w14:paraId="5C1B1498"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15F1F698" w14:textId="77777777" w:rsidR="00592131" w:rsidRPr="00CC61C2" w:rsidDel="00346F03" w:rsidRDefault="00592131" w:rsidP="001237DA">
            <w:pPr>
              <w:widowControl w:val="0"/>
              <w:jc w:val="both"/>
              <w:rPr>
                <w:szCs w:val="22"/>
              </w:rPr>
            </w:pPr>
            <w:r w:rsidRPr="00CC61C2">
              <w:rPr>
                <w:szCs w:val="22"/>
              </w:rPr>
              <w:t>-</w:t>
            </w:r>
          </w:p>
        </w:tc>
        <w:tc>
          <w:tcPr>
            <w:tcW w:w="1004" w:type="pct"/>
            <w:vAlign w:val="center"/>
          </w:tcPr>
          <w:p w14:paraId="7E8DE3DB" w14:textId="77777777" w:rsidR="00592131" w:rsidRPr="00CC61C2" w:rsidRDefault="00592131" w:rsidP="001237DA">
            <w:pPr>
              <w:jc w:val="both"/>
              <w:rPr>
                <w:szCs w:val="22"/>
              </w:rPr>
            </w:pPr>
            <w:r w:rsidRPr="00CC61C2">
              <w:rPr>
                <w:szCs w:val="22"/>
              </w:rPr>
              <w:t>Povremeno</w:t>
            </w:r>
          </w:p>
        </w:tc>
      </w:tr>
      <w:tr w:rsidR="00592131" w:rsidRPr="00CC61C2" w14:paraId="43411438" w14:textId="77777777" w:rsidTr="002C09D7">
        <w:trPr>
          <w:trHeight w:val="223"/>
        </w:trPr>
        <w:tc>
          <w:tcPr>
            <w:tcW w:w="943" w:type="pct"/>
            <w:vMerge/>
            <w:shd w:val="clear" w:color="auto" w:fill="auto"/>
            <w:vAlign w:val="center"/>
          </w:tcPr>
          <w:p w14:paraId="41F8BC6A"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7E611528" w14:textId="77777777" w:rsidR="00592131" w:rsidRPr="00CC61C2" w:rsidRDefault="00592131" w:rsidP="001237DA">
            <w:pPr>
              <w:widowControl w:val="0"/>
              <w:jc w:val="both"/>
              <w:rPr>
                <w:noProof/>
                <w:szCs w:val="22"/>
              </w:rPr>
            </w:pPr>
            <w:r w:rsidRPr="00CC61C2">
              <w:rPr>
                <w:noProof/>
                <w:szCs w:val="22"/>
              </w:rPr>
              <w:t>Renalna insuficijencija</w:t>
            </w:r>
          </w:p>
        </w:tc>
        <w:tc>
          <w:tcPr>
            <w:tcW w:w="690" w:type="pct"/>
            <w:vAlign w:val="center"/>
          </w:tcPr>
          <w:p w14:paraId="6D7599E3" w14:textId="77777777" w:rsidR="00592131" w:rsidRPr="00CC61C2" w:rsidRDefault="00592131" w:rsidP="001237DA">
            <w:pPr>
              <w:widowControl w:val="0"/>
              <w:jc w:val="both"/>
              <w:rPr>
                <w:szCs w:val="22"/>
              </w:rPr>
            </w:pPr>
            <w:r w:rsidRPr="00CC61C2">
              <w:rPr>
                <w:szCs w:val="22"/>
              </w:rPr>
              <w:t>Povremeno</w:t>
            </w:r>
          </w:p>
        </w:tc>
        <w:tc>
          <w:tcPr>
            <w:tcW w:w="1088" w:type="pct"/>
            <w:vAlign w:val="center"/>
          </w:tcPr>
          <w:p w14:paraId="539D8B21"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5DEF5FF5" w14:textId="77777777" w:rsidR="00592131" w:rsidRPr="00CC61C2" w:rsidRDefault="00592131" w:rsidP="001237DA">
            <w:pPr>
              <w:widowControl w:val="0"/>
              <w:jc w:val="both"/>
              <w:rPr>
                <w:szCs w:val="22"/>
              </w:rPr>
            </w:pPr>
            <w:r w:rsidRPr="00CC61C2">
              <w:rPr>
                <w:szCs w:val="22"/>
              </w:rPr>
              <w:t>-</w:t>
            </w:r>
          </w:p>
        </w:tc>
      </w:tr>
      <w:tr w:rsidR="00592131" w:rsidRPr="00CC61C2" w14:paraId="73ED392F" w14:textId="77777777" w:rsidTr="002C09D7">
        <w:tc>
          <w:tcPr>
            <w:tcW w:w="943" w:type="pct"/>
            <w:vMerge/>
            <w:shd w:val="clear" w:color="auto" w:fill="auto"/>
            <w:vAlign w:val="center"/>
          </w:tcPr>
          <w:p w14:paraId="32B1767F"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5D1BAAEB" w14:textId="77777777" w:rsidR="00592131" w:rsidRPr="00CC61C2" w:rsidRDefault="00592131" w:rsidP="001237DA">
            <w:pPr>
              <w:widowControl w:val="0"/>
              <w:jc w:val="both"/>
              <w:rPr>
                <w:noProof/>
                <w:szCs w:val="22"/>
              </w:rPr>
            </w:pPr>
            <w:r w:rsidRPr="00CC61C2">
              <w:rPr>
                <w:noProof/>
                <w:szCs w:val="22"/>
              </w:rPr>
              <w:t>Akutna renalna insuficijencija</w:t>
            </w:r>
          </w:p>
        </w:tc>
        <w:tc>
          <w:tcPr>
            <w:tcW w:w="690" w:type="pct"/>
            <w:vAlign w:val="center"/>
          </w:tcPr>
          <w:p w14:paraId="0978EFD6" w14:textId="77777777" w:rsidR="00592131" w:rsidRPr="00CC61C2" w:rsidRDefault="00592131" w:rsidP="001237DA">
            <w:pPr>
              <w:widowControl w:val="0"/>
              <w:jc w:val="both"/>
              <w:rPr>
                <w:szCs w:val="22"/>
              </w:rPr>
            </w:pPr>
            <w:r w:rsidRPr="00CC61C2">
              <w:rPr>
                <w:szCs w:val="22"/>
              </w:rPr>
              <w:t>Rijetko</w:t>
            </w:r>
          </w:p>
        </w:tc>
        <w:tc>
          <w:tcPr>
            <w:tcW w:w="1088" w:type="pct"/>
            <w:vAlign w:val="center"/>
          </w:tcPr>
          <w:p w14:paraId="7F959EE2" w14:textId="77777777" w:rsidR="00592131" w:rsidRPr="00CC61C2" w:rsidRDefault="00592131" w:rsidP="001237DA">
            <w:pPr>
              <w:widowControl w:val="0"/>
              <w:jc w:val="both"/>
              <w:rPr>
                <w:szCs w:val="22"/>
              </w:rPr>
            </w:pPr>
            <w:r w:rsidRPr="00CC61C2">
              <w:rPr>
                <w:szCs w:val="22"/>
              </w:rPr>
              <w:t>Veoma rijetko</w:t>
            </w:r>
          </w:p>
        </w:tc>
        <w:tc>
          <w:tcPr>
            <w:tcW w:w="1004" w:type="pct"/>
            <w:vAlign w:val="center"/>
          </w:tcPr>
          <w:p w14:paraId="29FD4282" w14:textId="77777777" w:rsidR="00592131" w:rsidRPr="00CC61C2" w:rsidRDefault="00592131" w:rsidP="001237DA">
            <w:pPr>
              <w:widowControl w:val="0"/>
              <w:jc w:val="both"/>
              <w:rPr>
                <w:szCs w:val="22"/>
              </w:rPr>
            </w:pPr>
            <w:r w:rsidRPr="00CC61C2">
              <w:rPr>
                <w:szCs w:val="22"/>
              </w:rPr>
              <w:t>-</w:t>
            </w:r>
          </w:p>
        </w:tc>
      </w:tr>
      <w:tr w:rsidR="00592131" w:rsidRPr="00CC61C2" w14:paraId="1AF562BF" w14:textId="77777777" w:rsidTr="002C09D7">
        <w:tc>
          <w:tcPr>
            <w:tcW w:w="943" w:type="pct"/>
            <w:vMerge w:val="restart"/>
            <w:shd w:val="clear" w:color="auto" w:fill="auto"/>
            <w:vAlign w:val="center"/>
          </w:tcPr>
          <w:p w14:paraId="6EB7B69C" w14:textId="77777777" w:rsidR="00592131" w:rsidRPr="00CC61C2" w:rsidRDefault="00592131" w:rsidP="001237DA">
            <w:pPr>
              <w:widowControl w:val="0"/>
              <w:tabs>
                <w:tab w:val="center" w:pos="4536"/>
                <w:tab w:val="right" w:pos="9072"/>
              </w:tabs>
              <w:jc w:val="both"/>
              <w:rPr>
                <w:noProof/>
                <w:szCs w:val="22"/>
              </w:rPr>
            </w:pPr>
            <w:r w:rsidRPr="00CC61C2">
              <w:rPr>
                <w:b/>
                <w:bCs/>
                <w:noProof/>
                <w:szCs w:val="22"/>
              </w:rPr>
              <w:t xml:space="preserve">Poremećaji reproduktivnog sistema i na nivou dojki </w:t>
            </w:r>
          </w:p>
        </w:tc>
        <w:tc>
          <w:tcPr>
            <w:tcW w:w="1275" w:type="pct"/>
            <w:vAlign w:val="center"/>
          </w:tcPr>
          <w:p w14:paraId="18E5664D" w14:textId="77777777" w:rsidR="00592131" w:rsidRPr="00CC61C2" w:rsidRDefault="00592131" w:rsidP="001237DA">
            <w:pPr>
              <w:widowControl w:val="0"/>
              <w:jc w:val="both"/>
              <w:rPr>
                <w:noProof/>
                <w:szCs w:val="22"/>
              </w:rPr>
            </w:pPr>
            <w:r w:rsidRPr="00CC61C2">
              <w:rPr>
                <w:noProof/>
                <w:szCs w:val="22"/>
              </w:rPr>
              <w:t>Impotencija</w:t>
            </w:r>
          </w:p>
        </w:tc>
        <w:tc>
          <w:tcPr>
            <w:tcW w:w="690" w:type="pct"/>
            <w:vAlign w:val="center"/>
          </w:tcPr>
          <w:p w14:paraId="3392538B" w14:textId="77777777" w:rsidR="00592131" w:rsidRPr="00CC61C2" w:rsidRDefault="00592131" w:rsidP="001237DA">
            <w:pPr>
              <w:widowControl w:val="0"/>
              <w:jc w:val="both"/>
              <w:rPr>
                <w:szCs w:val="22"/>
              </w:rPr>
            </w:pPr>
            <w:r w:rsidRPr="00CC61C2">
              <w:rPr>
                <w:szCs w:val="22"/>
              </w:rPr>
              <w:t>Povremeno</w:t>
            </w:r>
          </w:p>
        </w:tc>
        <w:tc>
          <w:tcPr>
            <w:tcW w:w="1088" w:type="pct"/>
            <w:vAlign w:val="center"/>
          </w:tcPr>
          <w:p w14:paraId="0F9BBE7C" w14:textId="77777777" w:rsidR="00592131" w:rsidRPr="00CC61C2" w:rsidRDefault="00592131" w:rsidP="001237DA">
            <w:pPr>
              <w:widowControl w:val="0"/>
              <w:jc w:val="both"/>
              <w:rPr>
                <w:szCs w:val="22"/>
              </w:rPr>
            </w:pPr>
            <w:r w:rsidRPr="00CC61C2">
              <w:rPr>
                <w:szCs w:val="22"/>
              </w:rPr>
              <w:t>Povremeno</w:t>
            </w:r>
          </w:p>
        </w:tc>
        <w:tc>
          <w:tcPr>
            <w:tcW w:w="1004" w:type="pct"/>
            <w:vAlign w:val="center"/>
          </w:tcPr>
          <w:p w14:paraId="64E75D5B" w14:textId="77777777" w:rsidR="00592131" w:rsidRPr="00CC61C2" w:rsidRDefault="00592131" w:rsidP="001237DA">
            <w:pPr>
              <w:jc w:val="both"/>
              <w:rPr>
                <w:szCs w:val="22"/>
              </w:rPr>
            </w:pPr>
            <w:r w:rsidRPr="00CC61C2">
              <w:rPr>
                <w:szCs w:val="22"/>
              </w:rPr>
              <w:t>-</w:t>
            </w:r>
          </w:p>
        </w:tc>
      </w:tr>
      <w:tr w:rsidR="00592131" w:rsidRPr="00CC61C2" w14:paraId="4944B72C" w14:textId="77777777" w:rsidTr="002C09D7">
        <w:tc>
          <w:tcPr>
            <w:tcW w:w="943" w:type="pct"/>
            <w:vMerge/>
            <w:shd w:val="clear" w:color="auto" w:fill="auto"/>
            <w:vAlign w:val="center"/>
          </w:tcPr>
          <w:p w14:paraId="52DA086F"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67A1D6FC" w14:textId="77777777" w:rsidR="00592131" w:rsidRDefault="00592131" w:rsidP="001237DA">
            <w:pPr>
              <w:widowControl w:val="0"/>
              <w:jc w:val="both"/>
              <w:rPr>
                <w:noProof/>
                <w:szCs w:val="22"/>
              </w:rPr>
            </w:pPr>
            <w:r w:rsidRPr="00CC61C2">
              <w:rPr>
                <w:noProof/>
                <w:szCs w:val="22"/>
              </w:rPr>
              <w:t>Ginekomastija</w:t>
            </w:r>
          </w:p>
          <w:p w14:paraId="3FEFCCA8" w14:textId="77777777" w:rsidR="00A160D0" w:rsidRDefault="00A160D0" w:rsidP="001237DA">
            <w:pPr>
              <w:widowControl w:val="0"/>
              <w:jc w:val="both"/>
              <w:rPr>
                <w:noProof/>
                <w:szCs w:val="22"/>
              </w:rPr>
            </w:pPr>
          </w:p>
          <w:p w14:paraId="69457D6A" w14:textId="77777777" w:rsidR="00A160D0" w:rsidRDefault="00A160D0" w:rsidP="001237DA">
            <w:pPr>
              <w:widowControl w:val="0"/>
              <w:jc w:val="both"/>
              <w:rPr>
                <w:noProof/>
                <w:szCs w:val="22"/>
              </w:rPr>
            </w:pPr>
          </w:p>
          <w:p w14:paraId="11827C5E" w14:textId="2436E6EB" w:rsidR="00A160D0" w:rsidRPr="00CC61C2" w:rsidRDefault="00A160D0" w:rsidP="001237DA">
            <w:pPr>
              <w:widowControl w:val="0"/>
              <w:jc w:val="both"/>
              <w:rPr>
                <w:noProof/>
                <w:szCs w:val="22"/>
              </w:rPr>
            </w:pPr>
          </w:p>
        </w:tc>
        <w:tc>
          <w:tcPr>
            <w:tcW w:w="690" w:type="pct"/>
            <w:vAlign w:val="center"/>
          </w:tcPr>
          <w:p w14:paraId="55E9E728"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0955CE8A"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3BE131EA" w14:textId="77777777" w:rsidR="00592131" w:rsidRPr="00CC61C2" w:rsidRDefault="00592131" w:rsidP="001237DA">
            <w:pPr>
              <w:jc w:val="both"/>
              <w:rPr>
                <w:szCs w:val="22"/>
              </w:rPr>
            </w:pPr>
            <w:r w:rsidRPr="00CC61C2">
              <w:rPr>
                <w:szCs w:val="22"/>
              </w:rPr>
              <w:t>Povremeno</w:t>
            </w:r>
          </w:p>
        </w:tc>
      </w:tr>
      <w:tr w:rsidR="00592131" w:rsidRPr="00CC61C2" w14:paraId="44EB8B0C" w14:textId="77777777" w:rsidTr="002C09D7">
        <w:tc>
          <w:tcPr>
            <w:tcW w:w="943" w:type="pct"/>
            <w:vMerge w:val="restart"/>
            <w:shd w:val="clear" w:color="auto" w:fill="auto"/>
            <w:vAlign w:val="center"/>
          </w:tcPr>
          <w:p w14:paraId="6C33F2AA" w14:textId="77777777" w:rsidR="00592131" w:rsidRPr="00CC61C2" w:rsidRDefault="00592131" w:rsidP="009D6AD4">
            <w:pPr>
              <w:widowControl w:val="0"/>
              <w:tabs>
                <w:tab w:val="center" w:pos="4536"/>
                <w:tab w:val="right" w:pos="9072"/>
              </w:tabs>
              <w:rPr>
                <w:noProof/>
                <w:szCs w:val="22"/>
              </w:rPr>
            </w:pPr>
            <w:r w:rsidRPr="00CC61C2">
              <w:rPr>
                <w:b/>
                <w:bCs/>
                <w:noProof/>
                <w:szCs w:val="22"/>
              </w:rPr>
              <w:t xml:space="preserve">Opšti poremećaji i reakcije na mjestu primjene </w:t>
            </w:r>
          </w:p>
        </w:tc>
        <w:tc>
          <w:tcPr>
            <w:tcW w:w="1275" w:type="pct"/>
            <w:vAlign w:val="center"/>
          </w:tcPr>
          <w:p w14:paraId="1FF1623D" w14:textId="77777777" w:rsidR="00592131" w:rsidRPr="00CC61C2" w:rsidRDefault="00592131" w:rsidP="001237DA">
            <w:pPr>
              <w:widowControl w:val="0"/>
              <w:jc w:val="both"/>
              <w:rPr>
                <w:noProof/>
                <w:szCs w:val="22"/>
              </w:rPr>
            </w:pPr>
            <w:r w:rsidRPr="00CC61C2">
              <w:rPr>
                <w:noProof/>
                <w:szCs w:val="22"/>
              </w:rPr>
              <w:t>Edem</w:t>
            </w:r>
          </w:p>
        </w:tc>
        <w:tc>
          <w:tcPr>
            <w:tcW w:w="690" w:type="pct"/>
            <w:vAlign w:val="center"/>
          </w:tcPr>
          <w:p w14:paraId="0A528904"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1B5F238A"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2BE32ABE" w14:textId="77777777" w:rsidR="00592131" w:rsidRPr="00CC61C2" w:rsidRDefault="00592131" w:rsidP="001237DA">
            <w:pPr>
              <w:widowControl w:val="0"/>
              <w:jc w:val="both"/>
              <w:rPr>
                <w:szCs w:val="22"/>
              </w:rPr>
            </w:pPr>
            <w:r w:rsidRPr="00CC61C2">
              <w:rPr>
                <w:szCs w:val="22"/>
              </w:rPr>
              <w:t>Veoma često</w:t>
            </w:r>
          </w:p>
        </w:tc>
      </w:tr>
      <w:tr w:rsidR="00592131" w:rsidRPr="00CC61C2" w14:paraId="46FACD98" w14:textId="77777777" w:rsidTr="002C09D7">
        <w:tc>
          <w:tcPr>
            <w:tcW w:w="943" w:type="pct"/>
            <w:vMerge/>
            <w:shd w:val="clear" w:color="auto" w:fill="auto"/>
            <w:vAlign w:val="center"/>
          </w:tcPr>
          <w:p w14:paraId="1B4224E7" w14:textId="77777777" w:rsidR="00592131" w:rsidRPr="00CC61C2" w:rsidRDefault="00592131" w:rsidP="001237DA">
            <w:pPr>
              <w:widowControl w:val="0"/>
              <w:tabs>
                <w:tab w:val="center" w:pos="4536"/>
                <w:tab w:val="right" w:pos="9072"/>
              </w:tabs>
              <w:jc w:val="both"/>
              <w:rPr>
                <w:szCs w:val="22"/>
              </w:rPr>
            </w:pPr>
          </w:p>
        </w:tc>
        <w:tc>
          <w:tcPr>
            <w:tcW w:w="1275" w:type="pct"/>
            <w:vAlign w:val="center"/>
          </w:tcPr>
          <w:p w14:paraId="538E67B7" w14:textId="77777777" w:rsidR="00592131" w:rsidRPr="00CC61C2" w:rsidRDefault="00592131" w:rsidP="001237DA">
            <w:pPr>
              <w:widowControl w:val="0"/>
              <w:jc w:val="both"/>
              <w:rPr>
                <w:noProof/>
                <w:szCs w:val="22"/>
              </w:rPr>
            </w:pPr>
            <w:r w:rsidRPr="00CC61C2">
              <w:rPr>
                <w:noProof/>
                <w:szCs w:val="22"/>
              </w:rPr>
              <w:t>Periferni edemi</w:t>
            </w:r>
          </w:p>
        </w:tc>
        <w:tc>
          <w:tcPr>
            <w:tcW w:w="690" w:type="pct"/>
            <w:vAlign w:val="center"/>
          </w:tcPr>
          <w:p w14:paraId="192DC15B" w14:textId="77777777" w:rsidR="00592131" w:rsidRPr="00CC61C2" w:rsidRDefault="00592131" w:rsidP="001237DA">
            <w:pPr>
              <w:widowControl w:val="0"/>
              <w:jc w:val="both"/>
              <w:rPr>
                <w:szCs w:val="22"/>
              </w:rPr>
            </w:pPr>
            <w:r w:rsidRPr="00CC61C2">
              <w:rPr>
                <w:szCs w:val="22"/>
              </w:rPr>
              <w:t>Povremeno*</w:t>
            </w:r>
          </w:p>
        </w:tc>
        <w:tc>
          <w:tcPr>
            <w:tcW w:w="1088" w:type="pct"/>
            <w:vAlign w:val="center"/>
          </w:tcPr>
          <w:p w14:paraId="0B5F8CCA"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6BA8D4DB" w14:textId="77777777" w:rsidR="00592131" w:rsidRPr="00CC61C2" w:rsidRDefault="00592131" w:rsidP="001237DA">
            <w:pPr>
              <w:widowControl w:val="0"/>
              <w:jc w:val="both"/>
              <w:rPr>
                <w:szCs w:val="22"/>
              </w:rPr>
            </w:pPr>
            <w:r w:rsidRPr="00CC61C2">
              <w:rPr>
                <w:szCs w:val="22"/>
              </w:rPr>
              <w:t>Veoma često</w:t>
            </w:r>
          </w:p>
        </w:tc>
      </w:tr>
      <w:tr w:rsidR="00592131" w:rsidRPr="00CC61C2" w14:paraId="03460D45" w14:textId="77777777" w:rsidTr="002C09D7">
        <w:tc>
          <w:tcPr>
            <w:tcW w:w="943" w:type="pct"/>
            <w:vMerge/>
            <w:shd w:val="clear" w:color="auto" w:fill="auto"/>
            <w:vAlign w:val="center"/>
          </w:tcPr>
          <w:p w14:paraId="1EAE19C3"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181F03A4" w14:textId="77777777" w:rsidR="00592131" w:rsidRPr="00CC61C2" w:rsidRDefault="00592131" w:rsidP="001237DA">
            <w:pPr>
              <w:widowControl w:val="0"/>
              <w:jc w:val="both"/>
              <w:rPr>
                <w:noProof/>
                <w:szCs w:val="22"/>
              </w:rPr>
            </w:pPr>
            <w:r w:rsidRPr="00CC61C2">
              <w:rPr>
                <w:noProof/>
                <w:szCs w:val="22"/>
              </w:rPr>
              <w:t>Umor</w:t>
            </w:r>
          </w:p>
        </w:tc>
        <w:tc>
          <w:tcPr>
            <w:tcW w:w="690" w:type="pct"/>
            <w:vAlign w:val="center"/>
          </w:tcPr>
          <w:p w14:paraId="78DB6E16"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151B3516" w14:textId="77777777" w:rsidR="00592131" w:rsidRPr="00CC61C2" w:rsidRDefault="00592131" w:rsidP="001237DA">
            <w:pPr>
              <w:widowControl w:val="0"/>
              <w:jc w:val="both"/>
              <w:rPr>
                <w:szCs w:val="22"/>
              </w:rPr>
            </w:pPr>
            <w:r w:rsidRPr="00CC61C2">
              <w:rPr>
                <w:szCs w:val="22"/>
              </w:rPr>
              <w:t>Rijetko</w:t>
            </w:r>
          </w:p>
        </w:tc>
        <w:tc>
          <w:tcPr>
            <w:tcW w:w="1004" w:type="pct"/>
            <w:vAlign w:val="center"/>
          </w:tcPr>
          <w:p w14:paraId="4FD04078" w14:textId="77777777" w:rsidR="00592131" w:rsidRPr="00CC61C2" w:rsidRDefault="00592131" w:rsidP="001237DA">
            <w:pPr>
              <w:widowControl w:val="0"/>
              <w:jc w:val="both"/>
              <w:rPr>
                <w:szCs w:val="22"/>
              </w:rPr>
            </w:pPr>
            <w:r w:rsidRPr="00CC61C2">
              <w:rPr>
                <w:szCs w:val="22"/>
              </w:rPr>
              <w:t>Često</w:t>
            </w:r>
          </w:p>
        </w:tc>
      </w:tr>
      <w:tr w:rsidR="00592131" w:rsidRPr="00CC61C2" w14:paraId="126EAD81" w14:textId="77777777" w:rsidTr="002C09D7">
        <w:tc>
          <w:tcPr>
            <w:tcW w:w="943" w:type="pct"/>
            <w:vMerge/>
            <w:shd w:val="clear" w:color="auto" w:fill="auto"/>
            <w:vAlign w:val="center"/>
          </w:tcPr>
          <w:p w14:paraId="3177C318"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5A843DF2" w14:textId="77777777" w:rsidR="00592131" w:rsidRPr="00CC61C2" w:rsidRDefault="00592131" w:rsidP="001237DA">
            <w:pPr>
              <w:widowControl w:val="0"/>
              <w:jc w:val="both"/>
              <w:rPr>
                <w:noProof/>
                <w:szCs w:val="22"/>
              </w:rPr>
            </w:pPr>
            <w:r w:rsidRPr="00CC61C2">
              <w:rPr>
                <w:noProof/>
                <w:szCs w:val="22"/>
              </w:rPr>
              <w:t>Bolovi u prsima</w:t>
            </w:r>
          </w:p>
        </w:tc>
        <w:tc>
          <w:tcPr>
            <w:tcW w:w="690" w:type="pct"/>
            <w:vAlign w:val="center"/>
          </w:tcPr>
          <w:p w14:paraId="1E494FAC" w14:textId="77777777" w:rsidR="00592131" w:rsidRPr="00CC61C2" w:rsidRDefault="00592131" w:rsidP="001237DA">
            <w:pPr>
              <w:widowControl w:val="0"/>
              <w:jc w:val="both"/>
              <w:rPr>
                <w:szCs w:val="22"/>
              </w:rPr>
            </w:pPr>
            <w:r w:rsidRPr="00CC61C2">
              <w:rPr>
                <w:szCs w:val="22"/>
              </w:rPr>
              <w:t>Povremeno*</w:t>
            </w:r>
          </w:p>
        </w:tc>
        <w:tc>
          <w:tcPr>
            <w:tcW w:w="1088" w:type="pct"/>
            <w:vAlign w:val="center"/>
          </w:tcPr>
          <w:p w14:paraId="7D823C64"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0853D067" w14:textId="77777777" w:rsidR="00592131" w:rsidRPr="00CC61C2" w:rsidRDefault="00592131" w:rsidP="001237DA">
            <w:pPr>
              <w:widowControl w:val="0"/>
              <w:jc w:val="both"/>
              <w:rPr>
                <w:szCs w:val="22"/>
              </w:rPr>
            </w:pPr>
            <w:r w:rsidRPr="00CC61C2">
              <w:rPr>
                <w:szCs w:val="22"/>
              </w:rPr>
              <w:t>Povremeno</w:t>
            </w:r>
          </w:p>
        </w:tc>
      </w:tr>
      <w:tr w:rsidR="00592131" w:rsidRPr="00CC61C2" w14:paraId="3922655C" w14:textId="77777777" w:rsidTr="002C09D7">
        <w:tc>
          <w:tcPr>
            <w:tcW w:w="943" w:type="pct"/>
            <w:vMerge/>
            <w:shd w:val="clear" w:color="auto" w:fill="auto"/>
            <w:vAlign w:val="center"/>
          </w:tcPr>
          <w:p w14:paraId="3B02D62D"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76DF4B8B" w14:textId="77777777" w:rsidR="00592131" w:rsidRPr="00CC61C2" w:rsidRDefault="00592131" w:rsidP="001237DA">
            <w:pPr>
              <w:widowControl w:val="0"/>
              <w:jc w:val="both"/>
              <w:rPr>
                <w:noProof/>
                <w:szCs w:val="22"/>
              </w:rPr>
            </w:pPr>
            <w:r w:rsidRPr="00CC61C2">
              <w:rPr>
                <w:noProof/>
                <w:szCs w:val="22"/>
              </w:rPr>
              <w:t>Astenija</w:t>
            </w:r>
          </w:p>
        </w:tc>
        <w:tc>
          <w:tcPr>
            <w:tcW w:w="690" w:type="pct"/>
            <w:vAlign w:val="center"/>
          </w:tcPr>
          <w:p w14:paraId="6F621379" w14:textId="77777777" w:rsidR="00592131" w:rsidRPr="00CC61C2" w:rsidRDefault="00592131" w:rsidP="001237DA">
            <w:pPr>
              <w:widowControl w:val="0"/>
              <w:jc w:val="both"/>
              <w:rPr>
                <w:szCs w:val="22"/>
              </w:rPr>
            </w:pPr>
            <w:r w:rsidRPr="00CC61C2">
              <w:rPr>
                <w:szCs w:val="22"/>
              </w:rPr>
              <w:t>Često</w:t>
            </w:r>
          </w:p>
        </w:tc>
        <w:tc>
          <w:tcPr>
            <w:tcW w:w="1088" w:type="pct"/>
            <w:vAlign w:val="center"/>
          </w:tcPr>
          <w:p w14:paraId="2091EC17"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191AEDD3" w14:textId="77777777" w:rsidR="00592131" w:rsidRPr="00CC61C2" w:rsidRDefault="00592131" w:rsidP="001237DA">
            <w:pPr>
              <w:widowControl w:val="0"/>
              <w:jc w:val="both"/>
              <w:rPr>
                <w:szCs w:val="22"/>
              </w:rPr>
            </w:pPr>
            <w:r w:rsidRPr="00CC61C2">
              <w:rPr>
                <w:szCs w:val="22"/>
              </w:rPr>
              <w:t>Često</w:t>
            </w:r>
          </w:p>
        </w:tc>
      </w:tr>
      <w:tr w:rsidR="00592131" w:rsidRPr="00CC61C2" w14:paraId="2993FAE0" w14:textId="77777777" w:rsidTr="002C09D7">
        <w:tc>
          <w:tcPr>
            <w:tcW w:w="943" w:type="pct"/>
            <w:vMerge/>
            <w:shd w:val="clear" w:color="auto" w:fill="auto"/>
            <w:vAlign w:val="center"/>
          </w:tcPr>
          <w:p w14:paraId="77974C9D"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02632D35" w14:textId="77777777" w:rsidR="00592131" w:rsidRPr="00CC61C2" w:rsidRDefault="00592131" w:rsidP="001237DA">
            <w:pPr>
              <w:widowControl w:val="0"/>
              <w:jc w:val="both"/>
              <w:rPr>
                <w:noProof/>
                <w:szCs w:val="22"/>
              </w:rPr>
            </w:pPr>
            <w:r w:rsidRPr="00CC61C2">
              <w:rPr>
                <w:noProof/>
                <w:szCs w:val="22"/>
              </w:rPr>
              <w:t>Bol</w:t>
            </w:r>
          </w:p>
        </w:tc>
        <w:tc>
          <w:tcPr>
            <w:tcW w:w="690" w:type="pct"/>
            <w:vAlign w:val="center"/>
          </w:tcPr>
          <w:p w14:paraId="31C9FBA2"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2CC7443B"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739155C2" w14:textId="77777777" w:rsidR="00592131" w:rsidRPr="00CC61C2" w:rsidRDefault="00592131" w:rsidP="001237DA">
            <w:pPr>
              <w:jc w:val="both"/>
              <w:rPr>
                <w:szCs w:val="22"/>
              </w:rPr>
            </w:pPr>
            <w:r w:rsidRPr="00CC61C2">
              <w:rPr>
                <w:szCs w:val="22"/>
              </w:rPr>
              <w:t>Povremeno</w:t>
            </w:r>
          </w:p>
        </w:tc>
      </w:tr>
      <w:tr w:rsidR="00592131" w:rsidRPr="00CC61C2" w14:paraId="22D785F9" w14:textId="77777777" w:rsidTr="002C09D7">
        <w:tc>
          <w:tcPr>
            <w:tcW w:w="943" w:type="pct"/>
            <w:vMerge/>
            <w:shd w:val="clear" w:color="auto" w:fill="auto"/>
            <w:vAlign w:val="center"/>
          </w:tcPr>
          <w:p w14:paraId="2D0C1F8B"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4522EBDE" w14:textId="77777777" w:rsidR="00592131" w:rsidRPr="00CC61C2" w:rsidRDefault="00592131" w:rsidP="001237DA">
            <w:pPr>
              <w:widowControl w:val="0"/>
              <w:jc w:val="both"/>
              <w:rPr>
                <w:noProof/>
                <w:szCs w:val="22"/>
              </w:rPr>
            </w:pPr>
            <w:r w:rsidRPr="00CC61C2">
              <w:rPr>
                <w:noProof/>
                <w:szCs w:val="22"/>
              </w:rPr>
              <w:t>Opšta slabost</w:t>
            </w:r>
          </w:p>
        </w:tc>
        <w:tc>
          <w:tcPr>
            <w:tcW w:w="690" w:type="pct"/>
            <w:vAlign w:val="center"/>
          </w:tcPr>
          <w:p w14:paraId="67BF6B5A" w14:textId="4E4492C7" w:rsidR="00592131" w:rsidRPr="00CC61C2" w:rsidRDefault="00592131" w:rsidP="001237DA">
            <w:pPr>
              <w:jc w:val="both"/>
              <w:rPr>
                <w:szCs w:val="22"/>
              </w:rPr>
            </w:pPr>
            <w:r w:rsidRPr="00CC61C2">
              <w:rPr>
                <w:szCs w:val="22"/>
              </w:rPr>
              <w:t>Povremeno</w:t>
            </w:r>
          </w:p>
        </w:tc>
        <w:tc>
          <w:tcPr>
            <w:tcW w:w="1088" w:type="pct"/>
            <w:vAlign w:val="center"/>
          </w:tcPr>
          <w:p w14:paraId="35865561"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7D864379" w14:textId="77777777" w:rsidR="00592131" w:rsidRPr="00CC61C2" w:rsidRDefault="00592131" w:rsidP="001237DA">
            <w:pPr>
              <w:jc w:val="both"/>
              <w:rPr>
                <w:szCs w:val="22"/>
              </w:rPr>
            </w:pPr>
            <w:r w:rsidRPr="00CC61C2">
              <w:rPr>
                <w:szCs w:val="22"/>
              </w:rPr>
              <w:t>Povremeno</w:t>
            </w:r>
          </w:p>
        </w:tc>
      </w:tr>
      <w:tr w:rsidR="00592131" w:rsidRPr="00CC61C2" w14:paraId="0B450D7A" w14:textId="77777777" w:rsidTr="002C09D7">
        <w:tc>
          <w:tcPr>
            <w:tcW w:w="943" w:type="pct"/>
            <w:vMerge/>
            <w:shd w:val="clear" w:color="auto" w:fill="auto"/>
            <w:vAlign w:val="center"/>
          </w:tcPr>
          <w:p w14:paraId="413B759A"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211B6E1D" w14:textId="77777777" w:rsidR="00592131" w:rsidRPr="00CC61C2" w:rsidRDefault="00592131" w:rsidP="001237DA">
            <w:pPr>
              <w:widowControl w:val="0"/>
              <w:jc w:val="both"/>
              <w:rPr>
                <w:noProof/>
                <w:szCs w:val="22"/>
              </w:rPr>
            </w:pPr>
            <w:r w:rsidRPr="00CC61C2">
              <w:rPr>
                <w:noProof/>
                <w:szCs w:val="22"/>
              </w:rPr>
              <w:t>Pireksija</w:t>
            </w:r>
          </w:p>
        </w:tc>
        <w:tc>
          <w:tcPr>
            <w:tcW w:w="690" w:type="pct"/>
            <w:vAlign w:val="center"/>
          </w:tcPr>
          <w:p w14:paraId="345C07DB" w14:textId="77777777" w:rsidR="00592131" w:rsidRPr="00CC61C2" w:rsidRDefault="00592131" w:rsidP="001237DA">
            <w:pPr>
              <w:jc w:val="both"/>
              <w:rPr>
                <w:szCs w:val="22"/>
              </w:rPr>
            </w:pPr>
            <w:r w:rsidRPr="00CC61C2">
              <w:rPr>
                <w:szCs w:val="22"/>
              </w:rPr>
              <w:t>Povremeno*</w:t>
            </w:r>
          </w:p>
        </w:tc>
        <w:tc>
          <w:tcPr>
            <w:tcW w:w="1088" w:type="pct"/>
            <w:vAlign w:val="center"/>
          </w:tcPr>
          <w:p w14:paraId="49A634AD" w14:textId="77777777" w:rsidR="00592131" w:rsidRPr="00CC61C2" w:rsidDel="00B60517" w:rsidRDefault="00592131" w:rsidP="001237DA">
            <w:pPr>
              <w:widowControl w:val="0"/>
              <w:jc w:val="both"/>
              <w:rPr>
                <w:szCs w:val="22"/>
              </w:rPr>
            </w:pPr>
            <w:r w:rsidRPr="00CC61C2">
              <w:rPr>
                <w:szCs w:val="22"/>
              </w:rPr>
              <w:t>-</w:t>
            </w:r>
          </w:p>
        </w:tc>
        <w:tc>
          <w:tcPr>
            <w:tcW w:w="1004" w:type="pct"/>
            <w:vAlign w:val="center"/>
          </w:tcPr>
          <w:p w14:paraId="083F9BB4" w14:textId="77777777" w:rsidR="00592131" w:rsidRPr="00CC61C2" w:rsidRDefault="00592131" w:rsidP="001237DA">
            <w:pPr>
              <w:widowControl w:val="0"/>
              <w:jc w:val="both"/>
              <w:rPr>
                <w:szCs w:val="22"/>
              </w:rPr>
            </w:pPr>
            <w:r w:rsidRPr="00CC61C2">
              <w:rPr>
                <w:szCs w:val="22"/>
              </w:rPr>
              <w:t>-</w:t>
            </w:r>
          </w:p>
        </w:tc>
      </w:tr>
      <w:tr w:rsidR="00592131" w:rsidRPr="00CC61C2" w14:paraId="109C24F8" w14:textId="77777777" w:rsidTr="002C09D7">
        <w:tc>
          <w:tcPr>
            <w:tcW w:w="943" w:type="pct"/>
            <w:vMerge w:val="restart"/>
            <w:shd w:val="clear" w:color="auto" w:fill="auto"/>
            <w:vAlign w:val="center"/>
          </w:tcPr>
          <w:p w14:paraId="7322C6ED" w14:textId="77777777" w:rsidR="00592131" w:rsidRPr="00CC61C2" w:rsidRDefault="00592131" w:rsidP="001237DA">
            <w:pPr>
              <w:widowControl w:val="0"/>
              <w:tabs>
                <w:tab w:val="center" w:pos="4536"/>
                <w:tab w:val="right" w:pos="9072"/>
              </w:tabs>
              <w:jc w:val="both"/>
              <w:rPr>
                <w:noProof/>
                <w:szCs w:val="22"/>
              </w:rPr>
            </w:pPr>
            <w:r w:rsidRPr="00CC61C2">
              <w:rPr>
                <w:b/>
                <w:bCs/>
                <w:noProof/>
                <w:szCs w:val="22"/>
              </w:rPr>
              <w:t>Ispitivanja</w:t>
            </w:r>
          </w:p>
        </w:tc>
        <w:tc>
          <w:tcPr>
            <w:tcW w:w="1275" w:type="pct"/>
            <w:vAlign w:val="center"/>
          </w:tcPr>
          <w:p w14:paraId="1836687D" w14:textId="77777777" w:rsidR="00592131" w:rsidRPr="00CC61C2" w:rsidRDefault="00592131" w:rsidP="009D6AD4">
            <w:pPr>
              <w:widowControl w:val="0"/>
              <w:autoSpaceDE w:val="0"/>
              <w:autoSpaceDN w:val="0"/>
              <w:adjustRightInd w:val="0"/>
              <w:rPr>
                <w:noProof/>
                <w:szCs w:val="22"/>
              </w:rPr>
            </w:pPr>
            <w:r w:rsidRPr="00CC61C2">
              <w:rPr>
                <w:noProof/>
                <w:szCs w:val="22"/>
              </w:rPr>
              <w:t>Povećanje nivoa enzima jetre</w:t>
            </w:r>
          </w:p>
        </w:tc>
        <w:tc>
          <w:tcPr>
            <w:tcW w:w="690" w:type="pct"/>
            <w:vAlign w:val="center"/>
          </w:tcPr>
          <w:p w14:paraId="7A533695" w14:textId="77777777" w:rsidR="00592131" w:rsidRPr="00CC61C2" w:rsidRDefault="00592131" w:rsidP="001237DA">
            <w:pPr>
              <w:widowControl w:val="0"/>
              <w:jc w:val="both"/>
              <w:rPr>
                <w:szCs w:val="22"/>
              </w:rPr>
            </w:pPr>
            <w:r w:rsidRPr="00CC61C2">
              <w:rPr>
                <w:szCs w:val="22"/>
              </w:rPr>
              <w:t>Rijetko</w:t>
            </w:r>
          </w:p>
        </w:tc>
        <w:tc>
          <w:tcPr>
            <w:tcW w:w="1088" w:type="pct"/>
            <w:vAlign w:val="center"/>
          </w:tcPr>
          <w:p w14:paraId="6561F4A7" w14:textId="77777777" w:rsidR="00592131" w:rsidRPr="00CC61C2" w:rsidRDefault="00592131" w:rsidP="001237DA">
            <w:pPr>
              <w:widowControl w:val="0"/>
              <w:jc w:val="both"/>
              <w:rPr>
                <w:szCs w:val="22"/>
              </w:rPr>
            </w:pPr>
            <w:r w:rsidRPr="00CC61C2">
              <w:rPr>
                <w:szCs w:val="22"/>
              </w:rPr>
              <w:t>Nepoznato</w:t>
            </w:r>
          </w:p>
        </w:tc>
        <w:tc>
          <w:tcPr>
            <w:tcW w:w="1004" w:type="pct"/>
            <w:vAlign w:val="center"/>
          </w:tcPr>
          <w:p w14:paraId="79F394B0" w14:textId="77777777" w:rsidR="00592131" w:rsidRPr="00CC61C2" w:rsidRDefault="00592131" w:rsidP="001237DA">
            <w:pPr>
              <w:widowControl w:val="0"/>
              <w:jc w:val="both"/>
              <w:rPr>
                <w:szCs w:val="22"/>
              </w:rPr>
            </w:pPr>
            <w:r w:rsidRPr="00CC61C2">
              <w:rPr>
                <w:szCs w:val="22"/>
              </w:rPr>
              <w:t>Veoma rijetko**</w:t>
            </w:r>
          </w:p>
        </w:tc>
      </w:tr>
      <w:tr w:rsidR="00592131" w:rsidRPr="00CC61C2" w14:paraId="6BBC2ED2" w14:textId="77777777" w:rsidTr="002C09D7">
        <w:trPr>
          <w:trHeight w:val="836"/>
        </w:trPr>
        <w:tc>
          <w:tcPr>
            <w:tcW w:w="943" w:type="pct"/>
            <w:vMerge/>
            <w:shd w:val="clear" w:color="auto" w:fill="auto"/>
            <w:vAlign w:val="center"/>
          </w:tcPr>
          <w:p w14:paraId="5142E97A"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0F03CDAE" w14:textId="17D61471" w:rsidR="00592131" w:rsidRPr="00CC61C2" w:rsidRDefault="00592131" w:rsidP="009D6AD4">
            <w:pPr>
              <w:tabs>
                <w:tab w:val="left" w:pos="284"/>
              </w:tabs>
              <w:ind w:left="-1460" w:firstLine="1460"/>
              <w:rPr>
                <w:noProof/>
                <w:szCs w:val="22"/>
              </w:rPr>
            </w:pPr>
            <w:r w:rsidRPr="00CC61C2">
              <w:rPr>
                <w:noProof/>
                <w:szCs w:val="22"/>
              </w:rPr>
              <w:t>Povećanje nivoa bilirubina</w:t>
            </w:r>
          </w:p>
          <w:p w14:paraId="1FF65651" w14:textId="77777777" w:rsidR="00592131" w:rsidRPr="00CC61C2" w:rsidRDefault="00592131" w:rsidP="009D6AD4">
            <w:pPr>
              <w:widowControl w:val="0"/>
              <w:rPr>
                <w:noProof/>
                <w:szCs w:val="22"/>
              </w:rPr>
            </w:pPr>
            <w:r w:rsidRPr="00CC61C2">
              <w:rPr>
                <w:noProof/>
                <w:szCs w:val="22"/>
              </w:rPr>
              <w:t>u krvi</w:t>
            </w:r>
          </w:p>
        </w:tc>
        <w:tc>
          <w:tcPr>
            <w:tcW w:w="690" w:type="pct"/>
            <w:vAlign w:val="center"/>
          </w:tcPr>
          <w:p w14:paraId="485A2D8E" w14:textId="77777777" w:rsidR="00592131" w:rsidRPr="00CC61C2" w:rsidRDefault="00592131" w:rsidP="001237DA">
            <w:pPr>
              <w:widowControl w:val="0"/>
              <w:jc w:val="both"/>
              <w:rPr>
                <w:szCs w:val="22"/>
              </w:rPr>
            </w:pPr>
            <w:r w:rsidRPr="00CC61C2">
              <w:rPr>
                <w:szCs w:val="22"/>
              </w:rPr>
              <w:t>Rijetko</w:t>
            </w:r>
          </w:p>
        </w:tc>
        <w:tc>
          <w:tcPr>
            <w:tcW w:w="1088" w:type="pct"/>
            <w:vAlign w:val="center"/>
          </w:tcPr>
          <w:p w14:paraId="4692690B"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79D49745" w14:textId="77777777" w:rsidR="00592131" w:rsidRPr="00CC61C2" w:rsidRDefault="00592131" w:rsidP="001237DA">
            <w:pPr>
              <w:widowControl w:val="0"/>
              <w:jc w:val="both"/>
              <w:rPr>
                <w:szCs w:val="22"/>
              </w:rPr>
            </w:pPr>
            <w:r w:rsidRPr="00CC61C2">
              <w:rPr>
                <w:szCs w:val="22"/>
              </w:rPr>
              <w:t>-</w:t>
            </w:r>
          </w:p>
        </w:tc>
      </w:tr>
      <w:tr w:rsidR="00592131" w:rsidRPr="00CC61C2" w14:paraId="65347419" w14:textId="77777777" w:rsidTr="002C09D7">
        <w:tc>
          <w:tcPr>
            <w:tcW w:w="943" w:type="pct"/>
            <w:vMerge/>
            <w:shd w:val="clear" w:color="auto" w:fill="auto"/>
            <w:vAlign w:val="center"/>
          </w:tcPr>
          <w:p w14:paraId="2D5D18C3"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678BCF06" w14:textId="77777777" w:rsidR="00592131" w:rsidRPr="00CC61C2" w:rsidRDefault="00592131" w:rsidP="009D6AD4">
            <w:pPr>
              <w:widowControl w:val="0"/>
              <w:autoSpaceDE w:val="0"/>
              <w:autoSpaceDN w:val="0"/>
              <w:adjustRightInd w:val="0"/>
              <w:rPr>
                <w:szCs w:val="22"/>
              </w:rPr>
            </w:pPr>
            <w:r w:rsidRPr="00CC61C2">
              <w:rPr>
                <w:noProof/>
                <w:szCs w:val="22"/>
              </w:rPr>
              <w:t>Povećanje nivoa uree u krvi</w:t>
            </w:r>
          </w:p>
        </w:tc>
        <w:tc>
          <w:tcPr>
            <w:tcW w:w="690" w:type="pct"/>
            <w:vAlign w:val="center"/>
          </w:tcPr>
          <w:p w14:paraId="7991FF61" w14:textId="77777777" w:rsidR="00592131" w:rsidRPr="00CC61C2" w:rsidRDefault="00592131" w:rsidP="001237DA">
            <w:pPr>
              <w:jc w:val="both"/>
              <w:rPr>
                <w:szCs w:val="22"/>
              </w:rPr>
            </w:pPr>
            <w:r w:rsidRPr="00CC61C2">
              <w:rPr>
                <w:szCs w:val="22"/>
              </w:rPr>
              <w:t>Povremeno*</w:t>
            </w:r>
          </w:p>
        </w:tc>
        <w:tc>
          <w:tcPr>
            <w:tcW w:w="1088" w:type="pct"/>
            <w:vAlign w:val="center"/>
          </w:tcPr>
          <w:p w14:paraId="70FF2326"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06F44CD6" w14:textId="77777777" w:rsidR="00592131" w:rsidRPr="00CC61C2" w:rsidRDefault="00592131" w:rsidP="001237DA">
            <w:pPr>
              <w:widowControl w:val="0"/>
              <w:jc w:val="both"/>
              <w:rPr>
                <w:szCs w:val="22"/>
              </w:rPr>
            </w:pPr>
            <w:r w:rsidRPr="00CC61C2">
              <w:rPr>
                <w:szCs w:val="22"/>
              </w:rPr>
              <w:t>-</w:t>
            </w:r>
          </w:p>
        </w:tc>
      </w:tr>
      <w:tr w:rsidR="00592131" w:rsidRPr="00CC61C2" w14:paraId="67732DA3" w14:textId="77777777" w:rsidTr="002C09D7">
        <w:tc>
          <w:tcPr>
            <w:tcW w:w="943" w:type="pct"/>
            <w:vMerge/>
            <w:shd w:val="clear" w:color="auto" w:fill="auto"/>
            <w:vAlign w:val="center"/>
          </w:tcPr>
          <w:p w14:paraId="2856D26D"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25D3764B" w14:textId="77777777" w:rsidR="00592131" w:rsidRPr="00CC61C2" w:rsidRDefault="00592131" w:rsidP="009D6AD4">
            <w:pPr>
              <w:widowControl w:val="0"/>
              <w:autoSpaceDE w:val="0"/>
              <w:autoSpaceDN w:val="0"/>
              <w:adjustRightInd w:val="0"/>
              <w:rPr>
                <w:szCs w:val="22"/>
              </w:rPr>
            </w:pPr>
            <w:r w:rsidRPr="00CC61C2">
              <w:rPr>
                <w:noProof/>
                <w:szCs w:val="22"/>
              </w:rPr>
              <w:t xml:space="preserve">Povećanje nivoa </w:t>
            </w:r>
            <w:r w:rsidRPr="00CC61C2">
              <w:rPr>
                <w:noProof/>
                <w:szCs w:val="22"/>
              </w:rPr>
              <w:lastRenderedPageBreak/>
              <w:t xml:space="preserve">kreatinina u krvi </w:t>
            </w:r>
          </w:p>
        </w:tc>
        <w:tc>
          <w:tcPr>
            <w:tcW w:w="690" w:type="pct"/>
            <w:vAlign w:val="center"/>
          </w:tcPr>
          <w:p w14:paraId="3C6DD4CB" w14:textId="77777777" w:rsidR="00592131" w:rsidRPr="00CC61C2" w:rsidRDefault="00592131" w:rsidP="001237DA">
            <w:pPr>
              <w:jc w:val="both"/>
              <w:rPr>
                <w:szCs w:val="22"/>
              </w:rPr>
            </w:pPr>
            <w:r w:rsidRPr="00CC61C2">
              <w:rPr>
                <w:szCs w:val="22"/>
              </w:rPr>
              <w:lastRenderedPageBreak/>
              <w:t>Povremeno*</w:t>
            </w:r>
          </w:p>
        </w:tc>
        <w:tc>
          <w:tcPr>
            <w:tcW w:w="1088" w:type="pct"/>
            <w:vAlign w:val="center"/>
          </w:tcPr>
          <w:p w14:paraId="5C893667"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16F8F246" w14:textId="77777777" w:rsidR="00592131" w:rsidRPr="00CC61C2" w:rsidRDefault="00592131" w:rsidP="001237DA">
            <w:pPr>
              <w:widowControl w:val="0"/>
              <w:jc w:val="both"/>
              <w:rPr>
                <w:szCs w:val="22"/>
              </w:rPr>
            </w:pPr>
            <w:r w:rsidRPr="00CC61C2">
              <w:rPr>
                <w:szCs w:val="22"/>
              </w:rPr>
              <w:t>-</w:t>
            </w:r>
          </w:p>
        </w:tc>
      </w:tr>
      <w:tr w:rsidR="00592131" w:rsidRPr="00CC61C2" w14:paraId="58B8CF84" w14:textId="77777777" w:rsidTr="002C09D7">
        <w:tc>
          <w:tcPr>
            <w:tcW w:w="943" w:type="pct"/>
            <w:vMerge/>
            <w:shd w:val="clear" w:color="auto" w:fill="auto"/>
            <w:vAlign w:val="center"/>
          </w:tcPr>
          <w:p w14:paraId="48AAA79F"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55ED5DB2" w14:textId="77777777" w:rsidR="00592131" w:rsidRPr="00CC61C2" w:rsidRDefault="00592131" w:rsidP="009D6AD4">
            <w:pPr>
              <w:pStyle w:val="Default"/>
              <w:rPr>
                <w:color w:val="auto"/>
                <w:sz w:val="22"/>
                <w:szCs w:val="22"/>
                <w:lang w:val="sr-Latn-ME"/>
              </w:rPr>
            </w:pPr>
            <w:r w:rsidRPr="00CC61C2">
              <w:rPr>
                <w:color w:val="auto"/>
                <w:sz w:val="22"/>
                <w:szCs w:val="22"/>
                <w:lang w:val="sr-Latn-ME"/>
              </w:rPr>
              <w:t>Povećanje, smanjenje tjelesne težine</w:t>
            </w:r>
          </w:p>
        </w:tc>
        <w:tc>
          <w:tcPr>
            <w:tcW w:w="690" w:type="pct"/>
            <w:vAlign w:val="center"/>
          </w:tcPr>
          <w:p w14:paraId="0E3054D4"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6F32F05A"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103B9466" w14:textId="77777777" w:rsidR="00592131" w:rsidRPr="00CC61C2" w:rsidRDefault="00592131" w:rsidP="001237DA">
            <w:pPr>
              <w:jc w:val="both"/>
              <w:rPr>
                <w:szCs w:val="22"/>
              </w:rPr>
            </w:pPr>
            <w:r w:rsidRPr="00CC61C2">
              <w:rPr>
                <w:szCs w:val="22"/>
              </w:rPr>
              <w:t>Povremeno</w:t>
            </w:r>
          </w:p>
        </w:tc>
      </w:tr>
      <w:tr w:rsidR="00592131" w:rsidRPr="00CC61C2" w14:paraId="0C8A2187" w14:textId="77777777" w:rsidTr="002C09D7">
        <w:tc>
          <w:tcPr>
            <w:tcW w:w="943" w:type="pct"/>
            <w:vMerge/>
            <w:shd w:val="clear" w:color="auto" w:fill="auto"/>
            <w:vAlign w:val="center"/>
          </w:tcPr>
          <w:p w14:paraId="44FDD937"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5982D9C9" w14:textId="77777777" w:rsidR="00592131" w:rsidRPr="00CC61C2" w:rsidRDefault="00592131" w:rsidP="009D6AD4">
            <w:pPr>
              <w:pStyle w:val="Default"/>
              <w:rPr>
                <w:color w:val="auto"/>
                <w:sz w:val="22"/>
                <w:szCs w:val="22"/>
                <w:highlight w:val="yellow"/>
                <w:lang w:val="sr-Latn-ME"/>
              </w:rPr>
            </w:pPr>
            <w:r w:rsidRPr="00CC61C2">
              <w:rPr>
                <w:sz w:val="22"/>
                <w:szCs w:val="22"/>
                <w:lang w:val="sr-Latn-ME"/>
              </w:rPr>
              <w:t>Smanjeni nivoi natrijuma sa hipovolemijom koji dovode do dehidratacije i ortostatske hipotenzije.</w:t>
            </w:r>
          </w:p>
        </w:tc>
        <w:tc>
          <w:tcPr>
            <w:tcW w:w="690" w:type="pct"/>
            <w:vAlign w:val="center"/>
          </w:tcPr>
          <w:p w14:paraId="0BE9E6D0" w14:textId="77777777" w:rsidR="00592131" w:rsidRPr="00CC61C2" w:rsidRDefault="00592131" w:rsidP="001237DA">
            <w:pPr>
              <w:pStyle w:val="Default"/>
              <w:jc w:val="both"/>
              <w:rPr>
                <w:sz w:val="22"/>
                <w:szCs w:val="22"/>
                <w:lang w:val="sr-Latn-ME"/>
              </w:rPr>
            </w:pPr>
            <w:r w:rsidRPr="00CC61C2">
              <w:rPr>
                <w:sz w:val="22"/>
                <w:szCs w:val="22"/>
                <w:lang w:val="sr-Latn-ME"/>
              </w:rPr>
              <w:t>Nepoznato</w:t>
            </w:r>
          </w:p>
          <w:p w14:paraId="27487788" w14:textId="77777777" w:rsidR="00592131" w:rsidRPr="00CC61C2" w:rsidRDefault="00592131" w:rsidP="001237DA">
            <w:pPr>
              <w:widowControl w:val="0"/>
              <w:jc w:val="both"/>
              <w:rPr>
                <w:szCs w:val="22"/>
                <w:highlight w:val="yellow"/>
              </w:rPr>
            </w:pPr>
          </w:p>
        </w:tc>
        <w:tc>
          <w:tcPr>
            <w:tcW w:w="1088" w:type="pct"/>
            <w:vAlign w:val="center"/>
          </w:tcPr>
          <w:p w14:paraId="221E5834" w14:textId="77777777" w:rsidR="00592131" w:rsidRPr="00CC61C2" w:rsidRDefault="00592131" w:rsidP="001237DA">
            <w:pPr>
              <w:pStyle w:val="Default"/>
              <w:jc w:val="both"/>
              <w:rPr>
                <w:sz w:val="22"/>
                <w:szCs w:val="22"/>
                <w:lang w:val="sr-Latn-ME"/>
              </w:rPr>
            </w:pPr>
            <w:r w:rsidRPr="00CC61C2">
              <w:rPr>
                <w:sz w:val="22"/>
                <w:szCs w:val="22"/>
                <w:lang w:val="sr-Latn-ME"/>
              </w:rPr>
              <w:t>Nepoznato</w:t>
            </w:r>
          </w:p>
          <w:p w14:paraId="012A746C" w14:textId="77777777" w:rsidR="00592131" w:rsidRPr="00CC61C2" w:rsidRDefault="00592131" w:rsidP="001237DA">
            <w:pPr>
              <w:widowControl w:val="0"/>
              <w:jc w:val="both"/>
              <w:rPr>
                <w:szCs w:val="22"/>
                <w:highlight w:val="yellow"/>
              </w:rPr>
            </w:pPr>
          </w:p>
        </w:tc>
        <w:tc>
          <w:tcPr>
            <w:tcW w:w="1004" w:type="pct"/>
          </w:tcPr>
          <w:p w14:paraId="54C1092F" w14:textId="77777777" w:rsidR="00592131" w:rsidRPr="00CC61C2" w:rsidRDefault="00592131" w:rsidP="001237DA">
            <w:pPr>
              <w:jc w:val="both"/>
              <w:rPr>
                <w:szCs w:val="22"/>
                <w:highlight w:val="yellow"/>
              </w:rPr>
            </w:pPr>
            <w:r w:rsidRPr="00CC61C2">
              <w:rPr>
                <w:szCs w:val="22"/>
              </w:rPr>
              <w:t>-</w:t>
            </w:r>
          </w:p>
        </w:tc>
      </w:tr>
      <w:tr w:rsidR="00592131" w:rsidRPr="00CC61C2" w14:paraId="51FB39DE" w14:textId="77777777" w:rsidTr="002C09D7">
        <w:tc>
          <w:tcPr>
            <w:tcW w:w="943" w:type="pct"/>
            <w:vMerge/>
            <w:shd w:val="clear" w:color="auto" w:fill="auto"/>
            <w:vAlign w:val="center"/>
          </w:tcPr>
          <w:p w14:paraId="2A34E1A1"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49C0B00F" w14:textId="77777777" w:rsidR="00592131" w:rsidRPr="00CC61C2" w:rsidRDefault="00592131" w:rsidP="009D6AD4">
            <w:pPr>
              <w:pStyle w:val="Default"/>
              <w:rPr>
                <w:color w:val="auto"/>
                <w:sz w:val="22"/>
                <w:szCs w:val="22"/>
                <w:lang w:val="sr-Latn-ME"/>
              </w:rPr>
            </w:pPr>
            <w:r w:rsidRPr="00CC61C2">
              <w:rPr>
                <w:color w:val="auto"/>
                <w:sz w:val="22"/>
                <w:szCs w:val="22"/>
                <w:lang w:val="sr-Latn-ME"/>
              </w:rPr>
              <w:t xml:space="preserve">Smanjenje vrijednosti hemoglobina i hematokrita </w:t>
            </w:r>
            <w:r w:rsidRPr="00CC61C2">
              <w:rPr>
                <w:noProof/>
                <w:sz w:val="22"/>
                <w:szCs w:val="22"/>
                <w:lang w:val="sr-Latn-ME"/>
              </w:rPr>
              <w:t>(vidjeti dio 4.4)</w:t>
            </w:r>
          </w:p>
        </w:tc>
        <w:tc>
          <w:tcPr>
            <w:tcW w:w="690" w:type="pct"/>
            <w:vAlign w:val="center"/>
          </w:tcPr>
          <w:p w14:paraId="002F0FBC" w14:textId="77777777" w:rsidR="00592131" w:rsidRPr="00CC61C2" w:rsidRDefault="00592131" w:rsidP="001237DA">
            <w:pPr>
              <w:widowControl w:val="0"/>
              <w:jc w:val="both"/>
              <w:rPr>
                <w:szCs w:val="22"/>
              </w:rPr>
            </w:pPr>
            <w:r w:rsidRPr="00CC61C2">
              <w:rPr>
                <w:szCs w:val="22"/>
              </w:rPr>
              <w:t>Veoma rijetko</w:t>
            </w:r>
          </w:p>
        </w:tc>
        <w:tc>
          <w:tcPr>
            <w:tcW w:w="1088" w:type="pct"/>
            <w:vAlign w:val="center"/>
          </w:tcPr>
          <w:p w14:paraId="287B626F"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207C0C93" w14:textId="77777777" w:rsidR="00592131" w:rsidRPr="00CC61C2" w:rsidRDefault="00592131" w:rsidP="001237DA">
            <w:pPr>
              <w:widowControl w:val="0"/>
              <w:jc w:val="both"/>
              <w:rPr>
                <w:szCs w:val="22"/>
              </w:rPr>
            </w:pPr>
            <w:r w:rsidRPr="00CC61C2">
              <w:rPr>
                <w:szCs w:val="22"/>
              </w:rPr>
              <w:t>-</w:t>
            </w:r>
          </w:p>
        </w:tc>
      </w:tr>
      <w:tr w:rsidR="00592131" w:rsidRPr="00CC61C2" w14:paraId="65AE9C59" w14:textId="77777777" w:rsidTr="002C09D7">
        <w:tc>
          <w:tcPr>
            <w:tcW w:w="943" w:type="pct"/>
            <w:vMerge/>
            <w:shd w:val="clear" w:color="auto" w:fill="auto"/>
            <w:vAlign w:val="center"/>
          </w:tcPr>
          <w:p w14:paraId="2DE7EB04"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352FCB7A" w14:textId="77777777" w:rsidR="00592131" w:rsidRPr="00CC61C2" w:rsidRDefault="00592131" w:rsidP="009D6AD4">
            <w:pPr>
              <w:pStyle w:val="Default"/>
              <w:rPr>
                <w:color w:val="auto"/>
                <w:sz w:val="22"/>
                <w:szCs w:val="22"/>
                <w:lang w:val="sr-Latn-ME"/>
              </w:rPr>
            </w:pPr>
            <w:r w:rsidRPr="00CC61C2">
              <w:rPr>
                <w:color w:val="auto"/>
                <w:sz w:val="22"/>
                <w:szCs w:val="22"/>
                <w:lang w:val="sr-Latn-ME"/>
              </w:rPr>
              <w:t xml:space="preserve">Produžen QT interval u elektrokardiogramu </w:t>
            </w:r>
            <w:r w:rsidRPr="00CC61C2">
              <w:rPr>
                <w:noProof/>
                <w:sz w:val="22"/>
                <w:szCs w:val="22"/>
                <w:lang w:val="sr-Latn-ME"/>
              </w:rPr>
              <w:t>(vidjeti djelove 4.4 i 4.5)</w:t>
            </w:r>
          </w:p>
        </w:tc>
        <w:tc>
          <w:tcPr>
            <w:tcW w:w="690" w:type="pct"/>
            <w:vAlign w:val="center"/>
          </w:tcPr>
          <w:p w14:paraId="059DC4B1"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108F64B7" w14:textId="77777777" w:rsidR="00592131" w:rsidRPr="00CC61C2" w:rsidRDefault="00592131" w:rsidP="001237DA">
            <w:pPr>
              <w:widowControl w:val="0"/>
              <w:jc w:val="both"/>
              <w:rPr>
                <w:szCs w:val="22"/>
              </w:rPr>
            </w:pPr>
            <w:r w:rsidRPr="00CC61C2">
              <w:rPr>
                <w:szCs w:val="22"/>
              </w:rPr>
              <w:t>Nepoznato</w:t>
            </w:r>
          </w:p>
        </w:tc>
        <w:tc>
          <w:tcPr>
            <w:tcW w:w="1004" w:type="pct"/>
            <w:vAlign w:val="center"/>
          </w:tcPr>
          <w:p w14:paraId="68176C9C" w14:textId="77777777" w:rsidR="00592131" w:rsidRPr="00CC61C2" w:rsidRDefault="00592131" w:rsidP="001237DA">
            <w:pPr>
              <w:widowControl w:val="0"/>
              <w:jc w:val="both"/>
              <w:rPr>
                <w:szCs w:val="22"/>
              </w:rPr>
            </w:pPr>
            <w:r w:rsidRPr="00CC61C2">
              <w:rPr>
                <w:szCs w:val="22"/>
              </w:rPr>
              <w:t>-</w:t>
            </w:r>
          </w:p>
        </w:tc>
      </w:tr>
      <w:tr w:rsidR="00592131" w:rsidRPr="00CC61C2" w14:paraId="11070336" w14:textId="77777777" w:rsidTr="002C09D7">
        <w:tc>
          <w:tcPr>
            <w:tcW w:w="943" w:type="pct"/>
            <w:vMerge/>
            <w:shd w:val="clear" w:color="auto" w:fill="auto"/>
            <w:vAlign w:val="center"/>
          </w:tcPr>
          <w:p w14:paraId="76B0EFF3" w14:textId="77777777" w:rsidR="00592131" w:rsidRPr="00CC61C2" w:rsidRDefault="00592131" w:rsidP="001237DA">
            <w:pPr>
              <w:widowControl w:val="0"/>
              <w:tabs>
                <w:tab w:val="center" w:pos="4536"/>
                <w:tab w:val="right" w:pos="9072"/>
              </w:tabs>
              <w:jc w:val="both"/>
              <w:rPr>
                <w:noProof/>
                <w:szCs w:val="22"/>
              </w:rPr>
            </w:pPr>
          </w:p>
        </w:tc>
        <w:tc>
          <w:tcPr>
            <w:tcW w:w="1275" w:type="pct"/>
            <w:vAlign w:val="center"/>
          </w:tcPr>
          <w:p w14:paraId="7CF23383" w14:textId="77777777" w:rsidR="00592131" w:rsidRPr="00CC61C2" w:rsidRDefault="00592131" w:rsidP="009D6AD4">
            <w:pPr>
              <w:pStyle w:val="Default"/>
              <w:rPr>
                <w:color w:val="auto"/>
                <w:sz w:val="22"/>
                <w:szCs w:val="22"/>
                <w:lang w:val="sr-Latn-ME"/>
              </w:rPr>
            </w:pPr>
            <w:r w:rsidRPr="00CC61C2">
              <w:rPr>
                <w:noProof/>
                <w:sz w:val="22"/>
                <w:szCs w:val="22"/>
                <w:lang w:val="sr-Latn-ME"/>
              </w:rPr>
              <w:t>Povećanje nivoa mokraćne kiseline u krvi</w:t>
            </w:r>
          </w:p>
        </w:tc>
        <w:tc>
          <w:tcPr>
            <w:tcW w:w="690" w:type="pct"/>
            <w:vAlign w:val="center"/>
          </w:tcPr>
          <w:p w14:paraId="72AF1AB4" w14:textId="77777777" w:rsidR="00592131" w:rsidRPr="00CC61C2" w:rsidRDefault="00592131" w:rsidP="001237DA">
            <w:pPr>
              <w:widowControl w:val="0"/>
              <w:jc w:val="both"/>
              <w:rPr>
                <w:szCs w:val="22"/>
              </w:rPr>
            </w:pPr>
            <w:r w:rsidRPr="00CC61C2">
              <w:rPr>
                <w:szCs w:val="22"/>
              </w:rPr>
              <w:t>-</w:t>
            </w:r>
          </w:p>
        </w:tc>
        <w:tc>
          <w:tcPr>
            <w:tcW w:w="1088" w:type="pct"/>
            <w:vAlign w:val="center"/>
          </w:tcPr>
          <w:p w14:paraId="42A05DCE" w14:textId="77777777" w:rsidR="00592131" w:rsidRPr="00CC61C2" w:rsidRDefault="00592131" w:rsidP="001237DA">
            <w:pPr>
              <w:widowControl w:val="0"/>
              <w:jc w:val="both"/>
              <w:rPr>
                <w:szCs w:val="22"/>
              </w:rPr>
            </w:pPr>
            <w:r w:rsidRPr="00CC61C2">
              <w:rPr>
                <w:szCs w:val="22"/>
              </w:rPr>
              <w:t>Nepoznato</w:t>
            </w:r>
          </w:p>
        </w:tc>
        <w:tc>
          <w:tcPr>
            <w:tcW w:w="1004" w:type="pct"/>
            <w:vAlign w:val="center"/>
          </w:tcPr>
          <w:p w14:paraId="1D3B8FC4" w14:textId="77777777" w:rsidR="00592131" w:rsidRPr="00CC61C2" w:rsidRDefault="00592131" w:rsidP="001237DA">
            <w:pPr>
              <w:widowControl w:val="0"/>
              <w:jc w:val="both"/>
              <w:rPr>
                <w:szCs w:val="22"/>
              </w:rPr>
            </w:pPr>
            <w:r w:rsidRPr="00CC61C2">
              <w:rPr>
                <w:szCs w:val="22"/>
              </w:rPr>
              <w:t>-</w:t>
            </w:r>
          </w:p>
        </w:tc>
      </w:tr>
      <w:tr w:rsidR="00592131" w:rsidRPr="00CC61C2" w14:paraId="47D93124" w14:textId="77777777" w:rsidTr="002C09D7">
        <w:tc>
          <w:tcPr>
            <w:tcW w:w="943" w:type="pct"/>
            <w:shd w:val="clear" w:color="auto" w:fill="auto"/>
            <w:vAlign w:val="center"/>
          </w:tcPr>
          <w:p w14:paraId="5512DA26" w14:textId="77777777" w:rsidR="00592131" w:rsidRPr="00CC61C2" w:rsidRDefault="00592131" w:rsidP="009D6AD4">
            <w:pPr>
              <w:widowControl w:val="0"/>
              <w:tabs>
                <w:tab w:val="center" w:pos="4536"/>
                <w:tab w:val="right" w:pos="9072"/>
              </w:tabs>
              <w:rPr>
                <w:noProof/>
                <w:szCs w:val="22"/>
              </w:rPr>
            </w:pPr>
            <w:r w:rsidRPr="00CC61C2">
              <w:rPr>
                <w:b/>
                <w:noProof/>
                <w:szCs w:val="22"/>
              </w:rPr>
              <w:t>Povrede, trovanja i proceduralne komplikacije</w:t>
            </w:r>
          </w:p>
        </w:tc>
        <w:tc>
          <w:tcPr>
            <w:tcW w:w="1275" w:type="pct"/>
            <w:vAlign w:val="center"/>
          </w:tcPr>
          <w:p w14:paraId="4F47D219" w14:textId="77777777" w:rsidR="00592131" w:rsidRPr="00CC61C2" w:rsidRDefault="00592131" w:rsidP="001237DA">
            <w:pPr>
              <w:pStyle w:val="Default"/>
              <w:jc w:val="both"/>
              <w:rPr>
                <w:color w:val="auto"/>
                <w:sz w:val="22"/>
                <w:szCs w:val="22"/>
                <w:lang w:val="sr-Latn-ME"/>
              </w:rPr>
            </w:pPr>
            <w:r w:rsidRPr="00CC61C2">
              <w:rPr>
                <w:color w:val="auto"/>
                <w:sz w:val="22"/>
                <w:szCs w:val="22"/>
                <w:lang w:val="sr-Latn-ME"/>
              </w:rPr>
              <w:t>Pad</w:t>
            </w:r>
          </w:p>
        </w:tc>
        <w:tc>
          <w:tcPr>
            <w:tcW w:w="690" w:type="pct"/>
            <w:vAlign w:val="center"/>
          </w:tcPr>
          <w:p w14:paraId="1153F14F" w14:textId="77777777" w:rsidR="00592131" w:rsidRPr="00CC61C2" w:rsidRDefault="00592131" w:rsidP="001237DA">
            <w:pPr>
              <w:widowControl w:val="0"/>
              <w:jc w:val="both"/>
              <w:rPr>
                <w:szCs w:val="22"/>
              </w:rPr>
            </w:pPr>
            <w:r w:rsidRPr="00CC61C2">
              <w:rPr>
                <w:szCs w:val="22"/>
              </w:rPr>
              <w:t>Povremeno*</w:t>
            </w:r>
          </w:p>
        </w:tc>
        <w:tc>
          <w:tcPr>
            <w:tcW w:w="1088" w:type="pct"/>
            <w:vAlign w:val="center"/>
          </w:tcPr>
          <w:p w14:paraId="5C5D3093" w14:textId="77777777" w:rsidR="00592131" w:rsidRPr="00CC61C2" w:rsidRDefault="00592131" w:rsidP="001237DA">
            <w:pPr>
              <w:widowControl w:val="0"/>
              <w:jc w:val="both"/>
              <w:rPr>
                <w:szCs w:val="22"/>
              </w:rPr>
            </w:pPr>
            <w:r w:rsidRPr="00CC61C2">
              <w:rPr>
                <w:szCs w:val="22"/>
              </w:rPr>
              <w:t>-</w:t>
            </w:r>
          </w:p>
        </w:tc>
        <w:tc>
          <w:tcPr>
            <w:tcW w:w="1004" w:type="pct"/>
            <w:vAlign w:val="center"/>
          </w:tcPr>
          <w:p w14:paraId="7E1D5F2D" w14:textId="77777777" w:rsidR="00592131" w:rsidRPr="00CC61C2" w:rsidRDefault="00592131" w:rsidP="001237DA">
            <w:pPr>
              <w:widowControl w:val="0"/>
              <w:jc w:val="both"/>
              <w:rPr>
                <w:szCs w:val="22"/>
              </w:rPr>
            </w:pPr>
            <w:r w:rsidRPr="00CC61C2">
              <w:rPr>
                <w:szCs w:val="22"/>
              </w:rPr>
              <w:t>-</w:t>
            </w:r>
          </w:p>
        </w:tc>
      </w:tr>
    </w:tbl>
    <w:p w14:paraId="723F0C37" w14:textId="77777777" w:rsidR="00D86BB7" w:rsidRPr="00CC61C2" w:rsidRDefault="00D86BB7" w:rsidP="000D120B">
      <w:pPr>
        <w:tabs>
          <w:tab w:val="clear" w:pos="567"/>
          <w:tab w:val="left" w:pos="540"/>
          <w:tab w:val="left" w:pos="569"/>
        </w:tabs>
        <w:jc w:val="both"/>
        <w:rPr>
          <w:bCs/>
          <w:i/>
          <w:szCs w:val="22"/>
        </w:rPr>
      </w:pPr>
      <w:r w:rsidRPr="00CC61C2">
        <w:rPr>
          <w:bCs/>
          <w:i/>
          <w:szCs w:val="22"/>
        </w:rPr>
        <w:t>* Učestalost je izračunata na osnovu kliničkih studija za spontano prijavljena neželjena dejstva.</w:t>
      </w:r>
    </w:p>
    <w:p w14:paraId="77C48786" w14:textId="279FE52C" w:rsidR="00D86BB7" w:rsidRPr="00CC61C2" w:rsidRDefault="00D86BB7" w:rsidP="000D120B">
      <w:pPr>
        <w:tabs>
          <w:tab w:val="clear" w:pos="567"/>
          <w:tab w:val="left" w:pos="540"/>
          <w:tab w:val="left" w:pos="569"/>
        </w:tabs>
        <w:jc w:val="both"/>
        <w:rPr>
          <w:color w:val="000000"/>
          <w:szCs w:val="22"/>
        </w:rPr>
      </w:pPr>
      <w:r w:rsidRPr="00CC61C2">
        <w:rPr>
          <w:bCs/>
          <w:i/>
          <w:szCs w:val="22"/>
        </w:rPr>
        <w:t>**</w:t>
      </w:r>
      <w:r w:rsidRPr="00CC61C2">
        <w:rPr>
          <w:bCs/>
          <w:szCs w:val="22"/>
        </w:rPr>
        <w:t xml:space="preserve"> </w:t>
      </w:r>
      <w:r w:rsidR="009E2FD3">
        <w:rPr>
          <w:i/>
          <w:color w:val="000000"/>
          <w:szCs w:val="22"/>
        </w:rPr>
        <w:t>U</w:t>
      </w:r>
      <w:r w:rsidR="009E2FD3" w:rsidRPr="003D4FBA">
        <w:rPr>
          <w:i/>
          <w:color w:val="000000"/>
          <w:szCs w:val="22"/>
        </w:rPr>
        <w:t xml:space="preserve">glavnom </w:t>
      </w:r>
      <w:r w:rsidRPr="003D4FBA">
        <w:rPr>
          <w:i/>
          <w:color w:val="000000"/>
          <w:szCs w:val="22"/>
        </w:rPr>
        <w:t>u skladu sa holestazom</w:t>
      </w:r>
      <w:r w:rsidR="009E2FD3">
        <w:rPr>
          <w:i/>
          <w:color w:val="000000"/>
          <w:szCs w:val="22"/>
        </w:rPr>
        <w:t>.</w:t>
      </w:r>
    </w:p>
    <w:p w14:paraId="49900F19" w14:textId="77777777" w:rsidR="00D86BB7" w:rsidRPr="00CC61C2" w:rsidRDefault="00D86BB7" w:rsidP="000D120B">
      <w:pPr>
        <w:tabs>
          <w:tab w:val="clear" w:pos="567"/>
          <w:tab w:val="left" w:pos="540"/>
          <w:tab w:val="left" w:pos="569"/>
        </w:tabs>
        <w:jc w:val="both"/>
        <w:rPr>
          <w:b/>
          <w:bCs/>
          <w:szCs w:val="22"/>
        </w:rPr>
      </w:pPr>
    </w:p>
    <w:p w14:paraId="36A00FD1" w14:textId="77777777" w:rsidR="00D86BB7" w:rsidRPr="00CC61C2" w:rsidRDefault="00D86BB7" w:rsidP="00077095">
      <w:pPr>
        <w:tabs>
          <w:tab w:val="clear" w:pos="567"/>
          <w:tab w:val="left" w:pos="540"/>
          <w:tab w:val="left" w:pos="569"/>
        </w:tabs>
        <w:jc w:val="both"/>
        <w:rPr>
          <w:b/>
          <w:bCs/>
          <w:szCs w:val="22"/>
        </w:rPr>
      </w:pPr>
      <w:r w:rsidRPr="00CC61C2">
        <w:rPr>
          <w:b/>
          <w:bCs/>
          <w:szCs w:val="22"/>
        </w:rPr>
        <w:t>Opis odabranih neželjenih dejstava</w:t>
      </w:r>
    </w:p>
    <w:p w14:paraId="358BA7AF" w14:textId="77777777" w:rsidR="00D86BB7" w:rsidRPr="00CC61C2" w:rsidRDefault="00D86BB7" w:rsidP="00592131">
      <w:pPr>
        <w:tabs>
          <w:tab w:val="clear" w:pos="567"/>
          <w:tab w:val="left" w:pos="540"/>
          <w:tab w:val="left" w:pos="569"/>
        </w:tabs>
        <w:jc w:val="both"/>
        <w:rPr>
          <w:bCs/>
          <w:szCs w:val="22"/>
        </w:rPr>
      </w:pPr>
    </w:p>
    <w:p w14:paraId="49ACA77C" w14:textId="77777777" w:rsidR="00D86BB7" w:rsidRPr="00CC61C2" w:rsidRDefault="00D86BB7" w:rsidP="00592131">
      <w:pPr>
        <w:tabs>
          <w:tab w:val="clear" w:pos="567"/>
          <w:tab w:val="left" w:pos="540"/>
          <w:tab w:val="left" w:pos="569"/>
        </w:tabs>
        <w:jc w:val="both"/>
        <w:rPr>
          <w:szCs w:val="22"/>
        </w:rPr>
      </w:pPr>
      <w:r w:rsidRPr="00CC61C2">
        <w:rPr>
          <w:szCs w:val="22"/>
        </w:rPr>
        <w:t>Tokom faze II i III studija u kojima su upoređivani indapamid u dozi od 1.5mg i 2.5mg, analiza nivoa kalijuma u plazmi pokazala je dozno zavistan efekat indapamida:</w:t>
      </w:r>
    </w:p>
    <w:p w14:paraId="7FA221C0" w14:textId="77777777" w:rsidR="00D86BB7" w:rsidRPr="00CC61C2" w:rsidRDefault="00D86BB7" w:rsidP="00592131">
      <w:pPr>
        <w:numPr>
          <w:ilvl w:val="0"/>
          <w:numId w:val="1"/>
        </w:numPr>
        <w:tabs>
          <w:tab w:val="clear" w:pos="567"/>
          <w:tab w:val="clear" w:pos="1440"/>
          <w:tab w:val="left" w:pos="569"/>
        </w:tabs>
        <w:ind w:left="567" w:hanging="567"/>
        <w:jc w:val="both"/>
        <w:rPr>
          <w:bCs/>
          <w:szCs w:val="22"/>
        </w:rPr>
      </w:pPr>
      <w:r w:rsidRPr="00CC61C2">
        <w:rPr>
          <w:szCs w:val="22"/>
        </w:rPr>
        <w:t>Indapamid 1.5mg: Kalijum u plazmi &lt; 3.2 mmol/l kod 4 % pacijenata nakon 4 - 6 nedelja terapije. Nakon 12 nedelja terapije, srednja vrijednost pada nivoa kalijuma u plazmi je bila 0.23 mmol/l.</w:t>
      </w:r>
    </w:p>
    <w:p w14:paraId="09F5BD90" w14:textId="77777777" w:rsidR="00D86BB7" w:rsidRPr="00CC61C2" w:rsidRDefault="00D86BB7" w:rsidP="00592131">
      <w:pPr>
        <w:numPr>
          <w:ilvl w:val="0"/>
          <w:numId w:val="1"/>
        </w:numPr>
        <w:tabs>
          <w:tab w:val="clear" w:pos="567"/>
          <w:tab w:val="clear" w:pos="1440"/>
          <w:tab w:val="left" w:pos="569"/>
        </w:tabs>
        <w:ind w:left="567" w:hanging="567"/>
        <w:jc w:val="both"/>
        <w:rPr>
          <w:bCs/>
          <w:szCs w:val="22"/>
        </w:rPr>
      </w:pPr>
      <w:r w:rsidRPr="00CC61C2">
        <w:rPr>
          <w:szCs w:val="22"/>
        </w:rPr>
        <w:t>Indapamid 2.5 mg: Kalijum u plazmi &lt; 3.2 mmol/l kod 10 % pacijenata nakon 4 - 6 nedelja terapije. Nakon 12 nedelja terapije, srednja vrijednost pada nivoa kalijuma u plazmi je bila 0.41 mmol/l.</w:t>
      </w:r>
    </w:p>
    <w:p w14:paraId="3375E5B3" w14:textId="77777777" w:rsidR="00D86BB7" w:rsidRPr="00CC61C2" w:rsidRDefault="00D86BB7">
      <w:pPr>
        <w:tabs>
          <w:tab w:val="clear" w:pos="567"/>
          <w:tab w:val="left" w:pos="540"/>
          <w:tab w:val="left" w:pos="569"/>
        </w:tabs>
        <w:jc w:val="both"/>
        <w:rPr>
          <w:bCs/>
          <w:szCs w:val="22"/>
        </w:rPr>
      </w:pPr>
    </w:p>
    <w:p w14:paraId="4CF9DA32" w14:textId="77777777" w:rsidR="00D86BB7" w:rsidRPr="00CC61C2" w:rsidRDefault="00D86BB7" w:rsidP="001237DA">
      <w:pPr>
        <w:widowControl w:val="0"/>
        <w:jc w:val="both"/>
        <w:rPr>
          <w:szCs w:val="22"/>
        </w:rPr>
      </w:pPr>
      <w:r w:rsidRPr="00CC61C2">
        <w:rPr>
          <w:szCs w:val="22"/>
        </w:rPr>
        <w:t>Amlodipin: prijavljeni su izuzetni slučajevi ekstrapiramidalnog sindroma.</w:t>
      </w:r>
    </w:p>
    <w:p w14:paraId="283485A9" w14:textId="77777777" w:rsidR="00D86BB7" w:rsidRPr="00CC61C2" w:rsidRDefault="00D86BB7" w:rsidP="000D120B">
      <w:pPr>
        <w:tabs>
          <w:tab w:val="clear" w:pos="567"/>
          <w:tab w:val="left" w:pos="540"/>
          <w:tab w:val="left" w:pos="569"/>
        </w:tabs>
        <w:jc w:val="both"/>
        <w:rPr>
          <w:b/>
          <w:bCs/>
          <w:szCs w:val="22"/>
        </w:rPr>
      </w:pPr>
    </w:p>
    <w:p w14:paraId="01F8618A" w14:textId="77777777" w:rsidR="00D86BB7" w:rsidRPr="00CC61C2" w:rsidRDefault="00D86BB7" w:rsidP="000D120B">
      <w:pPr>
        <w:jc w:val="both"/>
        <w:rPr>
          <w:rFonts w:eastAsia="Calibri"/>
          <w:szCs w:val="22"/>
          <w:u w:val="single"/>
        </w:rPr>
      </w:pPr>
      <w:r w:rsidRPr="00CC61C2">
        <w:rPr>
          <w:rFonts w:eastAsia="Calibri"/>
          <w:szCs w:val="22"/>
          <w:u w:val="single"/>
        </w:rPr>
        <w:t>Prijavljivanje sumnji na neželjena dejstva</w:t>
      </w:r>
    </w:p>
    <w:p w14:paraId="30C2A700" w14:textId="77777777" w:rsidR="00D86BB7" w:rsidRPr="00CC61C2" w:rsidRDefault="00D86BB7" w:rsidP="000D120B">
      <w:pPr>
        <w:tabs>
          <w:tab w:val="clear" w:pos="567"/>
        </w:tabs>
        <w:spacing w:after="200" w:line="240" w:lineRule="auto"/>
        <w:jc w:val="both"/>
        <w:rPr>
          <w:rFonts w:eastAsia="Calibri"/>
          <w:szCs w:val="22"/>
        </w:rPr>
      </w:pPr>
      <w:r w:rsidRPr="00CC61C2">
        <w:rPr>
          <w:rFonts w:eastAsia="Calibri"/>
          <w:szCs w:val="22"/>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68D89DD" w14:textId="77777777" w:rsidR="00D86BB7" w:rsidRPr="00CC61C2" w:rsidRDefault="00D86BB7" w:rsidP="00077095">
      <w:pPr>
        <w:tabs>
          <w:tab w:val="clear" w:pos="567"/>
        </w:tabs>
        <w:spacing w:line="240" w:lineRule="auto"/>
        <w:jc w:val="both"/>
        <w:rPr>
          <w:rFonts w:eastAsia="Calibri"/>
          <w:szCs w:val="22"/>
        </w:rPr>
      </w:pPr>
      <w:r w:rsidRPr="00CC61C2">
        <w:rPr>
          <w:rFonts w:eastAsia="Calibri"/>
          <w:szCs w:val="22"/>
        </w:rPr>
        <w:t xml:space="preserve">Institut za ljekove i medicinska sredstva </w:t>
      </w:r>
    </w:p>
    <w:p w14:paraId="6EEEAC1D" w14:textId="77777777" w:rsidR="00D86BB7" w:rsidRPr="00CC61C2" w:rsidRDefault="00D86BB7" w:rsidP="00592131">
      <w:pPr>
        <w:tabs>
          <w:tab w:val="clear" w:pos="567"/>
        </w:tabs>
        <w:spacing w:line="240" w:lineRule="auto"/>
        <w:jc w:val="both"/>
        <w:rPr>
          <w:rFonts w:eastAsia="Calibri"/>
          <w:szCs w:val="22"/>
        </w:rPr>
      </w:pPr>
      <w:r w:rsidRPr="00CC61C2">
        <w:rPr>
          <w:rFonts w:eastAsia="Calibri"/>
          <w:szCs w:val="22"/>
        </w:rPr>
        <w:t>Odjeljenje za farmakovigilancu</w:t>
      </w:r>
    </w:p>
    <w:p w14:paraId="554DC3A7" w14:textId="77777777" w:rsidR="00D86BB7" w:rsidRPr="00CC61C2" w:rsidRDefault="00D86BB7" w:rsidP="00592131">
      <w:pPr>
        <w:tabs>
          <w:tab w:val="clear" w:pos="567"/>
        </w:tabs>
        <w:spacing w:line="240" w:lineRule="auto"/>
        <w:jc w:val="both"/>
        <w:rPr>
          <w:rFonts w:eastAsia="Calibri"/>
          <w:szCs w:val="22"/>
        </w:rPr>
      </w:pPr>
      <w:r w:rsidRPr="00CC61C2">
        <w:rPr>
          <w:rFonts w:eastAsia="Calibri"/>
          <w:szCs w:val="22"/>
        </w:rPr>
        <w:t>Bulevar Ivana Crnojevića 64a, 81000 Podgorica</w:t>
      </w:r>
    </w:p>
    <w:p w14:paraId="2357C5E5" w14:textId="77777777" w:rsidR="00D86BB7" w:rsidRPr="00CC61C2" w:rsidRDefault="00D86BB7" w:rsidP="00592131">
      <w:pPr>
        <w:tabs>
          <w:tab w:val="clear" w:pos="567"/>
        </w:tabs>
        <w:spacing w:line="240" w:lineRule="auto"/>
        <w:jc w:val="both"/>
        <w:rPr>
          <w:rFonts w:eastAsia="Calibri"/>
          <w:szCs w:val="22"/>
        </w:rPr>
      </w:pPr>
    </w:p>
    <w:p w14:paraId="794FAF11" w14:textId="77777777" w:rsidR="00D86BB7" w:rsidRPr="00CC61C2" w:rsidRDefault="00D86BB7" w:rsidP="00592131">
      <w:pPr>
        <w:tabs>
          <w:tab w:val="clear" w:pos="567"/>
        </w:tabs>
        <w:spacing w:line="240" w:lineRule="auto"/>
        <w:jc w:val="both"/>
        <w:rPr>
          <w:rFonts w:eastAsia="Calibri"/>
          <w:szCs w:val="22"/>
        </w:rPr>
      </w:pPr>
      <w:r w:rsidRPr="00CC61C2">
        <w:rPr>
          <w:rFonts w:eastAsia="Calibri"/>
          <w:szCs w:val="22"/>
        </w:rPr>
        <w:t>tel: +382 (0) 20 310 280</w:t>
      </w:r>
    </w:p>
    <w:p w14:paraId="00FC06F5" w14:textId="77777777" w:rsidR="00D86BB7" w:rsidRPr="00CC61C2" w:rsidRDefault="00D86BB7">
      <w:pPr>
        <w:tabs>
          <w:tab w:val="clear" w:pos="567"/>
          <w:tab w:val="left" w:pos="6720"/>
        </w:tabs>
        <w:spacing w:line="240" w:lineRule="auto"/>
        <w:jc w:val="both"/>
        <w:rPr>
          <w:rFonts w:eastAsia="Calibri"/>
          <w:szCs w:val="22"/>
        </w:rPr>
      </w:pPr>
      <w:r w:rsidRPr="00CC61C2">
        <w:rPr>
          <w:rFonts w:eastAsia="Calibri"/>
          <w:szCs w:val="22"/>
        </w:rPr>
        <w:t>fax: +382 (0) 20 310 581</w:t>
      </w:r>
      <w:r w:rsidRPr="00CC61C2">
        <w:rPr>
          <w:rFonts w:eastAsia="Calibri"/>
          <w:szCs w:val="22"/>
        </w:rPr>
        <w:tab/>
      </w:r>
    </w:p>
    <w:p w14:paraId="5FA38825" w14:textId="77777777" w:rsidR="00D86BB7" w:rsidRPr="00CC61C2" w:rsidRDefault="00C41DA9">
      <w:pPr>
        <w:tabs>
          <w:tab w:val="clear" w:pos="567"/>
        </w:tabs>
        <w:spacing w:line="240" w:lineRule="auto"/>
        <w:jc w:val="both"/>
        <w:rPr>
          <w:rFonts w:eastAsia="Calibri"/>
          <w:szCs w:val="22"/>
        </w:rPr>
      </w:pPr>
      <w:hyperlink r:id="rId8" w:history="1">
        <w:r w:rsidR="00D86BB7" w:rsidRPr="00CC61C2">
          <w:rPr>
            <w:rFonts w:eastAsia="Calibri"/>
            <w:color w:val="0563C1"/>
            <w:szCs w:val="22"/>
            <w:u w:val="single"/>
          </w:rPr>
          <w:t>www.cinmed.me</w:t>
        </w:r>
      </w:hyperlink>
    </w:p>
    <w:p w14:paraId="1FAAD48D" w14:textId="77777777" w:rsidR="00D86BB7" w:rsidRPr="00CC61C2" w:rsidRDefault="00C41DA9">
      <w:pPr>
        <w:tabs>
          <w:tab w:val="clear" w:pos="567"/>
        </w:tabs>
        <w:spacing w:line="240" w:lineRule="auto"/>
        <w:jc w:val="both"/>
        <w:rPr>
          <w:rFonts w:eastAsia="Calibri"/>
          <w:color w:val="0000FF"/>
          <w:szCs w:val="22"/>
          <w:u w:val="single"/>
        </w:rPr>
      </w:pPr>
      <w:hyperlink r:id="rId9" w:history="1">
        <w:r w:rsidR="00D86BB7" w:rsidRPr="00CC61C2">
          <w:rPr>
            <w:rFonts w:eastAsia="Calibri"/>
            <w:color w:val="0563C1"/>
            <w:szCs w:val="22"/>
            <w:u w:val="single"/>
          </w:rPr>
          <w:t>nezeljenadejstva@cinmed.me</w:t>
        </w:r>
      </w:hyperlink>
    </w:p>
    <w:p w14:paraId="77A8F3BF" w14:textId="77777777" w:rsidR="00D86BB7" w:rsidRPr="00CC61C2" w:rsidRDefault="00D86BB7">
      <w:pPr>
        <w:tabs>
          <w:tab w:val="clear" w:pos="567"/>
        </w:tabs>
        <w:spacing w:line="240" w:lineRule="auto"/>
        <w:jc w:val="both"/>
        <w:rPr>
          <w:rFonts w:eastAsia="Calibri"/>
          <w:szCs w:val="22"/>
        </w:rPr>
      </w:pPr>
      <w:r w:rsidRPr="00CC61C2">
        <w:rPr>
          <w:rFonts w:eastAsia="Calibri"/>
          <w:szCs w:val="22"/>
        </w:rPr>
        <w:t>putem IS zdravstvene zaštite</w:t>
      </w:r>
    </w:p>
    <w:p w14:paraId="279BCE04" w14:textId="77777777" w:rsidR="00D86BB7" w:rsidRPr="00CC61C2" w:rsidRDefault="00D86BB7">
      <w:pPr>
        <w:tabs>
          <w:tab w:val="clear" w:pos="567"/>
        </w:tabs>
        <w:spacing w:line="240" w:lineRule="auto"/>
        <w:jc w:val="both"/>
        <w:rPr>
          <w:rFonts w:eastAsia="Calibri"/>
          <w:szCs w:val="22"/>
        </w:rPr>
      </w:pPr>
      <w:r w:rsidRPr="00CC61C2">
        <w:rPr>
          <w:rFonts w:eastAsia="Calibri"/>
          <w:szCs w:val="22"/>
        </w:rPr>
        <w:t>QR kod za online prijavu sumnje na neželjeno dejstvo lijeka:</w:t>
      </w:r>
    </w:p>
    <w:p w14:paraId="1F3B2B06" w14:textId="77777777" w:rsidR="00D86BB7" w:rsidRPr="00CC61C2" w:rsidRDefault="00D86BB7">
      <w:pPr>
        <w:tabs>
          <w:tab w:val="clear" w:pos="567"/>
        </w:tabs>
        <w:spacing w:line="240" w:lineRule="auto"/>
        <w:jc w:val="both"/>
        <w:rPr>
          <w:rFonts w:eastAsia="Calibri"/>
          <w:szCs w:val="22"/>
        </w:rPr>
      </w:pPr>
    </w:p>
    <w:p w14:paraId="3BEE482B" w14:textId="2DF635F6" w:rsidR="00D86BB7" w:rsidRPr="00CC61C2" w:rsidRDefault="007858E3" w:rsidP="001237DA">
      <w:pPr>
        <w:tabs>
          <w:tab w:val="clear" w:pos="567"/>
        </w:tabs>
        <w:spacing w:line="240" w:lineRule="auto"/>
        <w:jc w:val="both"/>
        <w:rPr>
          <w:rFonts w:eastAsia="Calibri"/>
          <w:szCs w:val="22"/>
        </w:rPr>
      </w:pPr>
      <w:r w:rsidRPr="00CC61C2">
        <w:rPr>
          <w:noProof/>
          <w:szCs w:val="22"/>
          <w:lang w:val="en-US"/>
        </w:rPr>
        <w:lastRenderedPageBreak/>
        <w:drawing>
          <wp:inline distT="0" distB="0" distL="0" distR="0" wp14:anchorId="4308DFA4" wp14:editId="5980E76C">
            <wp:extent cx="971550" cy="971550"/>
            <wp:effectExtent l="0" t="0" r="0" b="0"/>
            <wp:docPr id="1"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F535BEF" w14:textId="77777777" w:rsidR="00D86BB7" w:rsidRPr="00CC61C2" w:rsidRDefault="00D86BB7" w:rsidP="000D120B">
      <w:pPr>
        <w:tabs>
          <w:tab w:val="left" w:pos="284"/>
        </w:tabs>
        <w:jc w:val="both"/>
        <w:rPr>
          <w:i/>
          <w:szCs w:val="22"/>
        </w:rPr>
      </w:pPr>
    </w:p>
    <w:p w14:paraId="7BFAB025" w14:textId="77777777" w:rsidR="00D86BB7" w:rsidRPr="00CC61C2" w:rsidRDefault="00D86BB7" w:rsidP="000D120B">
      <w:pPr>
        <w:widowControl w:val="0"/>
        <w:jc w:val="both"/>
        <w:rPr>
          <w:b/>
          <w:snapToGrid w:val="0"/>
          <w:szCs w:val="22"/>
          <w:lang w:eastAsia="sr-Latn-CS"/>
        </w:rPr>
      </w:pPr>
      <w:r w:rsidRPr="00CC61C2">
        <w:rPr>
          <w:b/>
          <w:snapToGrid w:val="0"/>
          <w:szCs w:val="22"/>
          <w:lang w:eastAsia="sr-Latn-CS"/>
        </w:rPr>
        <w:t>4.9. Predoziranje</w:t>
      </w:r>
    </w:p>
    <w:p w14:paraId="5B4470DA" w14:textId="77777777" w:rsidR="00D86BB7" w:rsidRPr="00CC61C2" w:rsidRDefault="00D86BB7" w:rsidP="000D120B">
      <w:pPr>
        <w:widowControl w:val="0"/>
        <w:jc w:val="both"/>
        <w:rPr>
          <w:i/>
          <w:iCs/>
          <w:snapToGrid w:val="0"/>
          <w:szCs w:val="22"/>
          <w:lang w:eastAsia="sr-Latn-CS"/>
        </w:rPr>
      </w:pPr>
    </w:p>
    <w:p w14:paraId="6BAA4D4F" w14:textId="77777777" w:rsidR="00D86BB7" w:rsidRPr="00CC61C2" w:rsidRDefault="00D86BB7" w:rsidP="00077095">
      <w:pPr>
        <w:widowControl w:val="0"/>
        <w:jc w:val="both"/>
        <w:rPr>
          <w:i/>
          <w:snapToGrid w:val="0"/>
          <w:color w:val="000000"/>
          <w:szCs w:val="22"/>
          <w:u w:val="single"/>
          <w:lang w:eastAsia="sr-Latn-CS"/>
        </w:rPr>
      </w:pPr>
      <w:r w:rsidRPr="00CC61C2">
        <w:rPr>
          <w:i/>
          <w:snapToGrid w:val="0"/>
          <w:color w:val="000000"/>
          <w:szCs w:val="22"/>
          <w:u w:val="single"/>
          <w:lang w:eastAsia="sr-Latn-CS"/>
        </w:rPr>
        <w:t>Perindopril/indapamid kombinacija</w:t>
      </w:r>
    </w:p>
    <w:p w14:paraId="7F64C209" w14:textId="77777777" w:rsidR="00D86BB7" w:rsidRPr="00CC61C2" w:rsidRDefault="00D86BB7" w:rsidP="00592131">
      <w:pPr>
        <w:widowControl w:val="0"/>
        <w:jc w:val="both"/>
        <w:rPr>
          <w:i/>
          <w:snapToGrid w:val="0"/>
          <w:szCs w:val="22"/>
          <w:lang w:eastAsia="sr-Latn-CS"/>
        </w:rPr>
      </w:pPr>
    </w:p>
    <w:p w14:paraId="5774DAAA" w14:textId="77777777" w:rsidR="00D86BB7" w:rsidRPr="00CC61C2" w:rsidRDefault="00D86BB7" w:rsidP="00592131">
      <w:pPr>
        <w:widowControl w:val="0"/>
        <w:jc w:val="both"/>
        <w:rPr>
          <w:i/>
          <w:iCs/>
          <w:snapToGrid w:val="0"/>
          <w:szCs w:val="22"/>
          <w:lang w:eastAsia="sr-Latn-CS"/>
        </w:rPr>
      </w:pPr>
      <w:r w:rsidRPr="00CC61C2">
        <w:rPr>
          <w:i/>
          <w:snapToGrid w:val="0"/>
          <w:szCs w:val="22"/>
          <w:lang w:eastAsia="sr-Latn-CS"/>
        </w:rPr>
        <w:t>Simptomi</w:t>
      </w:r>
    </w:p>
    <w:p w14:paraId="38F58E4A" w14:textId="77777777" w:rsidR="00D86BB7" w:rsidRPr="00CC61C2" w:rsidRDefault="00D86BB7" w:rsidP="00592131">
      <w:pPr>
        <w:tabs>
          <w:tab w:val="left" w:pos="284"/>
        </w:tabs>
        <w:jc w:val="both"/>
        <w:rPr>
          <w:szCs w:val="22"/>
        </w:rPr>
      </w:pPr>
      <w:r w:rsidRPr="00CC61C2">
        <w:rPr>
          <w:szCs w:val="22"/>
        </w:rPr>
        <w:t>Najčešća neželjena reakcija u slučajevima predoziranja je hipotenzija i moguća refleskna tahikardija, ponekad udružena sa mučninom, povraćanjem, grčevima, vrtoglavicom, pospanošću, mentalnom konfuzijom, oligurijom koja može progredirati do anurije (izazvana hipovolemijom). Može doći do poremećaja vode i elektrolita (nizak nivo natrijuma, nizak nivo kalijuma).</w:t>
      </w:r>
    </w:p>
    <w:p w14:paraId="3F608141" w14:textId="77777777" w:rsidR="00D86BB7" w:rsidRPr="00CC61C2" w:rsidRDefault="00D86BB7" w:rsidP="00592131">
      <w:pPr>
        <w:widowControl w:val="0"/>
        <w:jc w:val="both"/>
        <w:rPr>
          <w:snapToGrid w:val="0"/>
          <w:szCs w:val="22"/>
          <w:highlight w:val="yellow"/>
          <w:lang w:eastAsia="sr-Latn-CS"/>
        </w:rPr>
      </w:pPr>
    </w:p>
    <w:p w14:paraId="744B6251" w14:textId="77777777" w:rsidR="00D86BB7" w:rsidRPr="00CC61C2" w:rsidRDefault="00D86BB7" w:rsidP="00592131">
      <w:pPr>
        <w:widowControl w:val="0"/>
        <w:jc w:val="both"/>
        <w:rPr>
          <w:snapToGrid w:val="0"/>
          <w:szCs w:val="22"/>
          <w:lang w:eastAsia="sr-Latn-CS"/>
        </w:rPr>
      </w:pPr>
      <w:r w:rsidRPr="00CC61C2">
        <w:rPr>
          <w:i/>
          <w:snapToGrid w:val="0"/>
          <w:szCs w:val="22"/>
          <w:lang w:eastAsia="sr-Latn-CS"/>
        </w:rPr>
        <w:t>Terapija</w:t>
      </w:r>
    </w:p>
    <w:p w14:paraId="0B07B71D" w14:textId="77777777" w:rsidR="00D86BB7" w:rsidRPr="00CC61C2" w:rsidRDefault="00D86BB7">
      <w:pPr>
        <w:tabs>
          <w:tab w:val="left" w:pos="284"/>
        </w:tabs>
        <w:jc w:val="both"/>
        <w:rPr>
          <w:szCs w:val="22"/>
        </w:rPr>
      </w:pPr>
      <w:r w:rsidRPr="00CC61C2">
        <w:rPr>
          <w:szCs w:val="22"/>
        </w:rPr>
        <w:t>Prva mjera koju treba preduzeti je brza eliminacija unijetog lijeka (ljekova) gastričnom lavažom i/ili primjenom aktivnog uglja, zatim uspostaviti balans vode i elektrolita dok se ne vrate na normalne vrijednosti.</w:t>
      </w:r>
    </w:p>
    <w:p w14:paraId="42088669" w14:textId="77777777" w:rsidR="00D86BB7" w:rsidRPr="00CC61C2" w:rsidRDefault="00D86BB7">
      <w:pPr>
        <w:tabs>
          <w:tab w:val="left" w:pos="284"/>
        </w:tabs>
        <w:jc w:val="both"/>
        <w:rPr>
          <w:szCs w:val="22"/>
        </w:rPr>
      </w:pPr>
      <w:r w:rsidRPr="00CC61C2">
        <w:rPr>
          <w:szCs w:val="22"/>
        </w:rPr>
        <w:t>Ako se javi izražena hipotenzija, treba je tretirati stavljanjem pacijenta u ležeći položaj sa glavom naniže. Ako je neophodno, može se i.v. dati izotonični fiziološki rastvor, ili se može primijeniti neka od drugih metoda za povećanje volemije.</w:t>
      </w:r>
    </w:p>
    <w:p w14:paraId="5C1950CB" w14:textId="77777777" w:rsidR="00D86BB7" w:rsidRPr="00CC61C2" w:rsidRDefault="00D86BB7">
      <w:pPr>
        <w:tabs>
          <w:tab w:val="left" w:pos="284"/>
        </w:tabs>
        <w:jc w:val="both"/>
        <w:rPr>
          <w:szCs w:val="22"/>
        </w:rPr>
      </w:pPr>
      <w:r w:rsidRPr="00CC61C2">
        <w:rPr>
          <w:szCs w:val="22"/>
        </w:rPr>
        <w:t>Perindoprilat, aktivni oblik perindoprila, može biti dijaliziran. Pošto se amlodipin u velikoj mjeri vezuje za proteine, malo je vjerovatno da će dijaliza biti od koristi.</w:t>
      </w:r>
    </w:p>
    <w:p w14:paraId="523D761A" w14:textId="77777777" w:rsidR="00D86BB7" w:rsidRPr="00CC61C2" w:rsidRDefault="00D86BB7">
      <w:pPr>
        <w:tabs>
          <w:tab w:val="left" w:pos="284"/>
        </w:tabs>
        <w:jc w:val="both"/>
        <w:rPr>
          <w:szCs w:val="22"/>
        </w:rPr>
      </w:pPr>
    </w:p>
    <w:p w14:paraId="1AE8B50A" w14:textId="77777777" w:rsidR="00D86BB7" w:rsidRPr="00CC61C2" w:rsidRDefault="00D86BB7">
      <w:pPr>
        <w:widowControl w:val="0"/>
        <w:jc w:val="both"/>
        <w:rPr>
          <w:szCs w:val="22"/>
          <w:u w:val="single"/>
        </w:rPr>
      </w:pPr>
      <w:r w:rsidRPr="00CC61C2">
        <w:rPr>
          <w:szCs w:val="22"/>
          <w:u w:val="single"/>
        </w:rPr>
        <w:t>Amlodipin</w:t>
      </w:r>
    </w:p>
    <w:p w14:paraId="6C760231" w14:textId="77777777" w:rsidR="00D86BB7" w:rsidRPr="00CC61C2" w:rsidRDefault="00D86BB7" w:rsidP="001237DA">
      <w:pPr>
        <w:widowControl w:val="0"/>
        <w:jc w:val="both"/>
        <w:rPr>
          <w:szCs w:val="22"/>
        </w:rPr>
      </w:pPr>
      <w:r w:rsidRPr="00CC61C2">
        <w:rPr>
          <w:szCs w:val="22"/>
        </w:rPr>
        <w:t xml:space="preserve">Iskustva sa namjernim predoziranjem amlodipinom kod ljudi su ograničena. </w:t>
      </w:r>
    </w:p>
    <w:p w14:paraId="21A40737" w14:textId="77777777" w:rsidR="00A160D0" w:rsidRDefault="00A160D0" w:rsidP="001237DA">
      <w:pPr>
        <w:widowControl w:val="0"/>
        <w:jc w:val="both"/>
        <w:rPr>
          <w:i/>
          <w:iCs/>
          <w:szCs w:val="22"/>
          <w:u w:val="single"/>
        </w:rPr>
      </w:pPr>
    </w:p>
    <w:p w14:paraId="3C43A674" w14:textId="5803B783" w:rsidR="00D86BB7" w:rsidRPr="00CC61C2" w:rsidRDefault="00D86BB7" w:rsidP="001237DA">
      <w:pPr>
        <w:widowControl w:val="0"/>
        <w:jc w:val="both"/>
        <w:rPr>
          <w:szCs w:val="22"/>
          <w:u w:val="single"/>
        </w:rPr>
      </w:pPr>
      <w:r w:rsidRPr="00CC61C2">
        <w:rPr>
          <w:i/>
          <w:iCs/>
          <w:szCs w:val="22"/>
          <w:u w:val="single"/>
        </w:rPr>
        <w:t>Simptomi</w:t>
      </w:r>
    </w:p>
    <w:p w14:paraId="0A558603" w14:textId="77777777" w:rsidR="00D86BB7" w:rsidRPr="00CC61C2" w:rsidRDefault="00D86BB7" w:rsidP="000D120B">
      <w:pPr>
        <w:widowControl w:val="0"/>
        <w:jc w:val="both"/>
        <w:rPr>
          <w:szCs w:val="22"/>
        </w:rPr>
      </w:pPr>
      <w:r w:rsidRPr="00CC61C2">
        <w:rPr>
          <w:szCs w:val="22"/>
        </w:rPr>
        <w:t>Dostupni podaci ukazuju da kod velikog predoziranja može nastati izražena periferna vazodilatacija i da je moguća refeleksna tahikardija. Bilo je prijava izražene i vjerovatno dugotrajne sistemske hipotenzije uključujući stanje šoka sa fatalnim ishodom.</w:t>
      </w:r>
    </w:p>
    <w:p w14:paraId="0E02DAB7" w14:textId="77777777" w:rsidR="00D86BB7" w:rsidRPr="00CC61C2" w:rsidRDefault="00D86BB7" w:rsidP="000D120B">
      <w:pPr>
        <w:widowControl w:val="0"/>
        <w:jc w:val="both"/>
        <w:rPr>
          <w:szCs w:val="22"/>
        </w:rPr>
      </w:pPr>
      <w:r w:rsidRPr="00CC61C2">
        <w:rPr>
          <w:szCs w:val="22"/>
        </w:rPr>
        <w:t>Nekardiogeni plućni edem rijetko je prijavljivan kao posledica predoziranja amlodipinom koja se može manifestovati odloženim početkom (24-48 sati nakon ingestije) i zahtijevati respiratornu podršku. Rane mjere oživljavanja (uključujući preopterećenje tečnošću) za održavanje perfuzije i srčanog minutnog volumena mogu biti precipitirajući faktori.</w:t>
      </w:r>
    </w:p>
    <w:p w14:paraId="1E8D45BF" w14:textId="77777777" w:rsidR="00D86BB7" w:rsidRPr="00CC61C2" w:rsidRDefault="00D86BB7" w:rsidP="001237DA">
      <w:pPr>
        <w:widowControl w:val="0"/>
        <w:jc w:val="both"/>
        <w:rPr>
          <w:i/>
          <w:iCs/>
          <w:szCs w:val="22"/>
          <w:u w:val="single"/>
        </w:rPr>
      </w:pPr>
    </w:p>
    <w:p w14:paraId="006EE096" w14:textId="77777777" w:rsidR="00A160D0" w:rsidRDefault="00A160D0" w:rsidP="000D120B">
      <w:pPr>
        <w:widowControl w:val="0"/>
        <w:jc w:val="both"/>
        <w:rPr>
          <w:i/>
          <w:iCs/>
          <w:szCs w:val="22"/>
          <w:u w:val="single"/>
        </w:rPr>
      </w:pPr>
    </w:p>
    <w:p w14:paraId="2CB96AC2" w14:textId="6D16029B" w:rsidR="00D86BB7" w:rsidRPr="00CC61C2" w:rsidRDefault="00D86BB7" w:rsidP="000D120B">
      <w:pPr>
        <w:widowControl w:val="0"/>
        <w:jc w:val="both"/>
        <w:rPr>
          <w:i/>
          <w:iCs/>
          <w:szCs w:val="22"/>
          <w:u w:val="single"/>
        </w:rPr>
      </w:pPr>
      <w:r w:rsidRPr="00CC61C2">
        <w:rPr>
          <w:i/>
          <w:iCs/>
          <w:szCs w:val="22"/>
          <w:u w:val="single"/>
        </w:rPr>
        <w:t>Terapija</w:t>
      </w:r>
    </w:p>
    <w:p w14:paraId="60415B0F" w14:textId="61686347" w:rsidR="00D86BB7" w:rsidRPr="00CC61C2" w:rsidRDefault="00D86BB7" w:rsidP="000D120B">
      <w:pPr>
        <w:tabs>
          <w:tab w:val="left" w:pos="284"/>
        </w:tabs>
        <w:jc w:val="both"/>
        <w:rPr>
          <w:szCs w:val="22"/>
        </w:rPr>
      </w:pPr>
      <w:r w:rsidRPr="00CC61C2">
        <w:rPr>
          <w:szCs w:val="22"/>
        </w:rPr>
        <w:t>Klinički značajna hipotenzija usl</w:t>
      </w:r>
      <w:r w:rsidR="004D57F0" w:rsidRPr="00CC61C2">
        <w:rPr>
          <w:szCs w:val="22"/>
        </w:rPr>
        <w:t>j</w:t>
      </w:r>
      <w:r w:rsidRPr="00CC61C2">
        <w:rPr>
          <w:szCs w:val="22"/>
        </w:rPr>
        <w:t>ed predoziranja amlodipinom zahtijeva aktivnu potporu kardiovaskularne funkcije, uključujući često praćenje srčane i respiratorne funkcije, podizanje ekstremiteta i praćenje volumena cirkulišuće tečnosti i izlučivanja mokraće.</w:t>
      </w:r>
    </w:p>
    <w:p w14:paraId="464F2C56" w14:textId="37BFB10A" w:rsidR="00D86BB7" w:rsidRPr="00CC61C2" w:rsidRDefault="00D86BB7" w:rsidP="000D120B">
      <w:pPr>
        <w:tabs>
          <w:tab w:val="left" w:pos="284"/>
        </w:tabs>
        <w:jc w:val="both"/>
        <w:rPr>
          <w:szCs w:val="22"/>
        </w:rPr>
      </w:pPr>
      <w:r w:rsidRPr="00CC61C2">
        <w:rPr>
          <w:szCs w:val="22"/>
        </w:rPr>
        <w:t>Primjena vazokonstriktora može pomoći u uspostavljanju vaskularnog tonusa i krvnog pritiska, ukoliko nema kontraindikacija za njegovu upotrebu. Intravenski primijenjen kalcijum</w:t>
      </w:r>
      <w:r w:rsidR="004D57F0" w:rsidRPr="00CC61C2">
        <w:rPr>
          <w:szCs w:val="22"/>
        </w:rPr>
        <w:t xml:space="preserve"> </w:t>
      </w:r>
      <w:r w:rsidRPr="00CC61C2">
        <w:rPr>
          <w:szCs w:val="22"/>
        </w:rPr>
        <w:t>glukonat može povoljno djelovati kao antagonist</w:t>
      </w:r>
      <w:r w:rsidR="004D57F0" w:rsidRPr="00CC61C2">
        <w:rPr>
          <w:szCs w:val="22"/>
        </w:rPr>
        <w:t>a</w:t>
      </w:r>
      <w:r w:rsidRPr="00CC61C2">
        <w:rPr>
          <w:szCs w:val="22"/>
        </w:rPr>
        <w:t xml:space="preserve"> blokade kalcijumskih kanala.</w:t>
      </w:r>
    </w:p>
    <w:p w14:paraId="6664A992" w14:textId="4FF790D1" w:rsidR="00D86BB7" w:rsidRPr="00CC61C2" w:rsidRDefault="00D86BB7" w:rsidP="00077095">
      <w:pPr>
        <w:tabs>
          <w:tab w:val="left" w:pos="284"/>
        </w:tabs>
        <w:jc w:val="both"/>
        <w:rPr>
          <w:szCs w:val="22"/>
        </w:rPr>
      </w:pPr>
      <w:r w:rsidRPr="00CC61C2">
        <w:rPr>
          <w:szCs w:val="22"/>
        </w:rPr>
        <w:t xml:space="preserve">U nekim slučajevima je u terapiji predoziranja korisno ispiranje želuca. Kod zdravih dobrovoljaca je pokazano da upotreba aktivnog uglja do 2 sata nakon primjene lijeka amlodipin u dozi od 10 mg smanjuje stepen resorpcije amlodipina. S obzirom na to da se amlodipin vezuje za proteine plazme u visokom procentu, ne može se očekivati korist od dijalize. </w:t>
      </w:r>
    </w:p>
    <w:p w14:paraId="3ECA2712" w14:textId="20E50AF9" w:rsidR="00D86BB7" w:rsidRDefault="00D86BB7" w:rsidP="00592131">
      <w:pPr>
        <w:tabs>
          <w:tab w:val="left" w:pos="284"/>
        </w:tabs>
        <w:jc w:val="both"/>
        <w:rPr>
          <w:szCs w:val="22"/>
        </w:rPr>
      </w:pPr>
    </w:p>
    <w:p w14:paraId="0DE2B239" w14:textId="77777777" w:rsidR="00933EEA" w:rsidRPr="00CC61C2" w:rsidRDefault="00933EEA" w:rsidP="00592131">
      <w:pPr>
        <w:tabs>
          <w:tab w:val="left" w:pos="284"/>
        </w:tabs>
        <w:jc w:val="both"/>
        <w:rPr>
          <w:szCs w:val="22"/>
        </w:rPr>
      </w:pPr>
    </w:p>
    <w:p w14:paraId="6C49BFFE" w14:textId="77777777" w:rsidR="00D86BB7" w:rsidRPr="00CC61C2" w:rsidRDefault="00D86BB7" w:rsidP="00592131">
      <w:pPr>
        <w:tabs>
          <w:tab w:val="left" w:pos="284"/>
        </w:tabs>
        <w:jc w:val="both"/>
        <w:rPr>
          <w:b/>
          <w:szCs w:val="22"/>
        </w:rPr>
      </w:pPr>
      <w:r w:rsidRPr="00CC61C2">
        <w:rPr>
          <w:b/>
          <w:szCs w:val="22"/>
        </w:rPr>
        <w:t>5. FARMAKOLOŠKI PODACI</w:t>
      </w:r>
    </w:p>
    <w:p w14:paraId="64576709" w14:textId="77777777" w:rsidR="00D86BB7" w:rsidRPr="00CC61C2" w:rsidRDefault="00D86BB7" w:rsidP="00592131">
      <w:pPr>
        <w:tabs>
          <w:tab w:val="left" w:pos="284"/>
        </w:tabs>
        <w:jc w:val="both"/>
        <w:rPr>
          <w:b/>
          <w:szCs w:val="22"/>
        </w:rPr>
      </w:pPr>
    </w:p>
    <w:p w14:paraId="0818B68A" w14:textId="77777777" w:rsidR="00D86BB7" w:rsidRPr="00CC61C2" w:rsidRDefault="00D86BB7" w:rsidP="00592131">
      <w:pPr>
        <w:tabs>
          <w:tab w:val="left" w:pos="284"/>
        </w:tabs>
        <w:jc w:val="both"/>
        <w:rPr>
          <w:b/>
          <w:bCs/>
          <w:szCs w:val="22"/>
        </w:rPr>
      </w:pPr>
      <w:r w:rsidRPr="00CC61C2">
        <w:rPr>
          <w:b/>
          <w:szCs w:val="22"/>
        </w:rPr>
        <w:t>5.1. Farmakodinamski podaci</w:t>
      </w:r>
    </w:p>
    <w:p w14:paraId="371F7FAF" w14:textId="77777777" w:rsidR="00D86BB7" w:rsidRPr="00CC61C2" w:rsidRDefault="00D86BB7">
      <w:pPr>
        <w:tabs>
          <w:tab w:val="clear" w:pos="567"/>
          <w:tab w:val="left" w:pos="540"/>
          <w:tab w:val="left" w:pos="569"/>
        </w:tabs>
        <w:jc w:val="both"/>
        <w:rPr>
          <w:bCs/>
          <w:szCs w:val="22"/>
        </w:rPr>
      </w:pPr>
    </w:p>
    <w:p w14:paraId="4E723537" w14:textId="77777777" w:rsidR="00D86BB7" w:rsidRPr="00CC61C2" w:rsidRDefault="00D86BB7">
      <w:pPr>
        <w:tabs>
          <w:tab w:val="clear" w:pos="567"/>
          <w:tab w:val="left" w:pos="540"/>
          <w:tab w:val="left" w:pos="569"/>
        </w:tabs>
        <w:jc w:val="both"/>
        <w:rPr>
          <w:bCs/>
          <w:szCs w:val="22"/>
        </w:rPr>
      </w:pPr>
      <w:r w:rsidRPr="00CC61C2">
        <w:rPr>
          <w:bCs/>
          <w:szCs w:val="22"/>
        </w:rPr>
        <w:t xml:space="preserve">Farmakoterapijska grupa: </w:t>
      </w:r>
      <w:r w:rsidRPr="00CC61C2">
        <w:rPr>
          <w:szCs w:val="22"/>
        </w:rPr>
        <w:t>Ljekovi koji djeluju na renin-angiotenzinski sistem; ACE inhibitori, ostale kombinacije.</w:t>
      </w:r>
    </w:p>
    <w:p w14:paraId="0E705441" w14:textId="77777777" w:rsidR="00D86BB7" w:rsidRPr="00CC61C2" w:rsidRDefault="00D86BB7">
      <w:pPr>
        <w:tabs>
          <w:tab w:val="clear" w:pos="567"/>
          <w:tab w:val="left" w:pos="540"/>
          <w:tab w:val="left" w:pos="569"/>
        </w:tabs>
        <w:jc w:val="both"/>
        <w:rPr>
          <w:bCs/>
          <w:szCs w:val="22"/>
        </w:rPr>
      </w:pPr>
    </w:p>
    <w:p w14:paraId="065CE9DB" w14:textId="77777777" w:rsidR="00D86BB7" w:rsidRPr="00CC61C2" w:rsidRDefault="00D86BB7">
      <w:pPr>
        <w:tabs>
          <w:tab w:val="clear" w:pos="567"/>
          <w:tab w:val="left" w:pos="540"/>
          <w:tab w:val="left" w:pos="569"/>
        </w:tabs>
        <w:jc w:val="both"/>
        <w:rPr>
          <w:szCs w:val="22"/>
        </w:rPr>
      </w:pPr>
      <w:r w:rsidRPr="00CC61C2">
        <w:rPr>
          <w:bCs/>
          <w:szCs w:val="22"/>
        </w:rPr>
        <w:t xml:space="preserve">ATC kod: </w:t>
      </w:r>
      <w:r w:rsidRPr="00CC61C2">
        <w:rPr>
          <w:szCs w:val="22"/>
        </w:rPr>
        <w:t>C09BX01</w:t>
      </w:r>
    </w:p>
    <w:p w14:paraId="3584186D" w14:textId="77777777" w:rsidR="00D86BB7" w:rsidRPr="00CC61C2" w:rsidRDefault="00D86BB7">
      <w:pPr>
        <w:tabs>
          <w:tab w:val="left" w:pos="284"/>
        </w:tabs>
        <w:jc w:val="both"/>
        <w:rPr>
          <w:bCs/>
          <w:i/>
          <w:szCs w:val="22"/>
          <w:highlight w:val="yellow"/>
        </w:rPr>
      </w:pPr>
    </w:p>
    <w:p w14:paraId="27A9EB56" w14:textId="08A6795E" w:rsidR="00D86BB7" w:rsidRPr="00CC61C2" w:rsidRDefault="00D86BB7">
      <w:pPr>
        <w:tabs>
          <w:tab w:val="left" w:pos="284"/>
        </w:tabs>
        <w:jc w:val="both"/>
        <w:rPr>
          <w:szCs w:val="22"/>
        </w:rPr>
      </w:pPr>
      <w:r w:rsidRPr="00CC61C2">
        <w:rPr>
          <w:szCs w:val="22"/>
        </w:rPr>
        <w:t>Lijek Amlewel predstavlja kombinaciju soli perindopril terc</w:t>
      </w:r>
      <w:r w:rsidR="004D57F0" w:rsidRPr="00CC61C2">
        <w:rPr>
          <w:szCs w:val="22"/>
        </w:rPr>
        <w:t xml:space="preserve"> </w:t>
      </w:r>
      <w:r w:rsidRPr="00CC61C2">
        <w:rPr>
          <w:szCs w:val="22"/>
        </w:rPr>
        <w:t>butilamina, inhibitora angiotenzin konvertujućeg enzima, indapamida, hlorosulfamoilnog diuretika i amlodipina, antagonist</w:t>
      </w:r>
      <w:r w:rsidR="004D57F0" w:rsidRPr="00CC61C2">
        <w:rPr>
          <w:szCs w:val="22"/>
        </w:rPr>
        <w:t xml:space="preserve">e </w:t>
      </w:r>
      <w:r w:rsidRPr="00CC61C2">
        <w:rPr>
          <w:szCs w:val="22"/>
        </w:rPr>
        <w:t>kalcijuma. Farmakološka svojstva proističu od onih koja su vezana za pojedinačne sastojke kada se uzimaju odvojeno, a osim toga i od aditivnog sinergi</w:t>
      </w:r>
      <w:r w:rsidR="004D57F0" w:rsidRPr="00CC61C2">
        <w:rPr>
          <w:szCs w:val="22"/>
        </w:rPr>
        <w:t>stičkog</w:t>
      </w:r>
      <w:r w:rsidRPr="00CC61C2">
        <w:rPr>
          <w:szCs w:val="22"/>
        </w:rPr>
        <w:t xml:space="preserve"> djelovanja ove tri supstance kada se koriste u kombinaciji.</w:t>
      </w:r>
    </w:p>
    <w:p w14:paraId="3CB5FEA3" w14:textId="77777777" w:rsidR="00D86BB7" w:rsidRPr="00CC61C2" w:rsidRDefault="00D86BB7">
      <w:pPr>
        <w:tabs>
          <w:tab w:val="left" w:pos="284"/>
        </w:tabs>
        <w:jc w:val="both"/>
        <w:rPr>
          <w:szCs w:val="22"/>
        </w:rPr>
      </w:pPr>
    </w:p>
    <w:p w14:paraId="2CF67621" w14:textId="77777777" w:rsidR="00D86BB7" w:rsidRPr="00CC61C2" w:rsidRDefault="00D86BB7">
      <w:pPr>
        <w:tabs>
          <w:tab w:val="center" w:pos="4536"/>
          <w:tab w:val="right" w:pos="9072"/>
        </w:tabs>
        <w:jc w:val="both"/>
        <w:rPr>
          <w:szCs w:val="22"/>
          <w:u w:val="single"/>
        </w:rPr>
      </w:pPr>
      <w:r w:rsidRPr="00CC61C2">
        <w:rPr>
          <w:szCs w:val="22"/>
          <w:u w:val="single"/>
        </w:rPr>
        <w:t>Mehanizam dejstva i farmakodinamički efekti</w:t>
      </w:r>
    </w:p>
    <w:p w14:paraId="061E8B56" w14:textId="77777777" w:rsidR="00D86BB7" w:rsidRPr="00CC61C2" w:rsidRDefault="00D86BB7">
      <w:pPr>
        <w:tabs>
          <w:tab w:val="center" w:pos="4536"/>
          <w:tab w:val="right" w:pos="9072"/>
        </w:tabs>
        <w:jc w:val="both"/>
        <w:rPr>
          <w:szCs w:val="22"/>
        </w:rPr>
      </w:pPr>
    </w:p>
    <w:p w14:paraId="5CD41052" w14:textId="77777777" w:rsidR="00D86BB7" w:rsidRPr="00CC61C2" w:rsidRDefault="00D86BB7">
      <w:pPr>
        <w:tabs>
          <w:tab w:val="center" w:pos="4536"/>
          <w:tab w:val="right" w:pos="9072"/>
        </w:tabs>
        <w:jc w:val="both"/>
        <w:rPr>
          <w:b/>
          <w:i/>
          <w:szCs w:val="22"/>
        </w:rPr>
      </w:pPr>
      <w:r w:rsidRPr="00CC61C2">
        <w:rPr>
          <w:b/>
          <w:i/>
          <w:szCs w:val="22"/>
        </w:rPr>
        <w:t>Perindopril</w:t>
      </w:r>
    </w:p>
    <w:p w14:paraId="4E830ED4" w14:textId="77777777" w:rsidR="00D86BB7" w:rsidRPr="00CC61C2" w:rsidRDefault="00D86BB7">
      <w:pPr>
        <w:tabs>
          <w:tab w:val="left" w:pos="284"/>
        </w:tabs>
        <w:jc w:val="both"/>
        <w:rPr>
          <w:szCs w:val="22"/>
        </w:rPr>
      </w:pPr>
      <w:r w:rsidRPr="00CC61C2">
        <w:rPr>
          <w:szCs w:val="22"/>
        </w:rPr>
        <w:t>Perindopril djeluje preko svog aktivnog metabolita, perindoprilata. Drugi metaboliti su neaktivni. Perindopril je inhibitor angiotenzin konvertujućeg enzima (ACE inhibitor) koji konvertuje angiotenzin I u angiotenzin II, vazokonstriktornu supstancu. Dodatno, enzim stimuliše sekreciju aldosterona iz adrenalnog korteksa i stimuliše razgradnju bradikinina, vazodilatatorne supstance, u neaktivne heptapeptide.</w:t>
      </w:r>
    </w:p>
    <w:p w14:paraId="14DCAA38" w14:textId="77777777" w:rsidR="00D86BB7" w:rsidRPr="00CC61C2" w:rsidRDefault="00D86BB7">
      <w:pPr>
        <w:tabs>
          <w:tab w:val="left" w:pos="284"/>
        </w:tabs>
        <w:jc w:val="both"/>
        <w:rPr>
          <w:szCs w:val="22"/>
        </w:rPr>
      </w:pPr>
    </w:p>
    <w:p w14:paraId="707AD998" w14:textId="77777777" w:rsidR="00D86BB7" w:rsidRPr="00CC61C2" w:rsidRDefault="00D86BB7">
      <w:pPr>
        <w:tabs>
          <w:tab w:val="left" w:pos="284"/>
        </w:tabs>
        <w:jc w:val="both"/>
        <w:rPr>
          <w:szCs w:val="22"/>
        </w:rPr>
      </w:pPr>
      <w:r w:rsidRPr="00CC61C2">
        <w:rPr>
          <w:szCs w:val="22"/>
        </w:rPr>
        <w:t>Ovo rezultira:</w:t>
      </w:r>
    </w:p>
    <w:p w14:paraId="33FA7F5A" w14:textId="77777777" w:rsidR="00D86BB7" w:rsidRPr="00CC61C2" w:rsidRDefault="00D86BB7">
      <w:pPr>
        <w:numPr>
          <w:ilvl w:val="0"/>
          <w:numId w:val="2"/>
        </w:numPr>
        <w:tabs>
          <w:tab w:val="clear" w:pos="567"/>
          <w:tab w:val="left" w:pos="284"/>
        </w:tabs>
        <w:spacing w:line="240" w:lineRule="auto"/>
        <w:jc w:val="both"/>
        <w:rPr>
          <w:szCs w:val="22"/>
        </w:rPr>
      </w:pPr>
      <w:r w:rsidRPr="00CC61C2">
        <w:rPr>
          <w:szCs w:val="22"/>
        </w:rPr>
        <w:t>redukcijom sekrecije aldosterona,</w:t>
      </w:r>
    </w:p>
    <w:p w14:paraId="2BF45F29" w14:textId="77777777" w:rsidR="00D86BB7" w:rsidRPr="00CC61C2" w:rsidRDefault="00D86BB7">
      <w:pPr>
        <w:numPr>
          <w:ilvl w:val="0"/>
          <w:numId w:val="2"/>
        </w:numPr>
        <w:tabs>
          <w:tab w:val="clear" w:pos="567"/>
          <w:tab w:val="left" w:pos="284"/>
        </w:tabs>
        <w:spacing w:line="240" w:lineRule="auto"/>
        <w:jc w:val="both"/>
        <w:rPr>
          <w:szCs w:val="22"/>
        </w:rPr>
      </w:pPr>
      <w:r w:rsidRPr="00CC61C2">
        <w:rPr>
          <w:szCs w:val="22"/>
        </w:rPr>
        <w:t>povećanjem aktivnosti renina u plazmi, pošto aldosteron ne aktivira negativnu povratnu spregu,</w:t>
      </w:r>
    </w:p>
    <w:p w14:paraId="58F37BF6" w14:textId="77777777" w:rsidR="00D86BB7" w:rsidRPr="00CC61C2" w:rsidRDefault="00D86BB7">
      <w:pPr>
        <w:numPr>
          <w:ilvl w:val="0"/>
          <w:numId w:val="2"/>
        </w:numPr>
        <w:tabs>
          <w:tab w:val="clear" w:pos="567"/>
        </w:tabs>
        <w:spacing w:line="240" w:lineRule="auto"/>
        <w:jc w:val="both"/>
        <w:rPr>
          <w:szCs w:val="22"/>
        </w:rPr>
      </w:pPr>
      <w:r w:rsidRPr="00CC61C2">
        <w:rPr>
          <w:szCs w:val="22"/>
        </w:rPr>
        <w:t xml:space="preserve">smanjenjem ukupnog perifernog otpora sa prevashodnim dejstvom na krvne sudove u mišićima i bubrezima, koje nije praćeno retencijom soli i vode, ni refleksnom tahikardijom pri hroničnoj terapiji.      </w:t>
      </w:r>
    </w:p>
    <w:p w14:paraId="5D114139" w14:textId="77777777" w:rsidR="004D57F0" w:rsidRPr="00CC61C2" w:rsidRDefault="00D86BB7">
      <w:pPr>
        <w:tabs>
          <w:tab w:val="left" w:pos="284"/>
        </w:tabs>
        <w:jc w:val="both"/>
        <w:rPr>
          <w:szCs w:val="22"/>
        </w:rPr>
      </w:pPr>
      <w:r w:rsidRPr="00CC61C2">
        <w:rPr>
          <w:szCs w:val="22"/>
        </w:rPr>
        <w:t xml:space="preserve">Antihipertenzivno dejstvo perindoprila se takođe javlja kod pacijenata sa niskom ili normalnom koncentracijom renina u plazmi. </w:t>
      </w:r>
    </w:p>
    <w:p w14:paraId="583DAF88" w14:textId="77777777" w:rsidR="004D57F0" w:rsidRPr="00CC61C2" w:rsidRDefault="004D57F0">
      <w:pPr>
        <w:tabs>
          <w:tab w:val="left" w:pos="284"/>
        </w:tabs>
        <w:jc w:val="both"/>
        <w:rPr>
          <w:szCs w:val="22"/>
        </w:rPr>
      </w:pPr>
      <w:r w:rsidRPr="00CC61C2">
        <w:rPr>
          <w:szCs w:val="22"/>
        </w:rPr>
        <w:t xml:space="preserve">Perindopril ispoljava svoje dejstvo kao aktivni metabolit, perindoprilat. Drugi metaboliti su inaktivni. </w:t>
      </w:r>
    </w:p>
    <w:p w14:paraId="0FE784EE" w14:textId="67AE6710" w:rsidR="00D86BB7" w:rsidRPr="00CC61C2" w:rsidRDefault="00D86BB7">
      <w:pPr>
        <w:tabs>
          <w:tab w:val="left" w:pos="284"/>
        </w:tabs>
        <w:jc w:val="both"/>
        <w:rPr>
          <w:szCs w:val="22"/>
        </w:rPr>
      </w:pPr>
    </w:p>
    <w:p w14:paraId="104984AA" w14:textId="77777777" w:rsidR="00D86BB7" w:rsidRPr="00CC61C2" w:rsidRDefault="00D86BB7">
      <w:pPr>
        <w:tabs>
          <w:tab w:val="left" w:pos="284"/>
        </w:tabs>
        <w:jc w:val="both"/>
        <w:rPr>
          <w:szCs w:val="22"/>
        </w:rPr>
      </w:pPr>
      <w:r w:rsidRPr="00CC61C2">
        <w:rPr>
          <w:szCs w:val="22"/>
        </w:rPr>
        <w:t>Perindopril redukuje srčani rad:</w:t>
      </w:r>
    </w:p>
    <w:p w14:paraId="6F7315C4" w14:textId="77777777" w:rsidR="00D86BB7" w:rsidRPr="00CC61C2" w:rsidRDefault="00D86BB7">
      <w:pPr>
        <w:numPr>
          <w:ilvl w:val="0"/>
          <w:numId w:val="3"/>
        </w:numPr>
        <w:tabs>
          <w:tab w:val="clear" w:pos="567"/>
          <w:tab w:val="left" w:pos="284"/>
        </w:tabs>
        <w:spacing w:line="240" w:lineRule="auto"/>
        <w:jc w:val="both"/>
        <w:rPr>
          <w:szCs w:val="22"/>
        </w:rPr>
      </w:pPr>
      <w:r w:rsidRPr="00CC61C2">
        <w:rPr>
          <w:szCs w:val="22"/>
        </w:rPr>
        <w:t>preko vazodilatatornog efekta na vene, vjerovatno izazvanog promjenama u metabolizmu prostaglandina: redukcija venskog pritoka krvi(</w:t>
      </w:r>
      <w:r w:rsidRPr="00CC61C2">
        <w:rPr>
          <w:i/>
          <w:szCs w:val="22"/>
        </w:rPr>
        <w:t>pre-load</w:t>
      </w:r>
      <w:r w:rsidRPr="00CC61C2">
        <w:rPr>
          <w:szCs w:val="22"/>
        </w:rPr>
        <w:t>),</w:t>
      </w:r>
    </w:p>
    <w:p w14:paraId="2D170042" w14:textId="77777777" w:rsidR="00D86BB7" w:rsidRPr="00CC61C2" w:rsidRDefault="00D86BB7">
      <w:pPr>
        <w:numPr>
          <w:ilvl w:val="0"/>
          <w:numId w:val="3"/>
        </w:numPr>
        <w:tabs>
          <w:tab w:val="clear" w:pos="567"/>
          <w:tab w:val="left" w:pos="284"/>
        </w:tabs>
        <w:spacing w:line="240" w:lineRule="auto"/>
        <w:jc w:val="both"/>
        <w:rPr>
          <w:szCs w:val="22"/>
        </w:rPr>
      </w:pPr>
      <w:r w:rsidRPr="00CC61C2">
        <w:rPr>
          <w:szCs w:val="22"/>
        </w:rPr>
        <w:t>preko smanjenja ukupnog perifernog vaskularnog otpora: redukcija naknadnog opterećenja (</w:t>
      </w:r>
      <w:r w:rsidRPr="00CC61C2">
        <w:rPr>
          <w:i/>
          <w:szCs w:val="22"/>
        </w:rPr>
        <w:t>after-load</w:t>
      </w:r>
      <w:r w:rsidRPr="00CC61C2">
        <w:rPr>
          <w:szCs w:val="22"/>
        </w:rPr>
        <w:t>).</w:t>
      </w:r>
    </w:p>
    <w:p w14:paraId="6671A7C9" w14:textId="77777777" w:rsidR="00D86BB7" w:rsidRPr="00CC61C2" w:rsidRDefault="00D86BB7">
      <w:pPr>
        <w:tabs>
          <w:tab w:val="left" w:pos="284"/>
        </w:tabs>
        <w:jc w:val="both"/>
        <w:rPr>
          <w:szCs w:val="22"/>
        </w:rPr>
      </w:pPr>
    </w:p>
    <w:p w14:paraId="313EB29F" w14:textId="77777777" w:rsidR="00D86BB7" w:rsidRPr="00CC61C2" w:rsidRDefault="00D86BB7">
      <w:pPr>
        <w:tabs>
          <w:tab w:val="left" w:pos="284"/>
        </w:tabs>
        <w:jc w:val="both"/>
        <w:rPr>
          <w:szCs w:val="22"/>
        </w:rPr>
      </w:pPr>
      <w:r w:rsidRPr="00CC61C2">
        <w:rPr>
          <w:szCs w:val="22"/>
        </w:rPr>
        <w:t>Studije sprovedene na pacijentima sa insuficijencijom srca su pokazale:</w:t>
      </w:r>
    </w:p>
    <w:p w14:paraId="4D57471E" w14:textId="77777777" w:rsidR="00D86BB7" w:rsidRPr="00CC61C2" w:rsidRDefault="00D86BB7">
      <w:pPr>
        <w:numPr>
          <w:ilvl w:val="0"/>
          <w:numId w:val="4"/>
        </w:numPr>
        <w:tabs>
          <w:tab w:val="clear" w:pos="567"/>
          <w:tab w:val="left" w:pos="284"/>
        </w:tabs>
        <w:spacing w:line="240" w:lineRule="auto"/>
        <w:jc w:val="both"/>
        <w:rPr>
          <w:szCs w:val="22"/>
        </w:rPr>
      </w:pPr>
      <w:r w:rsidRPr="00CC61C2">
        <w:rPr>
          <w:szCs w:val="22"/>
        </w:rPr>
        <w:t>redukciju pritiska punjenja u lijevoj i desnoj komori,</w:t>
      </w:r>
    </w:p>
    <w:p w14:paraId="28501D12" w14:textId="77777777" w:rsidR="00D86BB7" w:rsidRPr="00CC61C2" w:rsidRDefault="00D86BB7">
      <w:pPr>
        <w:numPr>
          <w:ilvl w:val="0"/>
          <w:numId w:val="4"/>
        </w:numPr>
        <w:tabs>
          <w:tab w:val="clear" w:pos="567"/>
          <w:tab w:val="left" w:pos="284"/>
        </w:tabs>
        <w:spacing w:line="240" w:lineRule="auto"/>
        <w:jc w:val="both"/>
        <w:rPr>
          <w:szCs w:val="22"/>
        </w:rPr>
      </w:pPr>
      <w:r w:rsidRPr="00CC61C2">
        <w:rPr>
          <w:szCs w:val="22"/>
        </w:rPr>
        <w:t>redukciju ukupnog perifernog vaskularnog otpora,</w:t>
      </w:r>
    </w:p>
    <w:p w14:paraId="247806D8" w14:textId="77777777" w:rsidR="00D86BB7" w:rsidRPr="00CC61C2" w:rsidRDefault="00D86BB7">
      <w:pPr>
        <w:numPr>
          <w:ilvl w:val="0"/>
          <w:numId w:val="4"/>
        </w:numPr>
        <w:tabs>
          <w:tab w:val="clear" w:pos="567"/>
          <w:tab w:val="left" w:pos="284"/>
        </w:tabs>
        <w:spacing w:line="240" w:lineRule="auto"/>
        <w:jc w:val="both"/>
        <w:rPr>
          <w:szCs w:val="22"/>
        </w:rPr>
      </w:pPr>
      <w:r w:rsidRPr="00CC61C2">
        <w:rPr>
          <w:szCs w:val="22"/>
        </w:rPr>
        <w:t>povećanje minutnog volumena srca i poboljšanje srčanog indeksa,</w:t>
      </w:r>
    </w:p>
    <w:p w14:paraId="2BAB5500" w14:textId="77777777" w:rsidR="00D86BB7" w:rsidRPr="00CC61C2" w:rsidRDefault="00D86BB7">
      <w:pPr>
        <w:numPr>
          <w:ilvl w:val="0"/>
          <w:numId w:val="4"/>
        </w:numPr>
        <w:tabs>
          <w:tab w:val="clear" w:pos="567"/>
          <w:tab w:val="left" w:pos="284"/>
        </w:tabs>
        <w:spacing w:line="240" w:lineRule="auto"/>
        <w:jc w:val="both"/>
        <w:rPr>
          <w:szCs w:val="22"/>
        </w:rPr>
      </w:pPr>
      <w:r w:rsidRPr="00CC61C2">
        <w:rPr>
          <w:szCs w:val="22"/>
        </w:rPr>
        <w:t>povećanje regionalnog protoka krvi u mišićima.</w:t>
      </w:r>
    </w:p>
    <w:p w14:paraId="66E8B43E" w14:textId="77777777" w:rsidR="00D86BB7" w:rsidRPr="00CC61C2" w:rsidRDefault="00D86BB7">
      <w:pPr>
        <w:tabs>
          <w:tab w:val="left" w:pos="284"/>
        </w:tabs>
        <w:jc w:val="both"/>
        <w:rPr>
          <w:szCs w:val="22"/>
        </w:rPr>
      </w:pPr>
      <w:r w:rsidRPr="00CC61C2">
        <w:rPr>
          <w:szCs w:val="22"/>
        </w:rPr>
        <w:t>Rezultati testa opterećenja takođe pokazuju poboljšanje.</w:t>
      </w:r>
    </w:p>
    <w:p w14:paraId="0857A729" w14:textId="77777777" w:rsidR="00D86BB7" w:rsidRPr="00CC61C2" w:rsidRDefault="00D86BB7">
      <w:pPr>
        <w:tabs>
          <w:tab w:val="center" w:pos="4536"/>
          <w:tab w:val="right" w:pos="9072"/>
        </w:tabs>
        <w:jc w:val="both"/>
        <w:rPr>
          <w:szCs w:val="22"/>
        </w:rPr>
      </w:pPr>
    </w:p>
    <w:p w14:paraId="25B4944E" w14:textId="77777777" w:rsidR="00D86BB7" w:rsidRPr="00CC61C2" w:rsidRDefault="00D86BB7">
      <w:pPr>
        <w:tabs>
          <w:tab w:val="center" w:pos="4536"/>
          <w:tab w:val="right" w:pos="9072"/>
        </w:tabs>
        <w:jc w:val="both"/>
        <w:rPr>
          <w:b/>
          <w:i/>
          <w:szCs w:val="22"/>
        </w:rPr>
      </w:pPr>
      <w:r w:rsidRPr="00CC61C2">
        <w:rPr>
          <w:b/>
          <w:i/>
          <w:szCs w:val="22"/>
        </w:rPr>
        <w:t>Indapamid</w:t>
      </w:r>
    </w:p>
    <w:p w14:paraId="1BAA47F5" w14:textId="77777777" w:rsidR="00D86BB7" w:rsidRPr="00CC61C2" w:rsidRDefault="00D86BB7">
      <w:pPr>
        <w:tabs>
          <w:tab w:val="left" w:pos="284"/>
        </w:tabs>
        <w:jc w:val="both"/>
        <w:rPr>
          <w:szCs w:val="22"/>
        </w:rPr>
      </w:pPr>
      <w:r w:rsidRPr="00CC61C2">
        <w:rPr>
          <w:szCs w:val="22"/>
        </w:rPr>
        <w:t>Indapamid je derivat sulfonamida sa indolskim prstenom u svojoj strukturi, farmakološki povezan sa tiazidnom grupom diuretika. Indapamid inhibira reapsorpciju natrijuma u kortikalnom dilucionom segmentu. Povećava urinarno izlučivanje natrijuma i hlorida, i u manjem stepenu izlučivanje kalijuma i magnezijuma, pri čemu se povećava ukupno izlučivanje urina, što je praćeno antihipertenzivnim dejstvom.</w:t>
      </w:r>
    </w:p>
    <w:p w14:paraId="6E9750C0" w14:textId="77777777" w:rsidR="00D86BB7" w:rsidRPr="00CC61C2" w:rsidRDefault="00D86BB7">
      <w:pPr>
        <w:tabs>
          <w:tab w:val="center" w:pos="4536"/>
          <w:tab w:val="right" w:pos="9072"/>
        </w:tabs>
        <w:jc w:val="both"/>
        <w:rPr>
          <w:szCs w:val="22"/>
        </w:rPr>
      </w:pPr>
    </w:p>
    <w:p w14:paraId="3E01D248" w14:textId="77777777" w:rsidR="00D86BB7" w:rsidRPr="00CC61C2" w:rsidRDefault="00D86BB7">
      <w:pPr>
        <w:tabs>
          <w:tab w:val="center" w:pos="4536"/>
          <w:tab w:val="right" w:pos="9072"/>
        </w:tabs>
        <w:jc w:val="both"/>
        <w:rPr>
          <w:b/>
          <w:i/>
          <w:szCs w:val="22"/>
        </w:rPr>
      </w:pPr>
      <w:r w:rsidRPr="00CC61C2">
        <w:rPr>
          <w:b/>
          <w:i/>
          <w:szCs w:val="22"/>
        </w:rPr>
        <w:t>Amlodipin</w:t>
      </w:r>
    </w:p>
    <w:p w14:paraId="66ECE9CC" w14:textId="77777777" w:rsidR="00D86BB7" w:rsidRPr="00CC61C2" w:rsidRDefault="00D86BB7">
      <w:pPr>
        <w:widowControl w:val="0"/>
        <w:jc w:val="both"/>
        <w:rPr>
          <w:szCs w:val="22"/>
        </w:rPr>
      </w:pPr>
      <w:r w:rsidRPr="00CC61C2">
        <w:rPr>
          <w:szCs w:val="22"/>
        </w:rPr>
        <w:t xml:space="preserve">Amlodipin je blokator kalcijumskih kanala i </w:t>
      </w:r>
      <w:r w:rsidRPr="00CC61C2">
        <w:rPr>
          <w:szCs w:val="22"/>
          <w:lang w:eastAsia="sr-Latn-CS"/>
        </w:rPr>
        <w:t>inhibira influks jona kalcijuma u srčani i vaskularni glatki mišić</w:t>
      </w:r>
      <w:r w:rsidRPr="00CC61C2">
        <w:rPr>
          <w:szCs w:val="22"/>
        </w:rPr>
        <w:t xml:space="preserve">. Mehanizam antihipertenzivnog dejstva amlodipina je posljedica direktnog opuštajućeg dejstva na glatki vaskularni mišić. Nije sasvim razjašnjen precizni mehanizam zahvaljujući kojem amlodipin </w:t>
      </w:r>
      <w:r w:rsidRPr="00CC61C2">
        <w:rPr>
          <w:szCs w:val="22"/>
        </w:rPr>
        <w:lastRenderedPageBreak/>
        <w:t>ublažava anginu, ali amlodipin smanjuje ukupno ishemijsko opterećenje putem sljedeća dva mehanizma:</w:t>
      </w:r>
    </w:p>
    <w:p w14:paraId="29D2288D" w14:textId="77777777" w:rsidR="00D86BB7" w:rsidRPr="00CC61C2" w:rsidRDefault="00D86BB7">
      <w:pPr>
        <w:numPr>
          <w:ilvl w:val="0"/>
          <w:numId w:val="5"/>
        </w:numPr>
        <w:tabs>
          <w:tab w:val="clear" w:pos="567"/>
        </w:tabs>
        <w:spacing w:line="240" w:lineRule="auto"/>
        <w:jc w:val="both"/>
        <w:rPr>
          <w:szCs w:val="22"/>
        </w:rPr>
      </w:pPr>
      <w:r w:rsidRPr="00CC61C2">
        <w:rPr>
          <w:szCs w:val="22"/>
        </w:rPr>
        <w:t xml:space="preserve">Amlodipin dilatira periferne arteriole i na taj način smanjuje ukupni periferni otpor (naknadno opterećenje) nasuprot koga srce radi. Pošto srčana frekvenca ostaje stabilna, ovim rasterećenjem srca smanjuje se potrošnja energije miokarda i njegova potreba za kiseonikom. </w:t>
      </w:r>
    </w:p>
    <w:p w14:paraId="7E6A8335" w14:textId="77777777" w:rsidR="00D86BB7" w:rsidRPr="00CC61C2" w:rsidRDefault="00D86BB7">
      <w:pPr>
        <w:numPr>
          <w:ilvl w:val="0"/>
          <w:numId w:val="5"/>
        </w:numPr>
        <w:tabs>
          <w:tab w:val="clear" w:pos="567"/>
        </w:tabs>
        <w:spacing w:line="240" w:lineRule="auto"/>
        <w:jc w:val="both"/>
        <w:rPr>
          <w:szCs w:val="22"/>
        </w:rPr>
      </w:pPr>
      <w:r w:rsidRPr="00CC61C2">
        <w:rPr>
          <w:szCs w:val="22"/>
        </w:rPr>
        <w:t>Mehanizam dejstva amlodipina vjerovatno obuhvata i dilataciju glavnih koronarnih arterija i koronarnih arteriola. Ovom dilatacijom se povećava miokardijalna isporuka kiseonika kod pacijenata sa spazmom koronarne arterije (Prinzmetalova angina).</w:t>
      </w:r>
    </w:p>
    <w:p w14:paraId="57388E39" w14:textId="77777777" w:rsidR="00D86BB7" w:rsidRPr="00CC61C2" w:rsidRDefault="00D86BB7">
      <w:pPr>
        <w:jc w:val="both"/>
        <w:rPr>
          <w:szCs w:val="22"/>
        </w:rPr>
      </w:pPr>
    </w:p>
    <w:p w14:paraId="2FB51838" w14:textId="77777777" w:rsidR="00D86BB7" w:rsidRPr="00CC61C2" w:rsidRDefault="00D86BB7">
      <w:pPr>
        <w:jc w:val="both"/>
        <w:rPr>
          <w:szCs w:val="22"/>
        </w:rPr>
      </w:pPr>
      <w:r w:rsidRPr="00CC61C2">
        <w:rPr>
          <w:szCs w:val="22"/>
        </w:rPr>
        <w:t>Doziranjem jednom dnevno kod pacijenata sa hipertenzijom obezbjeđuju se klinički značajno smanjenje krvnog pritiska i u ležećem i u stojećem položaju u periodu od 24 sata.</w:t>
      </w:r>
    </w:p>
    <w:p w14:paraId="516EEB51" w14:textId="77777777" w:rsidR="00D86BB7" w:rsidRPr="00CC61C2" w:rsidRDefault="00D86BB7">
      <w:pPr>
        <w:tabs>
          <w:tab w:val="center" w:pos="4536"/>
          <w:tab w:val="right" w:pos="9072"/>
        </w:tabs>
        <w:jc w:val="both"/>
        <w:rPr>
          <w:szCs w:val="22"/>
          <w:highlight w:val="yellow"/>
        </w:rPr>
      </w:pPr>
    </w:p>
    <w:p w14:paraId="27466D80" w14:textId="77777777" w:rsidR="00D86BB7" w:rsidRPr="00CC61C2" w:rsidRDefault="00D86BB7">
      <w:pPr>
        <w:widowControl w:val="0"/>
        <w:jc w:val="both"/>
        <w:rPr>
          <w:szCs w:val="22"/>
        </w:rPr>
      </w:pPr>
      <w:r w:rsidRPr="00CC61C2">
        <w:rPr>
          <w:szCs w:val="22"/>
        </w:rPr>
        <w:t>Primjenom amlodipina jednom dnevno kod pacijenata sa anginom povećava se ukupno vrijeme fizičke aktivnosti, vrijeme do pojave angine i vrijeme do depresije ST segmenta od 1mm, i smanjuje učestalost napada angine i uzimanje tableta gliceril trinitrata.</w:t>
      </w:r>
    </w:p>
    <w:p w14:paraId="53E390A1" w14:textId="77777777" w:rsidR="00D86BB7" w:rsidRPr="00CC61C2" w:rsidRDefault="00D86BB7">
      <w:pPr>
        <w:tabs>
          <w:tab w:val="center" w:pos="4536"/>
          <w:tab w:val="right" w:pos="9072"/>
        </w:tabs>
        <w:jc w:val="both"/>
        <w:rPr>
          <w:szCs w:val="22"/>
          <w:highlight w:val="yellow"/>
        </w:rPr>
      </w:pPr>
    </w:p>
    <w:p w14:paraId="5C30551E" w14:textId="77777777" w:rsidR="00D86BB7" w:rsidRPr="00CC61C2" w:rsidRDefault="00D86BB7">
      <w:pPr>
        <w:tabs>
          <w:tab w:val="left" w:pos="284"/>
        </w:tabs>
        <w:jc w:val="both"/>
        <w:rPr>
          <w:szCs w:val="22"/>
        </w:rPr>
      </w:pPr>
      <w:r w:rsidRPr="00CC61C2">
        <w:rPr>
          <w:noProof/>
          <w:szCs w:val="22"/>
        </w:rPr>
        <w:t>Primjena amlodipina nije bila u vezi sa pojavom metaboličkih neželjenih dejstava ili promjenama nivoa lipida u plazmi i pogodan je za primjenu kod pacijenata sa astmom, dijabetesom i gihtom.</w:t>
      </w:r>
    </w:p>
    <w:p w14:paraId="453E3791" w14:textId="77777777" w:rsidR="00D86BB7" w:rsidRPr="00CC61C2" w:rsidRDefault="00D86BB7">
      <w:pPr>
        <w:tabs>
          <w:tab w:val="center" w:pos="4536"/>
          <w:tab w:val="right" w:pos="9072"/>
        </w:tabs>
        <w:jc w:val="both"/>
        <w:rPr>
          <w:szCs w:val="22"/>
        </w:rPr>
      </w:pPr>
    </w:p>
    <w:p w14:paraId="7EE67D14" w14:textId="77777777" w:rsidR="00D86BB7" w:rsidRPr="00CC61C2" w:rsidRDefault="00D86BB7">
      <w:pPr>
        <w:tabs>
          <w:tab w:val="center" w:pos="4536"/>
          <w:tab w:val="right" w:pos="9072"/>
        </w:tabs>
        <w:jc w:val="both"/>
        <w:rPr>
          <w:szCs w:val="22"/>
          <w:u w:val="single"/>
        </w:rPr>
      </w:pPr>
      <w:r w:rsidRPr="00CC61C2">
        <w:rPr>
          <w:szCs w:val="22"/>
          <w:u w:val="single"/>
        </w:rPr>
        <w:t>Klinička efikasnost i bezbjednost</w:t>
      </w:r>
    </w:p>
    <w:p w14:paraId="6B596C70" w14:textId="77777777" w:rsidR="00D86BB7" w:rsidRPr="00CC61C2" w:rsidRDefault="00D86BB7">
      <w:pPr>
        <w:tabs>
          <w:tab w:val="center" w:pos="4536"/>
          <w:tab w:val="right" w:pos="9072"/>
        </w:tabs>
        <w:jc w:val="both"/>
        <w:rPr>
          <w:szCs w:val="22"/>
        </w:rPr>
      </w:pPr>
    </w:p>
    <w:p w14:paraId="60A1EE69" w14:textId="77777777" w:rsidR="00D86BB7" w:rsidRPr="00CC61C2" w:rsidRDefault="00D86BB7">
      <w:pPr>
        <w:tabs>
          <w:tab w:val="center" w:pos="4536"/>
          <w:tab w:val="right" w:pos="9072"/>
        </w:tabs>
        <w:jc w:val="both"/>
        <w:rPr>
          <w:b/>
          <w:i/>
          <w:szCs w:val="22"/>
        </w:rPr>
      </w:pPr>
      <w:r w:rsidRPr="00CC61C2">
        <w:rPr>
          <w:b/>
          <w:i/>
          <w:szCs w:val="22"/>
        </w:rPr>
        <w:t>Perindopril</w:t>
      </w:r>
    </w:p>
    <w:p w14:paraId="3F44175F" w14:textId="77777777" w:rsidR="00D86BB7" w:rsidRPr="00CC61C2" w:rsidRDefault="00D86BB7">
      <w:pPr>
        <w:pStyle w:val="Header"/>
        <w:tabs>
          <w:tab w:val="left" w:pos="284"/>
        </w:tabs>
        <w:jc w:val="both"/>
        <w:rPr>
          <w:rFonts w:ascii="Times New Roman" w:hAnsi="Times New Roman"/>
          <w:sz w:val="22"/>
          <w:szCs w:val="22"/>
        </w:rPr>
      </w:pPr>
      <w:r w:rsidRPr="00CC61C2">
        <w:rPr>
          <w:rFonts w:ascii="Times New Roman" w:hAnsi="Times New Roman"/>
          <w:sz w:val="22"/>
          <w:szCs w:val="22"/>
        </w:rPr>
        <w:t>Perindopril je aktivan kod svih stepena hipertenzije: blage, umjerene, teške; uočava se snižavanje sistolnog i dijastolnog krvnog pritiska i u ležećem i stojećem položaju.</w:t>
      </w:r>
    </w:p>
    <w:p w14:paraId="32418090" w14:textId="77777777" w:rsidR="00D86BB7" w:rsidRPr="00CC61C2" w:rsidRDefault="00D86BB7">
      <w:pPr>
        <w:tabs>
          <w:tab w:val="left" w:pos="284"/>
        </w:tabs>
        <w:jc w:val="both"/>
        <w:rPr>
          <w:szCs w:val="22"/>
        </w:rPr>
      </w:pPr>
      <w:r w:rsidRPr="00CC61C2">
        <w:rPr>
          <w:szCs w:val="22"/>
        </w:rPr>
        <w:t xml:space="preserve">Antihipertenzivno djelovanje je maksimalno između 4 i 6 sati nakon pojedinačne doze i održava se najmanje 24 sata. Postoji visok stepen rezidualnog blokiranja angiotenzin konvertujućeg enzima poslije 24 h, približno 80%. Kod pacijenata sa terapijskim odgovorom na lijek, normalizacija krvnog pritiska se postiže poslije 1 mjeseca i održava se bez tahifilakse. Prekid terapije nema povratno dejstvo na hipertenziju. </w:t>
      </w:r>
    </w:p>
    <w:p w14:paraId="15EDE11E" w14:textId="77777777" w:rsidR="00D86BB7" w:rsidRPr="00CC61C2" w:rsidRDefault="00D86BB7">
      <w:pPr>
        <w:widowControl w:val="0"/>
        <w:jc w:val="both"/>
        <w:rPr>
          <w:szCs w:val="22"/>
        </w:rPr>
      </w:pPr>
      <w:r w:rsidRPr="00CC61C2">
        <w:rPr>
          <w:szCs w:val="22"/>
        </w:rPr>
        <w:t>Perindopril ima vazodilatatorna svojstva i vraća elastičnost glavnih arterijskih stabala, koriguje histomorfometrijske promjene u rezistentnim arterijama i dovodi do smanjenja hipertrofije lijeve komore.</w:t>
      </w:r>
    </w:p>
    <w:p w14:paraId="61E1F657" w14:textId="77777777" w:rsidR="00D86BB7" w:rsidRPr="00CC61C2" w:rsidRDefault="00D86BB7">
      <w:pPr>
        <w:tabs>
          <w:tab w:val="left" w:pos="284"/>
        </w:tabs>
        <w:jc w:val="both"/>
        <w:rPr>
          <w:szCs w:val="22"/>
        </w:rPr>
      </w:pPr>
      <w:r w:rsidRPr="00CC61C2">
        <w:rPr>
          <w:szCs w:val="22"/>
        </w:rPr>
        <w:t>Ako je neophodno, dodavanje tiazidnih diuretika dovodi do aditivnog sinergizma. Kombinacija inhibitora angiotenzin konvertujućeg enzima sa tiazidnim diuretikom smanjuje rizik od hipokalijemije koja nastaje kod primjene samog diuretika.</w:t>
      </w:r>
    </w:p>
    <w:p w14:paraId="34B45B85" w14:textId="77777777" w:rsidR="00D86BB7" w:rsidRPr="00CC61C2" w:rsidRDefault="00D86BB7">
      <w:pPr>
        <w:tabs>
          <w:tab w:val="center" w:pos="4536"/>
          <w:tab w:val="right" w:pos="9072"/>
        </w:tabs>
        <w:jc w:val="both"/>
        <w:rPr>
          <w:szCs w:val="22"/>
        </w:rPr>
      </w:pPr>
    </w:p>
    <w:p w14:paraId="0627D716" w14:textId="77777777" w:rsidR="00D86BB7" w:rsidRPr="00CC61C2" w:rsidRDefault="00D86BB7">
      <w:pPr>
        <w:tabs>
          <w:tab w:val="center" w:pos="4536"/>
          <w:tab w:val="right" w:pos="9072"/>
        </w:tabs>
        <w:jc w:val="both"/>
        <w:rPr>
          <w:szCs w:val="22"/>
          <w:u w:val="single"/>
        </w:rPr>
      </w:pPr>
      <w:r w:rsidRPr="00CC61C2">
        <w:rPr>
          <w:szCs w:val="22"/>
          <w:u w:val="single"/>
        </w:rPr>
        <w:t>Informacije iz kliničkih ispitivanja dvostruke blokade renin-angiotenzin-aldosteron sistema (RAAS)</w:t>
      </w:r>
    </w:p>
    <w:p w14:paraId="41730B55" w14:textId="77777777" w:rsidR="00D86BB7" w:rsidRPr="00CC61C2" w:rsidRDefault="00D86BB7">
      <w:pPr>
        <w:tabs>
          <w:tab w:val="center" w:pos="4536"/>
          <w:tab w:val="right" w:pos="9072"/>
        </w:tabs>
        <w:jc w:val="both"/>
        <w:rPr>
          <w:szCs w:val="22"/>
        </w:rPr>
      </w:pPr>
      <w:r w:rsidRPr="00CC61C2">
        <w:rPr>
          <w:szCs w:val="22"/>
        </w:rPr>
        <w:t xml:space="preserve">Dvije velike randomizovane, kontrolisane studije (ONTARGET (eng. </w:t>
      </w:r>
      <w:r w:rsidRPr="00CC61C2">
        <w:rPr>
          <w:i/>
          <w:szCs w:val="22"/>
        </w:rPr>
        <w:t>ONgoing Telmisartan Alone and in combination with Ramipril Global Endpoint Trial</w:t>
      </w:r>
      <w:r w:rsidRPr="00CC61C2">
        <w:rPr>
          <w:szCs w:val="22"/>
        </w:rPr>
        <w:t xml:space="preserve">) i VA NEPHRON-D (eng. </w:t>
      </w:r>
      <w:r w:rsidRPr="00CC61C2">
        <w:rPr>
          <w:i/>
          <w:szCs w:val="22"/>
        </w:rPr>
        <w:t>The Veterans Affairs Nephropathy in Diabetes</w:t>
      </w:r>
      <w:r w:rsidRPr="00CC61C2">
        <w:rPr>
          <w:szCs w:val="22"/>
        </w:rPr>
        <w:t xml:space="preserve">)) ispitivale su primjenu kombinacije ACE inhibitora s blokatorom angiotenzin II receptora. </w:t>
      </w:r>
    </w:p>
    <w:p w14:paraId="2EBE810C" w14:textId="77777777" w:rsidR="004D57F0" w:rsidRPr="00CC61C2" w:rsidRDefault="00D86BB7">
      <w:pPr>
        <w:tabs>
          <w:tab w:val="center" w:pos="4536"/>
          <w:tab w:val="right" w:pos="9072"/>
        </w:tabs>
        <w:jc w:val="both"/>
        <w:rPr>
          <w:szCs w:val="22"/>
        </w:rPr>
      </w:pPr>
      <w:r w:rsidRPr="00CC61C2">
        <w:rPr>
          <w:szCs w:val="22"/>
        </w:rPr>
        <w:t xml:space="preserve">ONTARGET je bila studija sprovedena kod pacijenata s kardiovaskularnom ili cerebrovaskularnom bolešću u anamnezi, ili sa dijabetes melitusom tipa 2 uz dokaze oštećenja ciljanih organa. </w:t>
      </w:r>
    </w:p>
    <w:p w14:paraId="75869963" w14:textId="0C1F7B01" w:rsidR="00D86BB7" w:rsidRPr="00CC61C2" w:rsidRDefault="00D86BB7">
      <w:pPr>
        <w:tabs>
          <w:tab w:val="center" w:pos="4536"/>
          <w:tab w:val="right" w:pos="9072"/>
        </w:tabs>
        <w:jc w:val="both"/>
        <w:rPr>
          <w:szCs w:val="22"/>
        </w:rPr>
      </w:pPr>
      <w:r w:rsidRPr="00CC61C2">
        <w:rPr>
          <w:szCs w:val="22"/>
        </w:rPr>
        <w:t>VA NEPHRON-D je bila studija kod pacijenata sa dijabetes melitusom tipa 2 i dijabetičkom nefropatijom. Ta ispitivanja nijesu pokazala nikakav značajan povoljan efekat na bubrežne i/ili kardiovaskularne ishode i smrtnost, a bio je uočen povećani rizik od hiperkalijemije, akutnog oštećenja bubrega i/ili hipotenzije u poređenju sa monoterapijom. S obzirom na njihova slična farmakodinamička svojstva, ovi rezultati su relevantni i za druge ACE inhibitore i blokatore angiotenzin II receptora. ACE inhibitori i blokatori angiotenzin II receptora stoga se ne smiju istovremeno primjenjivati kod pacijenata s dijabetičkom nefropatijom.</w:t>
      </w:r>
    </w:p>
    <w:p w14:paraId="47B75F2E" w14:textId="77777777" w:rsidR="00D86BB7" w:rsidRPr="00CC61C2" w:rsidRDefault="00D86BB7">
      <w:pPr>
        <w:tabs>
          <w:tab w:val="center" w:pos="4536"/>
          <w:tab w:val="right" w:pos="9072"/>
        </w:tabs>
        <w:jc w:val="both"/>
        <w:rPr>
          <w:szCs w:val="22"/>
        </w:rPr>
      </w:pPr>
      <w:r w:rsidRPr="00CC61C2">
        <w:rPr>
          <w:szCs w:val="22"/>
        </w:rPr>
        <w:t xml:space="preserve">ALTITUDE (eng. </w:t>
      </w:r>
      <w:r w:rsidRPr="00CC61C2">
        <w:rPr>
          <w:i/>
          <w:szCs w:val="22"/>
        </w:rPr>
        <w:t>Aliskiren Trial in Type 2 Diabetes Using Cardiovascular and Renal Disease Endpoints</w:t>
      </w:r>
      <w:r w:rsidRPr="00CC61C2">
        <w:rPr>
          <w:szCs w:val="22"/>
        </w:rPr>
        <w:t xml:space="preserve">) je bila studija osmišljena za ispitivanje koristi dodavanja aliskirena standardnoj terapiji s ACE inhibitorom ili blokatorom angiotenzin II receptora kod pacijenata sa dijabetes melitusom tipa 2 i hroničnom bolešću bubrega, kardiovaskularnom bolešću ili oboje. Ispitivanje je bilo prijevremeno prekinuto zbog povećanog rizika od neželjenih ishoda. Kardiovaskularna smrt i moždani udar su oboje brojčano bili učestaliji u grupi koja je primala aliskiren nego u onoj koja je primala placebo, a neželjeni </w:t>
      </w:r>
      <w:r w:rsidRPr="00CC61C2">
        <w:rPr>
          <w:szCs w:val="22"/>
        </w:rPr>
        <w:lastRenderedPageBreak/>
        <w:t>događaji i ozbiljni neželjeni događaji (hiperkalijemija, hipotenzija i bubrežna disfunkcija) bili su učestalije zabilježeni u grupi koja je primala aliskiren nego u onoj koja je primala placebo.</w:t>
      </w:r>
    </w:p>
    <w:p w14:paraId="60CB370F" w14:textId="77777777" w:rsidR="00D86BB7" w:rsidRPr="00CC61C2" w:rsidRDefault="00D86BB7">
      <w:pPr>
        <w:tabs>
          <w:tab w:val="left" w:pos="284"/>
        </w:tabs>
        <w:jc w:val="both"/>
        <w:rPr>
          <w:szCs w:val="22"/>
        </w:rPr>
      </w:pPr>
    </w:p>
    <w:p w14:paraId="6F0C21FF" w14:textId="77777777" w:rsidR="00D86BB7" w:rsidRPr="00CC61C2" w:rsidRDefault="00D86BB7">
      <w:pPr>
        <w:tabs>
          <w:tab w:val="center" w:pos="4536"/>
          <w:tab w:val="right" w:pos="9072"/>
        </w:tabs>
        <w:jc w:val="both"/>
        <w:rPr>
          <w:b/>
          <w:i/>
          <w:szCs w:val="22"/>
        </w:rPr>
      </w:pPr>
      <w:r w:rsidRPr="00CC61C2">
        <w:rPr>
          <w:b/>
          <w:i/>
          <w:szCs w:val="22"/>
        </w:rPr>
        <w:t>Indapamid</w:t>
      </w:r>
    </w:p>
    <w:p w14:paraId="3F8134E3" w14:textId="77777777" w:rsidR="00D86BB7" w:rsidRPr="00CC61C2" w:rsidRDefault="00D86BB7">
      <w:pPr>
        <w:tabs>
          <w:tab w:val="left" w:pos="284"/>
        </w:tabs>
        <w:jc w:val="both"/>
        <w:rPr>
          <w:szCs w:val="22"/>
        </w:rPr>
      </w:pPr>
      <w:r w:rsidRPr="00CC61C2">
        <w:rPr>
          <w:szCs w:val="22"/>
        </w:rPr>
        <w:t xml:space="preserve">Indapamid, primijenjen kao monoterapija, ima antihipertenzivno dejstvo koje traje 24 h. Ovo dejstvo se javlja u dozama pri kojima su diuretičke osobine minimalne. </w:t>
      </w:r>
    </w:p>
    <w:p w14:paraId="5AD6CF0A" w14:textId="77777777" w:rsidR="00D86BB7" w:rsidRPr="00CC61C2" w:rsidRDefault="00D86BB7">
      <w:pPr>
        <w:tabs>
          <w:tab w:val="left" w:pos="284"/>
        </w:tabs>
        <w:jc w:val="both"/>
        <w:rPr>
          <w:szCs w:val="22"/>
        </w:rPr>
      </w:pPr>
      <w:r w:rsidRPr="00CC61C2">
        <w:rPr>
          <w:szCs w:val="22"/>
        </w:rPr>
        <w:t>Njegovo antihipertenzivno dejstvo je proporcionalno poboljšanju arterijske komplijanse i redukciji ukupne i arteriolarne periferne vaskularne rezistencije.</w:t>
      </w:r>
    </w:p>
    <w:p w14:paraId="7DD1A605" w14:textId="77777777" w:rsidR="00D86BB7" w:rsidRPr="00CC61C2" w:rsidRDefault="00D86BB7">
      <w:pPr>
        <w:tabs>
          <w:tab w:val="left" w:pos="284"/>
        </w:tabs>
        <w:jc w:val="both"/>
        <w:rPr>
          <w:szCs w:val="22"/>
        </w:rPr>
      </w:pPr>
      <w:r w:rsidRPr="00CC61C2">
        <w:rPr>
          <w:szCs w:val="22"/>
        </w:rPr>
        <w:t>Indapamid redukuje hipertrofiju lijeve komore.</w:t>
      </w:r>
    </w:p>
    <w:p w14:paraId="6EDB0387" w14:textId="77777777" w:rsidR="00D86BB7" w:rsidRPr="00CC61C2" w:rsidRDefault="00D86BB7">
      <w:pPr>
        <w:tabs>
          <w:tab w:val="left" w:pos="284"/>
        </w:tabs>
        <w:jc w:val="both"/>
        <w:rPr>
          <w:szCs w:val="22"/>
        </w:rPr>
      </w:pPr>
      <w:r w:rsidRPr="00CC61C2">
        <w:rPr>
          <w:szCs w:val="22"/>
        </w:rPr>
        <w:t>Kada se doza tiazidnog diuretika i tiazidima-sličnih diuretika prekorači, antihipertenzivno dejstvo dostiže plato, dok se neželjenih dejstava i dalje povećavaju. Ako je terapija neefektivna, doza se ne smije povećavati.</w:t>
      </w:r>
    </w:p>
    <w:p w14:paraId="632339AB" w14:textId="77777777" w:rsidR="00D86BB7" w:rsidRPr="00CC61C2" w:rsidRDefault="00D86BB7">
      <w:pPr>
        <w:tabs>
          <w:tab w:val="left" w:pos="284"/>
        </w:tabs>
        <w:jc w:val="both"/>
        <w:rPr>
          <w:szCs w:val="22"/>
        </w:rPr>
      </w:pPr>
      <w:r w:rsidRPr="00CC61C2">
        <w:rPr>
          <w:szCs w:val="22"/>
        </w:rPr>
        <w:t>Dalje je pokazano da, kod pacijenata sa hipertenzijom kratkog, umjerenog i dugog trajanja, indapamid:</w:t>
      </w:r>
    </w:p>
    <w:p w14:paraId="5968370D" w14:textId="77777777" w:rsidR="00D86BB7" w:rsidRPr="00CC61C2" w:rsidRDefault="00D86BB7">
      <w:pPr>
        <w:numPr>
          <w:ilvl w:val="0"/>
          <w:numId w:val="6"/>
        </w:numPr>
        <w:tabs>
          <w:tab w:val="clear" w:pos="567"/>
          <w:tab w:val="left" w:pos="284"/>
        </w:tabs>
        <w:spacing w:line="240" w:lineRule="auto"/>
        <w:jc w:val="both"/>
        <w:rPr>
          <w:szCs w:val="22"/>
        </w:rPr>
      </w:pPr>
      <w:r w:rsidRPr="00CC61C2">
        <w:rPr>
          <w:szCs w:val="22"/>
        </w:rPr>
        <w:t xml:space="preserve">nema dejstvo na metabolizam lipida: triglicerida, </w:t>
      </w:r>
      <w:smartTag w:uri="urn:schemas-microsoft-com:office:smarttags" w:element="stockticker">
        <w:r w:rsidRPr="00CC61C2">
          <w:rPr>
            <w:szCs w:val="22"/>
          </w:rPr>
          <w:t>LDL</w:t>
        </w:r>
      </w:smartTag>
      <w:r w:rsidRPr="00CC61C2">
        <w:rPr>
          <w:szCs w:val="22"/>
        </w:rPr>
        <w:t xml:space="preserve">-holesterola i </w:t>
      </w:r>
      <w:smartTag w:uri="urn:schemas-microsoft-com:office:smarttags" w:element="stockticker">
        <w:r w:rsidRPr="00CC61C2">
          <w:rPr>
            <w:szCs w:val="22"/>
          </w:rPr>
          <w:t>HDL</w:t>
        </w:r>
      </w:smartTag>
      <w:r w:rsidRPr="00CC61C2">
        <w:rPr>
          <w:szCs w:val="22"/>
        </w:rPr>
        <w:t>-holesterola,</w:t>
      </w:r>
    </w:p>
    <w:p w14:paraId="0E14D713" w14:textId="77777777" w:rsidR="00D86BB7" w:rsidRPr="00CC61C2" w:rsidRDefault="00D86BB7">
      <w:pPr>
        <w:numPr>
          <w:ilvl w:val="0"/>
          <w:numId w:val="6"/>
        </w:numPr>
        <w:tabs>
          <w:tab w:val="clear" w:pos="567"/>
          <w:tab w:val="left" w:pos="284"/>
        </w:tabs>
        <w:spacing w:line="240" w:lineRule="auto"/>
        <w:jc w:val="both"/>
        <w:rPr>
          <w:szCs w:val="22"/>
        </w:rPr>
      </w:pPr>
      <w:r w:rsidRPr="00CC61C2">
        <w:rPr>
          <w:szCs w:val="22"/>
        </w:rPr>
        <w:t>nema dejstvo na metabolizam ugljenih hidrata, čak ni kod hipertenzivnih pacijenata sa dijabetesom.</w:t>
      </w:r>
    </w:p>
    <w:p w14:paraId="508BB637" w14:textId="77777777" w:rsidR="00D86BB7" w:rsidRPr="00CC61C2" w:rsidRDefault="00D86BB7">
      <w:pPr>
        <w:tabs>
          <w:tab w:val="center" w:pos="4536"/>
          <w:tab w:val="right" w:pos="9072"/>
        </w:tabs>
        <w:jc w:val="both"/>
        <w:rPr>
          <w:szCs w:val="22"/>
        </w:rPr>
      </w:pPr>
    </w:p>
    <w:p w14:paraId="1ADA2C4E" w14:textId="77777777" w:rsidR="00D86BB7" w:rsidRPr="00CC61C2" w:rsidRDefault="00D86BB7">
      <w:pPr>
        <w:tabs>
          <w:tab w:val="center" w:pos="4536"/>
          <w:tab w:val="right" w:pos="9072"/>
        </w:tabs>
        <w:jc w:val="both"/>
        <w:rPr>
          <w:b/>
          <w:i/>
          <w:szCs w:val="22"/>
        </w:rPr>
      </w:pPr>
      <w:r w:rsidRPr="00CC61C2">
        <w:rPr>
          <w:b/>
          <w:i/>
          <w:szCs w:val="22"/>
        </w:rPr>
        <w:t>Amlodipin</w:t>
      </w:r>
    </w:p>
    <w:p w14:paraId="3EE27B63" w14:textId="77777777" w:rsidR="00D86BB7" w:rsidRPr="00CC61C2" w:rsidRDefault="00D86BB7">
      <w:pPr>
        <w:tabs>
          <w:tab w:val="center" w:pos="4536"/>
          <w:tab w:val="right" w:pos="9072"/>
        </w:tabs>
        <w:jc w:val="both"/>
        <w:rPr>
          <w:szCs w:val="22"/>
        </w:rPr>
      </w:pPr>
      <w:r w:rsidRPr="00CC61C2">
        <w:rPr>
          <w:szCs w:val="22"/>
        </w:rPr>
        <w:t xml:space="preserve">Ispitivanje antihipertenzivne i terapije za snižavanje lipida u prevenciji srčanog udara (eng. </w:t>
      </w:r>
      <w:r w:rsidRPr="00CC61C2">
        <w:rPr>
          <w:i/>
          <w:szCs w:val="22"/>
        </w:rPr>
        <w:t>Antihypertensive and Lipid-Lowering Treatment to Prevent Heart Attack Trial</w:t>
      </w:r>
      <w:r w:rsidRPr="00CC61C2">
        <w:rPr>
          <w:szCs w:val="22"/>
        </w:rPr>
        <w:t xml:space="preserve"> – ALLHAT) sprovedeno je da bi se uporedile terapije novijim ljekovima (amlodipin ili ACE inhibitor kao osnovni lijek) sa tiazidnim diureticima, kod blage do umjerene hipertenzije.</w:t>
      </w:r>
    </w:p>
    <w:p w14:paraId="11A450A5" w14:textId="77777777" w:rsidR="00D86BB7" w:rsidRPr="00CC61C2" w:rsidRDefault="00D86BB7">
      <w:pPr>
        <w:tabs>
          <w:tab w:val="center" w:pos="4536"/>
          <w:tab w:val="right" w:pos="9072"/>
        </w:tabs>
        <w:jc w:val="both"/>
        <w:rPr>
          <w:szCs w:val="22"/>
        </w:rPr>
      </w:pPr>
      <w:r w:rsidRPr="00CC61C2">
        <w:rPr>
          <w:szCs w:val="22"/>
        </w:rPr>
        <w:t>Nije bilo značajne razlike u kardiovaskularnim ishodima između terapije zasnovane na amlodipinu i terapije zasnovane na tiazidnim diureticima.</w:t>
      </w:r>
    </w:p>
    <w:p w14:paraId="67B68EF3" w14:textId="77777777" w:rsidR="00D86BB7" w:rsidRPr="00CC61C2" w:rsidRDefault="00D86BB7">
      <w:pPr>
        <w:tabs>
          <w:tab w:val="center" w:pos="4536"/>
          <w:tab w:val="right" w:pos="9072"/>
        </w:tabs>
        <w:jc w:val="both"/>
        <w:rPr>
          <w:szCs w:val="22"/>
        </w:rPr>
      </w:pPr>
    </w:p>
    <w:p w14:paraId="6196E547" w14:textId="77777777" w:rsidR="00D86BB7" w:rsidRPr="00CC61C2" w:rsidRDefault="00D86BB7">
      <w:pPr>
        <w:tabs>
          <w:tab w:val="center" w:pos="4536"/>
          <w:tab w:val="right" w:pos="9072"/>
        </w:tabs>
        <w:jc w:val="both"/>
        <w:rPr>
          <w:b/>
          <w:i/>
          <w:szCs w:val="22"/>
        </w:rPr>
      </w:pPr>
      <w:r w:rsidRPr="00CC61C2">
        <w:rPr>
          <w:b/>
          <w:i/>
          <w:szCs w:val="22"/>
        </w:rPr>
        <w:t>Perindopril/indapamid</w:t>
      </w:r>
    </w:p>
    <w:p w14:paraId="74E6CF4C" w14:textId="77777777" w:rsidR="00D86BB7" w:rsidRPr="00CC61C2" w:rsidRDefault="00D86BB7">
      <w:pPr>
        <w:tabs>
          <w:tab w:val="center" w:pos="4536"/>
          <w:tab w:val="right" w:pos="9072"/>
        </w:tabs>
        <w:jc w:val="both"/>
        <w:rPr>
          <w:szCs w:val="22"/>
        </w:rPr>
      </w:pPr>
      <w:r w:rsidRPr="00CC61C2">
        <w:rPr>
          <w:szCs w:val="22"/>
        </w:rPr>
        <w:t xml:space="preserve">Kod hipertenzivnih pacijenata, bez obzira na dob, perindopril/indapamid ispoljava antihipertenzivno djelovanje u zavisnosti od doze na dijastolni i sistolni arterijski pritisak dok leže ili stoje. Ovaj antihipertenzivni efekat traje 24 sata. Smanjenje krvnog pritiska postiže se za manje od mjesec dana bez tahifilaksije; prekid terapije nema povratni efekat. U kliničkim studijama je konkomitantna upotreba perindoprila i indapamida dala sinergistički efekat u odnosu na svaki lijek dat pojedinačno i smanjila rizik od hipokalijemije povezan sa primjenom diuretika u monoterapiji. </w:t>
      </w:r>
    </w:p>
    <w:p w14:paraId="55AB9623" w14:textId="77777777" w:rsidR="00D86BB7" w:rsidRPr="00CC61C2" w:rsidRDefault="00D86BB7">
      <w:pPr>
        <w:tabs>
          <w:tab w:val="center" w:pos="4536"/>
          <w:tab w:val="right" w:pos="9072"/>
        </w:tabs>
        <w:jc w:val="both"/>
        <w:rPr>
          <w:szCs w:val="22"/>
        </w:rPr>
      </w:pPr>
      <w:r w:rsidRPr="00CC61C2">
        <w:rPr>
          <w:szCs w:val="22"/>
        </w:rPr>
        <w:t>PICXEL, multicentrična, randomizovana, dvostruko-slijepa, aktivno kontrolisana studija je ehokardiografski prikazala dejstvo kombinacije perindopril/indapamid na LVH (hipertrofiju lijeve komore) u odnosu na monotrapiju enalaprilom.</w:t>
      </w:r>
    </w:p>
    <w:p w14:paraId="32AB9C8D" w14:textId="77777777" w:rsidR="00D86BB7" w:rsidRPr="00CC61C2" w:rsidRDefault="00D86BB7">
      <w:pPr>
        <w:tabs>
          <w:tab w:val="center" w:pos="4536"/>
          <w:tab w:val="right" w:pos="9072"/>
        </w:tabs>
        <w:jc w:val="both"/>
        <w:rPr>
          <w:szCs w:val="22"/>
        </w:rPr>
      </w:pPr>
      <w:r w:rsidRPr="00CC61C2">
        <w:rPr>
          <w:szCs w:val="22"/>
        </w:rPr>
        <w:t>U PICXEL studiji, hipertenzivni pacijenti sa LVH (definisan kao indeks mase lijeve komore (LVMI) &gt;120 g/m² kod muškaraca i &gt;100g/m² kod žena) su raspodijeljeni na terapiju perindopril terc-butilaminom 2 mg (što je ekvivalentno 2,5 mg perindopril arginina) / indapamidom 0,625 mg ili enalaprilom 10 mg jednom dnevno, tokom godinu dana. Doza je prilagođavana u odnosu na kontrolu krvnog pritiska, do 8 mg perindopril terc-butilamina (što je ekvivalentno 10 mg perindopril arginina) i 2,5 mg indapamida ili 40 mg enalaprila jednom dnevno. Samo 34% pacijenata je ostalo na dozi od 2 mg perindopril terc-butilamina (ekvivalentno 2,5 mg perindopril arginina) / 0,625 mg indapamida (u odnosu na 20% na dozi od 10 mg enalaprila).</w:t>
      </w:r>
    </w:p>
    <w:p w14:paraId="7CA18CE9" w14:textId="77777777" w:rsidR="00D86BB7" w:rsidRPr="00CC61C2" w:rsidRDefault="00D86BB7">
      <w:pPr>
        <w:tabs>
          <w:tab w:val="center" w:pos="4536"/>
          <w:tab w:val="right" w:pos="9072"/>
        </w:tabs>
        <w:jc w:val="both"/>
        <w:rPr>
          <w:szCs w:val="22"/>
        </w:rPr>
      </w:pPr>
      <w:r w:rsidRPr="00CC61C2">
        <w:rPr>
          <w:szCs w:val="22"/>
        </w:rPr>
        <w:t>Na kraju liječenja, LVMI se značajno više smanjio u grupi liječenoj kombinacijom perindopril/indapamid (-10,1 g/m²) nego u grupi liječenoj enalaprilom (-1,1 g/m²) u ukupnoj populaciji pacijenata. Međugrupna razlika u LVMI je -8,3 (95% CI (-11,5; -5,0), p&lt;0,0001).</w:t>
      </w:r>
    </w:p>
    <w:p w14:paraId="5CA7AF9E" w14:textId="77777777" w:rsidR="00D86BB7" w:rsidRPr="00CC61C2" w:rsidRDefault="00D86BB7">
      <w:pPr>
        <w:jc w:val="both"/>
        <w:rPr>
          <w:szCs w:val="22"/>
        </w:rPr>
      </w:pPr>
      <w:r w:rsidRPr="00CC61C2">
        <w:rPr>
          <w:szCs w:val="22"/>
        </w:rPr>
        <w:t xml:space="preserve">Bolji efekat na LVMI je postignut većim dozama perindoprila/indapamida od doza perindoprila/indapamida 2,5 mg/0,625 mg i perindoprila/indapamida 5 mg/1,25 mg. </w:t>
      </w:r>
    </w:p>
    <w:p w14:paraId="28092CAC" w14:textId="77777777" w:rsidR="00D86BB7" w:rsidRPr="00CC61C2" w:rsidRDefault="00D86BB7">
      <w:pPr>
        <w:tabs>
          <w:tab w:val="center" w:pos="4536"/>
          <w:tab w:val="right" w:pos="9072"/>
        </w:tabs>
        <w:jc w:val="both"/>
        <w:rPr>
          <w:szCs w:val="22"/>
        </w:rPr>
      </w:pPr>
      <w:r w:rsidRPr="00CC61C2">
        <w:rPr>
          <w:szCs w:val="22"/>
        </w:rPr>
        <w:t>Kada je u pitanju krvni pritisak, procijenjena srednja razlika između grupa u randomizovanoj populaciji je bila -5,8 mmHg (95% CI ( -7,9; -3,7), p&lt;0,0001) za sistolni krvni pritisak i -2,3 mmHg (95%CI (-3,6; -0,9), p=0,0004) za dijastolni krvni pritisak, u korist grupe na terapiji kombinacijom perindopril/indapamid.</w:t>
      </w:r>
    </w:p>
    <w:p w14:paraId="03038806" w14:textId="77777777" w:rsidR="00D86BB7" w:rsidRPr="00CC61C2" w:rsidRDefault="00D86BB7">
      <w:pPr>
        <w:tabs>
          <w:tab w:val="center" w:pos="4536"/>
          <w:tab w:val="right" w:pos="9072"/>
        </w:tabs>
        <w:jc w:val="both"/>
        <w:rPr>
          <w:szCs w:val="22"/>
        </w:rPr>
      </w:pPr>
    </w:p>
    <w:p w14:paraId="3985F0DF" w14:textId="77777777" w:rsidR="00D86BB7" w:rsidRPr="00CC61C2" w:rsidRDefault="00D86BB7">
      <w:pPr>
        <w:tabs>
          <w:tab w:val="center" w:pos="4536"/>
          <w:tab w:val="right" w:pos="9072"/>
        </w:tabs>
        <w:jc w:val="both"/>
        <w:rPr>
          <w:i/>
          <w:szCs w:val="22"/>
        </w:rPr>
      </w:pPr>
      <w:r w:rsidRPr="00CC61C2">
        <w:rPr>
          <w:i/>
          <w:szCs w:val="22"/>
        </w:rPr>
        <w:t>Pedijatrijska populacija</w:t>
      </w:r>
    </w:p>
    <w:p w14:paraId="627678AC" w14:textId="3ACF9F2D" w:rsidR="00D86BB7" w:rsidRDefault="00D86BB7">
      <w:pPr>
        <w:tabs>
          <w:tab w:val="center" w:pos="4536"/>
          <w:tab w:val="right" w:pos="9072"/>
        </w:tabs>
        <w:jc w:val="both"/>
        <w:rPr>
          <w:i/>
          <w:szCs w:val="22"/>
        </w:rPr>
      </w:pPr>
    </w:p>
    <w:p w14:paraId="76005146" w14:textId="77777777" w:rsidR="00D86BB7" w:rsidRPr="00CC61C2" w:rsidRDefault="00D86BB7">
      <w:pPr>
        <w:widowControl w:val="0"/>
        <w:autoSpaceDE w:val="0"/>
        <w:autoSpaceDN w:val="0"/>
        <w:adjustRightInd w:val="0"/>
        <w:jc w:val="both"/>
        <w:rPr>
          <w:b/>
          <w:bCs/>
          <w:i/>
          <w:iCs/>
          <w:szCs w:val="22"/>
        </w:rPr>
      </w:pPr>
      <w:r w:rsidRPr="00CC61C2">
        <w:rPr>
          <w:b/>
          <w:bCs/>
          <w:i/>
          <w:iCs/>
          <w:szCs w:val="22"/>
        </w:rPr>
        <w:t>Perindopril/indapamid</w:t>
      </w:r>
    </w:p>
    <w:p w14:paraId="053ACEC3" w14:textId="3B0D269F" w:rsidR="00D86BB7" w:rsidRPr="00CC61C2" w:rsidRDefault="00D86BB7">
      <w:pPr>
        <w:jc w:val="both"/>
        <w:rPr>
          <w:szCs w:val="22"/>
        </w:rPr>
      </w:pPr>
      <w:r w:rsidRPr="00CC61C2">
        <w:rPr>
          <w:szCs w:val="22"/>
        </w:rPr>
        <w:lastRenderedPageBreak/>
        <w:t>Ni</w:t>
      </w:r>
      <w:r w:rsidR="00592131" w:rsidRPr="00CC61C2">
        <w:rPr>
          <w:szCs w:val="22"/>
        </w:rPr>
        <w:t>je</w:t>
      </w:r>
      <w:r w:rsidRPr="00CC61C2">
        <w:rPr>
          <w:szCs w:val="22"/>
        </w:rPr>
        <w:t>su dostupni podaci za primjenu perindopril/indapamida kod djece.</w:t>
      </w:r>
    </w:p>
    <w:p w14:paraId="3C1ACAB5" w14:textId="77777777" w:rsidR="00D86BB7" w:rsidRPr="00CC61C2" w:rsidRDefault="00D86BB7" w:rsidP="001237DA">
      <w:pPr>
        <w:widowControl w:val="0"/>
        <w:autoSpaceDE w:val="0"/>
        <w:autoSpaceDN w:val="0"/>
        <w:adjustRightInd w:val="0"/>
        <w:jc w:val="both"/>
        <w:rPr>
          <w:bCs/>
          <w:iCs/>
          <w:szCs w:val="22"/>
          <w:highlight w:val="yellow"/>
        </w:rPr>
      </w:pPr>
    </w:p>
    <w:p w14:paraId="6ADF609C" w14:textId="77777777" w:rsidR="00D86BB7" w:rsidRPr="00CC61C2" w:rsidRDefault="00D86BB7" w:rsidP="001237DA">
      <w:pPr>
        <w:widowControl w:val="0"/>
        <w:autoSpaceDE w:val="0"/>
        <w:autoSpaceDN w:val="0"/>
        <w:adjustRightInd w:val="0"/>
        <w:jc w:val="both"/>
        <w:rPr>
          <w:b/>
          <w:bCs/>
          <w:i/>
          <w:iCs/>
          <w:szCs w:val="22"/>
        </w:rPr>
      </w:pPr>
      <w:r w:rsidRPr="00CC61C2">
        <w:rPr>
          <w:b/>
          <w:bCs/>
          <w:i/>
          <w:iCs/>
          <w:szCs w:val="22"/>
        </w:rPr>
        <w:t>Amlodipin</w:t>
      </w:r>
    </w:p>
    <w:p w14:paraId="168A3F3B" w14:textId="28B4AD80" w:rsidR="00D86BB7" w:rsidRPr="00CC61C2" w:rsidRDefault="00D86BB7" w:rsidP="000D120B">
      <w:pPr>
        <w:widowControl w:val="0"/>
        <w:autoSpaceDE w:val="0"/>
        <w:autoSpaceDN w:val="0"/>
        <w:adjustRightInd w:val="0"/>
        <w:jc w:val="both"/>
        <w:rPr>
          <w:szCs w:val="22"/>
        </w:rPr>
      </w:pPr>
      <w:r w:rsidRPr="00CC61C2">
        <w:rPr>
          <w:szCs w:val="22"/>
        </w:rPr>
        <w:t>U studiji koja je uključivala 268 djece u</w:t>
      </w:r>
      <w:r w:rsidR="00592131" w:rsidRPr="00CC61C2">
        <w:rPr>
          <w:szCs w:val="22"/>
        </w:rPr>
        <w:t>zrasta</w:t>
      </w:r>
      <w:r w:rsidRPr="00CC61C2">
        <w:rPr>
          <w:szCs w:val="22"/>
        </w:rPr>
        <w:t xml:space="preserve"> od 6 do 17 godina sa pretežno sekundarnom hipertenzijom, poređenje doze amlodipina od 2,5 mg i 5,0 mg sa placebom, pokazalo je da obje doze snižavaju sistolni krvni pritisak značajno više od placeba. Razlika između dvije doze nije bila statistički značajna.</w:t>
      </w:r>
    </w:p>
    <w:p w14:paraId="50A865F7" w14:textId="7D13CD1B" w:rsidR="00D86BB7" w:rsidRPr="00CC61C2" w:rsidRDefault="00D86BB7" w:rsidP="000D120B">
      <w:pPr>
        <w:widowControl w:val="0"/>
        <w:autoSpaceDE w:val="0"/>
        <w:autoSpaceDN w:val="0"/>
        <w:adjustRightInd w:val="0"/>
        <w:jc w:val="both"/>
        <w:rPr>
          <w:szCs w:val="22"/>
        </w:rPr>
      </w:pPr>
      <w:r w:rsidRPr="00CC61C2">
        <w:rPr>
          <w:szCs w:val="22"/>
        </w:rPr>
        <w:t>Dugoročni efekti amlodipina na rast, pubertet i opšti razvoj ni</w:t>
      </w:r>
      <w:r w:rsidR="00592131" w:rsidRPr="00CC61C2">
        <w:rPr>
          <w:szCs w:val="22"/>
        </w:rPr>
        <w:t>je</w:t>
      </w:r>
      <w:r w:rsidRPr="00CC61C2">
        <w:rPr>
          <w:szCs w:val="22"/>
        </w:rPr>
        <w:t>su proučavani. Dugoročna efikasnost amlodipina u terapiji u djetinjstvu za smanjenje kardiovaskularnog morbiditeta i mortaliteta u odrasloj dobi takođe nije utvrđena.</w:t>
      </w:r>
    </w:p>
    <w:p w14:paraId="67E70567" w14:textId="77777777" w:rsidR="00D86BB7" w:rsidRPr="00CC61C2" w:rsidRDefault="00D86BB7" w:rsidP="000D120B">
      <w:pPr>
        <w:tabs>
          <w:tab w:val="left" w:pos="284"/>
        </w:tabs>
        <w:jc w:val="both"/>
        <w:rPr>
          <w:szCs w:val="22"/>
        </w:rPr>
      </w:pPr>
    </w:p>
    <w:p w14:paraId="24C733A9" w14:textId="77777777" w:rsidR="00D86BB7" w:rsidRPr="00CC61C2" w:rsidRDefault="00D86BB7" w:rsidP="000D120B">
      <w:pPr>
        <w:tabs>
          <w:tab w:val="left" w:pos="284"/>
        </w:tabs>
        <w:jc w:val="both"/>
        <w:rPr>
          <w:b/>
          <w:bCs/>
          <w:szCs w:val="22"/>
        </w:rPr>
      </w:pPr>
      <w:r w:rsidRPr="00CC61C2">
        <w:rPr>
          <w:b/>
          <w:szCs w:val="22"/>
        </w:rPr>
        <w:t>5.2. Farmakokinetički podaci</w:t>
      </w:r>
    </w:p>
    <w:p w14:paraId="09159BD0" w14:textId="77777777" w:rsidR="00D86BB7" w:rsidRPr="00CC61C2" w:rsidRDefault="00D86BB7" w:rsidP="000D120B">
      <w:pPr>
        <w:tabs>
          <w:tab w:val="left" w:pos="284"/>
        </w:tabs>
        <w:jc w:val="both"/>
        <w:rPr>
          <w:szCs w:val="22"/>
        </w:rPr>
      </w:pPr>
    </w:p>
    <w:p w14:paraId="1D071DA2" w14:textId="77777777" w:rsidR="00D86BB7" w:rsidRPr="00CC61C2" w:rsidRDefault="00D86BB7" w:rsidP="00077095">
      <w:pPr>
        <w:tabs>
          <w:tab w:val="center" w:pos="4536"/>
          <w:tab w:val="right" w:pos="9072"/>
        </w:tabs>
        <w:jc w:val="both"/>
        <w:rPr>
          <w:b/>
          <w:i/>
          <w:szCs w:val="22"/>
        </w:rPr>
      </w:pPr>
      <w:r w:rsidRPr="00CC61C2">
        <w:rPr>
          <w:b/>
          <w:i/>
          <w:szCs w:val="22"/>
        </w:rPr>
        <w:t>Perindopril</w:t>
      </w:r>
    </w:p>
    <w:p w14:paraId="350883A1" w14:textId="77777777" w:rsidR="00D86BB7" w:rsidRPr="00CC61C2" w:rsidRDefault="00D86BB7" w:rsidP="00592131">
      <w:pPr>
        <w:tabs>
          <w:tab w:val="center" w:pos="4536"/>
          <w:tab w:val="right" w:pos="9072"/>
        </w:tabs>
        <w:jc w:val="both"/>
        <w:rPr>
          <w:szCs w:val="22"/>
        </w:rPr>
      </w:pPr>
    </w:p>
    <w:p w14:paraId="22AE7EAC" w14:textId="77777777" w:rsidR="00D86BB7" w:rsidRPr="00CC61C2" w:rsidRDefault="00D86BB7" w:rsidP="00592131">
      <w:pPr>
        <w:tabs>
          <w:tab w:val="center" w:pos="4536"/>
          <w:tab w:val="right" w:pos="9072"/>
        </w:tabs>
        <w:jc w:val="both"/>
        <w:rPr>
          <w:i/>
          <w:iCs/>
          <w:szCs w:val="22"/>
        </w:rPr>
      </w:pPr>
      <w:r w:rsidRPr="00CC61C2">
        <w:rPr>
          <w:i/>
          <w:szCs w:val="22"/>
        </w:rPr>
        <w:t>Resorpcija</w:t>
      </w:r>
    </w:p>
    <w:p w14:paraId="1B3E5564" w14:textId="77777777" w:rsidR="00D86BB7" w:rsidRPr="00CC61C2" w:rsidRDefault="00D86BB7" w:rsidP="00592131">
      <w:pPr>
        <w:tabs>
          <w:tab w:val="left" w:pos="284"/>
        </w:tabs>
        <w:jc w:val="both"/>
        <w:rPr>
          <w:szCs w:val="22"/>
        </w:rPr>
      </w:pPr>
      <w:r w:rsidRPr="00CC61C2">
        <w:rPr>
          <w:szCs w:val="22"/>
        </w:rPr>
        <w:t xml:space="preserve">Nakon oralne primjene, perindopril se brzo resorbuje, i maksimalna koncentracija u plazmi se postiže u roku od 1 sata. Poluvrijeme eliminacije perindoprila iz plazme je 1 sat. </w:t>
      </w:r>
    </w:p>
    <w:p w14:paraId="415EAD0D" w14:textId="77777777" w:rsidR="00D86BB7" w:rsidRPr="00CC61C2" w:rsidRDefault="00D86BB7" w:rsidP="00592131">
      <w:pPr>
        <w:tabs>
          <w:tab w:val="left" w:pos="284"/>
        </w:tabs>
        <w:jc w:val="both"/>
        <w:rPr>
          <w:szCs w:val="22"/>
        </w:rPr>
      </w:pPr>
      <w:r w:rsidRPr="00CC61C2">
        <w:rPr>
          <w:szCs w:val="22"/>
        </w:rPr>
        <w:t>Unos hrane smanjuje konverziju perindoprila u perindoprilat, a time i bioraspoloživost, stoga perindopril treba uzimati oralno u pojedinačnoj dnevnoj dozi ujutru prije obroka.</w:t>
      </w:r>
    </w:p>
    <w:p w14:paraId="6821AFC0" w14:textId="77777777" w:rsidR="00D86BB7" w:rsidRPr="00CC61C2" w:rsidRDefault="00D86BB7">
      <w:pPr>
        <w:tabs>
          <w:tab w:val="center" w:pos="4536"/>
          <w:tab w:val="right" w:pos="9072"/>
        </w:tabs>
        <w:jc w:val="both"/>
        <w:rPr>
          <w:szCs w:val="22"/>
        </w:rPr>
      </w:pPr>
    </w:p>
    <w:p w14:paraId="6F604565" w14:textId="77777777" w:rsidR="00D86BB7" w:rsidRPr="00CC61C2" w:rsidRDefault="00D86BB7">
      <w:pPr>
        <w:tabs>
          <w:tab w:val="center" w:pos="4536"/>
          <w:tab w:val="right" w:pos="9072"/>
        </w:tabs>
        <w:jc w:val="both"/>
        <w:rPr>
          <w:i/>
          <w:iCs/>
          <w:szCs w:val="22"/>
        </w:rPr>
      </w:pPr>
      <w:r w:rsidRPr="00CC61C2">
        <w:rPr>
          <w:i/>
          <w:szCs w:val="22"/>
        </w:rPr>
        <w:t>Distribucija</w:t>
      </w:r>
    </w:p>
    <w:p w14:paraId="5B531C11" w14:textId="77777777" w:rsidR="00D86BB7" w:rsidRPr="00CC61C2" w:rsidRDefault="00D86BB7">
      <w:pPr>
        <w:tabs>
          <w:tab w:val="left" w:pos="284"/>
        </w:tabs>
        <w:jc w:val="both"/>
        <w:rPr>
          <w:szCs w:val="22"/>
        </w:rPr>
      </w:pPr>
      <w:r w:rsidRPr="00CC61C2">
        <w:rPr>
          <w:szCs w:val="22"/>
        </w:rPr>
        <w:t>Volumen distribucije je prosječno 0,2 l/kg za nevezani perindoprilat. Vezivanje perindoprilata za proteine plazme je 20%, prvenstveno za angiotenzin konvertujući enzim, ali je zavisno od koncentracije.</w:t>
      </w:r>
    </w:p>
    <w:p w14:paraId="1E689311" w14:textId="77777777" w:rsidR="00D86BB7" w:rsidRPr="00CC61C2" w:rsidRDefault="00D86BB7" w:rsidP="001237DA">
      <w:pPr>
        <w:widowControl w:val="0"/>
        <w:autoSpaceDE w:val="0"/>
        <w:autoSpaceDN w:val="0"/>
        <w:adjustRightInd w:val="0"/>
        <w:jc w:val="both"/>
        <w:rPr>
          <w:i/>
          <w:szCs w:val="22"/>
        </w:rPr>
      </w:pPr>
    </w:p>
    <w:p w14:paraId="2CDEB351" w14:textId="77777777" w:rsidR="00D86BB7" w:rsidRPr="00CC61C2" w:rsidRDefault="00D86BB7" w:rsidP="000D120B">
      <w:pPr>
        <w:tabs>
          <w:tab w:val="left" w:pos="284"/>
        </w:tabs>
        <w:jc w:val="both"/>
        <w:rPr>
          <w:i/>
          <w:szCs w:val="22"/>
        </w:rPr>
      </w:pPr>
      <w:r w:rsidRPr="00CC61C2">
        <w:rPr>
          <w:i/>
          <w:szCs w:val="22"/>
        </w:rPr>
        <w:t>Biotransformacija</w:t>
      </w:r>
    </w:p>
    <w:p w14:paraId="7691F07B" w14:textId="77777777" w:rsidR="00D86BB7" w:rsidRPr="00CC61C2" w:rsidRDefault="00D86BB7" w:rsidP="000D120B">
      <w:pPr>
        <w:tabs>
          <w:tab w:val="left" w:pos="284"/>
        </w:tabs>
        <w:jc w:val="both"/>
        <w:rPr>
          <w:szCs w:val="22"/>
        </w:rPr>
      </w:pPr>
      <w:r w:rsidRPr="00CC61C2">
        <w:rPr>
          <w:szCs w:val="22"/>
        </w:rPr>
        <w:t>Perindopril je prolijek, perindoprilat je aktivni metabolit (27% unijetog perindoprila u cirkulaciju dolazi kao aktivni metabolit perindoprilat). Pored perindoprilata, perindopril ima još 5 neaktivnih metabolita. Maksimalna koncentracija perindoprilata u plazmi se postiže poslije 3-4 h.</w:t>
      </w:r>
    </w:p>
    <w:p w14:paraId="57C39884" w14:textId="77777777" w:rsidR="00D86BB7" w:rsidRPr="00CC61C2" w:rsidRDefault="00D86BB7" w:rsidP="000D120B">
      <w:pPr>
        <w:tabs>
          <w:tab w:val="center" w:pos="4536"/>
          <w:tab w:val="right" w:pos="9072"/>
        </w:tabs>
        <w:jc w:val="both"/>
        <w:rPr>
          <w:szCs w:val="22"/>
        </w:rPr>
      </w:pPr>
    </w:p>
    <w:p w14:paraId="05BEE748" w14:textId="77777777" w:rsidR="00D86BB7" w:rsidRPr="00CC61C2" w:rsidRDefault="00D86BB7" w:rsidP="000D120B">
      <w:pPr>
        <w:tabs>
          <w:tab w:val="center" w:pos="4536"/>
          <w:tab w:val="right" w:pos="9072"/>
        </w:tabs>
        <w:jc w:val="both"/>
        <w:rPr>
          <w:i/>
          <w:iCs/>
          <w:szCs w:val="22"/>
        </w:rPr>
      </w:pPr>
      <w:r w:rsidRPr="00CC61C2">
        <w:rPr>
          <w:i/>
          <w:szCs w:val="22"/>
        </w:rPr>
        <w:t>Izlučivanje</w:t>
      </w:r>
    </w:p>
    <w:p w14:paraId="07BB7B25" w14:textId="77777777" w:rsidR="00D86BB7" w:rsidRPr="00CC61C2" w:rsidRDefault="00D86BB7" w:rsidP="00077095">
      <w:pPr>
        <w:tabs>
          <w:tab w:val="left" w:pos="284"/>
        </w:tabs>
        <w:jc w:val="both"/>
        <w:rPr>
          <w:szCs w:val="22"/>
        </w:rPr>
      </w:pPr>
      <w:r w:rsidRPr="00CC61C2">
        <w:rPr>
          <w:szCs w:val="22"/>
        </w:rPr>
        <w:t>Perindoprilat se eliminiše urinom, i terminalno poluvrijeme eliminacije nevezane frakcije je približno 17 sati, dovodeći do stanja ravnoteže u roku od 4 dana.</w:t>
      </w:r>
    </w:p>
    <w:p w14:paraId="3E6FE095" w14:textId="77777777" w:rsidR="00D86BB7" w:rsidRPr="00CC61C2" w:rsidRDefault="00D86BB7" w:rsidP="00592131">
      <w:pPr>
        <w:tabs>
          <w:tab w:val="left" w:pos="284"/>
        </w:tabs>
        <w:jc w:val="both"/>
        <w:rPr>
          <w:szCs w:val="22"/>
        </w:rPr>
      </w:pPr>
    </w:p>
    <w:p w14:paraId="65077910" w14:textId="77777777" w:rsidR="00D86BB7" w:rsidRPr="00CC61C2" w:rsidRDefault="00D86BB7" w:rsidP="00592131">
      <w:pPr>
        <w:widowControl w:val="0"/>
        <w:autoSpaceDE w:val="0"/>
        <w:autoSpaceDN w:val="0"/>
        <w:adjustRightInd w:val="0"/>
        <w:spacing w:line="240" w:lineRule="auto"/>
        <w:jc w:val="both"/>
        <w:rPr>
          <w:i/>
          <w:szCs w:val="22"/>
        </w:rPr>
      </w:pPr>
      <w:r w:rsidRPr="00CC61C2">
        <w:rPr>
          <w:i/>
          <w:szCs w:val="22"/>
        </w:rPr>
        <w:t>Linearnost/nelinearnost</w:t>
      </w:r>
    </w:p>
    <w:p w14:paraId="6ABC38D8" w14:textId="77777777" w:rsidR="00D86BB7" w:rsidRPr="00CC61C2" w:rsidRDefault="00D86BB7" w:rsidP="00296B45">
      <w:pPr>
        <w:pStyle w:val="NormalWeb"/>
        <w:spacing w:after="0"/>
        <w:jc w:val="both"/>
        <w:rPr>
          <w:color w:val="000000"/>
          <w:sz w:val="22"/>
          <w:szCs w:val="22"/>
          <w:lang w:val="sr-Latn-ME"/>
        </w:rPr>
      </w:pPr>
      <w:r w:rsidRPr="00CC61C2">
        <w:rPr>
          <w:color w:val="000000"/>
          <w:sz w:val="22"/>
          <w:szCs w:val="22"/>
          <w:lang w:val="sr-Latn-ME"/>
        </w:rPr>
        <w:t>Pokazan je linearan odnos između doze perindoprila i njegove koncentracije u krvi.</w:t>
      </w:r>
    </w:p>
    <w:p w14:paraId="51DDB519" w14:textId="77777777" w:rsidR="00D86BB7" w:rsidRPr="00CC61C2" w:rsidRDefault="00D86BB7" w:rsidP="00296B45">
      <w:pPr>
        <w:widowControl w:val="0"/>
        <w:autoSpaceDE w:val="0"/>
        <w:autoSpaceDN w:val="0"/>
        <w:adjustRightInd w:val="0"/>
        <w:spacing w:line="240" w:lineRule="auto"/>
        <w:jc w:val="both"/>
        <w:rPr>
          <w:szCs w:val="22"/>
          <w:highlight w:val="lightGray"/>
        </w:rPr>
      </w:pPr>
    </w:p>
    <w:p w14:paraId="417958DF" w14:textId="77777777" w:rsidR="00D86BB7" w:rsidRPr="00CC61C2" w:rsidRDefault="00D86BB7" w:rsidP="00296B45">
      <w:pPr>
        <w:jc w:val="both"/>
        <w:rPr>
          <w:szCs w:val="22"/>
        </w:rPr>
      </w:pPr>
      <w:r w:rsidRPr="00CC61C2">
        <w:rPr>
          <w:color w:val="000000"/>
          <w:szCs w:val="22"/>
          <w:u w:val="single"/>
        </w:rPr>
        <w:t>Posebne populacije</w:t>
      </w:r>
    </w:p>
    <w:p w14:paraId="67534637" w14:textId="77777777" w:rsidR="00D86BB7" w:rsidRPr="00CC61C2" w:rsidRDefault="00D86BB7">
      <w:pPr>
        <w:widowControl w:val="0"/>
        <w:autoSpaceDE w:val="0"/>
        <w:autoSpaceDN w:val="0"/>
        <w:adjustRightInd w:val="0"/>
        <w:spacing w:line="240" w:lineRule="auto"/>
        <w:jc w:val="both"/>
        <w:rPr>
          <w:szCs w:val="22"/>
          <w:highlight w:val="lightGray"/>
        </w:rPr>
      </w:pPr>
    </w:p>
    <w:p w14:paraId="00B998B5" w14:textId="77777777" w:rsidR="00D86BB7" w:rsidRPr="00CC61C2" w:rsidRDefault="00D86BB7">
      <w:pPr>
        <w:widowControl w:val="0"/>
        <w:autoSpaceDE w:val="0"/>
        <w:autoSpaceDN w:val="0"/>
        <w:adjustRightInd w:val="0"/>
        <w:spacing w:line="240" w:lineRule="auto"/>
        <w:jc w:val="both"/>
        <w:rPr>
          <w:i/>
          <w:szCs w:val="22"/>
        </w:rPr>
      </w:pPr>
      <w:r w:rsidRPr="00CC61C2">
        <w:rPr>
          <w:i/>
          <w:szCs w:val="22"/>
        </w:rPr>
        <w:t>Starije osobe</w:t>
      </w:r>
    </w:p>
    <w:p w14:paraId="6B23FA5E" w14:textId="77777777" w:rsidR="00D86BB7" w:rsidRPr="00CC61C2" w:rsidRDefault="00D86BB7">
      <w:pPr>
        <w:tabs>
          <w:tab w:val="left" w:pos="284"/>
        </w:tabs>
        <w:jc w:val="both"/>
        <w:rPr>
          <w:szCs w:val="22"/>
        </w:rPr>
      </w:pPr>
      <w:r w:rsidRPr="00CC61C2">
        <w:rPr>
          <w:szCs w:val="22"/>
        </w:rPr>
        <w:t xml:space="preserve">Eliminacija perindoprilata je smanjena kod starije populacije, kao i kod pacijenata sa oštećenjem srca ili bubrega. </w:t>
      </w:r>
    </w:p>
    <w:p w14:paraId="5E48E534" w14:textId="77777777" w:rsidR="00D86BB7" w:rsidRPr="00CC61C2" w:rsidRDefault="00D86BB7">
      <w:pPr>
        <w:tabs>
          <w:tab w:val="left" w:pos="284"/>
        </w:tabs>
        <w:jc w:val="both"/>
        <w:rPr>
          <w:szCs w:val="22"/>
        </w:rPr>
      </w:pPr>
    </w:p>
    <w:p w14:paraId="2D8DE76A" w14:textId="77777777" w:rsidR="00D86BB7" w:rsidRPr="00CC61C2" w:rsidRDefault="00D86BB7">
      <w:pPr>
        <w:tabs>
          <w:tab w:val="left" w:pos="284"/>
        </w:tabs>
        <w:jc w:val="both"/>
        <w:rPr>
          <w:szCs w:val="22"/>
        </w:rPr>
      </w:pPr>
      <w:r w:rsidRPr="00CC61C2">
        <w:rPr>
          <w:i/>
          <w:szCs w:val="22"/>
        </w:rPr>
        <w:t>Oštećenje bubrega</w:t>
      </w:r>
    </w:p>
    <w:p w14:paraId="37F39A16" w14:textId="77777777" w:rsidR="00D86BB7" w:rsidRPr="00CC61C2" w:rsidRDefault="00D86BB7">
      <w:pPr>
        <w:tabs>
          <w:tab w:val="left" w:pos="284"/>
        </w:tabs>
        <w:jc w:val="both"/>
        <w:rPr>
          <w:szCs w:val="22"/>
        </w:rPr>
      </w:pPr>
      <w:r w:rsidRPr="00CC61C2">
        <w:rPr>
          <w:szCs w:val="22"/>
        </w:rPr>
        <w:t xml:space="preserve">Podešavanje doze u renalnoj insuficijenciji je zavisno od stepena oštećenja (klirensa kreatinina). </w:t>
      </w:r>
    </w:p>
    <w:p w14:paraId="176B09E6" w14:textId="77777777" w:rsidR="00D86BB7" w:rsidRPr="00CC61C2" w:rsidRDefault="00D86BB7">
      <w:pPr>
        <w:tabs>
          <w:tab w:val="left" w:pos="284"/>
        </w:tabs>
        <w:jc w:val="both"/>
        <w:rPr>
          <w:szCs w:val="22"/>
        </w:rPr>
      </w:pPr>
    </w:p>
    <w:p w14:paraId="0067701C" w14:textId="77777777" w:rsidR="00D86BB7" w:rsidRPr="00CC61C2" w:rsidRDefault="00D86BB7">
      <w:pPr>
        <w:tabs>
          <w:tab w:val="left" w:pos="284"/>
        </w:tabs>
        <w:jc w:val="both"/>
        <w:rPr>
          <w:szCs w:val="22"/>
          <w:highlight w:val="lightGray"/>
        </w:rPr>
      </w:pPr>
      <w:r w:rsidRPr="00CC61C2">
        <w:rPr>
          <w:i/>
          <w:szCs w:val="22"/>
        </w:rPr>
        <w:t>U slučaju dijalize</w:t>
      </w:r>
      <w:r w:rsidRPr="00CC61C2">
        <w:rPr>
          <w:szCs w:val="22"/>
          <w:highlight w:val="lightGray"/>
        </w:rPr>
        <w:t xml:space="preserve"> </w:t>
      </w:r>
    </w:p>
    <w:p w14:paraId="1B449474" w14:textId="77777777" w:rsidR="00D86BB7" w:rsidRPr="00CC61C2" w:rsidRDefault="00D86BB7">
      <w:pPr>
        <w:tabs>
          <w:tab w:val="left" w:pos="284"/>
        </w:tabs>
        <w:jc w:val="both"/>
        <w:rPr>
          <w:szCs w:val="22"/>
        </w:rPr>
      </w:pPr>
      <w:r w:rsidRPr="00CC61C2">
        <w:rPr>
          <w:szCs w:val="22"/>
        </w:rPr>
        <w:t>Dijalizni klirens perindoprilata je 70 ml/min.</w:t>
      </w:r>
    </w:p>
    <w:p w14:paraId="30FFD50C" w14:textId="77777777" w:rsidR="00D86BB7" w:rsidRPr="00CC61C2" w:rsidRDefault="00D86BB7">
      <w:pPr>
        <w:tabs>
          <w:tab w:val="left" w:pos="284"/>
        </w:tabs>
        <w:jc w:val="both"/>
        <w:rPr>
          <w:szCs w:val="22"/>
        </w:rPr>
      </w:pPr>
    </w:p>
    <w:p w14:paraId="619D0A58" w14:textId="77777777" w:rsidR="00D86BB7" w:rsidRPr="00CC61C2" w:rsidRDefault="00D86BB7">
      <w:pPr>
        <w:tabs>
          <w:tab w:val="left" w:pos="284"/>
        </w:tabs>
        <w:jc w:val="both"/>
        <w:rPr>
          <w:i/>
          <w:szCs w:val="22"/>
        </w:rPr>
      </w:pPr>
      <w:r w:rsidRPr="00CC61C2">
        <w:rPr>
          <w:i/>
          <w:szCs w:val="22"/>
        </w:rPr>
        <w:t>Ciroza</w:t>
      </w:r>
    </w:p>
    <w:p w14:paraId="60A2BBC4" w14:textId="3670D56D" w:rsidR="00D86BB7" w:rsidRPr="00CC61C2" w:rsidRDefault="00D86BB7">
      <w:pPr>
        <w:tabs>
          <w:tab w:val="left" w:pos="284"/>
        </w:tabs>
        <w:jc w:val="both"/>
        <w:rPr>
          <w:szCs w:val="22"/>
        </w:rPr>
      </w:pPr>
      <w:r w:rsidRPr="00CC61C2">
        <w:rPr>
          <w:szCs w:val="22"/>
        </w:rPr>
        <w:t>Kinetika perindoprila promijenjena je u pacijenata s cirozom: hepatički klirens izvornog molekula smanjen je na polovinu. Međutim, količina stvorenog perindoprilata nije smanjena i stoga nije potrebna prilagodba doze (vidjeti d</w:t>
      </w:r>
      <w:r w:rsidR="00592131" w:rsidRPr="00CC61C2">
        <w:rPr>
          <w:szCs w:val="22"/>
        </w:rPr>
        <w:t>jelove 4.2 i</w:t>
      </w:r>
      <w:r w:rsidRPr="00CC61C2">
        <w:rPr>
          <w:szCs w:val="22"/>
        </w:rPr>
        <w:t xml:space="preserve"> 4.4.).</w:t>
      </w:r>
    </w:p>
    <w:p w14:paraId="29FDC84A" w14:textId="77777777" w:rsidR="00296B45" w:rsidRPr="00CC61C2" w:rsidRDefault="00296B45">
      <w:pPr>
        <w:tabs>
          <w:tab w:val="center" w:pos="4536"/>
          <w:tab w:val="right" w:pos="9072"/>
        </w:tabs>
        <w:jc w:val="both"/>
        <w:rPr>
          <w:b/>
          <w:i/>
          <w:szCs w:val="22"/>
        </w:rPr>
      </w:pPr>
    </w:p>
    <w:p w14:paraId="496C601D" w14:textId="77777777" w:rsidR="00D86BB7" w:rsidRPr="00CC61C2" w:rsidRDefault="00D86BB7">
      <w:pPr>
        <w:tabs>
          <w:tab w:val="center" w:pos="4536"/>
          <w:tab w:val="right" w:pos="9072"/>
        </w:tabs>
        <w:jc w:val="both"/>
        <w:rPr>
          <w:b/>
          <w:i/>
          <w:szCs w:val="22"/>
        </w:rPr>
      </w:pPr>
      <w:r w:rsidRPr="00CC61C2">
        <w:rPr>
          <w:b/>
          <w:i/>
          <w:szCs w:val="22"/>
        </w:rPr>
        <w:t>Indapamid</w:t>
      </w:r>
    </w:p>
    <w:p w14:paraId="5DB009D5" w14:textId="77777777" w:rsidR="00D86BB7" w:rsidRPr="00CC61C2" w:rsidRDefault="00D86BB7">
      <w:pPr>
        <w:tabs>
          <w:tab w:val="center" w:pos="4536"/>
          <w:tab w:val="right" w:pos="9072"/>
        </w:tabs>
        <w:jc w:val="both"/>
        <w:rPr>
          <w:szCs w:val="22"/>
        </w:rPr>
      </w:pPr>
    </w:p>
    <w:p w14:paraId="45760D4A" w14:textId="77777777" w:rsidR="00D86BB7" w:rsidRPr="00CC61C2" w:rsidRDefault="00D86BB7">
      <w:pPr>
        <w:tabs>
          <w:tab w:val="center" w:pos="4536"/>
          <w:tab w:val="right" w:pos="9072"/>
        </w:tabs>
        <w:jc w:val="both"/>
        <w:rPr>
          <w:i/>
          <w:iCs/>
          <w:szCs w:val="22"/>
        </w:rPr>
      </w:pPr>
      <w:r w:rsidRPr="00CC61C2">
        <w:rPr>
          <w:i/>
          <w:szCs w:val="22"/>
        </w:rPr>
        <w:lastRenderedPageBreak/>
        <w:t>Resorpcija</w:t>
      </w:r>
    </w:p>
    <w:p w14:paraId="5CE8B2B6" w14:textId="77777777" w:rsidR="00D86BB7" w:rsidRPr="00CC61C2" w:rsidRDefault="00D86BB7">
      <w:pPr>
        <w:tabs>
          <w:tab w:val="left" w:pos="284"/>
        </w:tabs>
        <w:jc w:val="both"/>
        <w:rPr>
          <w:szCs w:val="22"/>
        </w:rPr>
      </w:pPr>
      <w:r w:rsidRPr="00CC61C2">
        <w:rPr>
          <w:szCs w:val="22"/>
        </w:rPr>
        <w:t xml:space="preserve">Indapamid se kompletno i brzo resorbuje iz digestivnog trakta. </w:t>
      </w:r>
    </w:p>
    <w:p w14:paraId="661CE05C" w14:textId="77777777" w:rsidR="00D86BB7" w:rsidRPr="00CC61C2" w:rsidRDefault="00D86BB7">
      <w:pPr>
        <w:tabs>
          <w:tab w:val="left" w:pos="284"/>
        </w:tabs>
        <w:jc w:val="both"/>
        <w:rPr>
          <w:szCs w:val="22"/>
        </w:rPr>
      </w:pPr>
      <w:r w:rsidRPr="00CC61C2">
        <w:rPr>
          <w:szCs w:val="22"/>
        </w:rPr>
        <w:t xml:space="preserve">Kod ljudi se maksimalna koncentracija u plazmi postiže 1 h poslije oralne primjene lijeka. </w:t>
      </w:r>
    </w:p>
    <w:p w14:paraId="7CD80701" w14:textId="77777777" w:rsidR="00D86BB7" w:rsidRPr="00CC61C2" w:rsidRDefault="00D86BB7">
      <w:pPr>
        <w:tabs>
          <w:tab w:val="left" w:pos="284"/>
        </w:tabs>
        <w:jc w:val="both"/>
        <w:rPr>
          <w:szCs w:val="22"/>
        </w:rPr>
      </w:pPr>
    </w:p>
    <w:p w14:paraId="0691AC8D" w14:textId="77777777" w:rsidR="00D86BB7" w:rsidRPr="00CC61C2" w:rsidRDefault="00D86BB7">
      <w:pPr>
        <w:widowControl w:val="0"/>
        <w:autoSpaceDE w:val="0"/>
        <w:autoSpaceDN w:val="0"/>
        <w:adjustRightInd w:val="0"/>
        <w:spacing w:line="240" w:lineRule="auto"/>
        <w:jc w:val="both"/>
        <w:rPr>
          <w:i/>
          <w:szCs w:val="22"/>
        </w:rPr>
      </w:pPr>
      <w:r w:rsidRPr="00CC61C2">
        <w:rPr>
          <w:i/>
          <w:szCs w:val="22"/>
        </w:rPr>
        <w:t>Distribucija</w:t>
      </w:r>
    </w:p>
    <w:p w14:paraId="1D954204" w14:textId="77777777" w:rsidR="00D86BB7" w:rsidRPr="00CC61C2" w:rsidRDefault="00D86BB7">
      <w:pPr>
        <w:tabs>
          <w:tab w:val="left" w:pos="284"/>
        </w:tabs>
        <w:jc w:val="both"/>
        <w:rPr>
          <w:szCs w:val="22"/>
        </w:rPr>
      </w:pPr>
      <w:r w:rsidRPr="00CC61C2">
        <w:rPr>
          <w:szCs w:val="22"/>
        </w:rPr>
        <w:t xml:space="preserve">Vezivanje za proteine plazme je 79%. </w:t>
      </w:r>
    </w:p>
    <w:p w14:paraId="02124E0D" w14:textId="77777777" w:rsidR="00D86BB7" w:rsidRPr="00CC61C2" w:rsidRDefault="00D86BB7">
      <w:pPr>
        <w:tabs>
          <w:tab w:val="center" w:pos="4536"/>
          <w:tab w:val="right" w:pos="9072"/>
        </w:tabs>
        <w:jc w:val="both"/>
        <w:rPr>
          <w:szCs w:val="22"/>
        </w:rPr>
      </w:pPr>
    </w:p>
    <w:p w14:paraId="1348FDDA" w14:textId="77777777" w:rsidR="00D86BB7" w:rsidRPr="00CC61C2" w:rsidRDefault="00D86BB7">
      <w:pPr>
        <w:tabs>
          <w:tab w:val="center" w:pos="4536"/>
          <w:tab w:val="right" w:pos="9072"/>
        </w:tabs>
        <w:jc w:val="both"/>
        <w:rPr>
          <w:i/>
          <w:iCs/>
          <w:szCs w:val="22"/>
        </w:rPr>
      </w:pPr>
      <w:r w:rsidRPr="00CC61C2">
        <w:rPr>
          <w:i/>
          <w:szCs w:val="22"/>
        </w:rPr>
        <w:t>Biotransformacija</w:t>
      </w:r>
      <w:r w:rsidRPr="00CC61C2">
        <w:rPr>
          <w:szCs w:val="22"/>
        </w:rPr>
        <w:t xml:space="preserve"> </w:t>
      </w:r>
      <w:r w:rsidRPr="00CC61C2">
        <w:rPr>
          <w:i/>
          <w:szCs w:val="22"/>
        </w:rPr>
        <w:t>/ izlučivanje</w:t>
      </w:r>
    </w:p>
    <w:p w14:paraId="723F3F5B" w14:textId="77777777" w:rsidR="00D86BB7" w:rsidRPr="00CC61C2" w:rsidRDefault="00D86BB7">
      <w:pPr>
        <w:tabs>
          <w:tab w:val="left" w:pos="284"/>
        </w:tabs>
        <w:jc w:val="both"/>
        <w:rPr>
          <w:szCs w:val="22"/>
        </w:rPr>
      </w:pPr>
      <w:r w:rsidRPr="00CC61C2">
        <w:rPr>
          <w:szCs w:val="22"/>
        </w:rPr>
        <w:t xml:space="preserve">Poluvrijeme eliminacije je između 14 i 24 sata (prosječno 18 sati). Ponovljena primjena ne dovodi do akumulacije. Eliminacija se uglavnom odvija putem urina (70% unijete doze) i fecesom (22%) u obliku inaktivnih metabolita. </w:t>
      </w:r>
    </w:p>
    <w:p w14:paraId="7F6E6883" w14:textId="77777777" w:rsidR="00D86BB7" w:rsidRPr="00CC61C2" w:rsidRDefault="00D86BB7">
      <w:pPr>
        <w:tabs>
          <w:tab w:val="center" w:pos="4536"/>
          <w:tab w:val="right" w:pos="9072"/>
        </w:tabs>
        <w:jc w:val="both"/>
        <w:rPr>
          <w:i/>
          <w:szCs w:val="22"/>
        </w:rPr>
      </w:pPr>
    </w:p>
    <w:p w14:paraId="49AC5D81" w14:textId="77777777" w:rsidR="00D86BB7" w:rsidRPr="00CC61C2" w:rsidRDefault="00D86BB7">
      <w:pPr>
        <w:tabs>
          <w:tab w:val="center" w:pos="4536"/>
          <w:tab w:val="right" w:pos="9072"/>
        </w:tabs>
        <w:jc w:val="both"/>
        <w:rPr>
          <w:i/>
          <w:szCs w:val="22"/>
        </w:rPr>
      </w:pPr>
      <w:r w:rsidRPr="00CC61C2">
        <w:rPr>
          <w:color w:val="000000"/>
          <w:szCs w:val="22"/>
          <w:u w:val="single"/>
        </w:rPr>
        <w:t>Posebne populacije</w:t>
      </w:r>
    </w:p>
    <w:p w14:paraId="748BF7B3" w14:textId="77777777" w:rsidR="00D86BB7" w:rsidRPr="00CC61C2" w:rsidRDefault="00D86BB7">
      <w:pPr>
        <w:tabs>
          <w:tab w:val="center" w:pos="4536"/>
          <w:tab w:val="right" w:pos="9072"/>
        </w:tabs>
        <w:jc w:val="both"/>
        <w:rPr>
          <w:i/>
          <w:szCs w:val="22"/>
          <w:highlight w:val="lightGray"/>
        </w:rPr>
      </w:pPr>
    </w:p>
    <w:p w14:paraId="38AA8610" w14:textId="77777777" w:rsidR="00D86BB7" w:rsidRPr="00CC61C2" w:rsidRDefault="00D86BB7">
      <w:pPr>
        <w:tabs>
          <w:tab w:val="center" w:pos="4536"/>
          <w:tab w:val="right" w:pos="9072"/>
        </w:tabs>
        <w:jc w:val="both"/>
        <w:rPr>
          <w:i/>
          <w:szCs w:val="22"/>
        </w:rPr>
      </w:pPr>
      <w:r w:rsidRPr="00CC61C2">
        <w:rPr>
          <w:i/>
          <w:szCs w:val="22"/>
        </w:rPr>
        <w:t>Oštećenje bubrega</w:t>
      </w:r>
    </w:p>
    <w:p w14:paraId="00E5ED5B" w14:textId="77777777" w:rsidR="00D86BB7" w:rsidRPr="00CC61C2" w:rsidRDefault="00D86BB7">
      <w:pPr>
        <w:tabs>
          <w:tab w:val="left" w:pos="284"/>
        </w:tabs>
        <w:jc w:val="both"/>
        <w:rPr>
          <w:szCs w:val="22"/>
        </w:rPr>
      </w:pPr>
      <w:r w:rsidRPr="00CC61C2">
        <w:rPr>
          <w:szCs w:val="22"/>
        </w:rPr>
        <w:t>Kod pacijenata sa renalnom insuficijencijom farmakokinetika indapamida je nepromijenjena.</w:t>
      </w:r>
    </w:p>
    <w:p w14:paraId="0FCF71DC" w14:textId="77777777" w:rsidR="00D86BB7" w:rsidRPr="00CC61C2" w:rsidRDefault="00D86BB7">
      <w:pPr>
        <w:tabs>
          <w:tab w:val="center" w:pos="4536"/>
          <w:tab w:val="right" w:pos="9072"/>
        </w:tabs>
        <w:jc w:val="both"/>
        <w:rPr>
          <w:szCs w:val="22"/>
        </w:rPr>
      </w:pPr>
    </w:p>
    <w:p w14:paraId="244FC86F" w14:textId="77777777" w:rsidR="00D86BB7" w:rsidRPr="00CC61C2" w:rsidRDefault="00D86BB7">
      <w:pPr>
        <w:tabs>
          <w:tab w:val="center" w:pos="4536"/>
          <w:tab w:val="right" w:pos="9072"/>
        </w:tabs>
        <w:jc w:val="both"/>
        <w:rPr>
          <w:b/>
          <w:i/>
          <w:szCs w:val="22"/>
        </w:rPr>
      </w:pPr>
      <w:r w:rsidRPr="00CC61C2">
        <w:rPr>
          <w:b/>
          <w:i/>
          <w:szCs w:val="22"/>
        </w:rPr>
        <w:t>Amlodipin</w:t>
      </w:r>
    </w:p>
    <w:p w14:paraId="23C9228E" w14:textId="77777777" w:rsidR="00D86BB7" w:rsidRPr="00CC61C2" w:rsidRDefault="00D86BB7">
      <w:pPr>
        <w:tabs>
          <w:tab w:val="center" w:pos="4536"/>
          <w:tab w:val="right" w:pos="9072"/>
        </w:tabs>
        <w:jc w:val="both"/>
        <w:rPr>
          <w:szCs w:val="22"/>
        </w:rPr>
      </w:pPr>
    </w:p>
    <w:p w14:paraId="763F63B5" w14:textId="77777777" w:rsidR="00D86BB7" w:rsidRPr="00CC61C2" w:rsidRDefault="00D86BB7">
      <w:pPr>
        <w:tabs>
          <w:tab w:val="center" w:pos="4536"/>
          <w:tab w:val="right" w:pos="9072"/>
        </w:tabs>
        <w:jc w:val="both"/>
        <w:rPr>
          <w:i/>
          <w:szCs w:val="22"/>
        </w:rPr>
      </w:pPr>
      <w:r w:rsidRPr="00CC61C2">
        <w:rPr>
          <w:i/>
          <w:szCs w:val="22"/>
        </w:rPr>
        <w:t>Resorpcija, distribucija</w:t>
      </w:r>
    </w:p>
    <w:p w14:paraId="78E10F33" w14:textId="77777777" w:rsidR="00D86BB7" w:rsidRPr="00CC61C2" w:rsidRDefault="00D86BB7">
      <w:pPr>
        <w:tabs>
          <w:tab w:val="left" w:pos="284"/>
        </w:tabs>
        <w:jc w:val="both"/>
        <w:rPr>
          <w:noProof/>
          <w:szCs w:val="22"/>
        </w:rPr>
      </w:pPr>
      <w:r w:rsidRPr="00CC61C2">
        <w:rPr>
          <w:noProof/>
          <w:szCs w:val="22"/>
        </w:rPr>
        <w:t xml:space="preserve">Amlodipin se dobro resorbuje nakon oralne primjene terapijskih doza uz postizanje maksimalne koncentracije u krvi između 6-12 sati nakon uzimanja doze. Utvrđeno je da apsolutna bioraspoloživost iznosi između 64% i 80%. Volumen distribucije je oko 21 l/kg. Hrana ne utiče na bioraspoloživost lijeka. </w:t>
      </w:r>
      <w:r w:rsidRPr="00CC61C2">
        <w:rPr>
          <w:i/>
          <w:noProof/>
          <w:szCs w:val="22"/>
        </w:rPr>
        <w:t>In vitro</w:t>
      </w:r>
      <w:r w:rsidRPr="00CC61C2">
        <w:rPr>
          <w:noProof/>
          <w:szCs w:val="22"/>
        </w:rPr>
        <w:t xml:space="preserve"> studije su pokazale da je otprilike 97,5 % cirkulišućeg amlodipina vezano za proteine plazme.</w:t>
      </w:r>
    </w:p>
    <w:p w14:paraId="6D110419" w14:textId="77777777" w:rsidR="00D86BB7" w:rsidRPr="00CC61C2" w:rsidRDefault="00D86BB7">
      <w:pPr>
        <w:tabs>
          <w:tab w:val="center" w:pos="4536"/>
          <w:tab w:val="right" w:pos="9072"/>
        </w:tabs>
        <w:jc w:val="both"/>
        <w:rPr>
          <w:szCs w:val="22"/>
        </w:rPr>
      </w:pPr>
    </w:p>
    <w:p w14:paraId="40D71490" w14:textId="77777777" w:rsidR="00D86BB7" w:rsidRPr="00CC61C2" w:rsidRDefault="00D86BB7">
      <w:pPr>
        <w:tabs>
          <w:tab w:val="center" w:pos="4536"/>
          <w:tab w:val="right" w:pos="9072"/>
        </w:tabs>
        <w:jc w:val="both"/>
        <w:rPr>
          <w:i/>
          <w:iCs/>
          <w:szCs w:val="22"/>
        </w:rPr>
      </w:pPr>
      <w:r w:rsidRPr="00CC61C2">
        <w:rPr>
          <w:i/>
          <w:szCs w:val="22"/>
        </w:rPr>
        <w:t>Biotransformacija / izlučivanje</w:t>
      </w:r>
    </w:p>
    <w:p w14:paraId="335CFEE4" w14:textId="21B88CD8" w:rsidR="00D86BB7" w:rsidRPr="00CC61C2" w:rsidRDefault="00D86BB7" w:rsidP="001237DA">
      <w:pPr>
        <w:tabs>
          <w:tab w:val="left" w:pos="284"/>
        </w:tabs>
        <w:jc w:val="both"/>
        <w:rPr>
          <w:szCs w:val="22"/>
        </w:rPr>
      </w:pPr>
      <w:r w:rsidRPr="00CC61C2">
        <w:rPr>
          <w:noProof/>
          <w:szCs w:val="22"/>
        </w:rPr>
        <w:t>Poluvrijeme eliminacije iz plazme iznosi oko 35-50 sati i u skladu je sa doziranjem jednom dnevno. Amlodipin se intenzivno metaboliše u jetri do neaktivnih metabolita. 60% primijenjene doze se izlučuje urinom u obliku metabolita, a 10% kao neizmijenjeni lijek.</w:t>
      </w:r>
    </w:p>
    <w:p w14:paraId="11AB3AC9" w14:textId="77777777" w:rsidR="00D86BB7" w:rsidRPr="00CC61C2" w:rsidRDefault="00D86BB7" w:rsidP="00592131">
      <w:pPr>
        <w:tabs>
          <w:tab w:val="center" w:pos="4536"/>
          <w:tab w:val="right" w:pos="9072"/>
        </w:tabs>
        <w:jc w:val="both"/>
        <w:rPr>
          <w:i/>
          <w:szCs w:val="22"/>
        </w:rPr>
      </w:pPr>
      <w:r w:rsidRPr="00CC61C2">
        <w:rPr>
          <w:i/>
          <w:szCs w:val="22"/>
        </w:rPr>
        <w:t>Starije osobe</w:t>
      </w:r>
    </w:p>
    <w:p w14:paraId="70FAEF35" w14:textId="77777777" w:rsidR="00D86BB7" w:rsidRPr="00CC61C2" w:rsidRDefault="00D86BB7" w:rsidP="00592131">
      <w:pPr>
        <w:tabs>
          <w:tab w:val="center" w:pos="4536"/>
          <w:tab w:val="right" w:pos="9072"/>
        </w:tabs>
        <w:jc w:val="both"/>
        <w:rPr>
          <w:szCs w:val="22"/>
        </w:rPr>
      </w:pPr>
      <w:r w:rsidRPr="00CC61C2">
        <w:rPr>
          <w:noProof/>
          <w:szCs w:val="22"/>
        </w:rPr>
        <w:t>Vrijeme do pojave maksimalnih koncentracija amlodipina u plazmi slično je kod starijih i mlađih ispitanika. Klirens amlodipina ima tendenciju smanjivanja, što dovodi do povećanja AUC i poluvremena eliminacije kod starijih pacijenata.</w:t>
      </w:r>
      <w:r w:rsidRPr="00CC61C2">
        <w:rPr>
          <w:szCs w:val="22"/>
        </w:rPr>
        <w:t xml:space="preserve"> Preporučeni režim doziranja kod starijih osoba je isti, mada povećavanje doze treba oprezno sprovoditi.</w:t>
      </w:r>
    </w:p>
    <w:p w14:paraId="65B7BB50" w14:textId="77777777" w:rsidR="00D86BB7" w:rsidRPr="00CC61C2" w:rsidRDefault="00D86BB7" w:rsidP="00592131">
      <w:pPr>
        <w:tabs>
          <w:tab w:val="center" w:pos="4536"/>
          <w:tab w:val="right" w:pos="9072"/>
        </w:tabs>
        <w:jc w:val="both"/>
        <w:rPr>
          <w:szCs w:val="22"/>
        </w:rPr>
      </w:pPr>
    </w:p>
    <w:p w14:paraId="5499DE07" w14:textId="77777777" w:rsidR="00D86BB7" w:rsidRPr="00CC61C2" w:rsidRDefault="00D86BB7" w:rsidP="00592131">
      <w:pPr>
        <w:tabs>
          <w:tab w:val="center" w:pos="4536"/>
          <w:tab w:val="right" w:pos="9072"/>
        </w:tabs>
        <w:jc w:val="both"/>
        <w:rPr>
          <w:i/>
          <w:szCs w:val="22"/>
        </w:rPr>
      </w:pPr>
      <w:r w:rsidRPr="00CC61C2">
        <w:rPr>
          <w:i/>
          <w:szCs w:val="22"/>
        </w:rPr>
        <w:t>Oštećenje funkcije bubrega</w:t>
      </w:r>
    </w:p>
    <w:p w14:paraId="2DE796F3" w14:textId="77777777" w:rsidR="00D86BB7" w:rsidRPr="00CC61C2" w:rsidRDefault="00D86BB7">
      <w:pPr>
        <w:tabs>
          <w:tab w:val="center" w:pos="4536"/>
          <w:tab w:val="right" w:pos="9072"/>
        </w:tabs>
        <w:jc w:val="both"/>
        <w:rPr>
          <w:szCs w:val="22"/>
        </w:rPr>
      </w:pPr>
      <w:r w:rsidRPr="00CC61C2">
        <w:rPr>
          <w:szCs w:val="22"/>
        </w:rPr>
        <w:t>Promjene u koncentraciji amlodipina u plazmi nijesu u korelaciji sa stepenom oštećenja funkcije bubrega. Amlodipin se ne odstranjuje dijalizom.</w:t>
      </w:r>
    </w:p>
    <w:p w14:paraId="2896AB0A" w14:textId="77777777" w:rsidR="00D86BB7" w:rsidRPr="00CC61C2" w:rsidRDefault="00D86BB7">
      <w:pPr>
        <w:tabs>
          <w:tab w:val="center" w:pos="4536"/>
          <w:tab w:val="right" w:pos="9072"/>
        </w:tabs>
        <w:jc w:val="both"/>
        <w:rPr>
          <w:szCs w:val="22"/>
        </w:rPr>
      </w:pPr>
    </w:p>
    <w:p w14:paraId="372C7267" w14:textId="77777777" w:rsidR="00D86BB7" w:rsidRPr="00CC61C2" w:rsidRDefault="00D86BB7">
      <w:pPr>
        <w:tabs>
          <w:tab w:val="center" w:pos="4536"/>
          <w:tab w:val="right" w:pos="9072"/>
        </w:tabs>
        <w:jc w:val="both"/>
        <w:rPr>
          <w:i/>
          <w:szCs w:val="22"/>
        </w:rPr>
      </w:pPr>
      <w:r w:rsidRPr="00CC61C2">
        <w:rPr>
          <w:i/>
          <w:szCs w:val="22"/>
        </w:rPr>
        <w:t>Oštećenje funkcije jetre</w:t>
      </w:r>
    </w:p>
    <w:p w14:paraId="3F2DB61B" w14:textId="77777777" w:rsidR="00D86BB7" w:rsidRPr="00CC61C2" w:rsidRDefault="00D86BB7">
      <w:pPr>
        <w:tabs>
          <w:tab w:val="center" w:pos="4536"/>
          <w:tab w:val="right" w:pos="9072"/>
        </w:tabs>
        <w:jc w:val="both"/>
        <w:rPr>
          <w:szCs w:val="22"/>
        </w:rPr>
      </w:pPr>
      <w:r w:rsidRPr="00CC61C2">
        <w:rPr>
          <w:szCs w:val="22"/>
        </w:rPr>
        <w:t>Kao i kod svih antagonista kalcijuma, poluvrijeme eliminacije amlodipina je produženo kod pacijenata sa oštećenom funkcijom jetre.</w:t>
      </w:r>
    </w:p>
    <w:p w14:paraId="57AFF7BC" w14:textId="77777777" w:rsidR="00D86BB7" w:rsidRPr="00CC61C2" w:rsidRDefault="00D86BB7">
      <w:pPr>
        <w:tabs>
          <w:tab w:val="center" w:pos="4536"/>
          <w:tab w:val="right" w:pos="9072"/>
        </w:tabs>
        <w:jc w:val="both"/>
        <w:rPr>
          <w:szCs w:val="22"/>
        </w:rPr>
      </w:pPr>
    </w:p>
    <w:p w14:paraId="14BFBD8B" w14:textId="77777777" w:rsidR="00D86BB7" w:rsidRPr="00CC61C2" w:rsidRDefault="00D86BB7" w:rsidP="001237DA">
      <w:pPr>
        <w:widowControl w:val="0"/>
        <w:numPr>
          <w:ilvl w:val="12"/>
          <w:numId w:val="0"/>
        </w:numPr>
        <w:ind w:right="-2"/>
        <w:jc w:val="both"/>
        <w:rPr>
          <w:i/>
          <w:iCs/>
          <w:szCs w:val="22"/>
        </w:rPr>
      </w:pPr>
      <w:r w:rsidRPr="00CC61C2">
        <w:rPr>
          <w:i/>
          <w:iCs/>
          <w:szCs w:val="22"/>
        </w:rPr>
        <w:t>Pedijatrijska populacija</w:t>
      </w:r>
    </w:p>
    <w:p w14:paraId="1AD73399" w14:textId="3FFFF091" w:rsidR="00D86BB7" w:rsidRPr="00CC61C2" w:rsidRDefault="00D86BB7" w:rsidP="000D120B">
      <w:pPr>
        <w:widowControl w:val="0"/>
        <w:jc w:val="both"/>
        <w:rPr>
          <w:szCs w:val="22"/>
        </w:rPr>
      </w:pPr>
      <w:r w:rsidRPr="00CC61C2">
        <w:rPr>
          <w:szCs w:val="22"/>
        </w:rPr>
        <w:t>Populaciona PK studija provedena je na 74 djece sa hipertenzijom u</w:t>
      </w:r>
      <w:r w:rsidR="00592131" w:rsidRPr="00CC61C2">
        <w:rPr>
          <w:szCs w:val="22"/>
        </w:rPr>
        <w:t>zrasta</w:t>
      </w:r>
      <w:r w:rsidRPr="00CC61C2">
        <w:rPr>
          <w:szCs w:val="22"/>
        </w:rPr>
        <w:t xml:space="preserve"> od 12 mjeseci do 17 godina (sa 34 pacijenta u dobi od 6 do 12 godina i 28 pacijenata u dobi od 13 do 17 godina) koja su primala amlodipin u dozi od 1,25 do 20 mg jednom ili dva puta dnevno. Kod djece od 6 do 12 godina i adolescenata od 13 do 17 godina tipični oralni klirens (CL/F) bio je 22,5 i 27,4 L/h kod djece muškog pola i 16,4 i 21,3 L/h kod djece ženskog pola. Uočena je velika varijabilnost u izloženosti između pojedinaca. Podaci prijavljeni kod djece mlađe od 6 godina su ograničeni.</w:t>
      </w:r>
    </w:p>
    <w:p w14:paraId="4CE32D9A" w14:textId="77777777" w:rsidR="00D86BB7" w:rsidRPr="00CC61C2" w:rsidRDefault="00D86BB7" w:rsidP="000D120B">
      <w:pPr>
        <w:tabs>
          <w:tab w:val="center" w:pos="4536"/>
          <w:tab w:val="right" w:pos="9072"/>
        </w:tabs>
        <w:jc w:val="both"/>
        <w:rPr>
          <w:szCs w:val="22"/>
        </w:rPr>
      </w:pPr>
    </w:p>
    <w:p w14:paraId="42594F8D" w14:textId="77777777" w:rsidR="00D86BB7" w:rsidRPr="00CC61C2" w:rsidRDefault="00D86BB7" w:rsidP="000D120B">
      <w:pPr>
        <w:tabs>
          <w:tab w:val="left" w:pos="284"/>
        </w:tabs>
        <w:jc w:val="both"/>
        <w:rPr>
          <w:b/>
          <w:bCs/>
          <w:szCs w:val="22"/>
        </w:rPr>
      </w:pPr>
      <w:r w:rsidRPr="00CC61C2">
        <w:rPr>
          <w:b/>
          <w:szCs w:val="22"/>
        </w:rPr>
        <w:t xml:space="preserve">5.3. </w:t>
      </w:r>
      <w:r w:rsidRPr="00CC61C2">
        <w:rPr>
          <w:b/>
          <w:bCs/>
          <w:szCs w:val="22"/>
        </w:rPr>
        <w:t>Pretklinički podaci o bezbjednosti</w:t>
      </w:r>
    </w:p>
    <w:p w14:paraId="69F411A0" w14:textId="77777777" w:rsidR="00296B45" w:rsidRPr="00CC61C2" w:rsidRDefault="00296B45" w:rsidP="00077095">
      <w:pPr>
        <w:tabs>
          <w:tab w:val="center" w:pos="4536"/>
          <w:tab w:val="right" w:pos="9072"/>
        </w:tabs>
        <w:jc w:val="both"/>
        <w:rPr>
          <w:b/>
          <w:i/>
          <w:szCs w:val="22"/>
        </w:rPr>
      </w:pPr>
    </w:p>
    <w:p w14:paraId="7A54EAE5" w14:textId="77777777" w:rsidR="00D86BB7" w:rsidRPr="00CC61C2" w:rsidRDefault="00D86BB7" w:rsidP="001237DA">
      <w:pPr>
        <w:widowControl w:val="0"/>
        <w:autoSpaceDE w:val="0"/>
        <w:autoSpaceDN w:val="0"/>
        <w:adjustRightInd w:val="0"/>
        <w:jc w:val="both"/>
        <w:rPr>
          <w:b/>
          <w:i/>
          <w:iCs/>
          <w:szCs w:val="22"/>
        </w:rPr>
      </w:pPr>
      <w:r w:rsidRPr="00CC61C2">
        <w:rPr>
          <w:b/>
          <w:i/>
          <w:iCs/>
          <w:szCs w:val="22"/>
        </w:rPr>
        <w:t>Perindopril</w:t>
      </w:r>
    </w:p>
    <w:p w14:paraId="26C44D67" w14:textId="7B967E62" w:rsidR="00D86BB7" w:rsidRDefault="00D86BB7" w:rsidP="000D120B">
      <w:pPr>
        <w:widowControl w:val="0"/>
        <w:jc w:val="both"/>
        <w:rPr>
          <w:szCs w:val="22"/>
        </w:rPr>
      </w:pPr>
      <w:r w:rsidRPr="00CC61C2">
        <w:rPr>
          <w:szCs w:val="22"/>
        </w:rPr>
        <w:t>U studijama hronične oralne toksičnosti (pacovi i majmuni), ciljni organ je bubreg, sa reverzibilnim oštećenjem.</w:t>
      </w:r>
    </w:p>
    <w:p w14:paraId="53DA25C9" w14:textId="77777777" w:rsidR="00D86BB7" w:rsidRPr="00CC61C2" w:rsidRDefault="00D86BB7" w:rsidP="001237DA">
      <w:pPr>
        <w:widowControl w:val="0"/>
        <w:jc w:val="both"/>
        <w:rPr>
          <w:szCs w:val="22"/>
        </w:rPr>
      </w:pPr>
      <w:r w:rsidRPr="00CC61C2">
        <w:rPr>
          <w:szCs w:val="22"/>
        </w:rPr>
        <w:lastRenderedPageBreak/>
        <w:t xml:space="preserve">U </w:t>
      </w:r>
      <w:r w:rsidRPr="00CC61C2">
        <w:rPr>
          <w:i/>
          <w:szCs w:val="22"/>
        </w:rPr>
        <w:t>in vitro</w:t>
      </w:r>
      <w:r w:rsidRPr="00CC61C2">
        <w:rPr>
          <w:szCs w:val="22"/>
        </w:rPr>
        <w:t xml:space="preserve"> ili </w:t>
      </w:r>
      <w:r w:rsidRPr="00CC61C2">
        <w:rPr>
          <w:i/>
          <w:szCs w:val="22"/>
        </w:rPr>
        <w:t>in vivo</w:t>
      </w:r>
      <w:r w:rsidRPr="00CC61C2">
        <w:rPr>
          <w:szCs w:val="22"/>
        </w:rPr>
        <w:t xml:space="preserve"> studijama nije uočena mutagenost.</w:t>
      </w:r>
    </w:p>
    <w:p w14:paraId="72E860CA" w14:textId="54E9F4D5" w:rsidR="00D86BB7" w:rsidRDefault="00D86BB7" w:rsidP="000D120B">
      <w:pPr>
        <w:widowControl w:val="0"/>
        <w:jc w:val="both"/>
        <w:rPr>
          <w:szCs w:val="22"/>
        </w:rPr>
      </w:pPr>
      <w:r w:rsidRPr="00CC61C2">
        <w:rPr>
          <w:szCs w:val="22"/>
        </w:rPr>
        <w:t>Toksikološke studije reprodukcije (pacovi, miševi, zečevi i majmuni) ni</w:t>
      </w:r>
      <w:r w:rsidR="00592131" w:rsidRPr="00CC61C2">
        <w:rPr>
          <w:szCs w:val="22"/>
        </w:rPr>
        <w:t>je</w:t>
      </w:r>
      <w:r w:rsidRPr="00CC61C2">
        <w:rPr>
          <w:szCs w:val="22"/>
        </w:rPr>
        <w:t>su pokazale znake embriotoksičnosti ili teratogenosti. Međutim, pokazalo se da inhibitori enzima koji konvertuje angiotenzin, kao klasa, izazivaju neželjene efekte na kasni razvoj fetusa, što dovodi do smrti fetusa i kongenitalnih efekata kod glodara i zečeva: uočene su bubrežne lezije i povećanje perinatalnog i postnatalnog mortaliteta.</w:t>
      </w:r>
    </w:p>
    <w:p w14:paraId="2E627150" w14:textId="77777777" w:rsidR="00E5447C" w:rsidRPr="00CC61C2" w:rsidRDefault="00E5447C" w:rsidP="000D120B">
      <w:pPr>
        <w:widowControl w:val="0"/>
        <w:jc w:val="both"/>
        <w:rPr>
          <w:szCs w:val="22"/>
        </w:rPr>
      </w:pPr>
    </w:p>
    <w:p w14:paraId="57D61E3E" w14:textId="77777777" w:rsidR="00D86BB7" w:rsidRPr="00CC61C2" w:rsidRDefault="00D86BB7" w:rsidP="001237DA">
      <w:pPr>
        <w:widowControl w:val="0"/>
        <w:jc w:val="both"/>
        <w:rPr>
          <w:szCs w:val="22"/>
        </w:rPr>
      </w:pPr>
      <w:r w:rsidRPr="00CC61C2">
        <w:rPr>
          <w:szCs w:val="22"/>
        </w:rPr>
        <w:t>U dugoročnim studijama na pacovima i miševima nije uočena kancerogenost.</w:t>
      </w:r>
    </w:p>
    <w:p w14:paraId="4C5309EA" w14:textId="77777777" w:rsidR="00D86BB7" w:rsidRPr="00CC61C2" w:rsidRDefault="00D86BB7" w:rsidP="001237DA">
      <w:pPr>
        <w:widowControl w:val="0"/>
        <w:autoSpaceDE w:val="0"/>
        <w:autoSpaceDN w:val="0"/>
        <w:adjustRightInd w:val="0"/>
        <w:jc w:val="both"/>
        <w:rPr>
          <w:b/>
          <w:i/>
          <w:iCs/>
          <w:szCs w:val="22"/>
        </w:rPr>
      </w:pPr>
    </w:p>
    <w:p w14:paraId="28B0243C" w14:textId="77777777" w:rsidR="00D86BB7" w:rsidRPr="00CC61C2" w:rsidRDefault="00D86BB7" w:rsidP="001237DA">
      <w:pPr>
        <w:widowControl w:val="0"/>
        <w:autoSpaceDE w:val="0"/>
        <w:autoSpaceDN w:val="0"/>
        <w:adjustRightInd w:val="0"/>
        <w:jc w:val="both"/>
        <w:rPr>
          <w:b/>
          <w:i/>
          <w:iCs/>
          <w:szCs w:val="22"/>
        </w:rPr>
      </w:pPr>
      <w:r w:rsidRPr="00CC61C2">
        <w:rPr>
          <w:b/>
          <w:i/>
          <w:iCs/>
          <w:szCs w:val="22"/>
        </w:rPr>
        <w:t>Indapamid</w:t>
      </w:r>
    </w:p>
    <w:p w14:paraId="086ADD8E" w14:textId="77777777" w:rsidR="00D86BB7" w:rsidRPr="00CC61C2" w:rsidRDefault="00D86BB7" w:rsidP="000D120B">
      <w:pPr>
        <w:widowControl w:val="0"/>
        <w:autoSpaceDE w:val="0"/>
        <w:autoSpaceDN w:val="0"/>
        <w:adjustRightInd w:val="0"/>
        <w:jc w:val="both"/>
        <w:rPr>
          <w:szCs w:val="22"/>
        </w:rPr>
      </w:pPr>
      <w:r w:rsidRPr="00CC61C2">
        <w:rPr>
          <w:szCs w:val="22"/>
        </w:rPr>
        <w:t>Najveće doze oralno davane različitim životinjskim vrstama (40 do 8000 puta veće od terapijske doze) pokazale su pogoršanje diuretičkih svojstava indapamida. Glavni simptomi trovanja tokom studija akutne toksičnosti indapamidom primijenjenim intravenski ili intraperitonealno bili su povezani sa farmakološkim djelovanjem indapamida, tj. bradipnejom i perifernom vazodilatacijom.</w:t>
      </w:r>
    </w:p>
    <w:p w14:paraId="06C23634" w14:textId="77777777" w:rsidR="00D86BB7" w:rsidRPr="00CC61C2" w:rsidRDefault="00D86BB7" w:rsidP="001237DA">
      <w:pPr>
        <w:widowControl w:val="0"/>
        <w:autoSpaceDE w:val="0"/>
        <w:autoSpaceDN w:val="0"/>
        <w:adjustRightInd w:val="0"/>
        <w:jc w:val="both"/>
        <w:rPr>
          <w:szCs w:val="22"/>
        </w:rPr>
      </w:pPr>
      <w:r w:rsidRPr="00CC61C2">
        <w:rPr>
          <w:szCs w:val="22"/>
        </w:rPr>
        <w:t>Testovi su pokazali da indapamid nema mutagenih i kancerogenih svojstava.</w:t>
      </w:r>
    </w:p>
    <w:p w14:paraId="63A62368" w14:textId="77777777" w:rsidR="00D86BB7" w:rsidRPr="00CC61C2" w:rsidRDefault="00D86BB7" w:rsidP="001237DA">
      <w:pPr>
        <w:widowControl w:val="0"/>
        <w:autoSpaceDE w:val="0"/>
        <w:autoSpaceDN w:val="0"/>
        <w:adjustRightInd w:val="0"/>
        <w:jc w:val="both"/>
        <w:rPr>
          <w:szCs w:val="22"/>
        </w:rPr>
      </w:pPr>
    </w:p>
    <w:p w14:paraId="77A947A9" w14:textId="77777777" w:rsidR="00D86BB7" w:rsidRPr="00CC61C2" w:rsidRDefault="00D86BB7" w:rsidP="001237DA">
      <w:pPr>
        <w:autoSpaceDE w:val="0"/>
        <w:autoSpaceDN w:val="0"/>
        <w:adjustRightInd w:val="0"/>
        <w:jc w:val="both"/>
        <w:rPr>
          <w:b/>
          <w:i/>
          <w:szCs w:val="22"/>
        </w:rPr>
      </w:pPr>
      <w:r w:rsidRPr="00CC61C2">
        <w:rPr>
          <w:b/>
          <w:i/>
          <w:szCs w:val="22"/>
        </w:rPr>
        <w:t>Perindopril/indapamid</w:t>
      </w:r>
    </w:p>
    <w:p w14:paraId="342F1A67" w14:textId="5DA0840E" w:rsidR="00D86BB7" w:rsidRPr="00CC61C2" w:rsidRDefault="00D86BB7" w:rsidP="000D120B">
      <w:pPr>
        <w:autoSpaceDE w:val="0"/>
        <w:autoSpaceDN w:val="0"/>
        <w:adjustRightInd w:val="0"/>
        <w:jc w:val="both"/>
        <w:rPr>
          <w:szCs w:val="22"/>
        </w:rPr>
      </w:pPr>
      <w:r w:rsidRPr="00CC61C2">
        <w:rPr>
          <w:szCs w:val="22"/>
        </w:rPr>
        <w:t>Kombinacija perindopril/indapamid ima neznatno povećanu toksičnost u odnosu na njegove komponente. Čini se da bubrežne manifestacije ni</w:t>
      </w:r>
      <w:r w:rsidR="00592131" w:rsidRPr="00CC61C2">
        <w:rPr>
          <w:szCs w:val="22"/>
        </w:rPr>
        <w:t>je</w:t>
      </w:r>
      <w:r w:rsidRPr="00CC61C2">
        <w:rPr>
          <w:szCs w:val="22"/>
        </w:rPr>
        <w:t>su pojačane kod pacova. Međutim, kombinacija izaziva gastro-intestinalnu toksičnost kod pasa i</w:t>
      </w:r>
      <w:r w:rsidR="00592131" w:rsidRPr="00CC61C2">
        <w:rPr>
          <w:szCs w:val="22"/>
        </w:rPr>
        <w:t xml:space="preserve"> </w:t>
      </w:r>
      <w:r w:rsidRPr="00CC61C2">
        <w:rPr>
          <w:szCs w:val="22"/>
        </w:rPr>
        <w:t xml:space="preserve">toksičnost </w:t>
      </w:r>
      <w:r w:rsidR="00592131" w:rsidRPr="00CC61C2">
        <w:rPr>
          <w:szCs w:val="22"/>
        </w:rPr>
        <w:t xml:space="preserve">za majku, </w:t>
      </w:r>
      <w:r w:rsidRPr="00CC61C2">
        <w:rPr>
          <w:szCs w:val="22"/>
        </w:rPr>
        <w:t>kod pacova (u poređenju sa perindoprilom).</w:t>
      </w:r>
    </w:p>
    <w:p w14:paraId="0E14AC93" w14:textId="5CDB4269" w:rsidR="00D86BB7" w:rsidRPr="00CC61C2" w:rsidRDefault="00D86BB7" w:rsidP="000D120B">
      <w:pPr>
        <w:autoSpaceDE w:val="0"/>
        <w:autoSpaceDN w:val="0"/>
        <w:adjustRightInd w:val="0"/>
        <w:jc w:val="both"/>
        <w:rPr>
          <w:szCs w:val="22"/>
        </w:rPr>
      </w:pPr>
      <w:r w:rsidRPr="00CC61C2">
        <w:rPr>
          <w:szCs w:val="22"/>
        </w:rPr>
        <w:t>Bez obzira na to, ovi neželjeni efekti su prikazani na nivoima doze koji odgovaraju vrlo značajnoj bezbjednosnoj granici u poređenju sa korišćenim terapijskim dozama. Reproduktivne toksikološke studije ni</w:t>
      </w:r>
      <w:r w:rsidR="00592131" w:rsidRPr="00CC61C2">
        <w:rPr>
          <w:szCs w:val="22"/>
        </w:rPr>
        <w:t>je</w:t>
      </w:r>
      <w:r w:rsidRPr="00CC61C2">
        <w:rPr>
          <w:szCs w:val="22"/>
        </w:rPr>
        <w:t>su pokazale embriotoksičnost ili teratogenost, a plodnost nije bila narušena.</w:t>
      </w:r>
    </w:p>
    <w:p w14:paraId="4A2D3DFF" w14:textId="77777777" w:rsidR="00D86BB7" w:rsidRPr="00CC61C2" w:rsidRDefault="00D86BB7" w:rsidP="001237DA">
      <w:pPr>
        <w:widowControl w:val="0"/>
        <w:autoSpaceDE w:val="0"/>
        <w:autoSpaceDN w:val="0"/>
        <w:adjustRightInd w:val="0"/>
        <w:jc w:val="both"/>
        <w:rPr>
          <w:b/>
          <w:i/>
          <w:iCs/>
          <w:szCs w:val="22"/>
        </w:rPr>
      </w:pPr>
    </w:p>
    <w:p w14:paraId="44B03B20" w14:textId="77777777" w:rsidR="00D86BB7" w:rsidRPr="00CC61C2" w:rsidRDefault="00D86BB7" w:rsidP="001237DA">
      <w:pPr>
        <w:widowControl w:val="0"/>
        <w:autoSpaceDE w:val="0"/>
        <w:autoSpaceDN w:val="0"/>
        <w:adjustRightInd w:val="0"/>
        <w:jc w:val="both"/>
        <w:rPr>
          <w:b/>
          <w:i/>
          <w:iCs/>
          <w:szCs w:val="22"/>
        </w:rPr>
      </w:pPr>
      <w:r w:rsidRPr="00CC61C2">
        <w:rPr>
          <w:b/>
          <w:i/>
          <w:iCs/>
          <w:szCs w:val="22"/>
        </w:rPr>
        <w:t>Amlodipin</w:t>
      </w:r>
    </w:p>
    <w:p w14:paraId="37D90C26" w14:textId="77777777" w:rsidR="00D86BB7" w:rsidRPr="00CC61C2" w:rsidRDefault="00D86BB7" w:rsidP="000D120B">
      <w:pPr>
        <w:widowControl w:val="0"/>
        <w:jc w:val="both"/>
        <w:rPr>
          <w:szCs w:val="22"/>
          <w:highlight w:val="yellow"/>
        </w:rPr>
      </w:pPr>
      <w:r w:rsidRPr="00CC61C2">
        <w:rPr>
          <w:szCs w:val="22"/>
        </w:rPr>
        <w:t>Reproduktivne studije na pacovima i miševima su pokazale odlaganje porođaja, produženo trajanje porođaja i smanjeno preživljavanje štenaca pri dozama približno 50 puta većim od maksimalne preporučene doze za ljude na osnovu mg/kg.</w:t>
      </w:r>
    </w:p>
    <w:p w14:paraId="1CB3D943" w14:textId="77777777" w:rsidR="00D86BB7" w:rsidRPr="00CC61C2" w:rsidRDefault="00D86BB7" w:rsidP="000D120B">
      <w:pPr>
        <w:widowControl w:val="0"/>
        <w:jc w:val="both"/>
        <w:rPr>
          <w:szCs w:val="22"/>
        </w:rPr>
      </w:pPr>
      <w:r w:rsidRPr="00CC61C2">
        <w:rPr>
          <w:szCs w:val="22"/>
        </w:rPr>
        <w:t>Nije bilo efekta na plodnost pacova liječenih amlodipinom (mužjaci 64 dana i ženke 14 dana prije parenja) u dozama do 10 mg/kg/dan (8 puta* od maksimalne preporučene doze za ljude od 10 mg na mg/m</w:t>
      </w:r>
      <w:r w:rsidRPr="00CC61C2">
        <w:rPr>
          <w:szCs w:val="22"/>
          <w:vertAlign w:val="superscript"/>
        </w:rPr>
        <w:t>2</w:t>
      </w:r>
      <w:r w:rsidRPr="00CC61C2">
        <w:rPr>
          <w:szCs w:val="22"/>
        </w:rPr>
        <w:t xml:space="preserve"> osnovi). U drugoj studiji na pacovima u kojoj su mužjaci pacova liječeni amlodipin besilatom 30 dana u dozi uporedivoj sa ljudskom dozom na bazi mg/kg, utvrđeno je smanjenje folikulostimulirajućeg hormona i testosterona u plazmi, kao i smanjenje gustine sperme i broj zrelih spermatida i Sertolijevih ćelija.</w:t>
      </w:r>
    </w:p>
    <w:p w14:paraId="3AA28F72" w14:textId="66A82CAE" w:rsidR="00D86BB7" w:rsidRPr="00CC61C2" w:rsidRDefault="00D86BB7" w:rsidP="000D120B">
      <w:pPr>
        <w:widowControl w:val="0"/>
        <w:jc w:val="both"/>
        <w:rPr>
          <w:szCs w:val="22"/>
        </w:rPr>
      </w:pPr>
      <w:r w:rsidRPr="00CC61C2">
        <w:rPr>
          <w:szCs w:val="22"/>
        </w:rPr>
        <w:t>Pacovi i miševi liječeni amlodipinom u ishrani dvije godine, u koncentracijama izračunatim da obezbijede nivoe dnevne doze od 0,5, 1,25 i 2,5 mg/kg/dan, ni</w:t>
      </w:r>
      <w:r w:rsidR="00592131" w:rsidRPr="00CC61C2">
        <w:rPr>
          <w:szCs w:val="22"/>
        </w:rPr>
        <w:t>je</w:t>
      </w:r>
      <w:r w:rsidRPr="00CC61C2">
        <w:rPr>
          <w:szCs w:val="22"/>
        </w:rPr>
        <w:t>su pokazali dokaze kancerogenosti. Najviša doza (za miševe, slična i za pacove dvostruko* maksimalna preporučena klinička doza od 10 mg na bazi mg/m</w:t>
      </w:r>
      <w:r w:rsidRPr="00CC61C2">
        <w:rPr>
          <w:szCs w:val="22"/>
          <w:vertAlign w:val="superscript"/>
        </w:rPr>
        <w:t>2</w:t>
      </w:r>
      <w:r w:rsidRPr="00CC61C2">
        <w:rPr>
          <w:szCs w:val="22"/>
        </w:rPr>
        <w:t>) bila je blizu maksimalnoj podnošljivoj dozi za miševe, ali ne i za pacove.</w:t>
      </w:r>
    </w:p>
    <w:p w14:paraId="0965D36C" w14:textId="59D38F19" w:rsidR="00D86BB7" w:rsidRPr="00CC61C2" w:rsidRDefault="00D86BB7" w:rsidP="00077095">
      <w:pPr>
        <w:widowControl w:val="0"/>
        <w:jc w:val="both"/>
        <w:rPr>
          <w:szCs w:val="22"/>
        </w:rPr>
      </w:pPr>
      <w:r w:rsidRPr="00CC61C2">
        <w:rPr>
          <w:szCs w:val="22"/>
        </w:rPr>
        <w:t>Studije mutagenosti ni</w:t>
      </w:r>
      <w:r w:rsidR="00592131" w:rsidRPr="00CC61C2">
        <w:rPr>
          <w:szCs w:val="22"/>
        </w:rPr>
        <w:t>je</w:t>
      </w:r>
      <w:r w:rsidRPr="00CC61C2">
        <w:rPr>
          <w:szCs w:val="22"/>
        </w:rPr>
        <w:t>su otkrile nikakve efekte povezane sa ljekovima ni na nivou gena ni na hromozomima.</w:t>
      </w:r>
    </w:p>
    <w:p w14:paraId="226C82E5" w14:textId="77777777" w:rsidR="00D86BB7" w:rsidRPr="003D4FBA" w:rsidRDefault="00D86BB7" w:rsidP="00592131">
      <w:pPr>
        <w:widowControl w:val="0"/>
        <w:jc w:val="both"/>
        <w:rPr>
          <w:i/>
          <w:szCs w:val="22"/>
        </w:rPr>
      </w:pPr>
      <w:r w:rsidRPr="003D4FBA">
        <w:rPr>
          <w:i/>
          <w:szCs w:val="22"/>
        </w:rPr>
        <w:t>*Zasnovano na tjelesnoj masi pacijenta od 50 kg.</w:t>
      </w:r>
    </w:p>
    <w:p w14:paraId="37E6488F" w14:textId="77777777" w:rsidR="00D86BB7" w:rsidRPr="00CC61C2" w:rsidRDefault="00D86BB7" w:rsidP="00D86BB7">
      <w:pPr>
        <w:tabs>
          <w:tab w:val="left" w:pos="284"/>
        </w:tabs>
        <w:jc w:val="both"/>
        <w:rPr>
          <w:szCs w:val="22"/>
        </w:rPr>
      </w:pPr>
    </w:p>
    <w:p w14:paraId="187A66BA" w14:textId="77777777" w:rsidR="00D86BB7" w:rsidRPr="00CC61C2" w:rsidRDefault="00D86BB7" w:rsidP="00D86BB7">
      <w:pPr>
        <w:tabs>
          <w:tab w:val="left" w:pos="284"/>
        </w:tabs>
        <w:jc w:val="both"/>
        <w:rPr>
          <w:szCs w:val="22"/>
        </w:rPr>
      </w:pPr>
    </w:p>
    <w:p w14:paraId="2AC399B4" w14:textId="77777777" w:rsidR="00D86BB7" w:rsidRPr="00CC61C2" w:rsidRDefault="00D86BB7" w:rsidP="00D86BB7">
      <w:pPr>
        <w:tabs>
          <w:tab w:val="left" w:pos="284"/>
        </w:tabs>
        <w:jc w:val="both"/>
        <w:rPr>
          <w:b/>
          <w:bCs/>
          <w:szCs w:val="22"/>
        </w:rPr>
      </w:pPr>
      <w:r w:rsidRPr="00CC61C2">
        <w:rPr>
          <w:b/>
          <w:szCs w:val="22"/>
        </w:rPr>
        <w:t>6. FARMACEUTSKI PODACI</w:t>
      </w:r>
    </w:p>
    <w:p w14:paraId="2CEC67B5" w14:textId="77777777" w:rsidR="00D86BB7" w:rsidRPr="00CC61C2" w:rsidRDefault="00D86BB7" w:rsidP="00D86BB7">
      <w:pPr>
        <w:tabs>
          <w:tab w:val="left" w:pos="284"/>
        </w:tabs>
        <w:jc w:val="both"/>
        <w:rPr>
          <w:b/>
          <w:szCs w:val="22"/>
        </w:rPr>
      </w:pPr>
    </w:p>
    <w:p w14:paraId="04535204" w14:textId="77777777" w:rsidR="00D86BB7" w:rsidRPr="00CC61C2" w:rsidRDefault="00D86BB7" w:rsidP="00D86BB7">
      <w:pPr>
        <w:tabs>
          <w:tab w:val="left" w:pos="284"/>
        </w:tabs>
        <w:jc w:val="both"/>
        <w:rPr>
          <w:b/>
          <w:bCs/>
          <w:szCs w:val="22"/>
        </w:rPr>
      </w:pPr>
      <w:r w:rsidRPr="00CC61C2">
        <w:rPr>
          <w:b/>
          <w:szCs w:val="22"/>
        </w:rPr>
        <w:t>6.1. Lista pomoćnih supstanci (ekscipijenasa)</w:t>
      </w:r>
    </w:p>
    <w:p w14:paraId="0B7E0CF8" w14:textId="78D70E55" w:rsidR="00D86BB7" w:rsidRDefault="00D86BB7" w:rsidP="00D86BB7">
      <w:pPr>
        <w:tabs>
          <w:tab w:val="left" w:pos="284"/>
        </w:tabs>
        <w:jc w:val="both"/>
        <w:rPr>
          <w:szCs w:val="22"/>
          <w:u w:val="single"/>
        </w:rPr>
      </w:pPr>
    </w:p>
    <w:p w14:paraId="3F6C604A" w14:textId="77777777" w:rsidR="00A3492D" w:rsidRPr="00A3492D" w:rsidRDefault="00A3492D" w:rsidP="00A3492D">
      <w:pPr>
        <w:tabs>
          <w:tab w:val="left" w:pos="284"/>
        </w:tabs>
        <w:jc w:val="both"/>
        <w:rPr>
          <w:szCs w:val="22"/>
        </w:rPr>
      </w:pPr>
      <w:r w:rsidRPr="00A3492D">
        <w:rPr>
          <w:szCs w:val="22"/>
        </w:rPr>
        <w:t>Celuloza, mikrokristalna (E460)</w:t>
      </w:r>
    </w:p>
    <w:p w14:paraId="3BB6DD03" w14:textId="3C279C15" w:rsidR="00A3492D" w:rsidRPr="00A3492D" w:rsidRDefault="00A3492D" w:rsidP="00A3492D">
      <w:pPr>
        <w:tabs>
          <w:tab w:val="left" w:pos="284"/>
        </w:tabs>
        <w:jc w:val="both"/>
        <w:rPr>
          <w:szCs w:val="22"/>
        </w:rPr>
      </w:pPr>
      <w:r w:rsidRPr="00A3492D">
        <w:rPr>
          <w:szCs w:val="22"/>
        </w:rPr>
        <w:t>Skrob, preželatiniz</w:t>
      </w:r>
      <w:r w:rsidR="00E5447C">
        <w:rPr>
          <w:szCs w:val="22"/>
        </w:rPr>
        <w:t>ovani</w:t>
      </w:r>
    </w:p>
    <w:p w14:paraId="714985AB" w14:textId="77777777" w:rsidR="00A3492D" w:rsidRPr="00A3492D" w:rsidRDefault="00A3492D" w:rsidP="00A3492D">
      <w:pPr>
        <w:tabs>
          <w:tab w:val="left" w:pos="284"/>
        </w:tabs>
        <w:jc w:val="both"/>
        <w:rPr>
          <w:szCs w:val="22"/>
        </w:rPr>
      </w:pPr>
      <w:r w:rsidRPr="00A3492D">
        <w:rPr>
          <w:szCs w:val="22"/>
        </w:rPr>
        <w:t>Natrijum skrob glikolat</w:t>
      </w:r>
    </w:p>
    <w:p w14:paraId="2C99D933" w14:textId="6A9F29FF" w:rsidR="00A3492D" w:rsidRPr="00A3492D" w:rsidRDefault="005A1C6C" w:rsidP="00A3492D">
      <w:pPr>
        <w:tabs>
          <w:tab w:val="left" w:pos="284"/>
        </w:tabs>
        <w:jc w:val="both"/>
        <w:rPr>
          <w:szCs w:val="22"/>
        </w:rPr>
      </w:pPr>
      <w:r>
        <w:rPr>
          <w:szCs w:val="22"/>
        </w:rPr>
        <w:t>Kalcijum hlorid</w:t>
      </w:r>
      <w:r w:rsidR="00A3492D" w:rsidRPr="00A3492D">
        <w:rPr>
          <w:szCs w:val="22"/>
        </w:rPr>
        <w:t xml:space="preserve"> heksahidrat</w:t>
      </w:r>
    </w:p>
    <w:p w14:paraId="252E388B" w14:textId="77777777" w:rsidR="00A3492D" w:rsidRPr="00A3492D" w:rsidRDefault="00A3492D" w:rsidP="00A3492D">
      <w:pPr>
        <w:tabs>
          <w:tab w:val="left" w:pos="284"/>
        </w:tabs>
        <w:jc w:val="both"/>
        <w:rPr>
          <w:szCs w:val="22"/>
        </w:rPr>
      </w:pPr>
      <w:r w:rsidRPr="00A3492D">
        <w:rPr>
          <w:szCs w:val="22"/>
        </w:rPr>
        <w:t>Natrijum hidrogenkarbonat</w:t>
      </w:r>
    </w:p>
    <w:p w14:paraId="793BFD1E" w14:textId="0970D253" w:rsidR="00A3492D" w:rsidRPr="00A3492D" w:rsidRDefault="00A3492D" w:rsidP="00A3492D">
      <w:pPr>
        <w:tabs>
          <w:tab w:val="left" w:pos="284"/>
        </w:tabs>
        <w:jc w:val="both"/>
        <w:rPr>
          <w:szCs w:val="22"/>
        </w:rPr>
      </w:pPr>
      <w:r w:rsidRPr="00A3492D">
        <w:rPr>
          <w:szCs w:val="22"/>
        </w:rPr>
        <w:t>Silicijum dioksid, koloidni, hidratisan</w:t>
      </w:r>
      <w:r w:rsidR="00E5447C">
        <w:rPr>
          <w:szCs w:val="22"/>
        </w:rPr>
        <w:t>i</w:t>
      </w:r>
    </w:p>
    <w:p w14:paraId="0688EC2D" w14:textId="569B95F6" w:rsidR="00A3492D" w:rsidRPr="003D4FBA" w:rsidRDefault="00A3492D" w:rsidP="00CC53E6">
      <w:pPr>
        <w:tabs>
          <w:tab w:val="left" w:pos="284"/>
        </w:tabs>
        <w:jc w:val="both"/>
        <w:rPr>
          <w:szCs w:val="22"/>
        </w:rPr>
      </w:pPr>
      <w:r w:rsidRPr="00A3492D">
        <w:rPr>
          <w:szCs w:val="22"/>
        </w:rPr>
        <w:t>Magnezijum stearat (E572)</w:t>
      </w:r>
    </w:p>
    <w:p w14:paraId="1C71125A" w14:textId="77777777" w:rsidR="00D86BB7" w:rsidRPr="00CC61C2" w:rsidRDefault="00D86BB7" w:rsidP="00D86BB7">
      <w:pPr>
        <w:tabs>
          <w:tab w:val="left" w:pos="284"/>
        </w:tabs>
        <w:jc w:val="both"/>
        <w:rPr>
          <w:szCs w:val="22"/>
        </w:rPr>
      </w:pPr>
    </w:p>
    <w:p w14:paraId="38D9B813" w14:textId="77777777" w:rsidR="00D86BB7" w:rsidRPr="00CC61C2" w:rsidRDefault="00D86BB7" w:rsidP="00D86BB7">
      <w:pPr>
        <w:tabs>
          <w:tab w:val="left" w:pos="284"/>
        </w:tabs>
        <w:jc w:val="both"/>
        <w:rPr>
          <w:b/>
          <w:szCs w:val="22"/>
        </w:rPr>
      </w:pPr>
      <w:bookmarkStart w:id="2" w:name="_GoBack"/>
      <w:bookmarkEnd w:id="2"/>
      <w:r w:rsidRPr="00CC61C2">
        <w:rPr>
          <w:b/>
          <w:szCs w:val="22"/>
        </w:rPr>
        <w:lastRenderedPageBreak/>
        <w:t>6.2. Inkompatibilnosti</w:t>
      </w:r>
    </w:p>
    <w:p w14:paraId="13777F48" w14:textId="77777777" w:rsidR="00D86BB7" w:rsidRPr="00CC61C2" w:rsidRDefault="00D86BB7" w:rsidP="00D86BB7">
      <w:pPr>
        <w:tabs>
          <w:tab w:val="left" w:pos="284"/>
        </w:tabs>
        <w:jc w:val="both"/>
        <w:rPr>
          <w:szCs w:val="22"/>
        </w:rPr>
      </w:pPr>
    </w:p>
    <w:p w14:paraId="6A5AA07B" w14:textId="77777777" w:rsidR="00D86BB7" w:rsidRPr="00CC61C2" w:rsidRDefault="00D86BB7" w:rsidP="00D86BB7">
      <w:pPr>
        <w:tabs>
          <w:tab w:val="left" w:pos="284"/>
        </w:tabs>
        <w:jc w:val="both"/>
        <w:rPr>
          <w:b/>
          <w:bCs/>
          <w:szCs w:val="22"/>
        </w:rPr>
      </w:pPr>
      <w:r w:rsidRPr="00CC61C2">
        <w:rPr>
          <w:szCs w:val="22"/>
        </w:rPr>
        <w:t>Nije primjenjivo.</w:t>
      </w:r>
    </w:p>
    <w:p w14:paraId="31CB78C9" w14:textId="77777777" w:rsidR="00D86BB7" w:rsidRPr="00CC61C2" w:rsidRDefault="00D86BB7" w:rsidP="00D86BB7">
      <w:pPr>
        <w:tabs>
          <w:tab w:val="left" w:pos="284"/>
        </w:tabs>
        <w:jc w:val="both"/>
        <w:rPr>
          <w:b/>
          <w:szCs w:val="22"/>
        </w:rPr>
      </w:pPr>
    </w:p>
    <w:p w14:paraId="65E57249" w14:textId="77777777" w:rsidR="00D86BB7" w:rsidRPr="00CC61C2" w:rsidRDefault="00D86BB7" w:rsidP="00D86BB7">
      <w:pPr>
        <w:tabs>
          <w:tab w:val="left" w:pos="284"/>
        </w:tabs>
        <w:jc w:val="both"/>
        <w:rPr>
          <w:b/>
          <w:szCs w:val="22"/>
        </w:rPr>
      </w:pPr>
      <w:r w:rsidRPr="00CC61C2">
        <w:rPr>
          <w:b/>
          <w:szCs w:val="22"/>
        </w:rPr>
        <w:t>6.3. Rok upotrebe</w:t>
      </w:r>
    </w:p>
    <w:p w14:paraId="2E5E4E5C" w14:textId="77777777" w:rsidR="00D86BB7" w:rsidRPr="00CC61C2" w:rsidRDefault="00D86BB7" w:rsidP="00D86BB7">
      <w:pPr>
        <w:tabs>
          <w:tab w:val="left" w:pos="284"/>
        </w:tabs>
        <w:jc w:val="both"/>
        <w:rPr>
          <w:b/>
          <w:szCs w:val="22"/>
        </w:rPr>
      </w:pPr>
    </w:p>
    <w:p w14:paraId="72F0F237" w14:textId="77777777" w:rsidR="00D86BB7" w:rsidRPr="00CC61C2" w:rsidRDefault="00D86BB7" w:rsidP="00D86BB7">
      <w:pPr>
        <w:widowControl w:val="0"/>
        <w:tabs>
          <w:tab w:val="left" w:pos="833"/>
        </w:tabs>
        <w:ind w:left="37"/>
        <w:jc w:val="both"/>
        <w:rPr>
          <w:szCs w:val="22"/>
          <w:u w:val="single"/>
        </w:rPr>
      </w:pPr>
      <w:r w:rsidRPr="00CC61C2">
        <w:rPr>
          <w:szCs w:val="22"/>
          <w:u w:val="single"/>
        </w:rPr>
        <w:t>Amlewel, 4 mg + 1,25 mg + 5 mg, tableta</w:t>
      </w:r>
    </w:p>
    <w:p w14:paraId="20891D2C" w14:textId="77777777" w:rsidR="00D86BB7" w:rsidRPr="00CC61C2" w:rsidRDefault="00D86BB7" w:rsidP="00D86BB7">
      <w:pPr>
        <w:widowControl w:val="0"/>
        <w:tabs>
          <w:tab w:val="left" w:pos="833"/>
        </w:tabs>
        <w:ind w:left="37"/>
        <w:jc w:val="both"/>
        <w:rPr>
          <w:szCs w:val="22"/>
          <w:u w:val="single"/>
        </w:rPr>
      </w:pPr>
      <w:r w:rsidRPr="00CC61C2">
        <w:rPr>
          <w:szCs w:val="22"/>
          <w:u w:val="single"/>
        </w:rPr>
        <w:t>Amlewel, 4 mg + 1,25 mg + 10 mg, tableta</w:t>
      </w:r>
    </w:p>
    <w:p w14:paraId="4730D7C2" w14:textId="77777777" w:rsidR="00D86BB7" w:rsidRPr="00CC61C2" w:rsidRDefault="00D86BB7" w:rsidP="00D86BB7">
      <w:pPr>
        <w:widowControl w:val="0"/>
        <w:tabs>
          <w:tab w:val="left" w:pos="833"/>
        </w:tabs>
        <w:ind w:left="37"/>
        <w:jc w:val="both"/>
        <w:rPr>
          <w:szCs w:val="22"/>
          <w:u w:val="single"/>
        </w:rPr>
      </w:pPr>
      <w:r w:rsidRPr="00CC61C2">
        <w:rPr>
          <w:szCs w:val="22"/>
          <w:u w:val="single"/>
        </w:rPr>
        <w:t>Amlewel, 8 mg + 2,5 mg + 5 mg, tableta</w:t>
      </w:r>
    </w:p>
    <w:p w14:paraId="37D1FED9" w14:textId="77777777" w:rsidR="00D86BB7" w:rsidRPr="00CC61C2" w:rsidRDefault="00D86BB7" w:rsidP="00D86BB7">
      <w:pPr>
        <w:tabs>
          <w:tab w:val="left" w:pos="284"/>
        </w:tabs>
        <w:jc w:val="both"/>
        <w:rPr>
          <w:szCs w:val="22"/>
          <w:u w:val="single"/>
        </w:rPr>
      </w:pPr>
      <w:r w:rsidRPr="00CC61C2">
        <w:rPr>
          <w:szCs w:val="22"/>
          <w:u w:val="single"/>
        </w:rPr>
        <w:t>Amlewel, 8 mg + 2,5 mg + 10 mg, tableta</w:t>
      </w:r>
    </w:p>
    <w:p w14:paraId="0E2AAEB7" w14:textId="77777777" w:rsidR="00D86BB7" w:rsidRPr="00CC61C2" w:rsidRDefault="00D86BB7" w:rsidP="00D86BB7">
      <w:pPr>
        <w:tabs>
          <w:tab w:val="left" w:pos="284"/>
        </w:tabs>
        <w:jc w:val="both"/>
        <w:rPr>
          <w:szCs w:val="22"/>
        </w:rPr>
      </w:pPr>
      <w:r w:rsidRPr="00CC61C2">
        <w:rPr>
          <w:szCs w:val="22"/>
        </w:rPr>
        <w:t>3 godine</w:t>
      </w:r>
    </w:p>
    <w:p w14:paraId="167D5AD4" w14:textId="77777777" w:rsidR="00D86BB7" w:rsidRPr="00CC61C2" w:rsidRDefault="00D86BB7" w:rsidP="00D86BB7">
      <w:pPr>
        <w:tabs>
          <w:tab w:val="left" w:pos="284"/>
        </w:tabs>
        <w:jc w:val="both"/>
        <w:rPr>
          <w:szCs w:val="22"/>
        </w:rPr>
      </w:pPr>
    </w:p>
    <w:p w14:paraId="62124145" w14:textId="77777777" w:rsidR="00D86BB7" w:rsidRPr="00CC61C2" w:rsidRDefault="00D86BB7" w:rsidP="00D86BB7">
      <w:pPr>
        <w:widowControl w:val="0"/>
        <w:tabs>
          <w:tab w:val="left" w:pos="833"/>
        </w:tabs>
        <w:ind w:left="37"/>
        <w:jc w:val="both"/>
        <w:rPr>
          <w:szCs w:val="22"/>
          <w:u w:val="single"/>
        </w:rPr>
      </w:pPr>
      <w:r w:rsidRPr="00CC61C2">
        <w:rPr>
          <w:szCs w:val="22"/>
          <w:u w:val="single"/>
        </w:rPr>
        <w:t>Amlewel, 2 mg + 0,625 mg + 5 mg, tableta</w:t>
      </w:r>
    </w:p>
    <w:p w14:paraId="715ECE21" w14:textId="77777777" w:rsidR="00D86BB7" w:rsidRPr="00CC61C2" w:rsidRDefault="00D86BB7" w:rsidP="00D86BB7">
      <w:pPr>
        <w:tabs>
          <w:tab w:val="left" w:pos="284"/>
        </w:tabs>
        <w:jc w:val="both"/>
        <w:rPr>
          <w:szCs w:val="22"/>
        </w:rPr>
      </w:pPr>
      <w:r w:rsidRPr="00CC61C2">
        <w:rPr>
          <w:szCs w:val="22"/>
        </w:rPr>
        <w:t>2 godine</w:t>
      </w:r>
    </w:p>
    <w:p w14:paraId="5D16AE90" w14:textId="77777777" w:rsidR="00D86BB7" w:rsidRPr="00CC61C2" w:rsidRDefault="00D86BB7" w:rsidP="00D86BB7">
      <w:pPr>
        <w:tabs>
          <w:tab w:val="left" w:pos="284"/>
        </w:tabs>
        <w:jc w:val="both"/>
        <w:rPr>
          <w:b/>
          <w:bCs/>
          <w:szCs w:val="22"/>
        </w:rPr>
      </w:pPr>
    </w:p>
    <w:p w14:paraId="4A33BDC7" w14:textId="77777777" w:rsidR="00D86BB7" w:rsidRPr="00CC61C2" w:rsidRDefault="00D86BB7" w:rsidP="00AA3BD8">
      <w:pPr>
        <w:tabs>
          <w:tab w:val="left" w:pos="284"/>
        </w:tabs>
        <w:jc w:val="both"/>
        <w:rPr>
          <w:b/>
          <w:szCs w:val="22"/>
        </w:rPr>
      </w:pPr>
      <w:r w:rsidRPr="00CC61C2">
        <w:rPr>
          <w:b/>
          <w:szCs w:val="22"/>
        </w:rPr>
        <w:t>6.4. Posebne mjere upozorenja pri čuvanju lijeka</w:t>
      </w:r>
    </w:p>
    <w:p w14:paraId="3E04519C" w14:textId="77777777" w:rsidR="00D86BB7" w:rsidRPr="00CC61C2" w:rsidRDefault="00D86BB7" w:rsidP="00AA3BD8">
      <w:pPr>
        <w:tabs>
          <w:tab w:val="left" w:pos="284"/>
        </w:tabs>
        <w:jc w:val="both"/>
        <w:rPr>
          <w:szCs w:val="22"/>
        </w:rPr>
      </w:pPr>
    </w:p>
    <w:p w14:paraId="46BBB11A" w14:textId="03CB9060" w:rsidR="00D86BB7" w:rsidRPr="00CC61C2" w:rsidRDefault="00D86BB7" w:rsidP="00AA3BD8">
      <w:pPr>
        <w:tabs>
          <w:tab w:val="left" w:pos="284"/>
        </w:tabs>
        <w:jc w:val="both"/>
        <w:rPr>
          <w:b/>
          <w:bCs/>
          <w:szCs w:val="22"/>
        </w:rPr>
      </w:pPr>
      <w:r w:rsidRPr="00CC61C2">
        <w:rPr>
          <w:szCs w:val="22"/>
        </w:rPr>
        <w:t xml:space="preserve">Lijek </w:t>
      </w:r>
      <w:r w:rsidR="00FD64D4" w:rsidRPr="00CC61C2">
        <w:rPr>
          <w:szCs w:val="22"/>
        </w:rPr>
        <w:t>čuva</w:t>
      </w:r>
      <w:r w:rsidR="00FD64D4">
        <w:rPr>
          <w:szCs w:val="22"/>
        </w:rPr>
        <w:t>ti</w:t>
      </w:r>
      <w:r w:rsidR="00FD64D4" w:rsidRPr="00CC61C2">
        <w:rPr>
          <w:szCs w:val="22"/>
        </w:rPr>
        <w:t xml:space="preserve"> </w:t>
      </w:r>
      <w:r w:rsidRPr="00CC61C2">
        <w:rPr>
          <w:szCs w:val="22"/>
        </w:rPr>
        <w:t xml:space="preserve">na temperaturi do 30°C u originalnom pakovanju, </w:t>
      </w:r>
      <w:r w:rsidR="00FD64D4">
        <w:rPr>
          <w:szCs w:val="22"/>
        </w:rPr>
        <w:t>radi</w:t>
      </w:r>
      <w:r w:rsidR="00FD64D4" w:rsidRPr="00CC61C2">
        <w:rPr>
          <w:szCs w:val="22"/>
        </w:rPr>
        <w:t xml:space="preserve"> </w:t>
      </w:r>
      <w:r w:rsidRPr="00CC61C2">
        <w:rPr>
          <w:szCs w:val="22"/>
        </w:rPr>
        <w:t>zaštite od vlage i svjetlosti.</w:t>
      </w:r>
    </w:p>
    <w:p w14:paraId="29860DB6" w14:textId="77777777" w:rsidR="00D86BB7" w:rsidRPr="00CC61C2" w:rsidRDefault="00D86BB7" w:rsidP="00AA3BD8">
      <w:pPr>
        <w:tabs>
          <w:tab w:val="left" w:pos="284"/>
        </w:tabs>
        <w:jc w:val="both"/>
        <w:rPr>
          <w:b/>
          <w:szCs w:val="22"/>
        </w:rPr>
      </w:pPr>
    </w:p>
    <w:p w14:paraId="16C8BBBD" w14:textId="26CAF4FD" w:rsidR="00D86BB7" w:rsidRDefault="00D86BB7" w:rsidP="00AA3BD8">
      <w:pPr>
        <w:tabs>
          <w:tab w:val="left" w:pos="284"/>
        </w:tabs>
        <w:jc w:val="both"/>
        <w:rPr>
          <w:szCs w:val="22"/>
          <w:highlight w:val="yellow"/>
        </w:rPr>
      </w:pPr>
      <w:r w:rsidRPr="00CC61C2">
        <w:rPr>
          <w:b/>
          <w:szCs w:val="22"/>
        </w:rPr>
        <w:t>6.5. Vrsta i sadržaj pakovanja</w:t>
      </w:r>
      <w:r w:rsidRPr="00CC61C2">
        <w:rPr>
          <w:szCs w:val="22"/>
          <w:highlight w:val="yellow"/>
        </w:rPr>
        <w:t xml:space="preserve"> </w:t>
      </w:r>
    </w:p>
    <w:p w14:paraId="532559F6" w14:textId="0CC8C6C8" w:rsidR="008A6EE8" w:rsidRDefault="008A6EE8" w:rsidP="00AA3BD8">
      <w:pPr>
        <w:tabs>
          <w:tab w:val="left" w:pos="284"/>
        </w:tabs>
        <w:jc w:val="both"/>
        <w:rPr>
          <w:szCs w:val="22"/>
          <w:highlight w:val="yellow"/>
        </w:rPr>
      </w:pPr>
    </w:p>
    <w:p w14:paraId="0D7E99D6" w14:textId="08398AEC" w:rsidR="008A6EE8" w:rsidRPr="003D4FBA" w:rsidRDefault="008A6EE8" w:rsidP="00AA3BD8">
      <w:pPr>
        <w:tabs>
          <w:tab w:val="left" w:pos="284"/>
        </w:tabs>
        <w:jc w:val="both"/>
        <w:rPr>
          <w:szCs w:val="22"/>
        </w:rPr>
      </w:pPr>
      <w:r w:rsidRPr="003D4FBA">
        <w:rPr>
          <w:szCs w:val="22"/>
        </w:rPr>
        <w:t xml:space="preserve">Unutrašnje </w:t>
      </w:r>
      <w:r>
        <w:rPr>
          <w:szCs w:val="22"/>
        </w:rPr>
        <w:t xml:space="preserve">pakovanje </w:t>
      </w:r>
      <w:r w:rsidR="0010633A">
        <w:rPr>
          <w:szCs w:val="22"/>
        </w:rPr>
        <w:t xml:space="preserve">lijeka </w:t>
      </w:r>
      <w:r>
        <w:rPr>
          <w:szCs w:val="22"/>
        </w:rPr>
        <w:t>je blister (</w:t>
      </w:r>
      <w:r w:rsidRPr="008A6EE8">
        <w:rPr>
          <w:szCs w:val="22"/>
        </w:rPr>
        <w:t>OPA/Al/PVC//Al</w:t>
      </w:r>
      <w:r>
        <w:rPr>
          <w:szCs w:val="22"/>
        </w:rPr>
        <w:t xml:space="preserve">) sa 10 tableta. </w:t>
      </w:r>
    </w:p>
    <w:p w14:paraId="0A740297" w14:textId="56335A5E" w:rsidR="008A6EE8" w:rsidRPr="00CC61C2" w:rsidRDefault="008A6EE8" w:rsidP="00AA3BD8">
      <w:pPr>
        <w:tabs>
          <w:tab w:val="left" w:pos="284"/>
        </w:tabs>
        <w:jc w:val="both"/>
        <w:rPr>
          <w:szCs w:val="22"/>
        </w:rPr>
      </w:pPr>
      <w:r>
        <w:rPr>
          <w:szCs w:val="22"/>
        </w:rPr>
        <w:t xml:space="preserve">Spoljašnje pakovanje </w:t>
      </w:r>
      <w:r w:rsidR="0010633A">
        <w:rPr>
          <w:szCs w:val="22"/>
        </w:rPr>
        <w:t xml:space="preserve">lijeka </w:t>
      </w:r>
      <w:r>
        <w:rPr>
          <w:szCs w:val="22"/>
        </w:rPr>
        <w:t xml:space="preserve">je složiva kartonska kutija </w:t>
      </w:r>
      <w:r w:rsidR="00E5447C">
        <w:rPr>
          <w:szCs w:val="22"/>
        </w:rPr>
        <w:t>koja sadrži</w:t>
      </w:r>
      <w:r>
        <w:rPr>
          <w:szCs w:val="22"/>
        </w:rPr>
        <w:t xml:space="preserve"> 3 blistera </w:t>
      </w:r>
      <w:r w:rsidR="00E5447C">
        <w:rPr>
          <w:szCs w:val="22"/>
        </w:rPr>
        <w:t>sa</w:t>
      </w:r>
      <w:r>
        <w:rPr>
          <w:szCs w:val="22"/>
        </w:rPr>
        <w:t xml:space="preserve"> po 10 tableta (ukupno 30 tableta) i Uputstvo za lijek.</w:t>
      </w:r>
    </w:p>
    <w:p w14:paraId="7945B14E" w14:textId="77777777" w:rsidR="00D86BB7" w:rsidRPr="00CC61C2" w:rsidRDefault="00D86BB7" w:rsidP="00AA3BD8">
      <w:pPr>
        <w:tabs>
          <w:tab w:val="left" w:pos="284"/>
        </w:tabs>
        <w:jc w:val="both"/>
        <w:rPr>
          <w:b/>
          <w:bCs/>
          <w:szCs w:val="22"/>
        </w:rPr>
      </w:pPr>
    </w:p>
    <w:p w14:paraId="01AFE7D0" w14:textId="2C7C629D" w:rsidR="00D86BB7" w:rsidRPr="00CC61C2" w:rsidRDefault="00D86BB7" w:rsidP="003D4FBA">
      <w:pPr>
        <w:tabs>
          <w:tab w:val="clear" w:pos="567"/>
          <w:tab w:val="left" w:pos="540"/>
          <w:tab w:val="left" w:pos="569"/>
        </w:tabs>
        <w:jc w:val="both"/>
        <w:rPr>
          <w:b/>
          <w:bCs/>
          <w:szCs w:val="22"/>
        </w:rPr>
      </w:pPr>
      <w:r w:rsidRPr="00CC61C2">
        <w:rPr>
          <w:b/>
          <w:bCs/>
          <w:noProof/>
          <w:szCs w:val="22"/>
        </w:rPr>
        <w:t>6.6.</w:t>
      </w:r>
      <w:r w:rsidR="008B600E">
        <w:rPr>
          <w:b/>
          <w:bCs/>
          <w:noProof/>
          <w:szCs w:val="22"/>
        </w:rPr>
        <w:t xml:space="preserve"> </w:t>
      </w:r>
      <w:r w:rsidRPr="00CC61C2">
        <w:rPr>
          <w:b/>
          <w:bCs/>
          <w:szCs w:val="22"/>
        </w:rPr>
        <w:t>Posebne mjere opreza pri odlaganju materijala koji treba odbaciti nakon primjene lijeka (i druga uputstva za rukovanje lijekom)</w:t>
      </w:r>
    </w:p>
    <w:p w14:paraId="545CCE62" w14:textId="77777777" w:rsidR="00D86BB7" w:rsidRPr="00CC61C2" w:rsidRDefault="00D86BB7" w:rsidP="003D4FBA">
      <w:pPr>
        <w:tabs>
          <w:tab w:val="clear" w:pos="567"/>
          <w:tab w:val="left" w:pos="540"/>
          <w:tab w:val="left" w:pos="569"/>
        </w:tabs>
        <w:jc w:val="both"/>
        <w:rPr>
          <w:bCs/>
          <w:szCs w:val="22"/>
        </w:rPr>
      </w:pPr>
    </w:p>
    <w:p w14:paraId="07666BCF" w14:textId="77777777" w:rsidR="00D86BB7" w:rsidRPr="00CC61C2" w:rsidRDefault="00D86BB7" w:rsidP="00AA3BD8">
      <w:pPr>
        <w:widowControl w:val="0"/>
        <w:jc w:val="both"/>
        <w:rPr>
          <w:szCs w:val="22"/>
        </w:rPr>
      </w:pPr>
      <w:r w:rsidRPr="00CC61C2">
        <w:rPr>
          <w:szCs w:val="22"/>
        </w:rPr>
        <w:t>Nema posebnih zahtjeva.</w:t>
      </w:r>
    </w:p>
    <w:p w14:paraId="7F42A562" w14:textId="77777777" w:rsidR="00D86BB7" w:rsidRPr="00CC61C2" w:rsidRDefault="00D86BB7" w:rsidP="00AA3BD8">
      <w:pPr>
        <w:widowControl w:val="0"/>
        <w:jc w:val="both"/>
        <w:rPr>
          <w:szCs w:val="22"/>
        </w:rPr>
      </w:pPr>
      <w:r w:rsidRPr="00CC61C2">
        <w:rPr>
          <w:szCs w:val="22"/>
        </w:rPr>
        <w:t>Neupotrijebljeni lijek se uništava u skladu sa važećim propisima.</w:t>
      </w:r>
    </w:p>
    <w:p w14:paraId="3ACFA1DA" w14:textId="77777777" w:rsidR="00D86BB7" w:rsidRPr="00CC61C2" w:rsidRDefault="00D86BB7" w:rsidP="00AA3BD8">
      <w:pPr>
        <w:jc w:val="both"/>
        <w:rPr>
          <w:b/>
          <w:bCs/>
          <w:szCs w:val="22"/>
          <w:lang w:eastAsia="hr-HR"/>
        </w:rPr>
      </w:pPr>
    </w:p>
    <w:p w14:paraId="54208EF4" w14:textId="3ADFEB84" w:rsidR="00D86BB7" w:rsidRPr="00CC61C2" w:rsidRDefault="00D86BB7" w:rsidP="00D86BB7">
      <w:pPr>
        <w:widowControl w:val="0"/>
        <w:jc w:val="both"/>
        <w:rPr>
          <w:b/>
          <w:szCs w:val="22"/>
        </w:rPr>
      </w:pPr>
      <w:r w:rsidRPr="00CC61C2">
        <w:rPr>
          <w:b/>
          <w:szCs w:val="22"/>
        </w:rPr>
        <w:t xml:space="preserve">7. NOSILAC DOZVOLE </w:t>
      </w:r>
    </w:p>
    <w:p w14:paraId="00191C5B" w14:textId="77777777" w:rsidR="00D86BB7" w:rsidRPr="00CC61C2" w:rsidRDefault="00D86BB7" w:rsidP="00D86BB7">
      <w:pPr>
        <w:widowControl w:val="0"/>
        <w:jc w:val="both"/>
        <w:rPr>
          <w:b/>
          <w:szCs w:val="22"/>
        </w:rPr>
      </w:pPr>
    </w:p>
    <w:p w14:paraId="5E61903F" w14:textId="491C0D88" w:rsidR="00D86BB7" w:rsidRPr="00CC61C2" w:rsidRDefault="00D86BB7" w:rsidP="00D86BB7">
      <w:pPr>
        <w:widowControl w:val="0"/>
        <w:jc w:val="both"/>
        <w:rPr>
          <w:rFonts w:eastAsia="Calibri"/>
          <w:szCs w:val="22"/>
        </w:rPr>
      </w:pPr>
      <w:r w:rsidRPr="00CC61C2">
        <w:rPr>
          <w:rFonts w:eastAsia="Calibri"/>
          <w:szCs w:val="22"/>
        </w:rPr>
        <w:t>D</w:t>
      </w:r>
      <w:r w:rsidR="003B5F9C">
        <w:rPr>
          <w:rFonts w:eastAsia="Calibri"/>
          <w:szCs w:val="22"/>
        </w:rPr>
        <w:t>.</w:t>
      </w:r>
      <w:r w:rsidRPr="00CC61C2">
        <w:rPr>
          <w:rFonts w:eastAsia="Calibri"/>
          <w:szCs w:val="22"/>
        </w:rPr>
        <w:t>S</w:t>
      </w:r>
      <w:r w:rsidR="003B5F9C">
        <w:rPr>
          <w:rFonts w:eastAsia="Calibri"/>
          <w:szCs w:val="22"/>
        </w:rPr>
        <w:t>.</w:t>
      </w:r>
      <w:r w:rsidRPr="00CC61C2">
        <w:rPr>
          <w:rFonts w:eastAsia="Calibri"/>
          <w:szCs w:val="22"/>
        </w:rPr>
        <w:t>D</w:t>
      </w:r>
      <w:r w:rsidR="003B5F9C">
        <w:rPr>
          <w:rFonts w:eastAsia="Calibri"/>
          <w:szCs w:val="22"/>
        </w:rPr>
        <w:t>.</w:t>
      </w:r>
      <w:r w:rsidR="002165C7">
        <w:rPr>
          <w:rFonts w:eastAsia="Calibri"/>
          <w:szCs w:val="22"/>
        </w:rPr>
        <w:t xml:space="preserve"> </w:t>
      </w:r>
      <w:r w:rsidRPr="00CC61C2">
        <w:rPr>
          <w:rFonts w:eastAsia="Calibri"/>
          <w:szCs w:val="22"/>
        </w:rPr>
        <w:t>„KRKA d.d. Novo mesto“</w:t>
      </w:r>
      <w:r w:rsidR="003B5F9C">
        <w:rPr>
          <w:rFonts w:eastAsia="Calibri"/>
          <w:szCs w:val="22"/>
        </w:rPr>
        <w:t xml:space="preserve"> Slovenija</w:t>
      </w:r>
      <w:r w:rsidRPr="00CC61C2">
        <w:rPr>
          <w:rFonts w:eastAsia="Calibri"/>
          <w:szCs w:val="22"/>
        </w:rPr>
        <w:t xml:space="preserve"> - predstavništvo Podgorica</w:t>
      </w:r>
    </w:p>
    <w:p w14:paraId="5FE79BC6" w14:textId="77777777" w:rsidR="00D86BB7" w:rsidRPr="00CC61C2" w:rsidRDefault="00D86BB7" w:rsidP="00D86BB7">
      <w:pPr>
        <w:widowControl w:val="0"/>
        <w:jc w:val="both"/>
        <w:rPr>
          <w:rFonts w:eastAsia="Calibri"/>
          <w:szCs w:val="22"/>
        </w:rPr>
      </w:pPr>
      <w:r w:rsidRPr="00CC61C2">
        <w:rPr>
          <w:rFonts w:eastAsia="Calibri"/>
          <w:szCs w:val="22"/>
        </w:rPr>
        <w:t>Svetlane Kane Radević br. 3, 81000 Podgorica, Crna Gora</w:t>
      </w:r>
    </w:p>
    <w:p w14:paraId="534FEF11" w14:textId="77777777" w:rsidR="00D86BB7" w:rsidRPr="00CC61C2" w:rsidRDefault="00D86BB7" w:rsidP="00D86BB7">
      <w:pPr>
        <w:widowControl w:val="0"/>
        <w:jc w:val="both"/>
        <w:rPr>
          <w:b/>
          <w:szCs w:val="22"/>
        </w:rPr>
      </w:pPr>
    </w:p>
    <w:p w14:paraId="3C934DD8" w14:textId="77777777" w:rsidR="00D86BB7" w:rsidRPr="00CC61C2" w:rsidRDefault="00D86BB7" w:rsidP="00D86BB7">
      <w:pPr>
        <w:widowControl w:val="0"/>
        <w:jc w:val="both"/>
        <w:rPr>
          <w:b/>
          <w:szCs w:val="22"/>
        </w:rPr>
      </w:pPr>
    </w:p>
    <w:p w14:paraId="7A1E3C2B" w14:textId="2E4AA875" w:rsidR="00D86BB7" w:rsidRPr="00CC61C2" w:rsidRDefault="00D86BB7" w:rsidP="00D86BB7">
      <w:pPr>
        <w:widowControl w:val="0"/>
        <w:jc w:val="both"/>
        <w:rPr>
          <w:b/>
          <w:szCs w:val="22"/>
        </w:rPr>
      </w:pPr>
      <w:r w:rsidRPr="00CC61C2">
        <w:rPr>
          <w:b/>
          <w:szCs w:val="22"/>
        </w:rPr>
        <w:t>8. BROJ DOZVOLE ZA STAVLJANJE LIJEKA U PROMET</w:t>
      </w:r>
    </w:p>
    <w:p w14:paraId="74F7429E" w14:textId="77777777" w:rsidR="00D86BB7" w:rsidRPr="00CC61C2" w:rsidRDefault="00D86BB7" w:rsidP="00D86BB7">
      <w:pPr>
        <w:widowControl w:val="0"/>
        <w:jc w:val="both"/>
        <w:rPr>
          <w:b/>
          <w:szCs w:val="22"/>
        </w:rPr>
      </w:pPr>
    </w:p>
    <w:p w14:paraId="4CC3911F" w14:textId="75223112" w:rsidR="00D86BB7" w:rsidRPr="00CC61C2" w:rsidRDefault="00D86BB7" w:rsidP="00D86BB7">
      <w:pPr>
        <w:widowControl w:val="0"/>
        <w:jc w:val="both"/>
        <w:rPr>
          <w:szCs w:val="22"/>
        </w:rPr>
      </w:pPr>
      <w:r w:rsidRPr="00CC61C2">
        <w:rPr>
          <w:szCs w:val="22"/>
        </w:rPr>
        <w:t xml:space="preserve">Amlewel, tableta, 2 mg + 0,625 mg + 5 mg, blister, 30 tableta: </w:t>
      </w:r>
      <w:r w:rsidR="00296B45" w:rsidRPr="00296B45">
        <w:rPr>
          <w:szCs w:val="22"/>
        </w:rPr>
        <w:t>2030/25/1640 - 5054</w:t>
      </w:r>
    </w:p>
    <w:p w14:paraId="05A3377E" w14:textId="567B45C1" w:rsidR="00D86BB7" w:rsidRPr="00CC61C2" w:rsidRDefault="00D86BB7" w:rsidP="00D86BB7">
      <w:pPr>
        <w:widowControl w:val="0"/>
        <w:jc w:val="both"/>
        <w:rPr>
          <w:szCs w:val="22"/>
        </w:rPr>
      </w:pPr>
      <w:r w:rsidRPr="00CC61C2">
        <w:rPr>
          <w:szCs w:val="22"/>
        </w:rPr>
        <w:t xml:space="preserve">Amlewel, tableta, 4 mg + 1,25 mg + 5 mg, blister, 30 tableta: </w:t>
      </w:r>
      <w:r w:rsidR="00296B45" w:rsidRPr="00296B45">
        <w:rPr>
          <w:szCs w:val="22"/>
        </w:rPr>
        <w:t>2030/25/1641 - 5055</w:t>
      </w:r>
    </w:p>
    <w:p w14:paraId="61949F75" w14:textId="58622218" w:rsidR="00D86BB7" w:rsidRPr="00CC61C2" w:rsidRDefault="00D86BB7" w:rsidP="00D86BB7">
      <w:pPr>
        <w:widowControl w:val="0"/>
        <w:jc w:val="both"/>
        <w:rPr>
          <w:szCs w:val="22"/>
        </w:rPr>
      </w:pPr>
      <w:r w:rsidRPr="00CC61C2">
        <w:rPr>
          <w:szCs w:val="22"/>
        </w:rPr>
        <w:t xml:space="preserve">Amlewel, tableta, 4 mg + 1,25 mg + 10 mg, blister, 30 </w:t>
      </w:r>
      <w:r w:rsidR="00296B45">
        <w:rPr>
          <w:szCs w:val="22"/>
        </w:rPr>
        <w:t>t</w:t>
      </w:r>
      <w:r w:rsidRPr="00CC61C2">
        <w:rPr>
          <w:szCs w:val="22"/>
        </w:rPr>
        <w:t xml:space="preserve">ableta: </w:t>
      </w:r>
      <w:r w:rsidR="00296B45" w:rsidRPr="00296B45">
        <w:rPr>
          <w:szCs w:val="22"/>
        </w:rPr>
        <w:t>2030/25/1642 - 5056</w:t>
      </w:r>
    </w:p>
    <w:p w14:paraId="1DB63EAC" w14:textId="0D9A16EF" w:rsidR="00D86BB7" w:rsidRPr="00CC61C2" w:rsidRDefault="00D86BB7" w:rsidP="00D86BB7">
      <w:pPr>
        <w:widowControl w:val="0"/>
        <w:jc w:val="both"/>
        <w:rPr>
          <w:szCs w:val="22"/>
        </w:rPr>
      </w:pPr>
      <w:r w:rsidRPr="00CC61C2">
        <w:rPr>
          <w:szCs w:val="22"/>
        </w:rPr>
        <w:t xml:space="preserve">Amlewel, tableta, 8 mg + 2,5 mg + 5 mg, blister, 30 tableta: </w:t>
      </w:r>
      <w:r w:rsidR="00296B45">
        <w:t>2030/25/1643 - 5057</w:t>
      </w:r>
    </w:p>
    <w:p w14:paraId="738F06ED" w14:textId="619B50AE" w:rsidR="00D86BB7" w:rsidRPr="00CC61C2" w:rsidRDefault="00D86BB7" w:rsidP="00D86BB7">
      <w:pPr>
        <w:widowControl w:val="0"/>
        <w:jc w:val="both"/>
        <w:rPr>
          <w:szCs w:val="22"/>
        </w:rPr>
      </w:pPr>
      <w:r w:rsidRPr="00CC61C2">
        <w:rPr>
          <w:szCs w:val="22"/>
        </w:rPr>
        <w:t xml:space="preserve">Amlewel, tableta, 8 mg + 2,5 mg + 10 mg, blister, 30 tableta: </w:t>
      </w:r>
      <w:bookmarkStart w:id="3" w:name="_Hlk151457525"/>
      <w:r w:rsidR="00296B45" w:rsidRPr="00296B45">
        <w:rPr>
          <w:szCs w:val="22"/>
        </w:rPr>
        <w:t>2030/25/1644 - 5058</w:t>
      </w:r>
    </w:p>
    <w:bookmarkEnd w:id="3"/>
    <w:p w14:paraId="5109A603" w14:textId="77777777" w:rsidR="00D86BB7" w:rsidRPr="00CC61C2" w:rsidRDefault="00D86BB7" w:rsidP="00D86BB7">
      <w:pPr>
        <w:widowControl w:val="0"/>
        <w:jc w:val="both"/>
        <w:rPr>
          <w:b/>
          <w:szCs w:val="22"/>
        </w:rPr>
      </w:pPr>
    </w:p>
    <w:p w14:paraId="7A329AED" w14:textId="77777777" w:rsidR="00D86BB7" w:rsidRPr="00CC61C2" w:rsidRDefault="00D86BB7" w:rsidP="00D86BB7">
      <w:pPr>
        <w:widowControl w:val="0"/>
        <w:jc w:val="both"/>
        <w:rPr>
          <w:b/>
          <w:szCs w:val="22"/>
        </w:rPr>
      </w:pPr>
    </w:p>
    <w:p w14:paraId="026E6E23" w14:textId="0CCF22FF" w:rsidR="00D86BB7" w:rsidRPr="00CC61C2" w:rsidRDefault="00D86BB7" w:rsidP="00D86BB7">
      <w:pPr>
        <w:widowControl w:val="0"/>
        <w:jc w:val="both"/>
        <w:rPr>
          <w:b/>
          <w:szCs w:val="22"/>
        </w:rPr>
      </w:pPr>
      <w:r w:rsidRPr="00CC61C2">
        <w:rPr>
          <w:b/>
          <w:szCs w:val="22"/>
        </w:rPr>
        <w:t>9. DATUM PRVE DOZVOLE/OBNOVE DOZVOLE ZA STAVLJANJE LIJEKA U PROMET</w:t>
      </w:r>
    </w:p>
    <w:p w14:paraId="6183E7E4" w14:textId="77777777" w:rsidR="00D86BB7" w:rsidRPr="00CC61C2" w:rsidRDefault="00D86BB7" w:rsidP="00D86BB7">
      <w:pPr>
        <w:widowControl w:val="0"/>
        <w:jc w:val="both"/>
        <w:rPr>
          <w:b/>
          <w:szCs w:val="22"/>
        </w:rPr>
      </w:pPr>
    </w:p>
    <w:p w14:paraId="1C63F1FF" w14:textId="017E4E9B" w:rsidR="00D86BB7" w:rsidRDefault="000E4BB4" w:rsidP="00D86BB7">
      <w:pPr>
        <w:widowControl w:val="0"/>
        <w:jc w:val="both"/>
        <w:rPr>
          <w:szCs w:val="22"/>
        </w:rPr>
      </w:pPr>
      <w:r>
        <w:rPr>
          <w:szCs w:val="22"/>
        </w:rPr>
        <w:t xml:space="preserve">Datum prve dozvole: </w:t>
      </w:r>
      <w:r w:rsidR="00D86BB7" w:rsidRPr="00CC61C2">
        <w:rPr>
          <w:szCs w:val="22"/>
        </w:rPr>
        <w:t>26.04.2018. godine</w:t>
      </w:r>
    </w:p>
    <w:p w14:paraId="12668A70" w14:textId="6E746D78" w:rsidR="00D86BB7" w:rsidRPr="00CC61C2" w:rsidRDefault="000E4BB4" w:rsidP="00D86BB7">
      <w:pPr>
        <w:widowControl w:val="0"/>
        <w:jc w:val="both"/>
        <w:rPr>
          <w:b/>
          <w:szCs w:val="22"/>
        </w:rPr>
      </w:pPr>
      <w:r>
        <w:rPr>
          <w:szCs w:val="22"/>
        </w:rPr>
        <w:t xml:space="preserve">Datum posljednje obnove dozvole: </w:t>
      </w:r>
      <w:r w:rsidR="00296B45" w:rsidRPr="00296B45">
        <w:rPr>
          <w:szCs w:val="22"/>
        </w:rPr>
        <w:t>04.04.2025. godine</w:t>
      </w:r>
    </w:p>
    <w:p w14:paraId="02D9B4CC" w14:textId="054EFDA8" w:rsidR="00D86BB7" w:rsidRDefault="00D86BB7" w:rsidP="00D86BB7">
      <w:pPr>
        <w:widowControl w:val="0"/>
        <w:jc w:val="both"/>
        <w:rPr>
          <w:b/>
          <w:szCs w:val="22"/>
        </w:rPr>
      </w:pPr>
    </w:p>
    <w:p w14:paraId="74F99BDF" w14:textId="3F717EF3" w:rsidR="00D86BB7" w:rsidRPr="00CC61C2" w:rsidRDefault="00D86BB7" w:rsidP="00D86BB7">
      <w:pPr>
        <w:widowControl w:val="0"/>
        <w:jc w:val="both"/>
        <w:rPr>
          <w:b/>
          <w:szCs w:val="22"/>
        </w:rPr>
      </w:pPr>
      <w:r w:rsidRPr="00CC61C2">
        <w:rPr>
          <w:b/>
          <w:szCs w:val="22"/>
        </w:rPr>
        <w:t>10. DATUM REVIZIJE TEKSTA</w:t>
      </w:r>
    </w:p>
    <w:p w14:paraId="26DDA8D6" w14:textId="77777777" w:rsidR="00D86BB7" w:rsidRPr="00CC61C2" w:rsidRDefault="00D86BB7" w:rsidP="00D86BB7">
      <w:pPr>
        <w:rPr>
          <w:szCs w:val="22"/>
        </w:rPr>
      </w:pPr>
    </w:p>
    <w:p w14:paraId="3085519C" w14:textId="1DCBB05C" w:rsidR="00812D16" w:rsidRPr="00CC61C2" w:rsidRDefault="00296B45" w:rsidP="004E5A77">
      <w:pPr>
        <w:rPr>
          <w:szCs w:val="22"/>
        </w:rPr>
      </w:pPr>
      <w:r>
        <w:rPr>
          <w:szCs w:val="22"/>
        </w:rPr>
        <w:t>April, 2025. godine</w:t>
      </w:r>
    </w:p>
    <w:sectPr w:rsidR="00812D16" w:rsidRPr="00CC61C2" w:rsidSect="003D4FBA">
      <w:footerReference w:type="default" r:id="rId12"/>
      <w:footerReference w:type="first" r:id="rId13"/>
      <w:endnotePr>
        <w:numFmt w:val="decimal"/>
      </w:endnotePr>
      <w:pgSz w:w="11907" w:h="16840" w:code="9"/>
      <w:pgMar w:top="1134" w:right="1418" w:bottom="1134" w:left="1418" w:header="734"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BD01B" w14:textId="77777777" w:rsidR="00C41DA9" w:rsidRDefault="00C41DA9">
      <w:pPr>
        <w:spacing w:line="240" w:lineRule="auto"/>
      </w:pPr>
      <w:r>
        <w:separator/>
      </w:r>
    </w:p>
  </w:endnote>
  <w:endnote w:type="continuationSeparator" w:id="0">
    <w:p w14:paraId="5DCFD288" w14:textId="77777777" w:rsidR="00C41DA9" w:rsidRDefault="00C41D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85A71" w14:textId="6962F25E" w:rsidR="00DE25D9" w:rsidRPr="009D6AD4" w:rsidRDefault="009D6AD4" w:rsidP="009D6AD4">
    <w:pPr>
      <w:pStyle w:val="Footer"/>
      <w:jc w:val="center"/>
      <w:rPr>
        <w:rFonts w:ascii="Times New Roman" w:hAnsi="Times New Roman"/>
        <w:sz w:val="22"/>
        <w:szCs w:val="22"/>
      </w:rPr>
    </w:pPr>
    <w:r w:rsidRPr="009D6AD4">
      <w:rPr>
        <w:rFonts w:ascii="Times New Roman" w:hAnsi="Times New Roman"/>
        <w:sz w:val="22"/>
        <w:szCs w:val="22"/>
      </w:rPr>
      <w:fldChar w:fldCharType="begin"/>
    </w:r>
    <w:r w:rsidRPr="009D6AD4">
      <w:rPr>
        <w:rFonts w:ascii="Times New Roman" w:hAnsi="Times New Roman"/>
        <w:sz w:val="22"/>
        <w:szCs w:val="22"/>
      </w:rPr>
      <w:instrText xml:space="preserve"> PAGE </w:instrText>
    </w:r>
    <w:r w:rsidRPr="009D6AD4">
      <w:rPr>
        <w:rFonts w:ascii="Times New Roman" w:hAnsi="Times New Roman"/>
        <w:sz w:val="22"/>
        <w:szCs w:val="22"/>
      </w:rPr>
      <w:fldChar w:fldCharType="separate"/>
    </w:r>
    <w:r>
      <w:rPr>
        <w:rFonts w:ascii="Times New Roman" w:hAnsi="Times New Roman"/>
        <w:sz w:val="22"/>
        <w:szCs w:val="22"/>
      </w:rPr>
      <w:t>28</w:t>
    </w:r>
    <w:r w:rsidRPr="009D6AD4">
      <w:rPr>
        <w:rFonts w:ascii="Times New Roman" w:hAnsi="Times New Roman"/>
        <w:sz w:val="22"/>
        <w:szCs w:val="22"/>
      </w:rPr>
      <w:fldChar w:fldCharType="end"/>
    </w:r>
    <w:r w:rsidRPr="009D6AD4">
      <w:rPr>
        <w:rFonts w:ascii="Times New Roman" w:hAnsi="Times New Roman"/>
        <w:sz w:val="22"/>
        <w:szCs w:val="22"/>
      </w:rPr>
      <w:t xml:space="preserve"> / </w:t>
    </w:r>
    <w:r w:rsidRPr="009D6AD4">
      <w:rPr>
        <w:rFonts w:ascii="Times New Roman" w:hAnsi="Times New Roman"/>
        <w:sz w:val="22"/>
        <w:szCs w:val="22"/>
      </w:rPr>
      <w:fldChar w:fldCharType="begin"/>
    </w:r>
    <w:r w:rsidRPr="009D6AD4">
      <w:rPr>
        <w:rFonts w:ascii="Times New Roman" w:hAnsi="Times New Roman"/>
        <w:sz w:val="22"/>
        <w:szCs w:val="22"/>
      </w:rPr>
      <w:instrText xml:space="preserve"> NUMPAGES </w:instrText>
    </w:r>
    <w:r w:rsidRPr="009D6AD4">
      <w:rPr>
        <w:rFonts w:ascii="Times New Roman" w:hAnsi="Times New Roman"/>
        <w:sz w:val="22"/>
        <w:szCs w:val="22"/>
      </w:rPr>
      <w:fldChar w:fldCharType="separate"/>
    </w:r>
    <w:r>
      <w:rPr>
        <w:rFonts w:ascii="Times New Roman" w:hAnsi="Times New Roman"/>
        <w:sz w:val="22"/>
        <w:szCs w:val="22"/>
      </w:rPr>
      <w:t>28</w:t>
    </w:r>
    <w:r w:rsidRPr="009D6AD4">
      <w:rPr>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A0135" w14:textId="566DF008" w:rsidR="00DE25D9" w:rsidRPr="009D6AD4" w:rsidRDefault="009D6AD4" w:rsidP="009D6AD4">
    <w:pPr>
      <w:pStyle w:val="Footer"/>
      <w:jc w:val="center"/>
      <w:rPr>
        <w:rFonts w:ascii="Times New Roman" w:hAnsi="Times New Roman"/>
        <w:sz w:val="22"/>
        <w:szCs w:val="22"/>
      </w:rPr>
    </w:pPr>
    <w:r w:rsidRPr="009D6AD4">
      <w:rPr>
        <w:rFonts w:ascii="Times New Roman" w:hAnsi="Times New Roman"/>
        <w:sz w:val="22"/>
        <w:szCs w:val="22"/>
      </w:rPr>
      <w:fldChar w:fldCharType="begin"/>
    </w:r>
    <w:r w:rsidRPr="009D6AD4">
      <w:rPr>
        <w:rFonts w:ascii="Times New Roman" w:hAnsi="Times New Roman"/>
        <w:sz w:val="22"/>
        <w:szCs w:val="22"/>
      </w:rPr>
      <w:instrText xml:space="preserve"> PAGE </w:instrText>
    </w:r>
    <w:r w:rsidRPr="009D6AD4">
      <w:rPr>
        <w:rFonts w:ascii="Times New Roman" w:hAnsi="Times New Roman"/>
        <w:sz w:val="22"/>
        <w:szCs w:val="22"/>
      </w:rPr>
      <w:fldChar w:fldCharType="separate"/>
    </w:r>
    <w:r>
      <w:rPr>
        <w:rFonts w:ascii="Times New Roman" w:hAnsi="Times New Roman"/>
        <w:sz w:val="22"/>
        <w:szCs w:val="22"/>
      </w:rPr>
      <w:t>1</w:t>
    </w:r>
    <w:r w:rsidRPr="009D6AD4">
      <w:rPr>
        <w:rFonts w:ascii="Times New Roman" w:hAnsi="Times New Roman"/>
        <w:sz w:val="22"/>
        <w:szCs w:val="22"/>
      </w:rPr>
      <w:fldChar w:fldCharType="end"/>
    </w:r>
    <w:r w:rsidRPr="009D6AD4">
      <w:rPr>
        <w:rFonts w:ascii="Times New Roman" w:hAnsi="Times New Roman"/>
        <w:sz w:val="22"/>
        <w:szCs w:val="22"/>
      </w:rPr>
      <w:t xml:space="preserve"> / </w:t>
    </w:r>
    <w:r w:rsidRPr="009D6AD4">
      <w:rPr>
        <w:rFonts w:ascii="Times New Roman" w:hAnsi="Times New Roman"/>
        <w:sz w:val="22"/>
        <w:szCs w:val="22"/>
      </w:rPr>
      <w:fldChar w:fldCharType="begin"/>
    </w:r>
    <w:r w:rsidRPr="009D6AD4">
      <w:rPr>
        <w:rFonts w:ascii="Times New Roman" w:hAnsi="Times New Roman"/>
        <w:sz w:val="22"/>
        <w:szCs w:val="22"/>
      </w:rPr>
      <w:instrText xml:space="preserve"> NUMPAGES </w:instrText>
    </w:r>
    <w:r w:rsidRPr="009D6AD4">
      <w:rPr>
        <w:rFonts w:ascii="Times New Roman" w:hAnsi="Times New Roman"/>
        <w:sz w:val="22"/>
        <w:szCs w:val="22"/>
      </w:rPr>
      <w:fldChar w:fldCharType="separate"/>
    </w:r>
    <w:r>
      <w:rPr>
        <w:rFonts w:ascii="Times New Roman" w:hAnsi="Times New Roman"/>
        <w:sz w:val="22"/>
        <w:szCs w:val="22"/>
      </w:rPr>
      <w:t>29</w:t>
    </w:r>
    <w:r w:rsidRPr="009D6AD4">
      <w:rP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F07A0" w14:textId="77777777" w:rsidR="00C41DA9" w:rsidRDefault="00C41DA9">
      <w:pPr>
        <w:spacing w:line="240" w:lineRule="auto"/>
      </w:pPr>
      <w:r>
        <w:separator/>
      </w:r>
    </w:p>
  </w:footnote>
  <w:footnote w:type="continuationSeparator" w:id="0">
    <w:p w14:paraId="7F338D73" w14:textId="77777777" w:rsidR="00C41DA9" w:rsidRDefault="00C41DA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32F56"/>
    <w:multiLevelType w:val="hybridMultilevel"/>
    <w:tmpl w:val="C9B0EAC2"/>
    <w:lvl w:ilvl="0" w:tplc="FFFFFFFF">
      <w:start w:val="4"/>
      <w:numFmt w:val="bullet"/>
      <w:lvlText w:val="-"/>
      <w:lvlJc w:val="left"/>
      <w:pPr>
        <w:tabs>
          <w:tab w:val="num" w:pos="1440"/>
        </w:tabs>
        <w:ind w:left="1440" w:hanging="72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2137689F"/>
    <w:multiLevelType w:val="hybridMultilevel"/>
    <w:tmpl w:val="B4AA4DA0"/>
    <w:lvl w:ilvl="0" w:tplc="064CE8B4">
      <w:numFmt w:val="bullet"/>
      <w:lvlText w:val="-"/>
      <w:lvlJc w:val="left"/>
      <w:pPr>
        <w:ind w:left="720" w:hanging="360"/>
      </w:pPr>
      <w:rPr>
        <w:rFonts w:ascii="Times New Roman" w:eastAsia="Times New Roman"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38BF2E20"/>
    <w:multiLevelType w:val="hybridMultilevel"/>
    <w:tmpl w:val="8206A2DC"/>
    <w:lvl w:ilvl="0" w:tplc="3BF0B892">
      <w:start w:val="4"/>
      <w:numFmt w:val="bullet"/>
      <w:lvlText w:val="-"/>
      <w:lvlJc w:val="left"/>
      <w:pPr>
        <w:ind w:left="720" w:hanging="360"/>
      </w:pPr>
      <w:rPr>
        <w:rFonts w:ascii="Times New Roman" w:eastAsia="Times New Roman" w:hAnsi="Times New Roman" w:cs="Times New Roman" w:hint="default"/>
      </w:rPr>
    </w:lvl>
    <w:lvl w:ilvl="1" w:tplc="B3D0CA00">
      <w:numFmt w:val="bullet"/>
      <w:lvlText w:val="-"/>
      <w:lvlJc w:val="left"/>
      <w:pPr>
        <w:ind w:left="1440" w:hanging="360"/>
      </w:pPr>
      <w:rPr>
        <w:rFonts w:ascii="Times New Roman" w:eastAsia="Times New Roman" w:hAnsi="Times New Roman" w:cs="Times New Roman"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15:restartNumberingAfterBreak="0">
    <w:nsid w:val="3FCC2B3F"/>
    <w:multiLevelType w:val="hybridMultilevel"/>
    <w:tmpl w:val="AC9E9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80351C"/>
    <w:multiLevelType w:val="hybridMultilevel"/>
    <w:tmpl w:val="6774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DF587E"/>
    <w:multiLevelType w:val="hybridMultilevel"/>
    <w:tmpl w:val="28DA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4B1CE7"/>
    <w:multiLevelType w:val="hybridMultilevel"/>
    <w:tmpl w:val="EA0C8924"/>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5B321C"/>
    <w:multiLevelType w:val="hybridMultilevel"/>
    <w:tmpl w:val="12A460E8"/>
    <w:lvl w:ilvl="0" w:tplc="FFFFFFFF">
      <w:start w:val="4"/>
      <w:numFmt w:val="bullet"/>
      <w:lvlText w:val="-"/>
      <w:lvlJc w:val="left"/>
      <w:pPr>
        <w:ind w:left="644" w:hanging="360"/>
      </w:pPr>
      <w:rPr>
        <w:rFonts w:ascii="Times New Roman" w:eastAsia="Times New Roman" w:hAnsi="Times New Roman" w:hint="default"/>
      </w:rPr>
    </w:lvl>
    <w:lvl w:ilvl="1" w:tplc="081A0003" w:tentative="1">
      <w:start w:val="1"/>
      <w:numFmt w:val="bullet"/>
      <w:lvlText w:val="o"/>
      <w:lvlJc w:val="left"/>
      <w:pPr>
        <w:ind w:left="1364" w:hanging="360"/>
      </w:pPr>
      <w:rPr>
        <w:rFonts w:ascii="Courier New" w:hAnsi="Courier New" w:cs="Courier New" w:hint="default"/>
      </w:rPr>
    </w:lvl>
    <w:lvl w:ilvl="2" w:tplc="081A0005" w:tentative="1">
      <w:start w:val="1"/>
      <w:numFmt w:val="bullet"/>
      <w:lvlText w:val=""/>
      <w:lvlJc w:val="left"/>
      <w:pPr>
        <w:ind w:left="2084" w:hanging="360"/>
      </w:pPr>
      <w:rPr>
        <w:rFonts w:ascii="Wingdings" w:hAnsi="Wingdings" w:hint="default"/>
      </w:rPr>
    </w:lvl>
    <w:lvl w:ilvl="3" w:tplc="081A0001" w:tentative="1">
      <w:start w:val="1"/>
      <w:numFmt w:val="bullet"/>
      <w:lvlText w:val=""/>
      <w:lvlJc w:val="left"/>
      <w:pPr>
        <w:ind w:left="2804" w:hanging="360"/>
      </w:pPr>
      <w:rPr>
        <w:rFonts w:ascii="Symbol" w:hAnsi="Symbol" w:hint="default"/>
      </w:rPr>
    </w:lvl>
    <w:lvl w:ilvl="4" w:tplc="081A0003" w:tentative="1">
      <w:start w:val="1"/>
      <w:numFmt w:val="bullet"/>
      <w:lvlText w:val="o"/>
      <w:lvlJc w:val="left"/>
      <w:pPr>
        <w:ind w:left="3524" w:hanging="360"/>
      </w:pPr>
      <w:rPr>
        <w:rFonts w:ascii="Courier New" w:hAnsi="Courier New" w:cs="Courier New" w:hint="default"/>
      </w:rPr>
    </w:lvl>
    <w:lvl w:ilvl="5" w:tplc="081A0005" w:tentative="1">
      <w:start w:val="1"/>
      <w:numFmt w:val="bullet"/>
      <w:lvlText w:val=""/>
      <w:lvlJc w:val="left"/>
      <w:pPr>
        <w:ind w:left="4244" w:hanging="360"/>
      </w:pPr>
      <w:rPr>
        <w:rFonts w:ascii="Wingdings" w:hAnsi="Wingdings" w:hint="default"/>
      </w:rPr>
    </w:lvl>
    <w:lvl w:ilvl="6" w:tplc="081A0001" w:tentative="1">
      <w:start w:val="1"/>
      <w:numFmt w:val="bullet"/>
      <w:lvlText w:val=""/>
      <w:lvlJc w:val="left"/>
      <w:pPr>
        <w:ind w:left="4964" w:hanging="360"/>
      </w:pPr>
      <w:rPr>
        <w:rFonts w:ascii="Symbol" w:hAnsi="Symbol" w:hint="default"/>
      </w:rPr>
    </w:lvl>
    <w:lvl w:ilvl="7" w:tplc="081A0003" w:tentative="1">
      <w:start w:val="1"/>
      <w:numFmt w:val="bullet"/>
      <w:lvlText w:val="o"/>
      <w:lvlJc w:val="left"/>
      <w:pPr>
        <w:ind w:left="5684" w:hanging="360"/>
      </w:pPr>
      <w:rPr>
        <w:rFonts w:ascii="Courier New" w:hAnsi="Courier New" w:cs="Courier New" w:hint="default"/>
      </w:rPr>
    </w:lvl>
    <w:lvl w:ilvl="8" w:tplc="081A0005" w:tentative="1">
      <w:start w:val="1"/>
      <w:numFmt w:val="bullet"/>
      <w:lvlText w:val=""/>
      <w:lvlJc w:val="left"/>
      <w:pPr>
        <w:ind w:left="6404" w:hanging="360"/>
      </w:pPr>
      <w:rPr>
        <w:rFonts w:ascii="Wingdings" w:hAnsi="Wingdings" w:hint="default"/>
      </w:rPr>
    </w:lvl>
  </w:abstractNum>
  <w:abstractNum w:abstractNumId="9" w15:restartNumberingAfterBreak="0">
    <w:nsid w:val="7A0D073C"/>
    <w:multiLevelType w:val="hybridMultilevel"/>
    <w:tmpl w:val="7BCA5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9"/>
  </w:num>
  <w:num w:numId="4">
    <w:abstractNumId w:val="4"/>
  </w:num>
  <w:num w:numId="5">
    <w:abstractNumId w:val="1"/>
  </w:num>
  <w:num w:numId="6">
    <w:abstractNumId w:val="5"/>
  </w:num>
  <w:num w:numId="7">
    <w:abstractNumId w:val="8"/>
  </w:num>
  <w:num w:numId="8">
    <w:abstractNumId w:val="2"/>
  </w:num>
  <w:num w:numId="9">
    <w:abstractNumId w:val="7"/>
  </w:num>
  <w:num w:numId="10">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28"/>
    <w:rsid w:val="00020AE8"/>
    <w:rsid w:val="000212BB"/>
    <w:rsid w:val="00021CB3"/>
    <w:rsid w:val="00023150"/>
    <w:rsid w:val="00023A2C"/>
    <w:rsid w:val="0002562F"/>
    <w:rsid w:val="00025635"/>
    <w:rsid w:val="00025A6C"/>
    <w:rsid w:val="00025D02"/>
    <w:rsid w:val="00025EBE"/>
    <w:rsid w:val="00026961"/>
    <w:rsid w:val="00026BF2"/>
    <w:rsid w:val="000271F6"/>
    <w:rsid w:val="00030445"/>
    <w:rsid w:val="000318C7"/>
    <w:rsid w:val="00033D26"/>
    <w:rsid w:val="00033FDB"/>
    <w:rsid w:val="000344F6"/>
    <w:rsid w:val="00034AA8"/>
    <w:rsid w:val="00037DFE"/>
    <w:rsid w:val="00042263"/>
    <w:rsid w:val="00043392"/>
    <w:rsid w:val="00043505"/>
    <w:rsid w:val="00043C70"/>
    <w:rsid w:val="00043E88"/>
    <w:rsid w:val="00044042"/>
    <w:rsid w:val="000474D2"/>
    <w:rsid w:val="000475B6"/>
    <w:rsid w:val="000479C5"/>
    <w:rsid w:val="00050DFD"/>
    <w:rsid w:val="00053809"/>
    <w:rsid w:val="000538B8"/>
    <w:rsid w:val="00053914"/>
    <w:rsid w:val="00054756"/>
    <w:rsid w:val="000556C8"/>
    <w:rsid w:val="000560C5"/>
    <w:rsid w:val="00056C49"/>
    <w:rsid w:val="00056FE0"/>
    <w:rsid w:val="00060090"/>
    <w:rsid w:val="000603C8"/>
    <w:rsid w:val="000608A4"/>
    <w:rsid w:val="00060AA1"/>
    <w:rsid w:val="00061FEE"/>
    <w:rsid w:val="00062B59"/>
    <w:rsid w:val="000631FD"/>
    <w:rsid w:val="000643D3"/>
    <w:rsid w:val="00067B16"/>
    <w:rsid w:val="0007020B"/>
    <w:rsid w:val="00071F8A"/>
    <w:rsid w:val="0007278F"/>
    <w:rsid w:val="00073CA0"/>
    <w:rsid w:val="00073E04"/>
    <w:rsid w:val="0007401B"/>
    <w:rsid w:val="000757B2"/>
    <w:rsid w:val="0007628D"/>
    <w:rsid w:val="00077095"/>
    <w:rsid w:val="00081AE5"/>
    <w:rsid w:val="00081C4E"/>
    <w:rsid w:val="00081DAB"/>
    <w:rsid w:val="000833E8"/>
    <w:rsid w:val="00092829"/>
    <w:rsid w:val="00092B09"/>
    <w:rsid w:val="00092D99"/>
    <w:rsid w:val="0009351E"/>
    <w:rsid w:val="0009479A"/>
    <w:rsid w:val="00094AD6"/>
    <w:rsid w:val="00095D61"/>
    <w:rsid w:val="00095E44"/>
    <w:rsid w:val="00096D8D"/>
    <w:rsid w:val="0009755A"/>
    <w:rsid w:val="000A1232"/>
    <w:rsid w:val="000A2474"/>
    <w:rsid w:val="000A30E5"/>
    <w:rsid w:val="000A40D0"/>
    <w:rsid w:val="000A4BD4"/>
    <w:rsid w:val="000A505E"/>
    <w:rsid w:val="000B0097"/>
    <w:rsid w:val="000B101F"/>
    <w:rsid w:val="000B1F4B"/>
    <w:rsid w:val="000B2F27"/>
    <w:rsid w:val="000B2F58"/>
    <w:rsid w:val="000B37A8"/>
    <w:rsid w:val="000B51D9"/>
    <w:rsid w:val="000B67BD"/>
    <w:rsid w:val="000B71CE"/>
    <w:rsid w:val="000B7C03"/>
    <w:rsid w:val="000C0131"/>
    <w:rsid w:val="000C03FB"/>
    <w:rsid w:val="000C12D1"/>
    <w:rsid w:val="000C20D0"/>
    <w:rsid w:val="000C308F"/>
    <w:rsid w:val="000C5A4E"/>
    <w:rsid w:val="000C635D"/>
    <w:rsid w:val="000C6938"/>
    <w:rsid w:val="000C6CFE"/>
    <w:rsid w:val="000C7F49"/>
    <w:rsid w:val="000D120B"/>
    <w:rsid w:val="000D1ADE"/>
    <w:rsid w:val="000D1AEE"/>
    <w:rsid w:val="000D1F4F"/>
    <w:rsid w:val="000D4D07"/>
    <w:rsid w:val="000D5CFA"/>
    <w:rsid w:val="000D7535"/>
    <w:rsid w:val="000E165D"/>
    <w:rsid w:val="000E1BAF"/>
    <w:rsid w:val="000E223E"/>
    <w:rsid w:val="000E2491"/>
    <w:rsid w:val="000E2EA9"/>
    <w:rsid w:val="000E46A3"/>
    <w:rsid w:val="000E4BB4"/>
    <w:rsid w:val="000E4E88"/>
    <w:rsid w:val="000E5726"/>
    <w:rsid w:val="000E614E"/>
    <w:rsid w:val="000E6C94"/>
    <w:rsid w:val="000F1BB2"/>
    <w:rsid w:val="000F217A"/>
    <w:rsid w:val="000F3F94"/>
    <w:rsid w:val="000F5235"/>
    <w:rsid w:val="000F5B21"/>
    <w:rsid w:val="001010CD"/>
    <w:rsid w:val="00103501"/>
    <w:rsid w:val="00103B2D"/>
    <w:rsid w:val="00103CD2"/>
    <w:rsid w:val="00104061"/>
    <w:rsid w:val="0010633A"/>
    <w:rsid w:val="00107186"/>
    <w:rsid w:val="00107236"/>
    <w:rsid w:val="001074B3"/>
    <w:rsid w:val="001101A2"/>
    <w:rsid w:val="001106F7"/>
    <w:rsid w:val="001108A9"/>
    <w:rsid w:val="001111FD"/>
    <w:rsid w:val="00112EDA"/>
    <w:rsid w:val="00114174"/>
    <w:rsid w:val="00114E81"/>
    <w:rsid w:val="00117121"/>
    <w:rsid w:val="00117B4A"/>
    <w:rsid w:val="00117C1D"/>
    <w:rsid w:val="00123688"/>
    <w:rsid w:val="001237DA"/>
    <w:rsid w:val="00127F47"/>
    <w:rsid w:val="00130CC9"/>
    <w:rsid w:val="001322CD"/>
    <w:rsid w:val="00132E2D"/>
    <w:rsid w:val="00133572"/>
    <w:rsid w:val="00134E4A"/>
    <w:rsid w:val="00135257"/>
    <w:rsid w:val="001364FB"/>
    <w:rsid w:val="001365F2"/>
    <w:rsid w:val="00136D7A"/>
    <w:rsid w:val="001374C5"/>
    <w:rsid w:val="00141470"/>
    <w:rsid w:val="00141540"/>
    <w:rsid w:val="001449DF"/>
    <w:rsid w:val="0014569B"/>
    <w:rsid w:val="00145B97"/>
    <w:rsid w:val="001470E0"/>
    <w:rsid w:val="00150060"/>
    <w:rsid w:val="00151F0D"/>
    <w:rsid w:val="001527AE"/>
    <w:rsid w:val="001547F2"/>
    <w:rsid w:val="00154C69"/>
    <w:rsid w:val="0015704C"/>
    <w:rsid w:val="00157895"/>
    <w:rsid w:val="00161701"/>
    <w:rsid w:val="00161E87"/>
    <w:rsid w:val="0016566C"/>
    <w:rsid w:val="001727F0"/>
    <w:rsid w:val="00172AB5"/>
    <w:rsid w:val="00172B06"/>
    <w:rsid w:val="0017347E"/>
    <w:rsid w:val="00173F63"/>
    <w:rsid w:val="001752D8"/>
    <w:rsid w:val="00175931"/>
    <w:rsid w:val="00176B25"/>
    <w:rsid w:val="0018211A"/>
    <w:rsid w:val="0018238B"/>
    <w:rsid w:val="00183419"/>
    <w:rsid w:val="0018394A"/>
    <w:rsid w:val="00184DCC"/>
    <w:rsid w:val="00186A9D"/>
    <w:rsid w:val="001874A6"/>
    <w:rsid w:val="0018765B"/>
    <w:rsid w:val="001904AE"/>
    <w:rsid w:val="00190913"/>
    <w:rsid w:val="0019236A"/>
    <w:rsid w:val="001925EE"/>
    <w:rsid w:val="00193B21"/>
    <w:rsid w:val="00193C2D"/>
    <w:rsid w:val="00193DD3"/>
    <w:rsid w:val="001948AA"/>
    <w:rsid w:val="00195F65"/>
    <w:rsid w:val="00197358"/>
    <w:rsid w:val="001A07E2"/>
    <w:rsid w:val="001A0A5D"/>
    <w:rsid w:val="001A110F"/>
    <w:rsid w:val="001A2018"/>
    <w:rsid w:val="001A45C5"/>
    <w:rsid w:val="001A56F1"/>
    <w:rsid w:val="001A5B2C"/>
    <w:rsid w:val="001A5D0E"/>
    <w:rsid w:val="001A61C7"/>
    <w:rsid w:val="001B01C8"/>
    <w:rsid w:val="001B0B52"/>
    <w:rsid w:val="001B13F6"/>
    <w:rsid w:val="001B1747"/>
    <w:rsid w:val="001B1DBF"/>
    <w:rsid w:val="001B2C33"/>
    <w:rsid w:val="001B2D44"/>
    <w:rsid w:val="001B7400"/>
    <w:rsid w:val="001B752A"/>
    <w:rsid w:val="001C12FB"/>
    <w:rsid w:val="001C2DB4"/>
    <w:rsid w:val="001C3228"/>
    <w:rsid w:val="001C35E9"/>
    <w:rsid w:val="001C36BD"/>
    <w:rsid w:val="001C3733"/>
    <w:rsid w:val="001C4197"/>
    <w:rsid w:val="001C49B3"/>
    <w:rsid w:val="001C59A8"/>
    <w:rsid w:val="001C5B30"/>
    <w:rsid w:val="001D2953"/>
    <w:rsid w:val="001D3C05"/>
    <w:rsid w:val="001D6AF4"/>
    <w:rsid w:val="001E0952"/>
    <w:rsid w:val="001E0CC1"/>
    <w:rsid w:val="001E1C10"/>
    <w:rsid w:val="001E3CC0"/>
    <w:rsid w:val="001E77C3"/>
    <w:rsid w:val="001F090B"/>
    <w:rsid w:val="001F180A"/>
    <w:rsid w:val="001F1A28"/>
    <w:rsid w:val="001F1AD0"/>
    <w:rsid w:val="001F35E8"/>
    <w:rsid w:val="001F4014"/>
    <w:rsid w:val="001F445E"/>
    <w:rsid w:val="001F5057"/>
    <w:rsid w:val="001F6423"/>
    <w:rsid w:val="00201213"/>
    <w:rsid w:val="0020165E"/>
    <w:rsid w:val="00201AFB"/>
    <w:rsid w:val="0020272E"/>
    <w:rsid w:val="00202E50"/>
    <w:rsid w:val="00204707"/>
    <w:rsid w:val="00204AAB"/>
    <w:rsid w:val="00204BAD"/>
    <w:rsid w:val="00205180"/>
    <w:rsid w:val="00207F81"/>
    <w:rsid w:val="002109F4"/>
    <w:rsid w:val="00210C26"/>
    <w:rsid w:val="00211FDA"/>
    <w:rsid w:val="002127CE"/>
    <w:rsid w:val="00215FDA"/>
    <w:rsid w:val="002160C2"/>
    <w:rsid w:val="002165C7"/>
    <w:rsid w:val="00221968"/>
    <w:rsid w:val="00222BB9"/>
    <w:rsid w:val="00224898"/>
    <w:rsid w:val="002256BE"/>
    <w:rsid w:val="002258D6"/>
    <w:rsid w:val="00227380"/>
    <w:rsid w:val="002274FB"/>
    <w:rsid w:val="00230274"/>
    <w:rsid w:val="002309D2"/>
    <w:rsid w:val="00231B61"/>
    <w:rsid w:val="0023315B"/>
    <w:rsid w:val="002347FE"/>
    <w:rsid w:val="002360D3"/>
    <w:rsid w:val="002377CD"/>
    <w:rsid w:val="0024178D"/>
    <w:rsid w:val="0024392B"/>
    <w:rsid w:val="002450C6"/>
    <w:rsid w:val="00245DCF"/>
    <w:rsid w:val="00246C65"/>
    <w:rsid w:val="00246EF4"/>
    <w:rsid w:val="0024721F"/>
    <w:rsid w:val="00251A10"/>
    <w:rsid w:val="00252BFF"/>
    <w:rsid w:val="00253423"/>
    <w:rsid w:val="0025349D"/>
    <w:rsid w:val="00253732"/>
    <w:rsid w:val="002542A8"/>
    <w:rsid w:val="00254DC9"/>
    <w:rsid w:val="0025596A"/>
    <w:rsid w:val="00260A11"/>
    <w:rsid w:val="0026169A"/>
    <w:rsid w:val="00262763"/>
    <w:rsid w:val="0026405B"/>
    <w:rsid w:val="00264BEA"/>
    <w:rsid w:val="00267850"/>
    <w:rsid w:val="00270219"/>
    <w:rsid w:val="00271032"/>
    <w:rsid w:val="00271413"/>
    <w:rsid w:val="00273E3E"/>
    <w:rsid w:val="00274147"/>
    <w:rsid w:val="00275189"/>
    <w:rsid w:val="002756DC"/>
    <w:rsid w:val="00276412"/>
    <w:rsid w:val="00276437"/>
    <w:rsid w:val="00277F08"/>
    <w:rsid w:val="00280053"/>
    <w:rsid w:val="0028063F"/>
    <w:rsid w:val="00280740"/>
    <w:rsid w:val="00280C5A"/>
    <w:rsid w:val="00280F9E"/>
    <w:rsid w:val="00283B02"/>
    <w:rsid w:val="00283C5D"/>
    <w:rsid w:val="00283E4A"/>
    <w:rsid w:val="002844B0"/>
    <w:rsid w:val="00286322"/>
    <w:rsid w:val="00286DD4"/>
    <w:rsid w:val="00287569"/>
    <w:rsid w:val="00296B03"/>
    <w:rsid w:val="00296B45"/>
    <w:rsid w:val="00296C1F"/>
    <w:rsid w:val="002A41E6"/>
    <w:rsid w:val="002A44C8"/>
    <w:rsid w:val="002A49B2"/>
    <w:rsid w:val="002A545A"/>
    <w:rsid w:val="002A5E48"/>
    <w:rsid w:val="002A6947"/>
    <w:rsid w:val="002A7F82"/>
    <w:rsid w:val="002B0059"/>
    <w:rsid w:val="002B0455"/>
    <w:rsid w:val="002B261C"/>
    <w:rsid w:val="002B2BEE"/>
    <w:rsid w:val="002B35C5"/>
    <w:rsid w:val="002B3935"/>
    <w:rsid w:val="002B406A"/>
    <w:rsid w:val="002B41D4"/>
    <w:rsid w:val="002B543F"/>
    <w:rsid w:val="002B6165"/>
    <w:rsid w:val="002B7D73"/>
    <w:rsid w:val="002C06E3"/>
    <w:rsid w:val="002C0801"/>
    <w:rsid w:val="002C09D7"/>
    <w:rsid w:val="002C145F"/>
    <w:rsid w:val="002C33B3"/>
    <w:rsid w:val="002C44B0"/>
    <w:rsid w:val="002C4E07"/>
    <w:rsid w:val="002D0586"/>
    <w:rsid w:val="002D1023"/>
    <w:rsid w:val="002D13DD"/>
    <w:rsid w:val="002D1459"/>
    <w:rsid w:val="002D1470"/>
    <w:rsid w:val="002D2103"/>
    <w:rsid w:val="002D21CF"/>
    <w:rsid w:val="002D2638"/>
    <w:rsid w:val="002D3DB7"/>
    <w:rsid w:val="002D4705"/>
    <w:rsid w:val="002D5B65"/>
    <w:rsid w:val="002D6396"/>
    <w:rsid w:val="002D7E5E"/>
    <w:rsid w:val="002E0602"/>
    <w:rsid w:val="002E07BA"/>
    <w:rsid w:val="002E07EF"/>
    <w:rsid w:val="002E0D06"/>
    <w:rsid w:val="002E1810"/>
    <w:rsid w:val="002E4E94"/>
    <w:rsid w:val="002F11A9"/>
    <w:rsid w:val="002F1F28"/>
    <w:rsid w:val="002F2BB6"/>
    <w:rsid w:val="002F3F20"/>
    <w:rsid w:val="002F43CA"/>
    <w:rsid w:val="002F4E7F"/>
    <w:rsid w:val="002F57AA"/>
    <w:rsid w:val="002F6EF7"/>
    <w:rsid w:val="002F714C"/>
    <w:rsid w:val="002F766D"/>
    <w:rsid w:val="002F77BF"/>
    <w:rsid w:val="003004A2"/>
    <w:rsid w:val="00303DD5"/>
    <w:rsid w:val="0030617A"/>
    <w:rsid w:val="00307B74"/>
    <w:rsid w:val="00310764"/>
    <w:rsid w:val="00311BFD"/>
    <w:rsid w:val="00314718"/>
    <w:rsid w:val="0031488A"/>
    <w:rsid w:val="00314A3E"/>
    <w:rsid w:val="00315152"/>
    <w:rsid w:val="003175E1"/>
    <w:rsid w:val="00320203"/>
    <w:rsid w:val="00322002"/>
    <w:rsid w:val="0032353B"/>
    <w:rsid w:val="00324101"/>
    <w:rsid w:val="003247B0"/>
    <w:rsid w:val="003248E0"/>
    <w:rsid w:val="00325D8A"/>
    <w:rsid w:val="00325E81"/>
    <w:rsid w:val="00326948"/>
    <w:rsid w:val="00327052"/>
    <w:rsid w:val="003279F1"/>
    <w:rsid w:val="0033486D"/>
    <w:rsid w:val="00335228"/>
    <w:rsid w:val="003367C4"/>
    <w:rsid w:val="00336D8E"/>
    <w:rsid w:val="003376B3"/>
    <w:rsid w:val="00342DBA"/>
    <w:rsid w:val="00345F79"/>
    <w:rsid w:val="00345F9C"/>
    <w:rsid w:val="0034671E"/>
    <w:rsid w:val="00347776"/>
    <w:rsid w:val="00347D42"/>
    <w:rsid w:val="00351A91"/>
    <w:rsid w:val="00351F69"/>
    <w:rsid w:val="003520C4"/>
    <w:rsid w:val="00353098"/>
    <w:rsid w:val="003533AE"/>
    <w:rsid w:val="0035552D"/>
    <w:rsid w:val="00355E14"/>
    <w:rsid w:val="003567A5"/>
    <w:rsid w:val="00356BE8"/>
    <w:rsid w:val="00357C5E"/>
    <w:rsid w:val="003608BD"/>
    <w:rsid w:val="00361280"/>
    <w:rsid w:val="003615F1"/>
    <w:rsid w:val="00361A6E"/>
    <w:rsid w:val="003626AF"/>
    <w:rsid w:val="00363D7F"/>
    <w:rsid w:val="0036655E"/>
    <w:rsid w:val="003673F5"/>
    <w:rsid w:val="00367920"/>
    <w:rsid w:val="00367C66"/>
    <w:rsid w:val="003700B2"/>
    <w:rsid w:val="0037233D"/>
    <w:rsid w:val="003736EF"/>
    <w:rsid w:val="003737E3"/>
    <w:rsid w:val="0037662F"/>
    <w:rsid w:val="00380A1A"/>
    <w:rsid w:val="00380D80"/>
    <w:rsid w:val="0038500E"/>
    <w:rsid w:val="0038761D"/>
    <w:rsid w:val="003906F8"/>
    <w:rsid w:val="003935EE"/>
    <w:rsid w:val="00393EE9"/>
    <w:rsid w:val="0039408A"/>
    <w:rsid w:val="003945F5"/>
    <w:rsid w:val="0039673D"/>
    <w:rsid w:val="003975DA"/>
    <w:rsid w:val="00397893"/>
    <w:rsid w:val="00397FC1"/>
    <w:rsid w:val="003A096A"/>
    <w:rsid w:val="003A2407"/>
    <w:rsid w:val="003A2CF0"/>
    <w:rsid w:val="003A33D3"/>
    <w:rsid w:val="003A3880"/>
    <w:rsid w:val="003A45F8"/>
    <w:rsid w:val="003A4B52"/>
    <w:rsid w:val="003A5BC5"/>
    <w:rsid w:val="003A5D55"/>
    <w:rsid w:val="003A75E6"/>
    <w:rsid w:val="003B255B"/>
    <w:rsid w:val="003B273F"/>
    <w:rsid w:val="003B2D3A"/>
    <w:rsid w:val="003B3317"/>
    <w:rsid w:val="003B360E"/>
    <w:rsid w:val="003B4B2F"/>
    <w:rsid w:val="003B4C50"/>
    <w:rsid w:val="003B52D4"/>
    <w:rsid w:val="003B58E1"/>
    <w:rsid w:val="003B5F9C"/>
    <w:rsid w:val="003B63D2"/>
    <w:rsid w:val="003B79F2"/>
    <w:rsid w:val="003C1CA5"/>
    <w:rsid w:val="003C1EC7"/>
    <w:rsid w:val="003C3D8E"/>
    <w:rsid w:val="003C5E61"/>
    <w:rsid w:val="003C64A0"/>
    <w:rsid w:val="003C6F0B"/>
    <w:rsid w:val="003C76DC"/>
    <w:rsid w:val="003C7ABE"/>
    <w:rsid w:val="003C7BA3"/>
    <w:rsid w:val="003D3642"/>
    <w:rsid w:val="003D3AD0"/>
    <w:rsid w:val="003D4E9C"/>
    <w:rsid w:val="003D4FBA"/>
    <w:rsid w:val="003D5EE8"/>
    <w:rsid w:val="003D612F"/>
    <w:rsid w:val="003D69D9"/>
    <w:rsid w:val="003E0D78"/>
    <w:rsid w:val="003E1CB1"/>
    <w:rsid w:val="003E3494"/>
    <w:rsid w:val="003E3A1D"/>
    <w:rsid w:val="003E466C"/>
    <w:rsid w:val="003E4F2C"/>
    <w:rsid w:val="003E6CA0"/>
    <w:rsid w:val="003F1EDF"/>
    <w:rsid w:val="003F1F41"/>
    <w:rsid w:val="003F23C2"/>
    <w:rsid w:val="003F2FDE"/>
    <w:rsid w:val="003F330B"/>
    <w:rsid w:val="003F58B9"/>
    <w:rsid w:val="003F6FDF"/>
    <w:rsid w:val="003F7EB3"/>
    <w:rsid w:val="004016F5"/>
    <w:rsid w:val="00403FDB"/>
    <w:rsid w:val="004045AA"/>
    <w:rsid w:val="0040549A"/>
    <w:rsid w:val="00405CC9"/>
    <w:rsid w:val="0040711E"/>
    <w:rsid w:val="00407D67"/>
    <w:rsid w:val="00412450"/>
    <w:rsid w:val="004138DE"/>
    <w:rsid w:val="00413B39"/>
    <w:rsid w:val="00414513"/>
    <w:rsid w:val="00414B2F"/>
    <w:rsid w:val="004154EB"/>
    <w:rsid w:val="00415E58"/>
    <w:rsid w:val="00416231"/>
    <w:rsid w:val="00417014"/>
    <w:rsid w:val="004208AB"/>
    <w:rsid w:val="004219EF"/>
    <w:rsid w:val="00421A72"/>
    <w:rsid w:val="00424348"/>
    <w:rsid w:val="00425CA9"/>
    <w:rsid w:val="00426A0B"/>
    <w:rsid w:val="00426CD9"/>
    <w:rsid w:val="00426D8F"/>
    <w:rsid w:val="00427989"/>
    <w:rsid w:val="0043028A"/>
    <w:rsid w:val="00430FEB"/>
    <w:rsid w:val="004310EE"/>
    <w:rsid w:val="00433677"/>
    <w:rsid w:val="004340D5"/>
    <w:rsid w:val="00434880"/>
    <w:rsid w:val="00434A21"/>
    <w:rsid w:val="0043526D"/>
    <w:rsid w:val="00444BFE"/>
    <w:rsid w:val="004460E9"/>
    <w:rsid w:val="00447B6F"/>
    <w:rsid w:val="004529E0"/>
    <w:rsid w:val="00453623"/>
    <w:rsid w:val="00453C11"/>
    <w:rsid w:val="004557B0"/>
    <w:rsid w:val="00457946"/>
    <w:rsid w:val="00457D8B"/>
    <w:rsid w:val="00460834"/>
    <w:rsid w:val="00460A17"/>
    <w:rsid w:val="0046120A"/>
    <w:rsid w:val="00462F79"/>
    <w:rsid w:val="00463438"/>
    <w:rsid w:val="004635E8"/>
    <w:rsid w:val="00463ECE"/>
    <w:rsid w:val="00465388"/>
    <w:rsid w:val="00465522"/>
    <w:rsid w:val="004663B9"/>
    <w:rsid w:val="004664A0"/>
    <w:rsid w:val="004677C9"/>
    <w:rsid w:val="0047098E"/>
    <w:rsid w:val="00470CB5"/>
    <w:rsid w:val="00471EAB"/>
    <w:rsid w:val="004723EE"/>
    <w:rsid w:val="00474876"/>
    <w:rsid w:val="00474A2B"/>
    <w:rsid w:val="00475A92"/>
    <w:rsid w:val="00477433"/>
    <w:rsid w:val="00477BB9"/>
    <w:rsid w:val="004829F6"/>
    <w:rsid w:val="0048535C"/>
    <w:rsid w:val="004859EE"/>
    <w:rsid w:val="00487366"/>
    <w:rsid w:val="004873E4"/>
    <w:rsid w:val="0049072C"/>
    <w:rsid w:val="00490FD1"/>
    <w:rsid w:val="00491AD2"/>
    <w:rsid w:val="004935C0"/>
    <w:rsid w:val="00493B43"/>
    <w:rsid w:val="004945C1"/>
    <w:rsid w:val="00494EB1"/>
    <w:rsid w:val="00496414"/>
    <w:rsid w:val="00497A38"/>
    <w:rsid w:val="004A402F"/>
    <w:rsid w:val="004A45BD"/>
    <w:rsid w:val="004A4656"/>
    <w:rsid w:val="004A77B0"/>
    <w:rsid w:val="004A7FC2"/>
    <w:rsid w:val="004B08A9"/>
    <w:rsid w:val="004B1CED"/>
    <w:rsid w:val="004B34A7"/>
    <w:rsid w:val="004B3B06"/>
    <w:rsid w:val="004B3ED5"/>
    <w:rsid w:val="004B42E1"/>
    <w:rsid w:val="004B4643"/>
    <w:rsid w:val="004B7F67"/>
    <w:rsid w:val="004C06BE"/>
    <w:rsid w:val="004C0938"/>
    <w:rsid w:val="004C0C8E"/>
    <w:rsid w:val="004C12A9"/>
    <w:rsid w:val="004C1994"/>
    <w:rsid w:val="004C4958"/>
    <w:rsid w:val="004C626A"/>
    <w:rsid w:val="004C70FC"/>
    <w:rsid w:val="004D022C"/>
    <w:rsid w:val="004D148B"/>
    <w:rsid w:val="004D2675"/>
    <w:rsid w:val="004D4080"/>
    <w:rsid w:val="004D57F0"/>
    <w:rsid w:val="004E05FD"/>
    <w:rsid w:val="004E1A0D"/>
    <w:rsid w:val="004E23F5"/>
    <w:rsid w:val="004E4770"/>
    <w:rsid w:val="004E5418"/>
    <w:rsid w:val="004E5A77"/>
    <w:rsid w:val="004E63E5"/>
    <w:rsid w:val="004E6597"/>
    <w:rsid w:val="004E6A47"/>
    <w:rsid w:val="004E6B76"/>
    <w:rsid w:val="004E7799"/>
    <w:rsid w:val="004F1437"/>
    <w:rsid w:val="004F31C5"/>
    <w:rsid w:val="004F3540"/>
    <w:rsid w:val="004F4FE2"/>
    <w:rsid w:val="004F52DB"/>
    <w:rsid w:val="004F5624"/>
    <w:rsid w:val="004F5DA4"/>
    <w:rsid w:val="004F61F0"/>
    <w:rsid w:val="004F62B2"/>
    <w:rsid w:val="004F6424"/>
    <w:rsid w:val="00503DAB"/>
    <w:rsid w:val="005040CD"/>
    <w:rsid w:val="00504229"/>
    <w:rsid w:val="005045F0"/>
    <w:rsid w:val="00505229"/>
    <w:rsid w:val="00505797"/>
    <w:rsid w:val="00507F98"/>
    <w:rsid w:val="005108A3"/>
    <w:rsid w:val="00510DB5"/>
    <w:rsid w:val="00510F6E"/>
    <w:rsid w:val="00511422"/>
    <w:rsid w:val="005118AE"/>
    <w:rsid w:val="0051212F"/>
    <w:rsid w:val="0051286D"/>
    <w:rsid w:val="00514786"/>
    <w:rsid w:val="0051587A"/>
    <w:rsid w:val="005158FA"/>
    <w:rsid w:val="005169AD"/>
    <w:rsid w:val="00520604"/>
    <w:rsid w:val="005208B9"/>
    <w:rsid w:val="005221F0"/>
    <w:rsid w:val="00524807"/>
    <w:rsid w:val="005252FE"/>
    <w:rsid w:val="005257A1"/>
    <w:rsid w:val="00525FF9"/>
    <w:rsid w:val="00532B12"/>
    <w:rsid w:val="00532C41"/>
    <w:rsid w:val="00532D3F"/>
    <w:rsid w:val="0053386D"/>
    <w:rsid w:val="00534700"/>
    <w:rsid w:val="0053541D"/>
    <w:rsid w:val="0053791F"/>
    <w:rsid w:val="0054256A"/>
    <w:rsid w:val="005427EB"/>
    <w:rsid w:val="005448F7"/>
    <w:rsid w:val="00546622"/>
    <w:rsid w:val="00547538"/>
    <w:rsid w:val="00553BFA"/>
    <w:rsid w:val="005547AA"/>
    <w:rsid w:val="00554D05"/>
    <w:rsid w:val="0055596B"/>
    <w:rsid w:val="00556AB9"/>
    <w:rsid w:val="005574AA"/>
    <w:rsid w:val="0056077E"/>
    <w:rsid w:val="00560EDA"/>
    <w:rsid w:val="005629EE"/>
    <w:rsid w:val="005648FA"/>
    <w:rsid w:val="00564D50"/>
    <w:rsid w:val="00567346"/>
    <w:rsid w:val="0057371B"/>
    <w:rsid w:val="00575EB8"/>
    <w:rsid w:val="0057613A"/>
    <w:rsid w:val="00577360"/>
    <w:rsid w:val="005800F0"/>
    <w:rsid w:val="00581058"/>
    <w:rsid w:val="005822A1"/>
    <w:rsid w:val="00582A9B"/>
    <w:rsid w:val="005832AB"/>
    <w:rsid w:val="0058437C"/>
    <w:rsid w:val="00592131"/>
    <w:rsid w:val="0059261B"/>
    <w:rsid w:val="005935F4"/>
    <w:rsid w:val="00593E0A"/>
    <w:rsid w:val="005971B0"/>
    <w:rsid w:val="005A167F"/>
    <w:rsid w:val="005A1C6C"/>
    <w:rsid w:val="005A2023"/>
    <w:rsid w:val="005A346E"/>
    <w:rsid w:val="005A53FE"/>
    <w:rsid w:val="005A73CF"/>
    <w:rsid w:val="005B3EB1"/>
    <w:rsid w:val="005B3F6F"/>
    <w:rsid w:val="005B798B"/>
    <w:rsid w:val="005C1FAE"/>
    <w:rsid w:val="005C3227"/>
    <w:rsid w:val="005C39E8"/>
    <w:rsid w:val="005C3AFF"/>
    <w:rsid w:val="005C5660"/>
    <w:rsid w:val="005C71E4"/>
    <w:rsid w:val="005C72E3"/>
    <w:rsid w:val="005C7F9C"/>
    <w:rsid w:val="005D0EAE"/>
    <w:rsid w:val="005D11B2"/>
    <w:rsid w:val="005D4B68"/>
    <w:rsid w:val="005D56FC"/>
    <w:rsid w:val="005E06FF"/>
    <w:rsid w:val="005E11C1"/>
    <w:rsid w:val="005E2563"/>
    <w:rsid w:val="005E31B1"/>
    <w:rsid w:val="005E394C"/>
    <w:rsid w:val="005E3A59"/>
    <w:rsid w:val="005E42BF"/>
    <w:rsid w:val="005E4E70"/>
    <w:rsid w:val="005E65BB"/>
    <w:rsid w:val="005F0DA0"/>
    <w:rsid w:val="005F2767"/>
    <w:rsid w:val="005F34CB"/>
    <w:rsid w:val="005F4790"/>
    <w:rsid w:val="005F4914"/>
    <w:rsid w:val="005F62B7"/>
    <w:rsid w:val="005F67FC"/>
    <w:rsid w:val="005F6869"/>
    <w:rsid w:val="005F6BB9"/>
    <w:rsid w:val="0060255F"/>
    <w:rsid w:val="00603148"/>
    <w:rsid w:val="00605923"/>
    <w:rsid w:val="00606FC7"/>
    <w:rsid w:val="00610456"/>
    <w:rsid w:val="00611473"/>
    <w:rsid w:val="00611B36"/>
    <w:rsid w:val="00613A34"/>
    <w:rsid w:val="00615ADA"/>
    <w:rsid w:val="0062016B"/>
    <w:rsid w:val="006221CD"/>
    <w:rsid w:val="00622220"/>
    <w:rsid w:val="00623C12"/>
    <w:rsid w:val="0062505D"/>
    <w:rsid w:val="0062591D"/>
    <w:rsid w:val="006266A9"/>
    <w:rsid w:val="00630426"/>
    <w:rsid w:val="00630E3A"/>
    <w:rsid w:val="006316C1"/>
    <w:rsid w:val="00631ED4"/>
    <w:rsid w:val="00633BC7"/>
    <w:rsid w:val="00633ED3"/>
    <w:rsid w:val="00635AC7"/>
    <w:rsid w:val="00635E9C"/>
    <w:rsid w:val="0063753F"/>
    <w:rsid w:val="00637B41"/>
    <w:rsid w:val="00637FF6"/>
    <w:rsid w:val="00641191"/>
    <w:rsid w:val="006414EE"/>
    <w:rsid w:val="00642524"/>
    <w:rsid w:val="00642D0A"/>
    <w:rsid w:val="00645D98"/>
    <w:rsid w:val="0064630E"/>
    <w:rsid w:val="0064640B"/>
    <w:rsid w:val="00646FE1"/>
    <w:rsid w:val="00647075"/>
    <w:rsid w:val="006521FC"/>
    <w:rsid w:val="0065581D"/>
    <w:rsid w:val="00655C2F"/>
    <w:rsid w:val="00660403"/>
    <w:rsid w:val="00661140"/>
    <w:rsid w:val="00667939"/>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0303"/>
    <w:rsid w:val="00690C57"/>
    <w:rsid w:val="00691B0B"/>
    <w:rsid w:val="00691BFF"/>
    <w:rsid w:val="006953C1"/>
    <w:rsid w:val="00696EB2"/>
    <w:rsid w:val="0069741A"/>
    <w:rsid w:val="0069795B"/>
    <w:rsid w:val="00697B13"/>
    <w:rsid w:val="006A0DEA"/>
    <w:rsid w:val="006A16E9"/>
    <w:rsid w:val="006A5450"/>
    <w:rsid w:val="006A5B38"/>
    <w:rsid w:val="006B0199"/>
    <w:rsid w:val="006B0A32"/>
    <w:rsid w:val="006B0BD8"/>
    <w:rsid w:val="006B33E2"/>
    <w:rsid w:val="006B4557"/>
    <w:rsid w:val="006B5587"/>
    <w:rsid w:val="006C0251"/>
    <w:rsid w:val="006C0320"/>
    <w:rsid w:val="006C2B9A"/>
    <w:rsid w:val="006C3553"/>
    <w:rsid w:val="006C39BB"/>
    <w:rsid w:val="006C4502"/>
    <w:rsid w:val="006C6114"/>
    <w:rsid w:val="006D2288"/>
    <w:rsid w:val="006D306A"/>
    <w:rsid w:val="006D4464"/>
    <w:rsid w:val="006D5E91"/>
    <w:rsid w:val="006D7E87"/>
    <w:rsid w:val="006E0D59"/>
    <w:rsid w:val="006E14E6"/>
    <w:rsid w:val="006E1AEE"/>
    <w:rsid w:val="006E2F52"/>
    <w:rsid w:val="006E32A9"/>
    <w:rsid w:val="006E3423"/>
    <w:rsid w:val="006E3B9C"/>
    <w:rsid w:val="006E3F16"/>
    <w:rsid w:val="006E51A2"/>
    <w:rsid w:val="006F0DE2"/>
    <w:rsid w:val="006F11BD"/>
    <w:rsid w:val="006F25B4"/>
    <w:rsid w:val="006F29F3"/>
    <w:rsid w:val="006F32C7"/>
    <w:rsid w:val="006F3392"/>
    <w:rsid w:val="006F3495"/>
    <w:rsid w:val="006F417D"/>
    <w:rsid w:val="006F460B"/>
    <w:rsid w:val="006F5C83"/>
    <w:rsid w:val="006F67CC"/>
    <w:rsid w:val="006F6B89"/>
    <w:rsid w:val="006F76C2"/>
    <w:rsid w:val="00701C2D"/>
    <w:rsid w:val="00701C9C"/>
    <w:rsid w:val="00702162"/>
    <w:rsid w:val="00703930"/>
    <w:rsid w:val="0070610E"/>
    <w:rsid w:val="00707759"/>
    <w:rsid w:val="00710081"/>
    <w:rsid w:val="0071063E"/>
    <w:rsid w:val="00710B0D"/>
    <w:rsid w:val="00713CB5"/>
    <w:rsid w:val="00713CFF"/>
    <w:rsid w:val="00714E3F"/>
    <w:rsid w:val="0071558B"/>
    <w:rsid w:val="00715D04"/>
    <w:rsid w:val="00716B7F"/>
    <w:rsid w:val="0071776A"/>
    <w:rsid w:val="00721189"/>
    <w:rsid w:val="00721F4C"/>
    <w:rsid w:val="007221C3"/>
    <w:rsid w:val="007227E4"/>
    <w:rsid w:val="00722F2C"/>
    <w:rsid w:val="007254D1"/>
    <w:rsid w:val="00725B32"/>
    <w:rsid w:val="00725B3C"/>
    <w:rsid w:val="00730CEC"/>
    <w:rsid w:val="00733D54"/>
    <w:rsid w:val="00734CEE"/>
    <w:rsid w:val="00736A4F"/>
    <w:rsid w:val="00737753"/>
    <w:rsid w:val="00737768"/>
    <w:rsid w:val="00737FFA"/>
    <w:rsid w:val="00740BB8"/>
    <w:rsid w:val="00740CE9"/>
    <w:rsid w:val="007428E3"/>
    <w:rsid w:val="0074394E"/>
    <w:rsid w:val="0074422D"/>
    <w:rsid w:val="00745383"/>
    <w:rsid w:val="0074608B"/>
    <w:rsid w:val="007468C5"/>
    <w:rsid w:val="00750D0A"/>
    <w:rsid w:val="00751341"/>
    <w:rsid w:val="00751D93"/>
    <w:rsid w:val="00752300"/>
    <w:rsid w:val="007527FA"/>
    <w:rsid w:val="007529CC"/>
    <w:rsid w:val="00753BF5"/>
    <w:rsid w:val="007546F8"/>
    <w:rsid w:val="00754DF2"/>
    <w:rsid w:val="0075579B"/>
    <w:rsid w:val="00755BAB"/>
    <w:rsid w:val="0076080E"/>
    <w:rsid w:val="007635F8"/>
    <w:rsid w:val="007636E7"/>
    <w:rsid w:val="0076411D"/>
    <w:rsid w:val="00764943"/>
    <w:rsid w:val="007670F8"/>
    <w:rsid w:val="007671D4"/>
    <w:rsid w:val="00770A85"/>
    <w:rsid w:val="00773DC9"/>
    <w:rsid w:val="0077572E"/>
    <w:rsid w:val="00777BE4"/>
    <w:rsid w:val="0078031B"/>
    <w:rsid w:val="00784F44"/>
    <w:rsid w:val="007858E3"/>
    <w:rsid w:val="00785A9A"/>
    <w:rsid w:val="00786672"/>
    <w:rsid w:val="007870BF"/>
    <w:rsid w:val="007872CF"/>
    <w:rsid w:val="00790376"/>
    <w:rsid w:val="00791EE2"/>
    <w:rsid w:val="0079201C"/>
    <w:rsid w:val="00792E76"/>
    <w:rsid w:val="0079307F"/>
    <w:rsid w:val="007940C5"/>
    <w:rsid w:val="007947C4"/>
    <w:rsid w:val="00795812"/>
    <w:rsid w:val="00795CE1"/>
    <w:rsid w:val="00797430"/>
    <w:rsid w:val="007A0646"/>
    <w:rsid w:val="007A06AC"/>
    <w:rsid w:val="007A1B2F"/>
    <w:rsid w:val="007A24CF"/>
    <w:rsid w:val="007A4636"/>
    <w:rsid w:val="007A5719"/>
    <w:rsid w:val="007A7377"/>
    <w:rsid w:val="007B1014"/>
    <w:rsid w:val="007B103F"/>
    <w:rsid w:val="007B1484"/>
    <w:rsid w:val="007B1A10"/>
    <w:rsid w:val="007B31AB"/>
    <w:rsid w:val="007B3268"/>
    <w:rsid w:val="007B34B9"/>
    <w:rsid w:val="007B37F1"/>
    <w:rsid w:val="007B42D3"/>
    <w:rsid w:val="007B46D9"/>
    <w:rsid w:val="007B5504"/>
    <w:rsid w:val="007B56E5"/>
    <w:rsid w:val="007B5EE0"/>
    <w:rsid w:val="007B6659"/>
    <w:rsid w:val="007B6C39"/>
    <w:rsid w:val="007B76AB"/>
    <w:rsid w:val="007B7DBD"/>
    <w:rsid w:val="007C09EA"/>
    <w:rsid w:val="007C264B"/>
    <w:rsid w:val="007C2D33"/>
    <w:rsid w:val="007C45D3"/>
    <w:rsid w:val="007C597B"/>
    <w:rsid w:val="007C760C"/>
    <w:rsid w:val="007D08FD"/>
    <w:rsid w:val="007D1584"/>
    <w:rsid w:val="007D2044"/>
    <w:rsid w:val="007D4F33"/>
    <w:rsid w:val="007D554B"/>
    <w:rsid w:val="007D65C7"/>
    <w:rsid w:val="007D6B3C"/>
    <w:rsid w:val="007D74D2"/>
    <w:rsid w:val="007D79B5"/>
    <w:rsid w:val="007E0810"/>
    <w:rsid w:val="007E2334"/>
    <w:rsid w:val="007E23CE"/>
    <w:rsid w:val="007E2CE7"/>
    <w:rsid w:val="007E43D0"/>
    <w:rsid w:val="007E4F00"/>
    <w:rsid w:val="007E54F8"/>
    <w:rsid w:val="007E5987"/>
    <w:rsid w:val="007E5BD8"/>
    <w:rsid w:val="007E5E6B"/>
    <w:rsid w:val="007E7BF9"/>
    <w:rsid w:val="007F02BC"/>
    <w:rsid w:val="007F1D17"/>
    <w:rsid w:val="007F205B"/>
    <w:rsid w:val="007F20D7"/>
    <w:rsid w:val="007F2E65"/>
    <w:rsid w:val="007F43BA"/>
    <w:rsid w:val="007F448C"/>
    <w:rsid w:val="007F45D1"/>
    <w:rsid w:val="007F64BE"/>
    <w:rsid w:val="007F6DC3"/>
    <w:rsid w:val="008006B4"/>
    <w:rsid w:val="008015B6"/>
    <w:rsid w:val="00801AE4"/>
    <w:rsid w:val="00803CE3"/>
    <w:rsid w:val="00803FD4"/>
    <w:rsid w:val="0080481C"/>
    <w:rsid w:val="00804C54"/>
    <w:rsid w:val="008056DD"/>
    <w:rsid w:val="0081103F"/>
    <w:rsid w:val="0081104C"/>
    <w:rsid w:val="00811552"/>
    <w:rsid w:val="008121F2"/>
    <w:rsid w:val="00812D16"/>
    <w:rsid w:val="00813273"/>
    <w:rsid w:val="0081491A"/>
    <w:rsid w:val="00815678"/>
    <w:rsid w:val="00815692"/>
    <w:rsid w:val="00816C51"/>
    <w:rsid w:val="00821865"/>
    <w:rsid w:val="008225EB"/>
    <w:rsid w:val="0082327D"/>
    <w:rsid w:val="0082433D"/>
    <w:rsid w:val="00826509"/>
    <w:rsid w:val="0083354D"/>
    <w:rsid w:val="0083561B"/>
    <w:rsid w:val="00837D78"/>
    <w:rsid w:val="00837F28"/>
    <w:rsid w:val="00840D79"/>
    <w:rsid w:val="00842939"/>
    <w:rsid w:val="00842A21"/>
    <w:rsid w:val="00843E7F"/>
    <w:rsid w:val="00845378"/>
    <w:rsid w:val="00845DAD"/>
    <w:rsid w:val="00846827"/>
    <w:rsid w:val="00851377"/>
    <w:rsid w:val="0085437C"/>
    <w:rsid w:val="00854B2F"/>
    <w:rsid w:val="0085537D"/>
    <w:rsid w:val="00855481"/>
    <w:rsid w:val="00856354"/>
    <w:rsid w:val="008568E1"/>
    <w:rsid w:val="00856BE9"/>
    <w:rsid w:val="008578F8"/>
    <w:rsid w:val="00860566"/>
    <w:rsid w:val="00860DEB"/>
    <w:rsid w:val="0086129A"/>
    <w:rsid w:val="0086165C"/>
    <w:rsid w:val="00861B26"/>
    <w:rsid w:val="00862EED"/>
    <w:rsid w:val="00863AFB"/>
    <w:rsid w:val="008643FC"/>
    <w:rsid w:val="008649B9"/>
    <w:rsid w:val="00864FDB"/>
    <w:rsid w:val="0086784F"/>
    <w:rsid w:val="00870394"/>
    <w:rsid w:val="0087073B"/>
    <w:rsid w:val="00873967"/>
    <w:rsid w:val="008743BB"/>
    <w:rsid w:val="008770D4"/>
    <w:rsid w:val="00877971"/>
    <w:rsid w:val="008800E5"/>
    <w:rsid w:val="0088127F"/>
    <w:rsid w:val="008815EF"/>
    <w:rsid w:val="00882C99"/>
    <w:rsid w:val="00883ED5"/>
    <w:rsid w:val="00884C14"/>
    <w:rsid w:val="00885273"/>
    <w:rsid w:val="00885F2C"/>
    <w:rsid w:val="00886386"/>
    <w:rsid w:val="0088701C"/>
    <w:rsid w:val="00892459"/>
    <w:rsid w:val="00892928"/>
    <w:rsid w:val="008929AA"/>
    <w:rsid w:val="00892AA5"/>
    <w:rsid w:val="00893365"/>
    <w:rsid w:val="0089499B"/>
    <w:rsid w:val="00894ACA"/>
    <w:rsid w:val="00894EC5"/>
    <w:rsid w:val="00896357"/>
    <w:rsid w:val="00896658"/>
    <w:rsid w:val="008967B5"/>
    <w:rsid w:val="008A03AC"/>
    <w:rsid w:val="008A06A1"/>
    <w:rsid w:val="008A1008"/>
    <w:rsid w:val="008A305C"/>
    <w:rsid w:val="008A345A"/>
    <w:rsid w:val="008A3DB9"/>
    <w:rsid w:val="008A6A5C"/>
    <w:rsid w:val="008A6EE8"/>
    <w:rsid w:val="008A7316"/>
    <w:rsid w:val="008A78E4"/>
    <w:rsid w:val="008B1752"/>
    <w:rsid w:val="008B1A00"/>
    <w:rsid w:val="008B4A1C"/>
    <w:rsid w:val="008B500A"/>
    <w:rsid w:val="008B600E"/>
    <w:rsid w:val="008B678E"/>
    <w:rsid w:val="008C090B"/>
    <w:rsid w:val="008C102C"/>
    <w:rsid w:val="008C1610"/>
    <w:rsid w:val="008C16CA"/>
    <w:rsid w:val="008C1CD1"/>
    <w:rsid w:val="008C21AC"/>
    <w:rsid w:val="008C2F1E"/>
    <w:rsid w:val="008C30E5"/>
    <w:rsid w:val="008C3B5B"/>
    <w:rsid w:val="008C409F"/>
    <w:rsid w:val="008C4858"/>
    <w:rsid w:val="008C602D"/>
    <w:rsid w:val="008C6335"/>
    <w:rsid w:val="008C6BCC"/>
    <w:rsid w:val="008D098D"/>
    <w:rsid w:val="008D135A"/>
    <w:rsid w:val="008D2205"/>
    <w:rsid w:val="008D2331"/>
    <w:rsid w:val="008D347F"/>
    <w:rsid w:val="008D35AD"/>
    <w:rsid w:val="008D36CD"/>
    <w:rsid w:val="008D4380"/>
    <w:rsid w:val="008D48D1"/>
    <w:rsid w:val="008D5AB6"/>
    <w:rsid w:val="008D6BE8"/>
    <w:rsid w:val="008E167F"/>
    <w:rsid w:val="008E1B4D"/>
    <w:rsid w:val="008E27E9"/>
    <w:rsid w:val="008E42DE"/>
    <w:rsid w:val="008F2C49"/>
    <w:rsid w:val="008F2CFE"/>
    <w:rsid w:val="008F36F0"/>
    <w:rsid w:val="008F66BC"/>
    <w:rsid w:val="008F7CFF"/>
    <w:rsid w:val="008F7ED1"/>
    <w:rsid w:val="00901C8D"/>
    <w:rsid w:val="00902E13"/>
    <w:rsid w:val="00904055"/>
    <w:rsid w:val="00904A4D"/>
    <w:rsid w:val="00905643"/>
    <w:rsid w:val="00905EE9"/>
    <w:rsid w:val="009065F4"/>
    <w:rsid w:val="009075A7"/>
    <w:rsid w:val="00907DFB"/>
    <w:rsid w:val="00910624"/>
    <w:rsid w:val="00910FBA"/>
    <w:rsid w:val="00911D39"/>
    <w:rsid w:val="00912B9F"/>
    <w:rsid w:val="00914067"/>
    <w:rsid w:val="00917281"/>
    <w:rsid w:val="00917C0F"/>
    <w:rsid w:val="0092040E"/>
    <w:rsid w:val="00920C6C"/>
    <w:rsid w:val="00921897"/>
    <w:rsid w:val="00921C6D"/>
    <w:rsid w:val="009227D9"/>
    <w:rsid w:val="00923C44"/>
    <w:rsid w:val="00924653"/>
    <w:rsid w:val="00927791"/>
    <w:rsid w:val="00930607"/>
    <w:rsid w:val="00930D0A"/>
    <w:rsid w:val="009329BA"/>
    <w:rsid w:val="0093304D"/>
    <w:rsid w:val="00933EEA"/>
    <w:rsid w:val="00934E99"/>
    <w:rsid w:val="00936939"/>
    <w:rsid w:val="00937263"/>
    <w:rsid w:val="00940022"/>
    <w:rsid w:val="0094053B"/>
    <w:rsid w:val="00942040"/>
    <w:rsid w:val="009427BD"/>
    <w:rsid w:val="00942C9F"/>
    <w:rsid w:val="00943F98"/>
    <w:rsid w:val="00945631"/>
    <w:rsid w:val="00947549"/>
    <w:rsid w:val="00947C72"/>
    <w:rsid w:val="00947C9F"/>
    <w:rsid w:val="00947CF3"/>
    <w:rsid w:val="00950C3F"/>
    <w:rsid w:val="0095793C"/>
    <w:rsid w:val="00960C2D"/>
    <w:rsid w:val="0096111E"/>
    <w:rsid w:val="00961125"/>
    <w:rsid w:val="00961991"/>
    <w:rsid w:val="009623D8"/>
    <w:rsid w:val="00963362"/>
    <w:rsid w:val="00963BD1"/>
    <w:rsid w:val="00966B1F"/>
    <w:rsid w:val="00970A7E"/>
    <w:rsid w:val="0097116E"/>
    <w:rsid w:val="00974518"/>
    <w:rsid w:val="00975E1A"/>
    <w:rsid w:val="00980FE0"/>
    <w:rsid w:val="0098172D"/>
    <w:rsid w:val="00985F8B"/>
    <w:rsid w:val="009877E1"/>
    <w:rsid w:val="00990B70"/>
    <w:rsid w:val="00990C3B"/>
    <w:rsid w:val="00991CBD"/>
    <w:rsid w:val="009921E6"/>
    <w:rsid w:val="009928B7"/>
    <w:rsid w:val="0099321A"/>
    <w:rsid w:val="009947E8"/>
    <w:rsid w:val="009960B7"/>
    <w:rsid w:val="00996F08"/>
    <w:rsid w:val="009972FE"/>
    <w:rsid w:val="009A133C"/>
    <w:rsid w:val="009A235D"/>
    <w:rsid w:val="009A432C"/>
    <w:rsid w:val="009A7774"/>
    <w:rsid w:val="009B536C"/>
    <w:rsid w:val="009B5C19"/>
    <w:rsid w:val="009B5CC9"/>
    <w:rsid w:val="009B6496"/>
    <w:rsid w:val="009B7743"/>
    <w:rsid w:val="009C01DA"/>
    <w:rsid w:val="009C1528"/>
    <w:rsid w:val="009C20CC"/>
    <w:rsid w:val="009C2BDF"/>
    <w:rsid w:val="009C3558"/>
    <w:rsid w:val="009C51A8"/>
    <w:rsid w:val="009C562E"/>
    <w:rsid w:val="009C5E44"/>
    <w:rsid w:val="009C735A"/>
    <w:rsid w:val="009C7531"/>
    <w:rsid w:val="009D0AAB"/>
    <w:rsid w:val="009D0D5E"/>
    <w:rsid w:val="009D220C"/>
    <w:rsid w:val="009D221F"/>
    <w:rsid w:val="009D3141"/>
    <w:rsid w:val="009D4D9D"/>
    <w:rsid w:val="009D69B7"/>
    <w:rsid w:val="009D6AD4"/>
    <w:rsid w:val="009D765F"/>
    <w:rsid w:val="009E09F0"/>
    <w:rsid w:val="009E19E8"/>
    <w:rsid w:val="009E2FD3"/>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2D15"/>
    <w:rsid w:val="00A03D43"/>
    <w:rsid w:val="00A06E6E"/>
    <w:rsid w:val="00A076F9"/>
    <w:rsid w:val="00A07997"/>
    <w:rsid w:val="00A07F87"/>
    <w:rsid w:val="00A13659"/>
    <w:rsid w:val="00A160D0"/>
    <w:rsid w:val="00A1637F"/>
    <w:rsid w:val="00A2020F"/>
    <w:rsid w:val="00A206ED"/>
    <w:rsid w:val="00A20806"/>
    <w:rsid w:val="00A20C7F"/>
    <w:rsid w:val="00A21D41"/>
    <w:rsid w:val="00A22DBA"/>
    <w:rsid w:val="00A2329D"/>
    <w:rsid w:val="00A236BC"/>
    <w:rsid w:val="00A2490E"/>
    <w:rsid w:val="00A25442"/>
    <w:rsid w:val="00A25539"/>
    <w:rsid w:val="00A25BFF"/>
    <w:rsid w:val="00A26648"/>
    <w:rsid w:val="00A26F79"/>
    <w:rsid w:val="00A27522"/>
    <w:rsid w:val="00A3136F"/>
    <w:rsid w:val="00A33AF2"/>
    <w:rsid w:val="00A3492D"/>
    <w:rsid w:val="00A34D0C"/>
    <w:rsid w:val="00A34D76"/>
    <w:rsid w:val="00A35125"/>
    <w:rsid w:val="00A365D0"/>
    <w:rsid w:val="00A372CA"/>
    <w:rsid w:val="00A402B8"/>
    <w:rsid w:val="00A4043E"/>
    <w:rsid w:val="00A437D9"/>
    <w:rsid w:val="00A43C16"/>
    <w:rsid w:val="00A443A6"/>
    <w:rsid w:val="00A45A1A"/>
    <w:rsid w:val="00A45E61"/>
    <w:rsid w:val="00A47F32"/>
    <w:rsid w:val="00A51E0E"/>
    <w:rsid w:val="00A52757"/>
    <w:rsid w:val="00A53220"/>
    <w:rsid w:val="00A538E6"/>
    <w:rsid w:val="00A54514"/>
    <w:rsid w:val="00A56102"/>
    <w:rsid w:val="00A565B0"/>
    <w:rsid w:val="00A56800"/>
    <w:rsid w:val="00A56D7E"/>
    <w:rsid w:val="00A57404"/>
    <w:rsid w:val="00A575BD"/>
    <w:rsid w:val="00A60EEC"/>
    <w:rsid w:val="00A61DD7"/>
    <w:rsid w:val="00A630BA"/>
    <w:rsid w:val="00A63B83"/>
    <w:rsid w:val="00A643C6"/>
    <w:rsid w:val="00A647CE"/>
    <w:rsid w:val="00A65BD9"/>
    <w:rsid w:val="00A65DAC"/>
    <w:rsid w:val="00A66718"/>
    <w:rsid w:val="00A66830"/>
    <w:rsid w:val="00A671EF"/>
    <w:rsid w:val="00A70B31"/>
    <w:rsid w:val="00A73A74"/>
    <w:rsid w:val="00A759FE"/>
    <w:rsid w:val="00A75CF1"/>
    <w:rsid w:val="00A75FE1"/>
    <w:rsid w:val="00A76D67"/>
    <w:rsid w:val="00A77562"/>
    <w:rsid w:val="00A776B8"/>
    <w:rsid w:val="00A80D4E"/>
    <w:rsid w:val="00A81EB6"/>
    <w:rsid w:val="00A82DE9"/>
    <w:rsid w:val="00A835E4"/>
    <w:rsid w:val="00A83790"/>
    <w:rsid w:val="00A837FE"/>
    <w:rsid w:val="00A85357"/>
    <w:rsid w:val="00A856B8"/>
    <w:rsid w:val="00A86A99"/>
    <w:rsid w:val="00A871E5"/>
    <w:rsid w:val="00A902DD"/>
    <w:rsid w:val="00A91617"/>
    <w:rsid w:val="00A93C1C"/>
    <w:rsid w:val="00A93F63"/>
    <w:rsid w:val="00A95EF2"/>
    <w:rsid w:val="00A96FA8"/>
    <w:rsid w:val="00A9770A"/>
    <w:rsid w:val="00AA0432"/>
    <w:rsid w:val="00AA0A43"/>
    <w:rsid w:val="00AA0DD3"/>
    <w:rsid w:val="00AA1C07"/>
    <w:rsid w:val="00AA3688"/>
    <w:rsid w:val="00AA3BD8"/>
    <w:rsid w:val="00AA4006"/>
    <w:rsid w:val="00AA4A73"/>
    <w:rsid w:val="00AA5887"/>
    <w:rsid w:val="00AA66DB"/>
    <w:rsid w:val="00AA7500"/>
    <w:rsid w:val="00AB19F8"/>
    <w:rsid w:val="00AB2A61"/>
    <w:rsid w:val="00AB3A12"/>
    <w:rsid w:val="00AB5A8D"/>
    <w:rsid w:val="00AB6642"/>
    <w:rsid w:val="00AC1BD4"/>
    <w:rsid w:val="00AC26A9"/>
    <w:rsid w:val="00AC2EFE"/>
    <w:rsid w:val="00AC3930"/>
    <w:rsid w:val="00AC3AB1"/>
    <w:rsid w:val="00AC5410"/>
    <w:rsid w:val="00AC68C6"/>
    <w:rsid w:val="00AC7612"/>
    <w:rsid w:val="00AC79C1"/>
    <w:rsid w:val="00AC7CA4"/>
    <w:rsid w:val="00AD1F03"/>
    <w:rsid w:val="00AD27D4"/>
    <w:rsid w:val="00AD493B"/>
    <w:rsid w:val="00AD4A64"/>
    <w:rsid w:val="00AD4D4E"/>
    <w:rsid w:val="00AD598F"/>
    <w:rsid w:val="00AD6D09"/>
    <w:rsid w:val="00AE07DA"/>
    <w:rsid w:val="00AE098E"/>
    <w:rsid w:val="00AE099D"/>
    <w:rsid w:val="00AE0BBA"/>
    <w:rsid w:val="00AE1B75"/>
    <w:rsid w:val="00AE2291"/>
    <w:rsid w:val="00AE25C8"/>
    <w:rsid w:val="00AE4003"/>
    <w:rsid w:val="00AE4113"/>
    <w:rsid w:val="00AE4380"/>
    <w:rsid w:val="00AE4FAC"/>
    <w:rsid w:val="00AE5525"/>
    <w:rsid w:val="00AE6381"/>
    <w:rsid w:val="00AE656F"/>
    <w:rsid w:val="00AE7D78"/>
    <w:rsid w:val="00AF0EA0"/>
    <w:rsid w:val="00AF12F4"/>
    <w:rsid w:val="00AF1A9C"/>
    <w:rsid w:val="00AF41F6"/>
    <w:rsid w:val="00AF438E"/>
    <w:rsid w:val="00AF45CA"/>
    <w:rsid w:val="00AF495B"/>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294"/>
    <w:rsid w:val="00B22C5F"/>
    <w:rsid w:val="00B23687"/>
    <w:rsid w:val="00B25710"/>
    <w:rsid w:val="00B269A5"/>
    <w:rsid w:val="00B27B03"/>
    <w:rsid w:val="00B3042F"/>
    <w:rsid w:val="00B31B62"/>
    <w:rsid w:val="00B3208E"/>
    <w:rsid w:val="00B33711"/>
    <w:rsid w:val="00B34889"/>
    <w:rsid w:val="00B37550"/>
    <w:rsid w:val="00B3779E"/>
    <w:rsid w:val="00B37F56"/>
    <w:rsid w:val="00B402C6"/>
    <w:rsid w:val="00B41DC1"/>
    <w:rsid w:val="00B423BD"/>
    <w:rsid w:val="00B42F69"/>
    <w:rsid w:val="00B46EC7"/>
    <w:rsid w:val="00B50A6C"/>
    <w:rsid w:val="00B50A91"/>
    <w:rsid w:val="00B50E6E"/>
    <w:rsid w:val="00B5160B"/>
    <w:rsid w:val="00B51761"/>
    <w:rsid w:val="00B51871"/>
    <w:rsid w:val="00B52022"/>
    <w:rsid w:val="00B52187"/>
    <w:rsid w:val="00B54123"/>
    <w:rsid w:val="00B54691"/>
    <w:rsid w:val="00B60CCD"/>
    <w:rsid w:val="00B62854"/>
    <w:rsid w:val="00B62EF1"/>
    <w:rsid w:val="00B640CC"/>
    <w:rsid w:val="00B645B6"/>
    <w:rsid w:val="00B64B2F"/>
    <w:rsid w:val="00B667BF"/>
    <w:rsid w:val="00B672B3"/>
    <w:rsid w:val="00B674D6"/>
    <w:rsid w:val="00B6797D"/>
    <w:rsid w:val="00B7245B"/>
    <w:rsid w:val="00B735B8"/>
    <w:rsid w:val="00B73F56"/>
    <w:rsid w:val="00B74858"/>
    <w:rsid w:val="00B752EB"/>
    <w:rsid w:val="00B76236"/>
    <w:rsid w:val="00B76EE7"/>
    <w:rsid w:val="00B77BE4"/>
    <w:rsid w:val="00B802FE"/>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3BF3"/>
    <w:rsid w:val="00BA597F"/>
    <w:rsid w:val="00BA6419"/>
    <w:rsid w:val="00BA6550"/>
    <w:rsid w:val="00BB3642"/>
    <w:rsid w:val="00BB4A3B"/>
    <w:rsid w:val="00BB59F6"/>
    <w:rsid w:val="00BB5EF0"/>
    <w:rsid w:val="00BB630B"/>
    <w:rsid w:val="00BB66AB"/>
    <w:rsid w:val="00BB7BBA"/>
    <w:rsid w:val="00BC0AD6"/>
    <w:rsid w:val="00BC122E"/>
    <w:rsid w:val="00BC3584"/>
    <w:rsid w:val="00BC4ED6"/>
    <w:rsid w:val="00BC5838"/>
    <w:rsid w:val="00BC6DC2"/>
    <w:rsid w:val="00BD0E2E"/>
    <w:rsid w:val="00BD4086"/>
    <w:rsid w:val="00BD6CBC"/>
    <w:rsid w:val="00BE442D"/>
    <w:rsid w:val="00BE4ED6"/>
    <w:rsid w:val="00BE54F3"/>
    <w:rsid w:val="00BE5F67"/>
    <w:rsid w:val="00BE7920"/>
    <w:rsid w:val="00BF00B9"/>
    <w:rsid w:val="00BF1E46"/>
    <w:rsid w:val="00BF2A3A"/>
    <w:rsid w:val="00BF2CD1"/>
    <w:rsid w:val="00BF4B6A"/>
    <w:rsid w:val="00BF5135"/>
    <w:rsid w:val="00BF6BD5"/>
    <w:rsid w:val="00C00312"/>
    <w:rsid w:val="00C00379"/>
    <w:rsid w:val="00C00828"/>
    <w:rsid w:val="00C009F5"/>
    <w:rsid w:val="00C00A45"/>
    <w:rsid w:val="00C01129"/>
    <w:rsid w:val="00C01DD9"/>
    <w:rsid w:val="00C02239"/>
    <w:rsid w:val="00C022E1"/>
    <w:rsid w:val="00C0258B"/>
    <w:rsid w:val="00C0398D"/>
    <w:rsid w:val="00C05C3D"/>
    <w:rsid w:val="00C071AC"/>
    <w:rsid w:val="00C109A2"/>
    <w:rsid w:val="00C11707"/>
    <w:rsid w:val="00C11E4C"/>
    <w:rsid w:val="00C13906"/>
    <w:rsid w:val="00C14954"/>
    <w:rsid w:val="00C1531C"/>
    <w:rsid w:val="00C179B0"/>
    <w:rsid w:val="00C20245"/>
    <w:rsid w:val="00C20CA6"/>
    <w:rsid w:val="00C21AD6"/>
    <w:rsid w:val="00C226F9"/>
    <w:rsid w:val="00C23398"/>
    <w:rsid w:val="00C23B23"/>
    <w:rsid w:val="00C2428B"/>
    <w:rsid w:val="00C26C22"/>
    <w:rsid w:val="00C27B03"/>
    <w:rsid w:val="00C3089B"/>
    <w:rsid w:val="00C30AAC"/>
    <w:rsid w:val="00C33D6C"/>
    <w:rsid w:val="00C34B40"/>
    <w:rsid w:val="00C34F82"/>
    <w:rsid w:val="00C35836"/>
    <w:rsid w:val="00C41CD3"/>
    <w:rsid w:val="00C41DA9"/>
    <w:rsid w:val="00C43438"/>
    <w:rsid w:val="00C436D9"/>
    <w:rsid w:val="00C44264"/>
    <w:rsid w:val="00C46251"/>
    <w:rsid w:val="00C471AA"/>
    <w:rsid w:val="00C4790F"/>
    <w:rsid w:val="00C47FC0"/>
    <w:rsid w:val="00C5189F"/>
    <w:rsid w:val="00C51DEE"/>
    <w:rsid w:val="00C528CC"/>
    <w:rsid w:val="00C53ABD"/>
    <w:rsid w:val="00C53AD3"/>
    <w:rsid w:val="00C53C94"/>
    <w:rsid w:val="00C55083"/>
    <w:rsid w:val="00C57741"/>
    <w:rsid w:val="00C6074F"/>
    <w:rsid w:val="00C60E25"/>
    <w:rsid w:val="00C62568"/>
    <w:rsid w:val="00C6296C"/>
    <w:rsid w:val="00C64143"/>
    <w:rsid w:val="00C6434D"/>
    <w:rsid w:val="00C64F0A"/>
    <w:rsid w:val="00C652E5"/>
    <w:rsid w:val="00C65967"/>
    <w:rsid w:val="00C67446"/>
    <w:rsid w:val="00C70962"/>
    <w:rsid w:val="00C71674"/>
    <w:rsid w:val="00C72D19"/>
    <w:rsid w:val="00C733F7"/>
    <w:rsid w:val="00C7403F"/>
    <w:rsid w:val="00C7697F"/>
    <w:rsid w:val="00C7716A"/>
    <w:rsid w:val="00C8136C"/>
    <w:rsid w:val="00C82457"/>
    <w:rsid w:val="00C82FAC"/>
    <w:rsid w:val="00C82FFA"/>
    <w:rsid w:val="00C84032"/>
    <w:rsid w:val="00C84A1B"/>
    <w:rsid w:val="00C85521"/>
    <w:rsid w:val="00C856C0"/>
    <w:rsid w:val="00C863EE"/>
    <w:rsid w:val="00C86B0F"/>
    <w:rsid w:val="00C92646"/>
    <w:rsid w:val="00C9316A"/>
    <w:rsid w:val="00C937E7"/>
    <w:rsid w:val="00C93B5E"/>
    <w:rsid w:val="00C95D8D"/>
    <w:rsid w:val="00C97C7F"/>
    <w:rsid w:val="00CA2283"/>
    <w:rsid w:val="00CA2AEF"/>
    <w:rsid w:val="00CA2CA3"/>
    <w:rsid w:val="00CA325F"/>
    <w:rsid w:val="00CA33B8"/>
    <w:rsid w:val="00CA35AE"/>
    <w:rsid w:val="00CA41E3"/>
    <w:rsid w:val="00CA4F4F"/>
    <w:rsid w:val="00CA60FB"/>
    <w:rsid w:val="00CA6DD8"/>
    <w:rsid w:val="00CB1582"/>
    <w:rsid w:val="00CB22B7"/>
    <w:rsid w:val="00CB31DA"/>
    <w:rsid w:val="00CB5032"/>
    <w:rsid w:val="00CB7DF6"/>
    <w:rsid w:val="00CC303F"/>
    <w:rsid w:val="00CC3C96"/>
    <w:rsid w:val="00CC53E6"/>
    <w:rsid w:val="00CC61C2"/>
    <w:rsid w:val="00CD077C"/>
    <w:rsid w:val="00CD0EC6"/>
    <w:rsid w:val="00CD21A4"/>
    <w:rsid w:val="00CD342A"/>
    <w:rsid w:val="00CD3940"/>
    <w:rsid w:val="00CE17F7"/>
    <w:rsid w:val="00CE1A2D"/>
    <w:rsid w:val="00CE2F14"/>
    <w:rsid w:val="00CE52B8"/>
    <w:rsid w:val="00CE6A0B"/>
    <w:rsid w:val="00CE7BF6"/>
    <w:rsid w:val="00CF0950"/>
    <w:rsid w:val="00CF256D"/>
    <w:rsid w:val="00CF3B07"/>
    <w:rsid w:val="00CF4C13"/>
    <w:rsid w:val="00CF62E0"/>
    <w:rsid w:val="00CF6384"/>
    <w:rsid w:val="00CF6902"/>
    <w:rsid w:val="00D02B8F"/>
    <w:rsid w:val="00D0311F"/>
    <w:rsid w:val="00D037C9"/>
    <w:rsid w:val="00D0401F"/>
    <w:rsid w:val="00D06004"/>
    <w:rsid w:val="00D06E88"/>
    <w:rsid w:val="00D11F90"/>
    <w:rsid w:val="00D13251"/>
    <w:rsid w:val="00D13527"/>
    <w:rsid w:val="00D15604"/>
    <w:rsid w:val="00D15BDE"/>
    <w:rsid w:val="00D15E4E"/>
    <w:rsid w:val="00D17601"/>
    <w:rsid w:val="00D20D6E"/>
    <w:rsid w:val="00D21300"/>
    <w:rsid w:val="00D22F7B"/>
    <w:rsid w:val="00D230DC"/>
    <w:rsid w:val="00D2583E"/>
    <w:rsid w:val="00D26C9A"/>
    <w:rsid w:val="00D303E8"/>
    <w:rsid w:val="00D30777"/>
    <w:rsid w:val="00D31BA6"/>
    <w:rsid w:val="00D33085"/>
    <w:rsid w:val="00D335E1"/>
    <w:rsid w:val="00D3545E"/>
    <w:rsid w:val="00D35FEA"/>
    <w:rsid w:val="00D366E4"/>
    <w:rsid w:val="00D37C61"/>
    <w:rsid w:val="00D40144"/>
    <w:rsid w:val="00D420D0"/>
    <w:rsid w:val="00D423AC"/>
    <w:rsid w:val="00D44B15"/>
    <w:rsid w:val="00D44DC6"/>
    <w:rsid w:val="00D456E6"/>
    <w:rsid w:val="00D476EA"/>
    <w:rsid w:val="00D514E5"/>
    <w:rsid w:val="00D53589"/>
    <w:rsid w:val="00D539D5"/>
    <w:rsid w:val="00D544D5"/>
    <w:rsid w:val="00D54642"/>
    <w:rsid w:val="00D55E05"/>
    <w:rsid w:val="00D57897"/>
    <w:rsid w:val="00D57900"/>
    <w:rsid w:val="00D602DE"/>
    <w:rsid w:val="00D6096A"/>
    <w:rsid w:val="00D60ABE"/>
    <w:rsid w:val="00D60CE5"/>
    <w:rsid w:val="00D61811"/>
    <w:rsid w:val="00D63F9F"/>
    <w:rsid w:val="00D646D3"/>
    <w:rsid w:val="00D662F2"/>
    <w:rsid w:val="00D665F1"/>
    <w:rsid w:val="00D6711E"/>
    <w:rsid w:val="00D673F3"/>
    <w:rsid w:val="00D7121D"/>
    <w:rsid w:val="00D730D4"/>
    <w:rsid w:val="00D73B08"/>
    <w:rsid w:val="00D749F0"/>
    <w:rsid w:val="00D75DA6"/>
    <w:rsid w:val="00D80127"/>
    <w:rsid w:val="00D804E2"/>
    <w:rsid w:val="00D805D1"/>
    <w:rsid w:val="00D81CF3"/>
    <w:rsid w:val="00D81FB3"/>
    <w:rsid w:val="00D82071"/>
    <w:rsid w:val="00D82E7F"/>
    <w:rsid w:val="00D82FD7"/>
    <w:rsid w:val="00D84FA6"/>
    <w:rsid w:val="00D85C5F"/>
    <w:rsid w:val="00D85ECC"/>
    <w:rsid w:val="00D864C7"/>
    <w:rsid w:val="00D86BB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0689"/>
    <w:rsid w:val="00DB1083"/>
    <w:rsid w:val="00DB1B31"/>
    <w:rsid w:val="00DB2995"/>
    <w:rsid w:val="00DB2ED0"/>
    <w:rsid w:val="00DB38F0"/>
    <w:rsid w:val="00DB3EE8"/>
    <w:rsid w:val="00DB4701"/>
    <w:rsid w:val="00DB4E76"/>
    <w:rsid w:val="00DB59C0"/>
    <w:rsid w:val="00DB6C61"/>
    <w:rsid w:val="00DC0146"/>
    <w:rsid w:val="00DC03EE"/>
    <w:rsid w:val="00DC36B8"/>
    <w:rsid w:val="00DC48DB"/>
    <w:rsid w:val="00DC48F4"/>
    <w:rsid w:val="00DC4D28"/>
    <w:rsid w:val="00DC53F2"/>
    <w:rsid w:val="00DC5429"/>
    <w:rsid w:val="00DC68DE"/>
    <w:rsid w:val="00DC6B01"/>
    <w:rsid w:val="00DC7797"/>
    <w:rsid w:val="00DC7E53"/>
    <w:rsid w:val="00DD078A"/>
    <w:rsid w:val="00DD1737"/>
    <w:rsid w:val="00DD34E1"/>
    <w:rsid w:val="00DD45E7"/>
    <w:rsid w:val="00DD71F6"/>
    <w:rsid w:val="00DD7667"/>
    <w:rsid w:val="00DD777C"/>
    <w:rsid w:val="00DE0D2F"/>
    <w:rsid w:val="00DE0D75"/>
    <w:rsid w:val="00DE19EB"/>
    <w:rsid w:val="00DE25D9"/>
    <w:rsid w:val="00DE3C9F"/>
    <w:rsid w:val="00DE410D"/>
    <w:rsid w:val="00DE5B0F"/>
    <w:rsid w:val="00DE6E3B"/>
    <w:rsid w:val="00DE7D28"/>
    <w:rsid w:val="00DF0420"/>
    <w:rsid w:val="00DF0FE3"/>
    <w:rsid w:val="00DF2CB1"/>
    <w:rsid w:val="00DF69F9"/>
    <w:rsid w:val="00E02579"/>
    <w:rsid w:val="00E02B50"/>
    <w:rsid w:val="00E04B3F"/>
    <w:rsid w:val="00E05AB5"/>
    <w:rsid w:val="00E060C1"/>
    <w:rsid w:val="00E068B3"/>
    <w:rsid w:val="00E06B1E"/>
    <w:rsid w:val="00E07787"/>
    <w:rsid w:val="00E10AAF"/>
    <w:rsid w:val="00E11D49"/>
    <w:rsid w:val="00E147D5"/>
    <w:rsid w:val="00E14C0E"/>
    <w:rsid w:val="00E15F96"/>
    <w:rsid w:val="00E16642"/>
    <w:rsid w:val="00E1787C"/>
    <w:rsid w:val="00E2249E"/>
    <w:rsid w:val="00E22B29"/>
    <w:rsid w:val="00E22B76"/>
    <w:rsid w:val="00E234F1"/>
    <w:rsid w:val="00E241ED"/>
    <w:rsid w:val="00E24968"/>
    <w:rsid w:val="00E24E3A"/>
    <w:rsid w:val="00E25AF8"/>
    <w:rsid w:val="00E25CFC"/>
    <w:rsid w:val="00E26C55"/>
    <w:rsid w:val="00E26F6C"/>
    <w:rsid w:val="00E31BD0"/>
    <w:rsid w:val="00E3239B"/>
    <w:rsid w:val="00E348EA"/>
    <w:rsid w:val="00E34CA3"/>
    <w:rsid w:val="00E35C4A"/>
    <w:rsid w:val="00E36DA3"/>
    <w:rsid w:val="00E37593"/>
    <w:rsid w:val="00E37A0F"/>
    <w:rsid w:val="00E37DA6"/>
    <w:rsid w:val="00E37DB1"/>
    <w:rsid w:val="00E37FE3"/>
    <w:rsid w:val="00E40EB7"/>
    <w:rsid w:val="00E41BB9"/>
    <w:rsid w:val="00E42763"/>
    <w:rsid w:val="00E43AAA"/>
    <w:rsid w:val="00E44C62"/>
    <w:rsid w:val="00E473C8"/>
    <w:rsid w:val="00E5275F"/>
    <w:rsid w:val="00E5387C"/>
    <w:rsid w:val="00E53B78"/>
    <w:rsid w:val="00E5447C"/>
    <w:rsid w:val="00E54EF2"/>
    <w:rsid w:val="00E558CC"/>
    <w:rsid w:val="00E57123"/>
    <w:rsid w:val="00E600CF"/>
    <w:rsid w:val="00E600D6"/>
    <w:rsid w:val="00E60DC5"/>
    <w:rsid w:val="00E61BCF"/>
    <w:rsid w:val="00E63559"/>
    <w:rsid w:val="00E67180"/>
    <w:rsid w:val="00E676E2"/>
    <w:rsid w:val="00E74FA5"/>
    <w:rsid w:val="00E756A8"/>
    <w:rsid w:val="00E76032"/>
    <w:rsid w:val="00E768F2"/>
    <w:rsid w:val="00E77E9E"/>
    <w:rsid w:val="00E81BF8"/>
    <w:rsid w:val="00E81DED"/>
    <w:rsid w:val="00E82316"/>
    <w:rsid w:val="00E825B3"/>
    <w:rsid w:val="00E849DE"/>
    <w:rsid w:val="00E85948"/>
    <w:rsid w:val="00E863FD"/>
    <w:rsid w:val="00E86536"/>
    <w:rsid w:val="00E9167E"/>
    <w:rsid w:val="00E91F17"/>
    <w:rsid w:val="00E922A4"/>
    <w:rsid w:val="00E925CE"/>
    <w:rsid w:val="00E93F3F"/>
    <w:rsid w:val="00E94E88"/>
    <w:rsid w:val="00E967CB"/>
    <w:rsid w:val="00E97DEB"/>
    <w:rsid w:val="00EA05D9"/>
    <w:rsid w:val="00EA1104"/>
    <w:rsid w:val="00EA46B2"/>
    <w:rsid w:val="00EA5257"/>
    <w:rsid w:val="00EA59B6"/>
    <w:rsid w:val="00EA63D8"/>
    <w:rsid w:val="00EA7415"/>
    <w:rsid w:val="00EB0433"/>
    <w:rsid w:val="00EB1B8B"/>
    <w:rsid w:val="00EB24EC"/>
    <w:rsid w:val="00EB3C54"/>
    <w:rsid w:val="00EB4951"/>
    <w:rsid w:val="00EB595B"/>
    <w:rsid w:val="00EB68D0"/>
    <w:rsid w:val="00EC098E"/>
    <w:rsid w:val="00EC0BCB"/>
    <w:rsid w:val="00EC0E71"/>
    <w:rsid w:val="00ED2EBA"/>
    <w:rsid w:val="00ED613A"/>
    <w:rsid w:val="00ED6CFA"/>
    <w:rsid w:val="00ED6D53"/>
    <w:rsid w:val="00EE029C"/>
    <w:rsid w:val="00EE1855"/>
    <w:rsid w:val="00EE1E1F"/>
    <w:rsid w:val="00EE2B68"/>
    <w:rsid w:val="00EE3733"/>
    <w:rsid w:val="00EE395E"/>
    <w:rsid w:val="00EE6D70"/>
    <w:rsid w:val="00EE7237"/>
    <w:rsid w:val="00EE7EDA"/>
    <w:rsid w:val="00EF0BFD"/>
    <w:rsid w:val="00EF1386"/>
    <w:rsid w:val="00EF2491"/>
    <w:rsid w:val="00EF256B"/>
    <w:rsid w:val="00EF5277"/>
    <w:rsid w:val="00EF5CAD"/>
    <w:rsid w:val="00EF611F"/>
    <w:rsid w:val="00EF76E1"/>
    <w:rsid w:val="00EF7E16"/>
    <w:rsid w:val="00F029AF"/>
    <w:rsid w:val="00F04099"/>
    <w:rsid w:val="00F05B66"/>
    <w:rsid w:val="00F0717E"/>
    <w:rsid w:val="00F1030E"/>
    <w:rsid w:val="00F10925"/>
    <w:rsid w:val="00F127D0"/>
    <w:rsid w:val="00F12F6C"/>
    <w:rsid w:val="00F13DAE"/>
    <w:rsid w:val="00F157D8"/>
    <w:rsid w:val="00F15CAD"/>
    <w:rsid w:val="00F201AD"/>
    <w:rsid w:val="00F21481"/>
    <w:rsid w:val="00F21B21"/>
    <w:rsid w:val="00F222BB"/>
    <w:rsid w:val="00F2491A"/>
    <w:rsid w:val="00F24EF6"/>
    <w:rsid w:val="00F254E4"/>
    <w:rsid w:val="00F26A1B"/>
    <w:rsid w:val="00F26AAB"/>
    <w:rsid w:val="00F26F5D"/>
    <w:rsid w:val="00F3381E"/>
    <w:rsid w:val="00F34C92"/>
    <w:rsid w:val="00F35D19"/>
    <w:rsid w:val="00F377AE"/>
    <w:rsid w:val="00F41269"/>
    <w:rsid w:val="00F41319"/>
    <w:rsid w:val="00F44B13"/>
    <w:rsid w:val="00F458F5"/>
    <w:rsid w:val="00F45BE7"/>
    <w:rsid w:val="00F463D7"/>
    <w:rsid w:val="00F50163"/>
    <w:rsid w:val="00F50BF5"/>
    <w:rsid w:val="00F510E2"/>
    <w:rsid w:val="00F515A0"/>
    <w:rsid w:val="00F515F1"/>
    <w:rsid w:val="00F517A1"/>
    <w:rsid w:val="00F5273A"/>
    <w:rsid w:val="00F52D6B"/>
    <w:rsid w:val="00F52E18"/>
    <w:rsid w:val="00F535E2"/>
    <w:rsid w:val="00F53A74"/>
    <w:rsid w:val="00F54516"/>
    <w:rsid w:val="00F5454B"/>
    <w:rsid w:val="00F546FB"/>
    <w:rsid w:val="00F55335"/>
    <w:rsid w:val="00F55CF7"/>
    <w:rsid w:val="00F57D1C"/>
    <w:rsid w:val="00F6077A"/>
    <w:rsid w:val="00F6086A"/>
    <w:rsid w:val="00F6169B"/>
    <w:rsid w:val="00F61CBA"/>
    <w:rsid w:val="00F62824"/>
    <w:rsid w:val="00F62D7C"/>
    <w:rsid w:val="00F634C8"/>
    <w:rsid w:val="00F67155"/>
    <w:rsid w:val="00F7058F"/>
    <w:rsid w:val="00F70D21"/>
    <w:rsid w:val="00F70FEF"/>
    <w:rsid w:val="00F73F06"/>
    <w:rsid w:val="00F74F3A"/>
    <w:rsid w:val="00F75C02"/>
    <w:rsid w:val="00F7774E"/>
    <w:rsid w:val="00F77ECB"/>
    <w:rsid w:val="00F80602"/>
    <w:rsid w:val="00F81936"/>
    <w:rsid w:val="00F81BF8"/>
    <w:rsid w:val="00F81C0E"/>
    <w:rsid w:val="00F81E47"/>
    <w:rsid w:val="00F824EF"/>
    <w:rsid w:val="00F84408"/>
    <w:rsid w:val="00F86474"/>
    <w:rsid w:val="00F868B4"/>
    <w:rsid w:val="00F8730A"/>
    <w:rsid w:val="00F9016F"/>
    <w:rsid w:val="00F90601"/>
    <w:rsid w:val="00F93703"/>
    <w:rsid w:val="00F93FBA"/>
    <w:rsid w:val="00F963F4"/>
    <w:rsid w:val="00F97238"/>
    <w:rsid w:val="00F97619"/>
    <w:rsid w:val="00FA2E6A"/>
    <w:rsid w:val="00FA78FD"/>
    <w:rsid w:val="00FB11BE"/>
    <w:rsid w:val="00FB1357"/>
    <w:rsid w:val="00FB1799"/>
    <w:rsid w:val="00FB1944"/>
    <w:rsid w:val="00FB1B56"/>
    <w:rsid w:val="00FB27F1"/>
    <w:rsid w:val="00FB4C6F"/>
    <w:rsid w:val="00FB7A70"/>
    <w:rsid w:val="00FC3033"/>
    <w:rsid w:val="00FC5E76"/>
    <w:rsid w:val="00FC69CF"/>
    <w:rsid w:val="00FC7214"/>
    <w:rsid w:val="00FC795D"/>
    <w:rsid w:val="00FC7FB3"/>
    <w:rsid w:val="00FD058F"/>
    <w:rsid w:val="00FD0B70"/>
    <w:rsid w:val="00FD11B8"/>
    <w:rsid w:val="00FD1440"/>
    <w:rsid w:val="00FD1489"/>
    <w:rsid w:val="00FD1494"/>
    <w:rsid w:val="00FD17D7"/>
    <w:rsid w:val="00FD1B2D"/>
    <w:rsid w:val="00FD2DA9"/>
    <w:rsid w:val="00FD2F69"/>
    <w:rsid w:val="00FD35FA"/>
    <w:rsid w:val="00FD4A95"/>
    <w:rsid w:val="00FD4D9D"/>
    <w:rsid w:val="00FD59F1"/>
    <w:rsid w:val="00FD61A1"/>
    <w:rsid w:val="00FD64D4"/>
    <w:rsid w:val="00FD66A4"/>
    <w:rsid w:val="00FD6FE2"/>
    <w:rsid w:val="00FD74CB"/>
    <w:rsid w:val="00FD7543"/>
    <w:rsid w:val="00FD7BF5"/>
    <w:rsid w:val="00FE06EC"/>
    <w:rsid w:val="00FE185C"/>
    <w:rsid w:val="00FE1BD0"/>
    <w:rsid w:val="00FE31AD"/>
    <w:rsid w:val="00FE3C5F"/>
    <w:rsid w:val="00FE401B"/>
    <w:rsid w:val="00FE4705"/>
    <w:rsid w:val="00FE557C"/>
    <w:rsid w:val="00FE7BE8"/>
    <w:rsid w:val="00FF2C3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7378ACA"/>
  <w15:docId w15:val="{E4183A24-7F1F-4868-AB44-34131CEA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sr-Latn-ME"/>
    </w:rPr>
  </w:style>
  <w:style w:type="paragraph" w:styleId="Heading1">
    <w:name w:val="heading 1"/>
    <w:basedOn w:val="Normal"/>
    <w:next w:val="Normal"/>
    <w:link w:val="Heading1Char"/>
    <w:qFormat/>
    <w:rsid w:val="00BC4ED6"/>
    <w:pPr>
      <w:keepNext/>
      <w:tabs>
        <w:tab w:val="clear" w:pos="567"/>
      </w:tabs>
      <w:spacing w:before="240" w:after="60" w:line="240" w:lineRule="auto"/>
      <w:outlineLvl w:val="0"/>
    </w:pPr>
    <w:rPr>
      <w:rFonts w:ascii="Arial" w:hAnsi="Arial" w:cs="Arial"/>
      <w:b/>
      <w:bCs/>
      <w:kern w:val="32"/>
      <w:sz w:val="32"/>
      <w:szCs w:val="32"/>
      <w:lang w:val="sl-SI" w:eastAsia="sl-SI"/>
    </w:rPr>
  </w:style>
  <w:style w:type="paragraph" w:styleId="Heading2">
    <w:name w:val="heading 2"/>
    <w:basedOn w:val="Normal"/>
    <w:next w:val="Normal"/>
    <w:link w:val="Heading2Char"/>
    <w:qFormat/>
    <w:rsid w:val="00BC4ED6"/>
    <w:pPr>
      <w:keepNext/>
      <w:tabs>
        <w:tab w:val="clear" w:pos="567"/>
        <w:tab w:val="left" w:pos="4300"/>
        <w:tab w:val="left" w:pos="5940"/>
        <w:tab w:val="left" w:pos="8180"/>
      </w:tabs>
      <w:spacing w:line="360" w:lineRule="atLeast"/>
      <w:outlineLvl w:val="1"/>
    </w:pPr>
    <w:rPr>
      <w:b/>
      <w:sz w:val="24"/>
      <w:u w:val="single"/>
      <w:lang w:val="en-US" w:eastAsia="sl-SI"/>
    </w:rPr>
  </w:style>
  <w:style w:type="paragraph" w:styleId="Heading3">
    <w:name w:val="heading 3"/>
    <w:basedOn w:val="Normal"/>
    <w:next w:val="Normal"/>
    <w:link w:val="Heading3Char"/>
    <w:qFormat/>
    <w:rsid w:val="00BC4ED6"/>
    <w:pPr>
      <w:keepNext/>
      <w:tabs>
        <w:tab w:val="clear" w:pos="567"/>
        <w:tab w:val="decimal" w:pos="6760"/>
      </w:tabs>
      <w:spacing w:line="480" w:lineRule="atLeast"/>
      <w:outlineLvl w:val="2"/>
    </w:pPr>
    <w:rPr>
      <w:b/>
      <w:sz w:val="24"/>
      <w:lang w:val="en-US" w:eastAsia="sl-SI"/>
    </w:rPr>
  </w:style>
  <w:style w:type="paragraph" w:styleId="Heading4">
    <w:name w:val="heading 4"/>
    <w:basedOn w:val="Normal"/>
    <w:next w:val="Normal"/>
    <w:link w:val="Heading4Char"/>
    <w:qFormat/>
    <w:rsid w:val="00BC4ED6"/>
    <w:pPr>
      <w:keepNext/>
      <w:tabs>
        <w:tab w:val="clear" w:pos="567"/>
      </w:tabs>
      <w:spacing w:before="240" w:after="60" w:line="240" w:lineRule="auto"/>
      <w:outlineLvl w:val="3"/>
    </w:pPr>
    <w:rPr>
      <w:b/>
      <w:bCs/>
      <w:sz w:val="28"/>
      <w:szCs w:val="28"/>
      <w:lang w:val="sl-SI" w:eastAsia="sl-SI"/>
    </w:rPr>
  </w:style>
  <w:style w:type="paragraph" w:styleId="Heading6">
    <w:name w:val="heading 6"/>
    <w:basedOn w:val="Normal"/>
    <w:next w:val="Normal"/>
    <w:link w:val="Heading6Char"/>
    <w:qFormat/>
    <w:rsid w:val="00BC4ED6"/>
    <w:pPr>
      <w:keepNext/>
      <w:keepLines/>
      <w:tabs>
        <w:tab w:val="clear" w:pos="567"/>
        <w:tab w:val="right" w:pos="4536"/>
        <w:tab w:val="left" w:pos="5180"/>
        <w:tab w:val="left" w:pos="5380"/>
        <w:tab w:val="left" w:pos="8222"/>
      </w:tabs>
      <w:spacing w:line="240" w:lineRule="auto"/>
      <w:outlineLvl w:val="5"/>
    </w:pPr>
    <w:rPr>
      <w:b/>
      <w:sz w:val="24"/>
      <w:lang w:val="en-US"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link w:val="BalloonTextChar"/>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rPr>
  </w:style>
  <w:style w:type="character" w:customStyle="1" w:styleId="Heading1Char">
    <w:name w:val="Heading 1 Char"/>
    <w:link w:val="Heading1"/>
    <w:rsid w:val="00BC4ED6"/>
    <w:rPr>
      <w:rFonts w:ascii="Arial" w:eastAsia="Times New Roman" w:hAnsi="Arial" w:cs="Arial"/>
      <w:b/>
      <w:bCs/>
      <w:kern w:val="32"/>
      <w:sz w:val="32"/>
      <w:szCs w:val="32"/>
      <w:lang w:val="sl-SI" w:eastAsia="sl-SI"/>
    </w:rPr>
  </w:style>
  <w:style w:type="character" w:customStyle="1" w:styleId="Heading2Char">
    <w:name w:val="Heading 2 Char"/>
    <w:link w:val="Heading2"/>
    <w:rsid w:val="00BC4ED6"/>
    <w:rPr>
      <w:rFonts w:eastAsia="Times New Roman"/>
      <w:b/>
      <w:sz w:val="24"/>
      <w:u w:val="single"/>
      <w:lang w:val="en-US" w:eastAsia="sl-SI"/>
    </w:rPr>
  </w:style>
  <w:style w:type="character" w:customStyle="1" w:styleId="Heading3Char">
    <w:name w:val="Heading 3 Char"/>
    <w:link w:val="Heading3"/>
    <w:rsid w:val="00BC4ED6"/>
    <w:rPr>
      <w:rFonts w:eastAsia="Times New Roman"/>
      <w:b/>
      <w:sz w:val="24"/>
      <w:lang w:val="en-US" w:eastAsia="sl-SI"/>
    </w:rPr>
  </w:style>
  <w:style w:type="character" w:customStyle="1" w:styleId="Heading4Char">
    <w:name w:val="Heading 4 Char"/>
    <w:link w:val="Heading4"/>
    <w:rsid w:val="00BC4ED6"/>
    <w:rPr>
      <w:rFonts w:eastAsia="Times New Roman"/>
      <w:b/>
      <w:bCs/>
      <w:sz w:val="28"/>
      <w:szCs w:val="28"/>
      <w:lang w:val="sl-SI" w:eastAsia="sl-SI"/>
    </w:rPr>
  </w:style>
  <w:style w:type="character" w:customStyle="1" w:styleId="Heading6Char">
    <w:name w:val="Heading 6 Char"/>
    <w:link w:val="Heading6"/>
    <w:rsid w:val="00BC4ED6"/>
    <w:rPr>
      <w:rFonts w:eastAsia="Times New Roman"/>
      <w:b/>
      <w:sz w:val="24"/>
      <w:lang w:val="en-US" w:eastAsia="sl-SI"/>
    </w:r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link w:val="Header"/>
    <w:uiPriority w:val="99"/>
    <w:rsid w:val="00BC4ED6"/>
    <w:rPr>
      <w:rFonts w:ascii="Arial" w:eastAsia="Times New Roman" w:hAnsi="Arial"/>
      <w:lang w:eastAsia="en-US"/>
    </w:rPr>
  </w:style>
  <w:style w:type="character" w:customStyle="1" w:styleId="FooterChar">
    <w:name w:val="Footer Char"/>
    <w:link w:val="Footer"/>
    <w:uiPriority w:val="99"/>
    <w:rsid w:val="00BC4ED6"/>
    <w:rPr>
      <w:rFonts w:ascii="Arial" w:eastAsia="Times New Roman" w:hAnsi="Arial"/>
      <w:noProof/>
      <w:sz w:val="16"/>
      <w:lang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BC4ED6"/>
    <w:rPr>
      <w:lang w:val="en-US" w:eastAsia="en-US" w:bidi="ar-SA"/>
    </w:rPr>
  </w:style>
  <w:style w:type="table" w:styleId="TableGrid">
    <w:name w:val="Table Grid"/>
    <w:basedOn w:val="TableNormal"/>
    <w:rsid w:val="00BC4ED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C4ED6"/>
    <w:rPr>
      <w:color w:val="800080"/>
      <w:u w:val="single"/>
    </w:rPr>
  </w:style>
  <w:style w:type="paragraph" w:styleId="PlainText">
    <w:name w:val="Plain Text"/>
    <w:basedOn w:val="Normal"/>
    <w:link w:val="PlainTextChar"/>
    <w:rsid w:val="00BC4ED6"/>
    <w:pPr>
      <w:tabs>
        <w:tab w:val="clear" w:pos="567"/>
      </w:tabs>
      <w:spacing w:line="240" w:lineRule="auto"/>
    </w:pPr>
    <w:rPr>
      <w:rFonts w:ascii="Courier New" w:hAnsi="Courier New"/>
      <w:sz w:val="20"/>
      <w:lang w:eastAsia="sl-SI"/>
    </w:rPr>
  </w:style>
  <w:style w:type="character" w:customStyle="1" w:styleId="PlainTextChar">
    <w:name w:val="Plain Text Char"/>
    <w:link w:val="PlainText"/>
    <w:rsid w:val="00BC4ED6"/>
    <w:rPr>
      <w:rFonts w:ascii="Courier New" w:eastAsia="Times New Roman" w:hAnsi="Courier New"/>
      <w:lang w:eastAsia="sl-SI"/>
    </w:rPr>
  </w:style>
  <w:style w:type="paragraph" w:styleId="Caption">
    <w:name w:val="caption"/>
    <w:basedOn w:val="Normal"/>
    <w:next w:val="Normal"/>
    <w:qFormat/>
    <w:rsid w:val="00BC4ED6"/>
    <w:pPr>
      <w:tabs>
        <w:tab w:val="clear" w:pos="567"/>
      </w:tabs>
      <w:spacing w:line="240" w:lineRule="auto"/>
      <w:jc w:val="both"/>
    </w:pPr>
    <w:rPr>
      <w:sz w:val="24"/>
      <w:lang w:eastAsia="sl-SI"/>
    </w:rPr>
  </w:style>
  <w:style w:type="paragraph" w:customStyle="1" w:styleId="Naslov1">
    <w:name w:val="Naslov1"/>
    <w:basedOn w:val="Heading1"/>
    <w:rsid w:val="00BC4ED6"/>
    <w:pPr>
      <w:spacing w:before="0" w:after="0"/>
    </w:pPr>
    <w:rPr>
      <w:rFonts w:ascii="Times New Roman" w:hAnsi="Times New Roman" w:cs="Times New Roman"/>
      <w:bCs w:val="0"/>
      <w:kern w:val="0"/>
      <w:sz w:val="22"/>
      <w:szCs w:val="20"/>
      <w:u w:val="single"/>
    </w:rPr>
  </w:style>
  <w:style w:type="paragraph" w:styleId="TOC1">
    <w:name w:val="toc 1"/>
    <w:basedOn w:val="Normal"/>
    <w:next w:val="Normal"/>
    <w:autoRedefine/>
    <w:rsid w:val="00BC4ED6"/>
    <w:pPr>
      <w:tabs>
        <w:tab w:val="clear" w:pos="567"/>
      </w:tabs>
      <w:spacing w:before="120" w:line="240" w:lineRule="auto"/>
    </w:pPr>
    <w:rPr>
      <w:b/>
      <w:bCs/>
      <w:i/>
      <w:iCs/>
      <w:sz w:val="24"/>
      <w:szCs w:val="28"/>
      <w:lang w:val="sl-SI" w:eastAsia="sl-SI"/>
    </w:rPr>
  </w:style>
  <w:style w:type="character" w:customStyle="1" w:styleId="BodyTextChar">
    <w:name w:val="Body Text Char"/>
    <w:link w:val="BodyText"/>
    <w:rsid w:val="00BC4ED6"/>
    <w:rPr>
      <w:rFonts w:eastAsia="Times New Roman"/>
      <w:i/>
      <w:color w:val="008000"/>
      <w:sz w:val="22"/>
      <w:lang w:eastAsia="en-US"/>
    </w:rPr>
  </w:style>
  <w:style w:type="paragraph" w:styleId="BodyText2">
    <w:name w:val="Body Text 2"/>
    <w:basedOn w:val="Normal"/>
    <w:link w:val="BodyText2Char"/>
    <w:rsid w:val="00BC4ED6"/>
    <w:pPr>
      <w:tabs>
        <w:tab w:val="clear" w:pos="567"/>
      </w:tabs>
      <w:spacing w:after="120" w:line="480" w:lineRule="auto"/>
    </w:pPr>
    <w:rPr>
      <w:sz w:val="24"/>
      <w:lang w:val="sl-SI" w:eastAsia="sl-SI"/>
    </w:rPr>
  </w:style>
  <w:style w:type="character" w:customStyle="1" w:styleId="BodyText2Char">
    <w:name w:val="Body Text 2 Char"/>
    <w:link w:val="BodyText2"/>
    <w:rsid w:val="00BC4ED6"/>
    <w:rPr>
      <w:rFonts w:eastAsia="Times New Roman"/>
      <w:sz w:val="24"/>
      <w:lang w:val="sl-SI" w:eastAsia="sl-SI"/>
    </w:rPr>
  </w:style>
  <w:style w:type="paragraph" w:customStyle="1" w:styleId="Default">
    <w:name w:val="Default"/>
    <w:rsid w:val="00BC4ED6"/>
    <w:pPr>
      <w:autoSpaceDE w:val="0"/>
      <w:autoSpaceDN w:val="0"/>
      <w:adjustRightInd w:val="0"/>
    </w:pPr>
    <w:rPr>
      <w:rFonts w:eastAsia="Times New Roman"/>
      <w:color w:val="000000"/>
      <w:sz w:val="24"/>
      <w:szCs w:val="24"/>
      <w:lang w:val="sl-SI" w:eastAsia="sl-SI"/>
    </w:rPr>
  </w:style>
  <w:style w:type="character" w:customStyle="1" w:styleId="BalloonTextChar">
    <w:name w:val="Balloon Text Char"/>
    <w:link w:val="BalloonText"/>
    <w:rsid w:val="00BC4ED6"/>
    <w:rPr>
      <w:rFonts w:ascii="Tahoma" w:eastAsia="Times New Roman" w:hAnsi="Tahoma" w:cs="Tahoma"/>
      <w:sz w:val="16"/>
      <w:szCs w:val="16"/>
      <w:lang w:eastAsia="en-US"/>
    </w:rPr>
  </w:style>
  <w:style w:type="paragraph" w:styleId="NoSpacing">
    <w:name w:val="No Spacing"/>
    <w:link w:val="NoSpacingChar"/>
    <w:uiPriority w:val="1"/>
    <w:qFormat/>
    <w:rsid w:val="00BC4ED6"/>
    <w:rPr>
      <w:rFonts w:ascii="Arial" w:eastAsia="Times New Roman" w:hAnsi="Arial"/>
      <w:sz w:val="22"/>
      <w:szCs w:val="22"/>
    </w:rPr>
  </w:style>
  <w:style w:type="character" w:customStyle="1" w:styleId="NoSpacingChar">
    <w:name w:val="No Spacing Char"/>
    <w:link w:val="NoSpacing"/>
    <w:uiPriority w:val="1"/>
    <w:rsid w:val="00BC4ED6"/>
    <w:rPr>
      <w:rFonts w:ascii="Arial" w:eastAsia="Times New Roman" w:hAnsi="Arial"/>
      <w:sz w:val="22"/>
      <w:szCs w:val="22"/>
      <w:lang w:val="en-US" w:eastAsia="en-US"/>
    </w:rPr>
  </w:style>
  <w:style w:type="paragraph" w:styleId="NormalWeb">
    <w:name w:val="Normal (Web)"/>
    <w:basedOn w:val="Normal"/>
    <w:uiPriority w:val="99"/>
    <w:unhideWhenUsed/>
    <w:rsid w:val="00E15F96"/>
    <w:pPr>
      <w:tabs>
        <w:tab w:val="clear" w:pos="567"/>
      </w:tabs>
      <w:spacing w:after="143" w:line="240" w:lineRule="auto"/>
    </w:pPr>
    <w:rPr>
      <w:sz w:val="24"/>
      <w:szCs w:val="24"/>
      <w:lang w:val="sl-SI" w:eastAsia="sl-SI"/>
    </w:rPr>
  </w:style>
  <w:style w:type="paragraph" w:styleId="HTMLPreformatted">
    <w:name w:val="HTML Preformatted"/>
    <w:basedOn w:val="Normal"/>
    <w:link w:val="HTMLPreformattedChar"/>
    <w:rsid w:val="00C0258B"/>
    <w:rPr>
      <w:rFonts w:ascii="Courier New" w:hAnsi="Courier New" w:cs="Courier New"/>
      <w:sz w:val="20"/>
    </w:rPr>
  </w:style>
  <w:style w:type="character" w:customStyle="1" w:styleId="HTMLPreformattedChar">
    <w:name w:val="HTML Preformatted Char"/>
    <w:link w:val="HTMLPreformatted"/>
    <w:rsid w:val="00C0258B"/>
    <w:rPr>
      <w:rFonts w:ascii="Courier New" w:eastAsia="Times New Roman" w:hAnsi="Courier New" w:cs="Courier New"/>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607371">
      <w:bodyDiv w:val="1"/>
      <w:marLeft w:val="0"/>
      <w:marRight w:val="0"/>
      <w:marTop w:val="0"/>
      <w:marBottom w:val="0"/>
      <w:divBdr>
        <w:top w:val="none" w:sz="0" w:space="0" w:color="auto"/>
        <w:left w:val="none" w:sz="0" w:space="0" w:color="auto"/>
        <w:bottom w:val="none" w:sz="0" w:space="0" w:color="auto"/>
        <w:right w:val="none" w:sz="0" w:space="0" w:color="auto"/>
      </w:divBdr>
      <w:divsChild>
        <w:div w:id="50810379">
          <w:marLeft w:val="0"/>
          <w:marRight w:val="0"/>
          <w:marTop w:val="0"/>
          <w:marBottom w:val="0"/>
          <w:divBdr>
            <w:top w:val="none" w:sz="0" w:space="0" w:color="auto"/>
            <w:left w:val="none" w:sz="0" w:space="0" w:color="auto"/>
            <w:bottom w:val="none" w:sz="0" w:space="0" w:color="auto"/>
            <w:right w:val="none" w:sz="0" w:space="0" w:color="auto"/>
          </w:divBdr>
          <w:divsChild>
            <w:div w:id="2124642099">
              <w:marLeft w:val="0"/>
              <w:marRight w:val="0"/>
              <w:marTop w:val="0"/>
              <w:marBottom w:val="0"/>
              <w:divBdr>
                <w:top w:val="none" w:sz="0" w:space="0" w:color="auto"/>
                <w:left w:val="none" w:sz="0" w:space="0" w:color="auto"/>
                <w:bottom w:val="none" w:sz="0" w:space="0" w:color="auto"/>
                <w:right w:val="none" w:sz="0" w:space="0" w:color="auto"/>
              </w:divBdr>
              <w:divsChild>
                <w:div w:id="611401495">
                  <w:marLeft w:val="0"/>
                  <w:marRight w:val="0"/>
                  <w:marTop w:val="0"/>
                  <w:marBottom w:val="0"/>
                  <w:divBdr>
                    <w:top w:val="none" w:sz="0" w:space="0" w:color="auto"/>
                    <w:left w:val="none" w:sz="0" w:space="0" w:color="auto"/>
                    <w:bottom w:val="none" w:sz="0" w:space="0" w:color="auto"/>
                    <w:right w:val="none" w:sz="0" w:space="0" w:color="auto"/>
                  </w:divBdr>
                  <w:divsChild>
                    <w:div w:id="1843666190">
                      <w:marLeft w:val="0"/>
                      <w:marRight w:val="0"/>
                      <w:marTop w:val="0"/>
                      <w:marBottom w:val="0"/>
                      <w:divBdr>
                        <w:top w:val="none" w:sz="0" w:space="0" w:color="auto"/>
                        <w:left w:val="none" w:sz="0" w:space="0" w:color="auto"/>
                        <w:bottom w:val="none" w:sz="0" w:space="0" w:color="auto"/>
                        <w:right w:val="none" w:sz="0" w:space="0" w:color="auto"/>
                      </w:divBdr>
                      <w:divsChild>
                        <w:div w:id="826212378">
                          <w:marLeft w:val="0"/>
                          <w:marRight w:val="0"/>
                          <w:marTop w:val="0"/>
                          <w:marBottom w:val="0"/>
                          <w:divBdr>
                            <w:top w:val="none" w:sz="0" w:space="0" w:color="auto"/>
                            <w:left w:val="none" w:sz="0" w:space="0" w:color="auto"/>
                            <w:bottom w:val="none" w:sz="0" w:space="0" w:color="auto"/>
                            <w:right w:val="none" w:sz="0" w:space="0" w:color="auto"/>
                          </w:divBdr>
                          <w:divsChild>
                            <w:div w:id="238558648">
                              <w:marLeft w:val="0"/>
                              <w:marRight w:val="0"/>
                              <w:marTop w:val="0"/>
                              <w:marBottom w:val="0"/>
                              <w:divBdr>
                                <w:top w:val="none" w:sz="0" w:space="0" w:color="auto"/>
                                <w:left w:val="none" w:sz="0" w:space="0" w:color="auto"/>
                                <w:bottom w:val="none" w:sz="0" w:space="0" w:color="auto"/>
                                <w:right w:val="none" w:sz="0" w:space="0" w:color="auto"/>
                              </w:divBdr>
                              <w:divsChild>
                                <w:div w:id="1567108506">
                                  <w:marLeft w:val="0"/>
                                  <w:marRight w:val="0"/>
                                  <w:marTop w:val="0"/>
                                  <w:marBottom w:val="0"/>
                                  <w:divBdr>
                                    <w:top w:val="none" w:sz="0" w:space="0" w:color="auto"/>
                                    <w:left w:val="none" w:sz="0" w:space="0" w:color="auto"/>
                                    <w:bottom w:val="none" w:sz="0" w:space="0" w:color="auto"/>
                                    <w:right w:val="none" w:sz="0" w:space="0" w:color="auto"/>
                                  </w:divBdr>
                                  <w:divsChild>
                                    <w:div w:id="1358696218">
                                      <w:marLeft w:val="0"/>
                                      <w:marRight w:val="0"/>
                                      <w:marTop w:val="0"/>
                                      <w:marBottom w:val="0"/>
                                      <w:divBdr>
                                        <w:top w:val="none" w:sz="0" w:space="0" w:color="auto"/>
                                        <w:left w:val="none" w:sz="0" w:space="0" w:color="auto"/>
                                        <w:bottom w:val="none" w:sz="0" w:space="0" w:color="auto"/>
                                        <w:right w:val="none" w:sz="0" w:space="0" w:color="auto"/>
                                      </w:divBdr>
                                      <w:divsChild>
                                        <w:div w:id="294994710">
                                          <w:marLeft w:val="0"/>
                                          <w:marRight w:val="165"/>
                                          <w:marTop w:val="150"/>
                                          <w:marBottom w:val="0"/>
                                          <w:divBdr>
                                            <w:top w:val="none" w:sz="0" w:space="0" w:color="auto"/>
                                            <w:left w:val="none" w:sz="0" w:space="0" w:color="auto"/>
                                            <w:bottom w:val="none" w:sz="0" w:space="0" w:color="auto"/>
                                            <w:right w:val="none" w:sz="0" w:space="0" w:color="auto"/>
                                          </w:divBdr>
                                          <w:divsChild>
                                            <w:div w:id="687802953">
                                              <w:marLeft w:val="0"/>
                                              <w:marRight w:val="0"/>
                                              <w:marTop w:val="0"/>
                                              <w:marBottom w:val="0"/>
                                              <w:divBdr>
                                                <w:top w:val="none" w:sz="0" w:space="0" w:color="auto"/>
                                                <w:left w:val="none" w:sz="0" w:space="0" w:color="auto"/>
                                                <w:bottom w:val="none" w:sz="0" w:space="0" w:color="auto"/>
                                                <w:right w:val="none" w:sz="0" w:space="0" w:color="auto"/>
                                              </w:divBdr>
                                              <w:divsChild>
                                                <w:div w:id="1402672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4990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845789">
      <w:bodyDiv w:val="1"/>
      <w:marLeft w:val="0"/>
      <w:marRight w:val="0"/>
      <w:marTop w:val="0"/>
      <w:marBottom w:val="0"/>
      <w:divBdr>
        <w:top w:val="none" w:sz="0" w:space="0" w:color="auto"/>
        <w:left w:val="none" w:sz="0" w:space="0" w:color="auto"/>
        <w:bottom w:val="none" w:sz="0" w:space="0" w:color="auto"/>
        <w:right w:val="none" w:sz="0" w:space="0" w:color="auto"/>
      </w:divBdr>
    </w:div>
    <w:div w:id="816609670">
      <w:bodyDiv w:val="1"/>
      <w:marLeft w:val="0"/>
      <w:marRight w:val="0"/>
      <w:marTop w:val="0"/>
      <w:marBottom w:val="0"/>
      <w:divBdr>
        <w:top w:val="none" w:sz="0" w:space="0" w:color="auto"/>
        <w:left w:val="none" w:sz="0" w:space="0" w:color="auto"/>
        <w:bottom w:val="none" w:sz="0" w:space="0" w:color="auto"/>
        <w:right w:val="none" w:sz="0" w:space="0" w:color="auto"/>
      </w:divBdr>
    </w:div>
    <w:div w:id="816920593">
      <w:bodyDiv w:val="1"/>
      <w:marLeft w:val="0"/>
      <w:marRight w:val="0"/>
      <w:marTop w:val="0"/>
      <w:marBottom w:val="0"/>
      <w:divBdr>
        <w:top w:val="none" w:sz="0" w:space="0" w:color="auto"/>
        <w:left w:val="none" w:sz="0" w:space="0" w:color="auto"/>
        <w:bottom w:val="none" w:sz="0" w:space="0" w:color="auto"/>
        <w:right w:val="none" w:sz="0" w:space="0" w:color="auto"/>
      </w:divBdr>
      <w:divsChild>
        <w:div w:id="27877284">
          <w:marLeft w:val="0"/>
          <w:marRight w:val="0"/>
          <w:marTop w:val="0"/>
          <w:marBottom w:val="0"/>
          <w:divBdr>
            <w:top w:val="none" w:sz="0" w:space="0" w:color="auto"/>
            <w:left w:val="none" w:sz="0" w:space="0" w:color="auto"/>
            <w:bottom w:val="none" w:sz="0" w:space="0" w:color="auto"/>
            <w:right w:val="none" w:sz="0" w:space="0" w:color="auto"/>
          </w:divBdr>
          <w:divsChild>
            <w:div w:id="676033838">
              <w:marLeft w:val="0"/>
              <w:marRight w:val="165"/>
              <w:marTop w:val="150"/>
              <w:marBottom w:val="0"/>
              <w:divBdr>
                <w:top w:val="none" w:sz="0" w:space="0" w:color="auto"/>
                <w:left w:val="none" w:sz="0" w:space="0" w:color="auto"/>
                <w:bottom w:val="none" w:sz="0" w:space="0" w:color="auto"/>
                <w:right w:val="none" w:sz="0" w:space="0" w:color="auto"/>
              </w:divBdr>
              <w:divsChild>
                <w:div w:id="2093424957">
                  <w:marLeft w:val="0"/>
                  <w:marRight w:val="0"/>
                  <w:marTop w:val="0"/>
                  <w:marBottom w:val="0"/>
                  <w:divBdr>
                    <w:top w:val="none" w:sz="0" w:space="0" w:color="auto"/>
                    <w:left w:val="none" w:sz="0" w:space="0" w:color="auto"/>
                    <w:bottom w:val="none" w:sz="0" w:space="0" w:color="auto"/>
                    <w:right w:val="none" w:sz="0" w:space="0" w:color="auto"/>
                  </w:divBdr>
                  <w:divsChild>
                    <w:div w:id="20958592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70342796">
          <w:marLeft w:val="0"/>
          <w:marRight w:val="0"/>
          <w:marTop w:val="0"/>
          <w:marBottom w:val="0"/>
          <w:divBdr>
            <w:top w:val="none" w:sz="0" w:space="0" w:color="auto"/>
            <w:left w:val="none" w:sz="0" w:space="0" w:color="auto"/>
            <w:bottom w:val="none" w:sz="0" w:space="0" w:color="auto"/>
            <w:right w:val="none" w:sz="0" w:space="0" w:color="auto"/>
          </w:divBdr>
        </w:div>
      </w:divsChild>
    </w:div>
    <w:div w:id="1206986670">
      <w:bodyDiv w:val="1"/>
      <w:marLeft w:val="0"/>
      <w:marRight w:val="0"/>
      <w:marTop w:val="0"/>
      <w:marBottom w:val="0"/>
      <w:divBdr>
        <w:top w:val="none" w:sz="0" w:space="0" w:color="auto"/>
        <w:left w:val="none" w:sz="0" w:space="0" w:color="auto"/>
        <w:bottom w:val="none" w:sz="0" w:space="0" w:color="auto"/>
        <w:right w:val="none" w:sz="0" w:space="0" w:color="auto"/>
      </w:divBdr>
      <w:divsChild>
        <w:div w:id="1433210753">
          <w:marLeft w:val="0"/>
          <w:marRight w:val="0"/>
          <w:marTop w:val="0"/>
          <w:marBottom w:val="0"/>
          <w:divBdr>
            <w:top w:val="none" w:sz="0" w:space="0" w:color="auto"/>
            <w:left w:val="none" w:sz="0" w:space="0" w:color="auto"/>
            <w:bottom w:val="none" w:sz="0" w:space="0" w:color="auto"/>
            <w:right w:val="none" w:sz="0" w:space="0" w:color="auto"/>
          </w:divBdr>
          <w:divsChild>
            <w:div w:id="1775200883">
              <w:marLeft w:val="0"/>
              <w:marRight w:val="165"/>
              <w:marTop w:val="150"/>
              <w:marBottom w:val="0"/>
              <w:divBdr>
                <w:top w:val="none" w:sz="0" w:space="0" w:color="auto"/>
                <w:left w:val="none" w:sz="0" w:space="0" w:color="auto"/>
                <w:bottom w:val="none" w:sz="0" w:space="0" w:color="auto"/>
                <w:right w:val="none" w:sz="0" w:space="0" w:color="auto"/>
              </w:divBdr>
              <w:divsChild>
                <w:div w:id="922448003">
                  <w:marLeft w:val="0"/>
                  <w:marRight w:val="0"/>
                  <w:marTop w:val="0"/>
                  <w:marBottom w:val="0"/>
                  <w:divBdr>
                    <w:top w:val="none" w:sz="0" w:space="0" w:color="auto"/>
                    <w:left w:val="none" w:sz="0" w:space="0" w:color="auto"/>
                    <w:bottom w:val="none" w:sz="0" w:space="0" w:color="auto"/>
                    <w:right w:val="none" w:sz="0" w:space="0" w:color="auto"/>
                  </w:divBdr>
                  <w:divsChild>
                    <w:div w:id="7484282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434980664">
          <w:marLeft w:val="0"/>
          <w:marRight w:val="0"/>
          <w:marTop w:val="0"/>
          <w:marBottom w:val="0"/>
          <w:divBdr>
            <w:top w:val="none" w:sz="0" w:space="0" w:color="auto"/>
            <w:left w:val="none" w:sz="0" w:space="0" w:color="auto"/>
            <w:bottom w:val="none" w:sz="0" w:space="0" w:color="auto"/>
            <w:right w:val="none" w:sz="0" w:space="0" w:color="auto"/>
          </w:divBdr>
        </w:div>
      </w:divsChild>
    </w:div>
    <w:div w:id="1448894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F2013-93DF-4D7D-BE24-C1132485E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12249</Words>
  <Characters>69821</Characters>
  <Application>Microsoft Office Word</Application>
  <DocSecurity>0</DocSecurity>
  <Lines>581</Lines>
  <Paragraphs>163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Jovanovic</dc:creator>
  <cp:keywords/>
  <dc:description/>
  <cp:lastModifiedBy>Jovana Jovanovic</cp:lastModifiedBy>
  <cp:revision>2</cp:revision>
  <dcterms:created xsi:type="dcterms:W3CDTF">2025-04-04T07:56:00Z</dcterms:created>
  <dcterms:modified xsi:type="dcterms:W3CDTF">2025-04-04T07:56:00Z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