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3EBDC" w14:textId="77777777" w:rsidR="00DD2A82" w:rsidRPr="00D768EF" w:rsidRDefault="00DD2A82" w:rsidP="00923865">
      <w:pPr>
        <w:rPr>
          <w:lang w:val="sr-Latn-ME"/>
        </w:rPr>
      </w:pPr>
    </w:p>
    <w:p w14:paraId="3BBC02E8" w14:textId="754E260D" w:rsidR="00CE09F3" w:rsidRPr="00D768EF" w:rsidRDefault="00CE09F3" w:rsidP="00923865">
      <w:pPr>
        <w:jc w:val="center"/>
        <w:rPr>
          <w:b/>
          <w:bCs/>
          <w:iCs/>
          <w:szCs w:val="22"/>
          <w:u w:val="single"/>
          <w:lang w:val="sr-Latn-ME"/>
        </w:rPr>
      </w:pPr>
      <w:r w:rsidRPr="00D768EF">
        <w:rPr>
          <w:b/>
          <w:bCs/>
          <w:iCs/>
          <w:szCs w:val="22"/>
          <w:u w:val="single"/>
          <w:lang w:val="sr-Latn-ME"/>
        </w:rPr>
        <w:t>SAŽETAK KARAKTERISTIKA L</w:t>
      </w:r>
      <w:r w:rsidR="00E7101F" w:rsidRPr="00D768EF">
        <w:rPr>
          <w:b/>
          <w:bCs/>
          <w:iCs/>
          <w:szCs w:val="22"/>
          <w:u w:val="single"/>
          <w:lang w:val="sr-Latn-ME"/>
        </w:rPr>
        <w:t>IJ</w:t>
      </w:r>
      <w:r w:rsidRPr="00D768EF">
        <w:rPr>
          <w:b/>
          <w:bCs/>
          <w:iCs/>
          <w:szCs w:val="22"/>
          <w:u w:val="single"/>
          <w:lang w:val="sr-Latn-ME"/>
        </w:rPr>
        <w:t>EKA</w:t>
      </w:r>
    </w:p>
    <w:p w14:paraId="36C849A9" w14:textId="77777777" w:rsidR="00383195" w:rsidRPr="00D768EF" w:rsidRDefault="003E3EC7" w:rsidP="00923865">
      <w:pPr>
        <w:rPr>
          <w:szCs w:val="22"/>
          <w:lang w:val="sr-Latn-ME"/>
        </w:rPr>
      </w:pPr>
      <w:r w:rsidRPr="00D768EF">
        <w:rPr>
          <w:szCs w:val="22"/>
          <w:lang w:val="sr-Latn-ME"/>
        </w:rPr>
        <w:t xml:space="preserve"> </w:t>
      </w:r>
    </w:p>
    <w:p w14:paraId="3CBEA7E5" w14:textId="77777777" w:rsidR="00CE09F3" w:rsidRPr="00D768EF" w:rsidRDefault="00CE09F3" w:rsidP="00923865">
      <w:pPr>
        <w:rPr>
          <w:b/>
          <w:bCs/>
          <w:szCs w:val="22"/>
          <w:lang w:val="sr-Latn-ME"/>
        </w:rPr>
      </w:pPr>
    </w:p>
    <w:p w14:paraId="793BCB50" w14:textId="351FDEB1" w:rsidR="00CE09F3" w:rsidRPr="00D768EF" w:rsidRDefault="00CE09F3" w:rsidP="00923865">
      <w:pPr>
        <w:pStyle w:val="NASLOV123"/>
        <w:rPr>
          <w:lang w:val="sr-Latn-ME"/>
        </w:rPr>
      </w:pPr>
      <w:r w:rsidRPr="00D768EF">
        <w:rPr>
          <w:lang w:val="sr-Latn-ME"/>
        </w:rPr>
        <w:t xml:space="preserve">1. </w:t>
      </w:r>
      <w:r w:rsidR="00DA6A33">
        <w:rPr>
          <w:lang w:val="sr-Latn-ME"/>
        </w:rPr>
        <w:tab/>
      </w:r>
      <w:r w:rsidR="00E7101F" w:rsidRPr="00D768EF">
        <w:rPr>
          <w:lang w:val="sr-Latn-ME"/>
        </w:rPr>
        <w:t xml:space="preserve">NAZIV </w:t>
      </w:r>
      <w:r w:rsidRPr="00D768EF">
        <w:rPr>
          <w:lang w:val="sr-Latn-ME"/>
        </w:rPr>
        <w:t>L</w:t>
      </w:r>
      <w:r w:rsidR="00E7101F" w:rsidRPr="00D768EF">
        <w:rPr>
          <w:lang w:val="sr-Latn-ME"/>
        </w:rPr>
        <w:t>IJ</w:t>
      </w:r>
      <w:r w:rsidRPr="00D768EF">
        <w:rPr>
          <w:lang w:val="sr-Latn-ME"/>
        </w:rPr>
        <w:t>EKA</w:t>
      </w:r>
    </w:p>
    <w:p w14:paraId="05F3B513" w14:textId="33CDB87B" w:rsidR="004866AC" w:rsidRPr="00D768EF" w:rsidRDefault="004866AC" w:rsidP="004866AC">
      <w:pPr>
        <w:jc w:val="left"/>
        <w:rPr>
          <w:color w:val="000000"/>
          <w:szCs w:val="22"/>
          <w:lang w:val="sr-Latn-ME"/>
        </w:rPr>
      </w:pPr>
      <w:r w:rsidRPr="00D768EF">
        <w:rPr>
          <w:color w:val="000000"/>
          <w:szCs w:val="22"/>
          <w:lang w:val="sr-Latn-ME"/>
        </w:rPr>
        <w:t xml:space="preserve">Inflectra, 100 mg, </w:t>
      </w:r>
      <w:bookmarkStart w:id="0" w:name="OLE_LINK7"/>
      <w:bookmarkStart w:id="1" w:name="OLE_LINK8"/>
      <w:r w:rsidRPr="00D768EF">
        <w:rPr>
          <w:color w:val="000000"/>
          <w:szCs w:val="22"/>
          <w:lang w:val="sr-Latn-ME"/>
        </w:rPr>
        <w:t>prašak za koncentrat za rastvor za infuziju</w:t>
      </w:r>
      <w:bookmarkEnd w:id="0"/>
      <w:bookmarkEnd w:id="1"/>
    </w:p>
    <w:p w14:paraId="71765ADD" w14:textId="77777777" w:rsidR="00CE09F3" w:rsidRPr="00D768EF" w:rsidRDefault="00CE09F3" w:rsidP="00923865">
      <w:pPr>
        <w:rPr>
          <w:bCs/>
          <w:szCs w:val="22"/>
          <w:lang w:val="sr-Latn-ME"/>
        </w:rPr>
      </w:pPr>
    </w:p>
    <w:p w14:paraId="6488BCA1" w14:textId="77777777" w:rsidR="00CE09F3" w:rsidRPr="00D768EF" w:rsidRDefault="00CE09F3" w:rsidP="00923865">
      <w:pPr>
        <w:rPr>
          <w:szCs w:val="22"/>
          <w:lang w:val="sr-Latn-ME"/>
        </w:rPr>
      </w:pPr>
      <w:r w:rsidRPr="00D768EF">
        <w:rPr>
          <w:szCs w:val="22"/>
          <w:lang w:val="sr-Latn-ME"/>
        </w:rPr>
        <w:t>INN:</w:t>
      </w:r>
      <w:r w:rsidR="004866AC" w:rsidRPr="00D768EF">
        <w:rPr>
          <w:szCs w:val="22"/>
          <w:lang w:val="sr-Latn-ME"/>
        </w:rPr>
        <w:t xml:space="preserve"> infliksimab</w:t>
      </w:r>
    </w:p>
    <w:p w14:paraId="6CB95F80" w14:textId="77777777" w:rsidR="00CE09F3" w:rsidRPr="00D768EF" w:rsidRDefault="00CE09F3" w:rsidP="00923865">
      <w:pPr>
        <w:rPr>
          <w:szCs w:val="22"/>
          <w:lang w:val="sr-Latn-ME"/>
        </w:rPr>
      </w:pPr>
    </w:p>
    <w:p w14:paraId="1E91AABD" w14:textId="7CB04ECF" w:rsidR="00CE09F3" w:rsidRPr="00D768EF" w:rsidRDefault="00CE09F3" w:rsidP="00923865">
      <w:pPr>
        <w:pStyle w:val="NASLOV123"/>
        <w:rPr>
          <w:lang w:val="sr-Latn-ME"/>
        </w:rPr>
      </w:pPr>
      <w:r w:rsidRPr="00D768EF">
        <w:rPr>
          <w:lang w:val="sr-Latn-ME"/>
        </w:rPr>
        <w:t>2.</w:t>
      </w:r>
      <w:r w:rsidR="00DA6A33">
        <w:rPr>
          <w:lang w:val="sr-Latn-ME"/>
        </w:rPr>
        <w:tab/>
      </w:r>
      <w:r w:rsidRPr="00D768EF">
        <w:rPr>
          <w:lang w:val="sr-Latn-ME"/>
        </w:rPr>
        <w:t xml:space="preserve"> KVALITATIVNI I KVANTITATIVNI SASTAV</w:t>
      </w:r>
    </w:p>
    <w:p w14:paraId="554FC43D" w14:textId="762B1FB2" w:rsidR="004866AC" w:rsidRPr="00D768EF" w:rsidRDefault="000155D7" w:rsidP="004866AC">
      <w:pPr>
        <w:rPr>
          <w:color w:val="000000"/>
          <w:szCs w:val="22"/>
          <w:lang w:val="sr-Latn-ME"/>
        </w:rPr>
      </w:pPr>
      <w:r w:rsidRPr="00D768EF">
        <w:rPr>
          <w:color w:val="000000"/>
          <w:szCs w:val="22"/>
          <w:lang w:val="sr-Latn-ME"/>
        </w:rPr>
        <w:t>Jedna</w:t>
      </w:r>
      <w:r w:rsidR="004866AC" w:rsidRPr="00D768EF">
        <w:rPr>
          <w:color w:val="000000"/>
          <w:szCs w:val="22"/>
          <w:lang w:val="sr-Latn-ME"/>
        </w:rPr>
        <w:t xml:space="preserve"> bočica sadrži 100 mg infliksimaba. Posle rekonstitucije, </w:t>
      </w:r>
      <w:r w:rsidR="0098722C" w:rsidRPr="00D768EF">
        <w:rPr>
          <w:color w:val="000000"/>
          <w:szCs w:val="22"/>
          <w:lang w:val="sr-Latn-ME"/>
        </w:rPr>
        <w:t>jedan</w:t>
      </w:r>
      <w:r w:rsidR="004866AC" w:rsidRPr="00D768EF">
        <w:rPr>
          <w:color w:val="000000"/>
          <w:szCs w:val="22"/>
          <w:lang w:val="sr-Latn-ME"/>
        </w:rPr>
        <w:t xml:space="preserve"> m</w:t>
      </w:r>
      <w:r w:rsidR="004A5B01">
        <w:rPr>
          <w:color w:val="000000"/>
          <w:szCs w:val="22"/>
          <w:lang w:val="sr-Latn-ME"/>
        </w:rPr>
        <w:t>l</w:t>
      </w:r>
      <w:r w:rsidR="004866AC" w:rsidRPr="00D768EF">
        <w:rPr>
          <w:color w:val="000000"/>
          <w:szCs w:val="22"/>
          <w:lang w:val="sr-Latn-ME"/>
        </w:rPr>
        <w:t xml:space="preserve"> sadrži 10 mg infliksimaba. </w:t>
      </w:r>
    </w:p>
    <w:p w14:paraId="70283F1C" w14:textId="77777777" w:rsidR="004866AC" w:rsidRPr="00D768EF" w:rsidRDefault="004866AC" w:rsidP="004866AC">
      <w:pPr>
        <w:rPr>
          <w:color w:val="000000"/>
          <w:szCs w:val="22"/>
          <w:lang w:val="sr-Latn-ME"/>
        </w:rPr>
      </w:pPr>
    </w:p>
    <w:p w14:paraId="530A050A" w14:textId="6F6BE7C6" w:rsidR="004866AC" w:rsidRPr="00D768EF" w:rsidRDefault="004866AC" w:rsidP="004866AC">
      <w:pPr>
        <w:rPr>
          <w:color w:val="000000"/>
          <w:szCs w:val="22"/>
          <w:lang w:val="sr-Latn-ME"/>
        </w:rPr>
      </w:pPr>
      <w:r w:rsidRPr="00D768EF">
        <w:rPr>
          <w:color w:val="000000"/>
          <w:szCs w:val="22"/>
          <w:lang w:val="sr-Latn-ME"/>
        </w:rPr>
        <w:t>Infliksimab je</w:t>
      </w:r>
      <w:r w:rsidRPr="00D768EF">
        <w:rPr>
          <w:szCs w:val="22"/>
          <w:lang w:val="sr-Latn-ME"/>
        </w:rPr>
        <w:t xml:space="preserve"> </w:t>
      </w:r>
      <w:r w:rsidRPr="00D768EF">
        <w:rPr>
          <w:color w:val="000000"/>
          <w:szCs w:val="22"/>
          <w:lang w:val="sr-Latn-ME"/>
        </w:rPr>
        <w:t>himerno ljudsko-mišje IgG1 monoklonsko antit</w:t>
      </w:r>
      <w:r w:rsidR="00E7101F" w:rsidRPr="00D768EF">
        <w:rPr>
          <w:color w:val="000000"/>
          <w:szCs w:val="22"/>
          <w:lang w:val="sr-Latn-ME"/>
        </w:rPr>
        <w:t>ij</w:t>
      </w:r>
      <w:r w:rsidRPr="00D768EF">
        <w:rPr>
          <w:color w:val="000000"/>
          <w:szCs w:val="22"/>
          <w:lang w:val="sr-Latn-ME"/>
        </w:rPr>
        <w:t xml:space="preserve">elo proizvedeno u ćelijama mišjeg hibridoma, tehnologijom rekombinantne DNK. </w:t>
      </w:r>
    </w:p>
    <w:p w14:paraId="427031D1" w14:textId="77777777" w:rsidR="004866AC" w:rsidRPr="00D768EF" w:rsidRDefault="004866AC" w:rsidP="004866AC">
      <w:pPr>
        <w:tabs>
          <w:tab w:val="clear" w:pos="284"/>
        </w:tabs>
        <w:autoSpaceDE w:val="0"/>
        <w:autoSpaceDN w:val="0"/>
        <w:adjustRightInd w:val="0"/>
        <w:rPr>
          <w:szCs w:val="22"/>
          <w:lang w:val="sr-Latn-ME"/>
        </w:rPr>
      </w:pPr>
    </w:p>
    <w:p w14:paraId="6533E8F4" w14:textId="1E180B9C" w:rsidR="004866AC" w:rsidRPr="00D768EF" w:rsidRDefault="004866AC" w:rsidP="004866AC">
      <w:pPr>
        <w:pStyle w:val="Header"/>
        <w:tabs>
          <w:tab w:val="left" w:pos="284"/>
        </w:tabs>
        <w:rPr>
          <w:szCs w:val="22"/>
          <w:lang w:val="sr-Latn-ME"/>
        </w:rPr>
      </w:pPr>
      <w:r w:rsidRPr="00D768EF">
        <w:rPr>
          <w:szCs w:val="22"/>
          <w:lang w:val="sr-Latn-ME"/>
        </w:rPr>
        <w:t xml:space="preserve">Za </w:t>
      </w:r>
      <w:r w:rsidR="00E7101F" w:rsidRPr="00D768EF">
        <w:rPr>
          <w:szCs w:val="22"/>
          <w:lang w:val="sr-Latn-ME"/>
        </w:rPr>
        <w:t>spisak</w:t>
      </w:r>
      <w:r w:rsidRPr="00D768EF">
        <w:rPr>
          <w:szCs w:val="22"/>
          <w:lang w:val="sr-Latn-ME"/>
        </w:rPr>
        <w:t xml:space="preserve"> svih </w:t>
      </w:r>
      <w:r w:rsidR="00E7101F" w:rsidRPr="00D768EF">
        <w:rPr>
          <w:szCs w:val="22"/>
          <w:lang w:val="sr-Latn-ME"/>
        </w:rPr>
        <w:t>ekscipijenasa, pogledati dio</w:t>
      </w:r>
      <w:r w:rsidRPr="00D768EF">
        <w:rPr>
          <w:szCs w:val="22"/>
          <w:lang w:val="sr-Latn-ME"/>
        </w:rPr>
        <w:t xml:space="preserve"> 6.1.</w:t>
      </w:r>
    </w:p>
    <w:p w14:paraId="137CC42A" w14:textId="77777777" w:rsidR="00CE09F3" w:rsidRPr="00D768EF" w:rsidRDefault="00CE09F3" w:rsidP="00923865">
      <w:pPr>
        <w:rPr>
          <w:szCs w:val="22"/>
          <w:lang w:val="sr-Latn-ME"/>
        </w:rPr>
      </w:pPr>
    </w:p>
    <w:p w14:paraId="347E4BD6" w14:textId="463C17D0" w:rsidR="00CE09F3" w:rsidRPr="00D768EF" w:rsidRDefault="00CE09F3" w:rsidP="00923865">
      <w:pPr>
        <w:pStyle w:val="NASLOV123"/>
        <w:rPr>
          <w:lang w:val="sr-Latn-ME"/>
        </w:rPr>
      </w:pPr>
      <w:r w:rsidRPr="00D768EF">
        <w:rPr>
          <w:lang w:val="sr-Latn-ME"/>
        </w:rPr>
        <w:t>3.</w:t>
      </w:r>
      <w:r w:rsidR="00DA6A33">
        <w:rPr>
          <w:lang w:val="sr-Latn-ME"/>
        </w:rPr>
        <w:tab/>
      </w:r>
      <w:r w:rsidRPr="00D768EF">
        <w:rPr>
          <w:lang w:val="sr-Latn-ME"/>
        </w:rPr>
        <w:t xml:space="preserve"> FARMACEUTSKI OBLIK</w:t>
      </w:r>
    </w:p>
    <w:p w14:paraId="6C301CA4" w14:textId="77777777" w:rsidR="004866AC" w:rsidRPr="00D768EF" w:rsidRDefault="004866AC" w:rsidP="004866AC">
      <w:pPr>
        <w:outlineLvl w:val="0"/>
        <w:rPr>
          <w:color w:val="000000"/>
          <w:szCs w:val="22"/>
          <w:lang w:val="sr-Latn-ME"/>
        </w:rPr>
      </w:pPr>
      <w:r w:rsidRPr="00D768EF">
        <w:rPr>
          <w:color w:val="000000"/>
          <w:szCs w:val="22"/>
          <w:lang w:val="sr-Latn-ME"/>
        </w:rPr>
        <w:t>Prašak za koncentrat za rastvor za infuziju.</w:t>
      </w:r>
    </w:p>
    <w:p w14:paraId="0CC7BFDC" w14:textId="77777777" w:rsidR="004866AC" w:rsidRPr="00D768EF" w:rsidRDefault="004866AC" w:rsidP="004866AC">
      <w:pPr>
        <w:outlineLvl w:val="0"/>
        <w:rPr>
          <w:color w:val="000000"/>
          <w:szCs w:val="22"/>
          <w:lang w:val="sr-Latn-ME"/>
        </w:rPr>
      </w:pPr>
    </w:p>
    <w:p w14:paraId="66180D32" w14:textId="2885727B" w:rsidR="00E41FE8" w:rsidRPr="00D768EF" w:rsidRDefault="00743A44" w:rsidP="004866AC">
      <w:pPr>
        <w:rPr>
          <w:szCs w:val="22"/>
          <w:lang w:val="sr-Latn-ME"/>
        </w:rPr>
      </w:pPr>
      <w:r w:rsidRPr="00D768EF">
        <w:rPr>
          <w:szCs w:val="22"/>
          <w:lang w:val="sr-Latn-ME"/>
        </w:rPr>
        <w:t>Prašak je bijeli</w:t>
      </w:r>
      <w:r w:rsidR="004866AC" w:rsidRPr="00D768EF">
        <w:rPr>
          <w:szCs w:val="22"/>
          <w:lang w:val="sr-Latn-ME"/>
        </w:rPr>
        <w:t xml:space="preserve"> čvrsti liofilizat.</w:t>
      </w:r>
    </w:p>
    <w:p w14:paraId="43BF32CC" w14:textId="77777777" w:rsidR="004866AC" w:rsidRPr="00D768EF" w:rsidRDefault="004866AC" w:rsidP="004866AC">
      <w:pPr>
        <w:rPr>
          <w:szCs w:val="22"/>
          <w:lang w:val="sr-Latn-ME"/>
        </w:rPr>
      </w:pPr>
    </w:p>
    <w:p w14:paraId="190C8AB6" w14:textId="12948AE7" w:rsidR="00CE09F3" w:rsidRPr="00D768EF" w:rsidRDefault="00CE09F3" w:rsidP="00923865">
      <w:pPr>
        <w:pStyle w:val="NASLOV123"/>
        <w:rPr>
          <w:lang w:val="sr-Latn-ME"/>
        </w:rPr>
      </w:pPr>
      <w:r w:rsidRPr="00D768EF">
        <w:rPr>
          <w:lang w:val="sr-Latn-ME"/>
        </w:rPr>
        <w:t>4.</w:t>
      </w:r>
      <w:r w:rsidR="00DA6A33">
        <w:rPr>
          <w:lang w:val="sr-Latn-ME"/>
        </w:rPr>
        <w:tab/>
      </w:r>
      <w:r w:rsidRPr="00D768EF">
        <w:rPr>
          <w:lang w:val="sr-Latn-ME"/>
        </w:rPr>
        <w:t xml:space="preserve"> KLINIČKI PODACI</w:t>
      </w:r>
    </w:p>
    <w:p w14:paraId="1132305A" w14:textId="69C3C50C" w:rsidR="00CE09F3" w:rsidRPr="00D768EF" w:rsidRDefault="00CE09F3" w:rsidP="00923865">
      <w:pPr>
        <w:rPr>
          <w:b/>
          <w:bCs/>
          <w:szCs w:val="22"/>
          <w:lang w:val="sr-Latn-ME"/>
        </w:rPr>
      </w:pPr>
      <w:r w:rsidRPr="00D768EF">
        <w:rPr>
          <w:b/>
          <w:bCs/>
          <w:szCs w:val="22"/>
          <w:lang w:val="sr-Latn-ME"/>
        </w:rPr>
        <w:t>4.1. Terapijske indikacije</w:t>
      </w:r>
    </w:p>
    <w:p w14:paraId="4D75A411" w14:textId="77777777" w:rsidR="00CE09F3" w:rsidRPr="00D768EF" w:rsidRDefault="00CE09F3" w:rsidP="00923865">
      <w:pPr>
        <w:rPr>
          <w:szCs w:val="22"/>
          <w:lang w:val="sr-Latn-ME"/>
        </w:rPr>
      </w:pPr>
    </w:p>
    <w:p w14:paraId="352402EF" w14:textId="77777777" w:rsidR="00C175E4" w:rsidRPr="00D768EF" w:rsidRDefault="00C175E4" w:rsidP="00C175E4">
      <w:pPr>
        <w:tabs>
          <w:tab w:val="left" w:pos="0"/>
          <w:tab w:val="left" w:pos="1298"/>
          <w:tab w:val="left" w:pos="2596"/>
          <w:tab w:val="left" w:pos="3895"/>
          <w:tab w:val="left" w:pos="5193"/>
          <w:tab w:val="left" w:pos="6492"/>
          <w:tab w:val="left" w:pos="7790"/>
        </w:tabs>
        <w:rPr>
          <w:color w:val="000000"/>
          <w:szCs w:val="22"/>
          <w:u w:val="single"/>
          <w:lang w:val="sr-Latn-ME"/>
        </w:rPr>
      </w:pPr>
      <w:r w:rsidRPr="00D768EF">
        <w:rPr>
          <w:color w:val="000000"/>
          <w:szCs w:val="22"/>
          <w:u w:val="single"/>
          <w:lang w:val="sr-Latn-ME"/>
        </w:rPr>
        <w:t>Reumatoidni artritis</w:t>
      </w:r>
    </w:p>
    <w:p w14:paraId="41914DBC" w14:textId="166B5C84" w:rsidR="00C175E4" w:rsidRPr="00D768EF" w:rsidRDefault="00C175E4" w:rsidP="00C175E4">
      <w:pPr>
        <w:tabs>
          <w:tab w:val="left" w:pos="0"/>
          <w:tab w:val="left" w:pos="1298"/>
          <w:tab w:val="left" w:pos="2596"/>
          <w:tab w:val="left" w:pos="3895"/>
          <w:tab w:val="left" w:pos="5193"/>
          <w:tab w:val="left" w:pos="6492"/>
          <w:tab w:val="left" w:pos="7790"/>
        </w:tabs>
        <w:rPr>
          <w:color w:val="000000"/>
          <w:szCs w:val="22"/>
          <w:lang w:val="sr-Latn-ME"/>
        </w:rPr>
      </w:pPr>
      <w:r w:rsidRPr="00D768EF">
        <w:rPr>
          <w:color w:val="000000"/>
          <w:szCs w:val="22"/>
          <w:lang w:val="sr-Latn-ME"/>
        </w:rPr>
        <w:t>L</w:t>
      </w:r>
      <w:r w:rsidR="00E7101F" w:rsidRPr="00D768EF">
        <w:rPr>
          <w:color w:val="000000"/>
          <w:szCs w:val="22"/>
          <w:lang w:val="sr-Latn-ME"/>
        </w:rPr>
        <w:t>ij</w:t>
      </w:r>
      <w:r w:rsidRPr="00D768EF">
        <w:rPr>
          <w:color w:val="000000"/>
          <w:szCs w:val="22"/>
          <w:lang w:val="sr-Latn-ME"/>
        </w:rPr>
        <w:t>ek Inflectra, u kombinaciji sa metotreksatom, je indikovan za smanjenja znakova i simptoma, kao i za poboljšanje fizičkih funkcija kod:</w:t>
      </w:r>
    </w:p>
    <w:p w14:paraId="7E600700" w14:textId="56E22C93" w:rsidR="00C175E4" w:rsidRPr="00D768EF" w:rsidRDefault="00C175E4" w:rsidP="00C175E4">
      <w:pPr>
        <w:numPr>
          <w:ilvl w:val="0"/>
          <w:numId w:val="4"/>
        </w:numPr>
        <w:tabs>
          <w:tab w:val="clear" w:pos="284"/>
          <w:tab w:val="clear" w:pos="567"/>
        </w:tabs>
        <w:rPr>
          <w:color w:val="000000"/>
          <w:szCs w:val="22"/>
          <w:lang w:val="sr-Latn-ME"/>
        </w:rPr>
      </w:pPr>
      <w:r w:rsidRPr="00D768EF">
        <w:rPr>
          <w:color w:val="000000"/>
          <w:szCs w:val="22"/>
          <w:lang w:val="sr-Latn-ME"/>
        </w:rPr>
        <w:t>odraslih pacijenata sa aktivnom bolešću čiji odgovor na antireumatske l</w:t>
      </w:r>
      <w:r w:rsidR="00E7101F" w:rsidRPr="00D768EF">
        <w:rPr>
          <w:color w:val="000000"/>
          <w:szCs w:val="22"/>
          <w:lang w:val="sr-Latn-ME"/>
        </w:rPr>
        <w:t>j</w:t>
      </w:r>
      <w:r w:rsidRPr="00D768EF">
        <w:rPr>
          <w:color w:val="000000"/>
          <w:szCs w:val="22"/>
          <w:lang w:val="sr-Latn-ME"/>
        </w:rPr>
        <w:t>ekove koji modifikuju tok bolesti (</w:t>
      </w:r>
      <w:r w:rsidRPr="00D768EF">
        <w:rPr>
          <w:i/>
          <w:color w:val="000000"/>
          <w:szCs w:val="22"/>
          <w:lang w:val="sr-Latn-ME"/>
        </w:rPr>
        <w:t>eng</w:t>
      </w:r>
      <w:r w:rsidR="00D77C15" w:rsidRPr="00D768EF">
        <w:rPr>
          <w:i/>
          <w:color w:val="000000"/>
          <w:szCs w:val="22"/>
          <w:lang w:val="sr-Latn-ME"/>
        </w:rPr>
        <w:t>l</w:t>
      </w:r>
      <w:r w:rsidRPr="00D768EF">
        <w:rPr>
          <w:i/>
          <w:color w:val="000000"/>
          <w:szCs w:val="22"/>
          <w:lang w:val="sr-Latn-ME"/>
        </w:rPr>
        <w:t>. disease-modifying antirheumatic drugs</w:t>
      </w:r>
      <w:r w:rsidRPr="00D768EF">
        <w:rPr>
          <w:color w:val="000000"/>
          <w:szCs w:val="22"/>
          <w:lang w:val="sr-Latn-ME"/>
        </w:rPr>
        <w:t>, DMARD), uključujući metotreksat, nije bio odgovarajući.</w:t>
      </w:r>
    </w:p>
    <w:p w14:paraId="44F985CF" w14:textId="0FC2D54C" w:rsidR="00C175E4" w:rsidRPr="00D768EF" w:rsidRDefault="00C175E4" w:rsidP="00C175E4">
      <w:pPr>
        <w:numPr>
          <w:ilvl w:val="0"/>
          <w:numId w:val="4"/>
        </w:numPr>
        <w:tabs>
          <w:tab w:val="clear" w:pos="284"/>
          <w:tab w:val="clear" w:pos="567"/>
        </w:tabs>
        <w:rPr>
          <w:color w:val="000000"/>
          <w:szCs w:val="22"/>
          <w:lang w:val="sr-Latn-ME"/>
        </w:rPr>
      </w:pPr>
      <w:r w:rsidRPr="00D768EF">
        <w:rPr>
          <w:color w:val="000000"/>
          <w:szCs w:val="22"/>
          <w:lang w:val="sr-Latn-ME"/>
        </w:rPr>
        <w:t>odraslih pacijenata sa teškom, aktivnom i progresivnom bolešću, koji prethodno nisu bili l</w:t>
      </w:r>
      <w:r w:rsidR="00E7101F" w:rsidRPr="00D768EF">
        <w:rPr>
          <w:color w:val="000000"/>
          <w:szCs w:val="22"/>
          <w:lang w:val="sr-Latn-ME"/>
        </w:rPr>
        <w:t>ij</w:t>
      </w:r>
      <w:r w:rsidRPr="00D768EF">
        <w:rPr>
          <w:color w:val="000000"/>
          <w:szCs w:val="22"/>
          <w:lang w:val="sr-Latn-ME"/>
        </w:rPr>
        <w:t>ečeni metotreksatom ili drugim antireumatskim l</w:t>
      </w:r>
      <w:r w:rsidR="00E7101F" w:rsidRPr="00D768EF">
        <w:rPr>
          <w:color w:val="000000"/>
          <w:szCs w:val="22"/>
          <w:lang w:val="sr-Latn-ME"/>
        </w:rPr>
        <w:t>j</w:t>
      </w:r>
      <w:r w:rsidRPr="00D768EF">
        <w:rPr>
          <w:color w:val="000000"/>
          <w:szCs w:val="22"/>
          <w:lang w:val="sr-Latn-ME"/>
        </w:rPr>
        <w:t>ekovima koji modifikuju tok bolesti (DMARD).</w:t>
      </w:r>
    </w:p>
    <w:p w14:paraId="338F24F3" w14:textId="512D7CD0" w:rsidR="00C175E4" w:rsidRPr="00D768EF" w:rsidRDefault="00C175E4" w:rsidP="00C175E4">
      <w:pPr>
        <w:rPr>
          <w:color w:val="000000"/>
          <w:szCs w:val="22"/>
          <w:lang w:val="sr-Latn-ME"/>
        </w:rPr>
      </w:pPr>
      <w:r w:rsidRPr="00D768EF">
        <w:rPr>
          <w:color w:val="000000"/>
          <w:szCs w:val="22"/>
          <w:lang w:val="sr-Latn-ME"/>
        </w:rPr>
        <w:t>Kod ovih pacijenata, rendgenskim snimcima je pokazano smanjenje brzine progresije oštećenja zglobova (vid</w:t>
      </w:r>
      <w:r w:rsidR="00E7101F" w:rsidRPr="00D768EF">
        <w:rPr>
          <w:color w:val="000000"/>
          <w:szCs w:val="22"/>
          <w:lang w:val="sr-Latn-ME"/>
        </w:rPr>
        <w:t>j</w:t>
      </w:r>
      <w:r w:rsidRPr="00D768EF">
        <w:rPr>
          <w:color w:val="000000"/>
          <w:szCs w:val="22"/>
          <w:lang w:val="sr-Latn-ME"/>
        </w:rPr>
        <w:t xml:space="preserve">eti </w:t>
      </w:r>
      <w:r w:rsidR="00E7101F" w:rsidRPr="00D768EF">
        <w:rPr>
          <w:color w:val="000000"/>
          <w:szCs w:val="22"/>
          <w:lang w:val="sr-Latn-ME"/>
        </w:rPr>
        <w:t>di</w:t>
      </w:r>
      <w:r w:rsidRPr="00D768EF">
        <w:rPr>
          <w:color w:val="000000"/>
          <w:szCs w:val="22"/>
          <w:lang w:val="sr-Latn-ME"/>
        </w:rPr>
        <w:t>o 5.1).</w:t>
      </w:r>
    </w:p>
    <w:p w14:paraId="15895473" w14:textId="77777777" w:rsidR="00C175E4" w:rsidRPr="00D768EF" w:rsidRDefault="00C175E4" w:rsidP="00C175E4">
      <w:pPr>
        <w:rPr>
          <w:color w:val="000000"/>
          <w:szCs w:val="22"/>
          <w:lang w:val="sr-Latn-ME"/>
        </w:rPr>
      </w:pPr>
    </w:p>
    <w:p w14:paraId="50796EE8" w14:textId="77777777" w:rsidR="00C175E4" w:rsidRPr="00D768EF" w:rsidRDefault="00C175E4" w:rsidP="00C175E4">
      <w:pPr>
        <w:outlineLvl w:val="0"/>
        <w:rPr>
          <w:color w:val="000000"/>
          <w:szCs w:val="22"/>
          <w:u w:val="single"/>
          <w:lang w:val="sr-Latn-ME"/>
        </w:rPr>
      </w:pPr>
      <w:r w:rsidRPr="00D768EF">
        <w:rPr>
          <w:color w:val="000000"/>
          <w:szCs w:val="22"/>
          <w:u w:val="single"/>
          <w:lang w:val="sr-Latn-ME"/>
        </w:rPr>
        <w:t xml:space="preserve">Kronova bolest kod odraslih </w:t>
      </w:r>
    </w:p>
    <w:p w14:paraId="5DA09DC9" w14:textId="77777777" w:rsidR="00C175E4" w:rsidRPr="00D768EF" w:rsidRDefault="00C175E4" w:rsidP="00C175E4">
      <w:pPr>
        <w:rPr>
          <w:color w:val="000000"/>
          <w:szCs w:val="22"/>
          <w:lang w:val="sr-Latn-ME"/>
        </w:rPr>
      </w:pPr>
      <w:r w:rsidRPr="00D768EF">
        <w:rPr>
          <w:color w:val="000000"/>
          <w:szCs w:val="22"/>
          <w:lang w:val="sr-Latn-ME"/>
        </w:rPr>
        <w:t>L</w:t>
      </w:r>
      <w:r w:rsidR="00E7101F" w:rsidRPr="00D768EF">
        <w:rPr>
          <w:color w:val="000000"/>
          <w:szCs w:val="22"/>
          <w:lang w:val="sr-Latn-ME"/>
        </w:rPr>
        <w:t>ij</w:t>
      </w:r>
      <w:r w:rsidRPr="00D768EF">
        <w:rPr>
          <w:color w:val="000000"/>
          <w:szCs w:val="22"/>
          <w:lang w:val="sr-Latn-ME"/>
        </w:rPr>
        <w:t>ek Inflectra je indikovan za:</w:t>
      </w:r>
    </w:p>
    <w:p w14:paraId="75D20A3F" w14:textId="228593BB" w:rsidR="00C175E4" w:rsidRPr="00D768EF" w:rsidRDefault="00C175E4" w:rsidP="00C175E4">
      <w:pPr>
        <w:numPr>
          <w:ilvl w:val="0"/>
          <w:numId w:val="5"/>
        </w:numPr>
        <w:tabs>
          <w:tab w:val="clear" w:pos="284"/>
          <w:tab w:val="clear" w:pos="567"/>
        </w:tabs>
        <w:rPr>
          <w:color w:val="000000"/>
          <w:szCs w:val="22"/>
          <w:lang w:val="sr-Latn-ME"/>
        </w:rPr>
      </w:pPr>
      <w:r w:rsidRPr="00D768EF">
        <w:rPr>
          <w:color w:val="000000"/>
          <w:szCs w:val="22"/>
          <w:lang w:val="sr-Latn-ME"/>
        </w:rPr>
        <w:t>l</w:t>
      </w:r>
      <w:r w:rsidR="00E7101F" w:rsidRPr="00D768EF">
        <w:rPr>
          <w:color w:val="000000"/>
          <w:szCs w:val="22"/>
          <w:lang w:val="sr-Latn-ME"/>
        </w:rPr>
        <w:t>ij</w:t>
      </w:r>
      <w:r w:rsidRPr="00D768EF">
        <w:rPr>
          <w:color w:val="000000"/>
          <w:szCs w:val="22"/>
          <w:lang w:val="sr-Latn-ME"/>
        </w:rPr>
        <w:t>ečenje um</w:t>
      </w:r>
      <w:r w:rsidR="009E46CC" w:rsidRPr="00D768EF">
        <w:rPr>
          <w:color w:val="000000"/>
          <w:szCs w:val="22"/>
          <w:lang w:val="sr-Latn-ME"/>
        </w:rPr>
        <w:t>j</w:t>
      </w:r>
      <w:r w:rsidRPr="00D768EF">
        <w:rPr>
          <w:color w:val="000000"/>
          <w:szCs w:val="22"/>
          <w:lang w:val="sr-Latn-ME"/>
        </w:rPr>
        <w:t xml:space="preserve">erenog do teškog oblika aktivne Kronove bolesti kod odraslih pacijenata koji nisu odreagovali na potpunu i odgovarajuću terapiju kortikosteroidom i/ili imunosupresivom; ili koji ne podnose ili kod kojih postoje medicinske kontraindikacije za </w:t>
      </w:r>
      <w:r w:rsidR="00780BB3" w:rsidRPr="00D768EF">
        <w:rPr>
          <w:color w:val="000000"/>
          <w:szCs w:val="22"/>
          <w:lang w:val="sr-Latn-ME"/>
        </w:rPr>
        <w:t>njih;</w:t>
      </w:r>
      <w:r w:rsidRPr="00D768EF">
        <w:rPr>
          <w:color w:val="000000"/>
          <w:szCs w:val="22"/>
          <w:lang w:val="sr-Latn-ME"/>
        </w:rPr>
        <w:t xml:space="preserve"> </w:t>
      </w:r>
    </w:p>
    <w:p w14:paraId="15E0181D" w14:textId="5DEEC256" w:rsidR="00C175E4" w:rsidRPr="00D768EF" w:rsidRDefault="00C175E4" w:rsidP="00C175E4">
      <w:pPr>
        <w:numPr>
          <w:ilvl w:val="0"/>
          <w:numId w:val="5"/>
        </w:numPr>
        <w:tabs>
          <w:tab w:val="clear" w:pos="284"/>
          <w:tab w:val="clear" w:pos="567"/>
        </w:tabs>
        <w:rPr>
          <w:color w:val="000000"/>
          <w:szCs w:val="22"/>
          <w:lang w:val="sr-Latn-ME"/>
        </w:rPr>
      </w:pPr>
      <w:r w:rsidRPr="00D768EF">
        <w:rPr>
          <w:color w:val="000000"/>
          <w:szCs w:val="22"/>
          <w:lang w:val="sr-Latn-ME"/>
        </w:rPr>
        <w:t>l</w:t>
      </w:r>
      <w:r w:rsidR="00E7101F" w:rsidRPr="00D768EF">
        <w:rPr>
          <w:color w:val="000000"/>
          <w:szCs w:val="22"/>
          <w:lang w:val="sr-Latn-ME"/>
        </w:rPr>
        <w:t>ij</w:t>
      </w:r>
      <w:r w:rsidRPr="00D768EF">
        <w:rPr>
          <w:color w:val="000000"/>
          <w:szCs w:val="22"/>
          <w:lang w:val="sr-Latn-ME"/>
        </w:rPr>
        <w:t xml:space="preserve">ečenje fistuloznog oblika aktivne Kronove bolesti kod odraslih pacijenata koji nisu odreagovali na </w:t>
      </w:r>
      <w:r w:rsidR="00780BB3" w:rsidRPr="00D768EF">
        <w:rPr>
          <w:color w:val="000000"/>
          <w:szCs w:val="22"/>
          <w:lang w:val="sr-Latn-ME"/>
        </w:rPr>
        <w:t>pot</w:t>
      </w:r>
      <w:r w:rsidRPr="00D768EF">
        <w:rPr>
          <w:color w:val="000000"/>
          <w:szCs w:val="22"/>
          <w:lang w:val="sr-Latn-ME"/>
        </w:rPr>
        <w:t>punu i odgovarajuću konvencionalnu terapiju (uključujući antibiotike, drenažu i imunosupresivnu terapiju).</w:t>
      </w:r>
    </w:p>
    <w:p w14:paraId="5109C283" w14:textId="2E5DCBDD" w:rsidR="00C175E4" w:rsidRDefault="00C175E4" w:rsidP="00C175E4">
      <w:pPr>
        <w:rPr>
          <w:color w:val="000000"/>
          <w:szCs w:val="22"/>
          <w:lang w:val="sr-Latn-ME"/>
        </w:rPr>
      </w:pPr>
    </w:p>
    <w:p w14:paraId="5F62A178" w14:textId="69AC3F65" w:rsidR="00DA6A33" w:rsidRDefault="00DA6A33" w:rsidP="00C175E4">
      <w:pPr>
        <w:rPr>
          <w:color w:val="000000"/>
          <w:szCs w:val="22"/>
          <w:lang w:val="sr-Latn-ME"/>
        </w:rPr>
      </w:pPr>
    </w:p>
    <w:p w14:paraId="100907D8" w14:textId="77777777" w:rsidR="00DA6A33" w:rsidRPr="00D768EF" w:rsidRDefault="00DA6A33" w:rsidP="00C175E4">
      <w:pPr>
        <w:rPr>
          <w:color w:val="000000"/>
          <w:szCs w:val="22"/>
          <w:lang w:val="sr-Latn-ME"/>
        </w:rPr>
      </w:pPr>
    </w:p>
    <w:p w14:paraId="7E77FB58" w14:textId="77777777" w:rsidR="00C175E4" w:rsidRPr="00D768EF" w:rsidRDefault="00C175E4" w:rsidP="00C175E4">
      <w:pPr>
        <w:rPr>
          <w:color w:val="000000"/>
          <w:szCs w:val="22"/>
          <w:u w:val="single"/>
          <w:lang w:val="sr-Latn-ME"/>
        </w:rPr>
      </w:pPr>
      <w:r w:rsidRPr="00D768EF">
        <w:rPr>
          <w:color w:val="000000"/>
          <w:szCs w:val="22"/>
          <w:u w:val="single"/>
          <w:lang w:val="sr-Latn-ME"/>
        </w:rPr>
        <w:lastRenderedPageBreak/>
        <w:t>Kronova bolest kod d</w:t>
      </w:r>
      <w:r w:rsidR="00E7101F" w:rsidRPr="00D768EF">
        <w:rPr>
          <w:color w:val="000000"/>
          <w:szCs w:val="22"/>
          <w:u w:val="single"/>
          <w:lang w:val="sr-Latn-ME"/>
        </w:rPr>
        <w:t>j</w:t>
      </w:r>
      <w:r w:rsidRPr="00D768EF">
        <w:rPr>
          <w:color w:val="000000"/>
          <w:szCs w:val="22"/>
          <w:u w:val="single"/>
          <w:lang w:val="sr-Latn-ME"/>
        </w:rPr>
        <w:t xml:space="preserve">ece </w:t>
      </w:r>
    </w:p>
    <w:p w14:paraId="5BF2646A" w14:textId="79812580" w:rsidR="00C175E4" w:rsidRPr="00D768EF" w:rsidRDefault="00C175E4" w:rsidP="00C175E4">
      <w:pPr>
        <w:rPr>
          <w:iCs/>
          <w:color w:val="000000"/>
          <w:szCs w:val="22"/>
          <w:lang w:val="sr-Latn-ME"/>
        </w:rPr>
      </w:pPr>
      <w:r w:rsidRPr="00D768EF">
        <w:rPr>
          <w:szCs w:val="22"/>
          <w:lang w:val="sr-Latn-ME"/>
        </w:rPr>
        <w:t>L</w:t>
      </w:r>
      <w:r w:rsidR="00E7101F" w:rsidRPr="00D768EF">
        <w:rPr>
          <w:szCs w:val="22"/>
          <w:lang w:val="sr-Latn-ME"/>
        </w:rPr>
        <w:t>ij</w:t>
      </w:r>
      <w:r w:rsidRPr="00D768EF">
        <w:rPr>
          <w:szCs w:val="22"/>
          <w:lang w:val="sr-Latn-ME"/>
        </w:rPr>
        <w:t xml:space="preserve">ek Inflectra </w:t>
      </w:r>
      <w:r w:rsidRPr="00D768EF">
        <w:rPr>
          <w:color w:val="000000"/>
          <w:szCs w:val="22"/>
          <w:lang w:val="sr-Latn-ME"/>
        </w:rPr>
        <w:t>je indikovan za l</w:t>
      </w:r>
      <w:r w:rsidR="00E7101F" w:rsidRPr="00D768EF">
        <w:rPr>
          <w:color w:val="000000"/>
          <w:szCs w:val="22"/>
          <w:lang w:val="sr-Latn-ME"/>
        </w:rPr>
        <w:t>ij</w:t>
      </w:r>
      <w:r w:rsidRPr="00D768EF">
        <w:rPr>
          <w:color w:val="000000"/>
          <w:szCs w:val="22"/>
          <w:lang w:val="sr-Latn-ME"/>
        </w:rPr>
        <w:t>ečenje teškog oblika aktivne Kronove bolesti</w:t>
      </w:r>
      <w:r w:rsidRPr="00D768EF">
        <w:rPr>
          <w:iCs/>
          <w:color w:val="000000"/>
          <w:szCs w:val="22"/>
          <w:lang w:val="sr-Latn-ME"/>
        </w:rPr>
        <w:t xml:space="preserve"> kod d</w:t>
      </w:r>
      <w:r w:rsidR="00E7101F" w:rsidRPr="00D768EF">
        <w:rPr>
          <w:iCs/>
          <w:color w:val="000000"/>
          <w:szCs w:val="22"/>
          <w:lang w:val="sr-Latn-ME"/>
        </w:rPr>
        <w:t>j</w:t>
      </w:r>
      <w:r w:rsidRPr="00D768EF">
        <w:rPr>
          <w:iCs/>
          <w:color w:val="000000"/>
          <w:szCs w:val="22"/>
          <w:lang w:val="sr-Latn-ME"/>
        </w:rPr>
        <w:t xml:space="preserve">ece i adolescenata uzrasta od 6 do 17 godina, </w:t>
      </w:r>
      <w:r w:rsidRPr="00D768EF">
        <w:rPr>
          <w:color w:val="000000"/>
          <w:szCs w:val="22"/>
          <w:lang w:val="sr-Latn-ME"/>
        </w:rPr>
        <w:t xml:space="preserve">koji nisu odreagovali na konvencionalnu terapiju, uključujući kortikosteroid, imunomodulator i primarnu nutritivnu terapiju; ili koji ne podnose takve vrste terapija ili </w:t>
      </w:r>
      <w:r w:rsidR="00780BB3" w:rsidRPr="00D768EF">
        <w:rPr>
          <w:color w:val="000000"/>
          <w:szCs w:val="22"/>
          <w:lang w:val="sr-Latn-ME"/>
        </w:rPr>
        <w:t>kod kojih postoje medicinske kontraindikacije za</w:t>
      </w:r>
      <w:r w:rsidRPr="00D768EF">
        <w:rPr>
          <w:color w:val="000000"/>
          <w:szCs w:val="22"/>
          <w:lang w:val="sr-Latn-ME"/>
        </w:rPr>
        <w:t xml:space="preserve"> njih. </w:t>
      </w:r>
      <w:r w:rsidRPr="00D768EF">
        <w:rPr>
          <w:iCs/>
          <w:color w:val="000000"/>
          <w:szCs w:val="22"/>
          <w:lang w:val="sr-Latn-ME"/>
        </w:rPr>
        <w:t xml:space="preserve">Infliksimab je ispitivan samo u kombinaciji sa konvencionalnom imunosupresivnom </w:t>
      </w:r>
      <w:r w:rsidRPr="00D768EF">
        <w:rPr>
          <w:color w:val="000000"/>
          <w:szCs w:val="22"/>
          <w:lang w:val="sr-Latn-ME"/>
        </w:rPr>
        <w:t>terapijom</w:t>
      </w:r>
      <w:r w:rsidRPr="00D768EF">
        <w:rPr>
          <w:iCs/>
          <w:color w:val="000000"/>
          <w:szCs w:val="22"/>
          <w:lang w:val="sr-Latn-ME"/>
        </w:rPr>
        <w:t xml:space="preserve">. </w:t>
      </w:r>
    </w:p>
    <w:p w14:paraId="7D0323AD" w14:textId="77777777" w:rsidR="00C175E4" w:rsidRPr="00D768EF" w:rsidRDefault="00C175E4" w:rsidP="00C175E4">
      <w:pPr>
        <w:rPr>
          <w:iCs/>
          <w:color w:val="000000"/>
          <w:szCs w:val="22"/>
          <w:lang w:val="sr-Latn-ME"/>
        </w:rPr>
      </w:pPr>
    </w:p>
    <w:p w14:paraId="7C7C96A2" w14:textId="77777777" w:rsidR="00C175E4" w:rsidRPr="00D768EF" w:rsidRDefault="00C175E4" w:rsidP="00C175E4">
      <w:pPr>
        <w:rPr>
          <w:color w:val="000000"/>
          <w:szCs w:val="22"/>
          <w:u w:val="single"/>
          <w:lang w:val="sr-Latn-ME"/>
        </w:rPr>
      </w:pPr>
      <w:r w:rsidRPr="00D768EF">
        <w:rPr>
          <w:color w:val="000000"/>
          <w:szCs w:val="22"/>
          <w:u w:val="single"/>
          <w:lang w:val="sr-Latn-ME"/>
        </w:rPr>
        <w:t>Ulcerozni kolitis</w:t>
      </w:r>
    </w:p>
    <w:p w14:paraId="52ABCF8B" w14:textId="6A88A505" w:rsidR="00C175E4" w:rsidRPr="00D768EF" w:rsidRDefault="00C175E4" w:rsidP="00C175E4">
      <w:pPr>
        <w:rPr>
          <w:b/>
          <w:bCs/>
          <w:i/>
          <w:iCs/>
          <w:color w:val="000000"/>
          <w:szCs w:val="22"/>
          <w:lang w:val="sr-Latn-ME"/>
        </w:rPr>
      </w:pPr>
      <w:r w:rsidRPr="00D768EF">
        <w:rPr>
          <w:szCs w:val="22"/>
          <w:lang w:val="sr-Latn-ME"/>
        </w:rPr>
        <w:t>L</w:t>
      </w:r>
      <w:r w:rsidR="00E7101F" w:rsidRPr="00D768EF">
        <w:rPr>
          <w:szCs w:val="22"/>
          <w:lang w:val="sr-Latn-ME"/>
        </w:rPr>
        <w:t>ij</w:t>
      </w:r>
      <w:r w:rsidRPr="00D768EF">
        <w:rPr>
          <w:szCs w:val="22"/>
          <w:lang w:val="sr-Latn-ME"/>
        </w:rPr>
        <w:t xml:space="preserve">ek Inflectra </w:t>
      </w:r>
      <w:r w:rsidRPr="00D768EF">
        <w:rPr>
          <w:color w:val="000000"/>
          <w:szCs w:val="22"/>
          <w:lang w:val="sr-Latn-ME"/>
        </w:rPr>
        <w:t>je indikovan za</w:t>
      </w:r>
      <w:r w:rsidRPr="00D768EF">
        <w:rPr>
          <w:iCs/>
          <w:color w:val="000000"/>
          <w:szCs w:val="22"/>
          <w:lang w:val="sr-Latn-ME"/>
        </w:rPr>
        <w:t xml:space="preserve"> l</w:t>
      </w:r>
      <w:r w:rsidR="00E7101F" w:rsidRPr="00D768EF">
        <w:rPr>
          <w:iCs/>
          <w:color w:val="000000"/>
          <w:szCs w:val="22"/>
          <w:lang w:val="sr-Latn-ME"/>
        </w:rPr>
        <w:t>ij</w:t>
      </w:r>
      <w:r w:rsidRPr="00D768EF">
        <w:rPr>
          <w:iCs/>
          <w:color w:val="000000"/>
          <w:szCs w:val="22"/>
          <w:lang w:val="sr-Latn-ME"/>
        </w:rPr>
        <w:t xml:space="preserve">ečenje </w:t>
      </w:r>
      <w:r w:rsidRPr="00D768EF">
        <w:rPr>
          <w:color w:val="000000"/>
          <w:szCs w:val="22"/>
          <w:lang w:val="sr-Latn-ME"/>
        </w:rPr>
        <w:t>um</w:t>
      </w:r>
      <w:r w:rsidR="009E46CC" w:rsidRPr="00D768EF">
        <w:rPr>
          <w:color w:val="000000"/>
          <w:szCs w:val="22"/>
          <w:lang w:val="sr-Latn-ME"/>
        </w:rPr>
        <w:t>j</w:t>
      </w:r>
      <w:r w:rsidRPr="00D768EF">
        <w:rPr>
          <w:color w:val="000000"/>
          <w:szCs w:val="22"/>
          <w:lang w:val="sr-Latn-ME"/>
        </w:rPr>
        <w:t>erenog do teškog oblika aktivnog ulceroznog kolitisa kod odraslih pacijenata koji nisu na odgovarajući način odreagovali na konvencionalnu terapiju uključujući kortikosteroide i 6-merkaptopurin (6-MP) ili azatioprin (AZA), ili koji ne podnose</w:t>
      </w:r>
      <w:r w:rsidR="00780BB3" w:rsidRPr="00D768EF">
        <w:rPr>
          <w:color w:val="000000"/>
          <w:szCs w:val="22"/>
          <w:lang w:val="sr-Latn-ME"/>
        </w:rPr>
        <w:t xml:space="preserve"> takve vrste terapija</w:t>
      </w:r>
      <w:r w:rsidRPr="00D768EF">
        <w:rPr>
          <w:color w:val="000000"/>
          <w:szCs w:val="22"/>
          <w:lang w:val="sr-Latn-ME"/>
        </w:rPr>
        <w:t xml:space="preserve"> ili kod kojih postoje medicinske kontraindikacije za </w:t>
      </w:r>
      <w:r w:rsidR="00780BB3" w:rsidRPr="00D768EF">
        <w:rPr>
          <w:color w:val="000000"/>
          <w:szCs w:val="22"/>
          <w:lang w:val="sr-Latn-ME"/>
        </w:rPr>
        <w:t>njih</w:t>
      </w:r>
      <w:r w:rsidRPr="00D768EF">
        <w:rPr>
          <w:color w:val="000000"/>
          <w:szCs w:val="22"/>
          <w:lang w:val="sr-Latn-ME"/>
        </w:rPr>
        <w:t>.</w:t>
      </w:r>
    </w:p>
    <w:p w14:paraId="2445E9BB" w14:textId="77777777" w:rsidR="00C175E4" w:rsidRPr="00D768EF" w:rsidRDefault="00C175E4" w:rsidP="00C175E4">
      <w:pPr>
        <w:rPr>
          <w:szCs w:val="22"/>
          <w:lang w:val="sr-Latn-ME"/>
        </w:rPr>
      </w:pPr>
    </w:p>
    <w:p w14:paraId="2924636E" w14:textId="4FABD590" w:rsidR="00C175E4" w:rsidRPr="00D768EF" w:rsidRDefault="00C175E4" w:rsidP="00C175E4">
      <w:pPr>
        <w:rPr>
          <w:color w:val="000000"/>
          <w:szCs w:val="22"/>
          <w:u w:val="single"/>
          <w:lang w:val="sr-Latn-ME"/>
        </w:rPr>
      </w:pPr>
      <w:r w:rsidRPr="00D768EF">
        <w:rPr>
          <w:color w:val="000000"/>
          <w:szCs w:val="22"/>
          <w:u w:val="single"/>
          <w:lang w:val="sr-Latn-ME"/>
        </w:rPr>
        <w:t>Ulcerozni kolitis kod pedijatrijskih pacijenata</w:t>
      </w:r>
    </w:p>
    <w:p w14:paraId="74074B26" w14:textId="172FA508" w:rsidR="00C175E4" w:rsidRPr="00D768EF" w:rsidRDefault="00C175E4" w:rsidP="00C175E4">
      <w:pPr>
        <w:rPr>
          <w:color w:val="000000"/>
          <w:szCs w:val="22"/>
          <w:lang w:val="sr-Latn-ME"/>
        </w:rPr>
      </w:pPr>
      <w:r w:rsidRPr="00D768EF">
        <w:rPr>
          <w:szCs w:val="22"/>
          <w:lang w:val="sr-Latn-ME"/>
        </w:rPr>
        <w:t>L</w:t>
      </w:r>
      <w:r w:rsidR="00E7101F" w:rsidRPr="00D768EF">
        <w:rPr>
          <w:szCs w:val="22"/>
          <w:lang w:val="sr-Latn-ME"/>
        </w:rPr>
        <w:t>ij</w:t>
      </w:r>
      <w:r w:rsidRPr="00D768EF">
        <w:rPr>
          <w:szCs w:val="22"/>
          <w:lang w:val="sr-Latn-ME"/>
        </w:rPr>
        <w:t xml:space="preserve">ek Inflectra </w:t>
      </w:r>
      <w:r w:rsidRPr="00D768EF">
        <w:rPr>
          <w:color w:val="000000"/>
          <w:szCs w:val="22"/>
          <w:lang w:val="sr-Latn-ME"/>
        </w:rPr>
        <w:t>je indikovan za l</w:t>
      </w:r>
      <w:r w:rsidR="00E7101F" w:rsidRPr="00D768EF">
        <w:rPr>
          <w:color w:val="000000"/>
          <w:szCs w:val="22"/>
          <w:lang w:val="sr-Latn-ME"/>
        </w:rPr>
        <w:t>ij</w:t>
      </w:r>
      <w:r w:rsidRPr="00D768EF">
        <w:rPr>
          <w:color w:val="000000"/>
          <w:szCs w:val="22"/>
          <w:lang w:val="sr-Latn-ME"/>
        </w:rPr>
        <w:t>ečenje teškog oblika aktivnog ulceroznog kolitisa</w:t>
      </w:r>
      <w:r w:rsidRPr="00D768EF">
        <w:rPr>
          <w:iCs/>
          <w:color w:val="000000"/>
          <w:szCs w:val="22"/>
          <w:lang w:val="sr-Latn-ME"/>
        </w:rPr>
        <w:t xml:space="preserve"> kod d</w:t>
      </w:r>
      <w:r w:rsidR="00E7101F" w:rsidRPr="00D768EF">
        <w:rPr>
          <w:iCs/>
          <w:color w:val="000000"/>
          <w:szCs w:val="22"/>
          <w:lang w:val="sr-Latn-ME"/>
        </w:rPr>
        <w:t>j</w:t>
      </w:r>
      <w:r w:rsidRPr="00D768EF">
        <w:rPr>
          <w:iCs/>
          <w:color w:val="000000"/>
          <w:szCs w:val="22"/>
          <w:lang w:val="sr-Latn-ME"/>
        </w:rPr>
        <w:t xml:space="preserve">ece i adolescenata uzrasta od 6 do 17 godina, </w:t>
      </w:r>
      <w:r w:rsidRPr="00D768EF">
        <w:rPr>
          <w:color w:val="000000"/>
          <w:szCs w:val="22"/>
          <w:lang w:val="sr-Latn-ME"/>
        </w:rPr>
        <w:t xml:space="preserve">koji nisu na odgovarajući način odreagovali na konvencionalnu terapiju, uključujući kortikosteroide i 6-merkaptopurin (6-MP) ili azatioprin (AZA), ili koji ne podnose </w:t>
      </w:r>
      <w:r w:rsidR="00780BB3" w:rsidRPr="00D768EF">
        <w:rPr>
          <w:color w:val="000000"/>
          <w:szCs w:val="22"/>
          <w:lang w:val="sr-Latn-ME"/>
        </w:rPr>
        <w:t xml:space="preserve">takve vrste terapija </w:t>
      </w:r>
      <w:r w:rsidRPr="00D768EF">
        <w:rPr>
          <w:color w:val="000000"/>
          <w:szCs w:val="22"/>
          <w:lang w:val="sr-Latn-ME"/>
        </w:rPr>
        <w:t xml:space="preserve">ili kod kojih postoje medicinske kontraindikacije za </w:t>
      </w:r>
      <w:r w:rsidR="00780BB3" w:rsidRPr="00D768EF">
        <w:rPr>
          <w:color w:val="000000"/>
          <w:szCs w:val="22"/>
          <w:lang w:val="sr-Latn-ME"/>
        </w:rPr>
        <w:t>njih</w:t>
      </w:r>
      <w:r w:rsidRPr="00D768EF">
        <w:rPr>
          <w:iCs/>
          <w:color w:val="000000"/>
          <w:szCs w:val="22"/>
          <w:lang w:val="sr-Latn-ME"/>
        </w:rPr>
        <w:t>.</w:t>
      </w:r>
    </w:p>
    <w:p w14:paraId="56DAE8FD" w14:textId="77777777" w:rsidR="00C175E4" w:rsidRPr="00D768EF" w:rsidRDefault="00C175E4" w:rsidP="00C175E4">
      <w:pPr>
        <w:rPr>
          <w:szCs w:val="22"/>
          <w:lang w:val="sr-Latn-ME"/>
        </w:rPr>
      </w:pPr>
    </w:p>
    <w:p w14:paraId="2729193D" w14:textId="77777777" w:rsidR="00C175E4" w:rsidRPr="00D768EF" w:rsidRDefault="00C175E4" w:rsidP="00C175E4">
      <w:pPr>
        <w:rPr>
          <w:snapToGrid w:val="0"/>
          <w:szCs w:val="22"/>
          <w:u w:val="single"/>
          <w:lang w:val="sr-Latn-ME"/>
        </w:rPr>
      </w:pPr>
      <w:r w:rsidRPr="00D768EF">
        <w:rPr>
          <w:snapToGrid w:val="0"/>
          <w:szCs w:val="22"/>
          <w:u w:val="single"/>
          <w:lang w:val="sr-Latn-ME"/>
        </w:rPr>
        <w:t>Ankilozirajući spondilitis</w:t>
      </w:r>
    </w:p>
    <w:p w14:paraId="6EB9FF24" w14:textId="71D0A450" w:rsidR="00C175E4" w:rsidRPr="00D768EF" w:rsidRDefault="00C175E4" w:rsidP="00C175E4">
      <w:pPr>
        <w:tabs>
          <w:tab w:val="left" w:pos="0"/>
          <w:tab w:val="left" w:pos="1298"/>
          <w:tab w:val="left" w:pos="2596"/>
          <w:tab w:val="left" w:pos="3895"/>
          <w:tab w:val="left" w:pos="5193"/>
          <w:tab w:val="left" w:pos="6492"/>
          <w:tab w:val="left" w:pos="7790"/>
        </w:tabs>
        <w:rPr>
          <w:color w:val="000000"/>
          <w:szCs w:val="22"/>
          <w:lang w:val="sr-Latn-ME"/>
        </w:rPr>
      </w:pPr>
      <w:r w:rsidRPr="00D768EF">
        <w:rPr>
          <w:szCs w:val="22"/>
          <w:lang w:val="sr-Latn-ME"/>
        </w:rPr>
        <w:t>L</w:t>
      </w:r>
      <w:r w:rsidR="00E7101F" w:rsidRPr="00D768EF">
        <w:rPr>
          <w:szCs w:val="22"/>
          <w:lang w:val="sr-Latn-ME"/>
        </w:rPr>
        <w:t>ij</w:t>
      </w:r>
      <w:r w:rsidRPr="00D768EF">
        <w:rPr>
          <w:szCs w:val="22"/>
          <w:lang w:val="sr-Latn-ME"/>
        </w:rPr>
        <w:t xml:space="preserve">ek Inflectra </w:t>
      </w:r>
      <w:r w:rsidRPr="00D768EF">
        <w:rPr>
          <w:color w:val="000000"/>
          <w:szCs w:val="22"/>
          <w:lang w:val="sr-Latn-ME"/>
        </w:rPr>
        <w:t>je indikovan za</w:t>
      </w:r>
      <w:r w:rsidRPr="00D768EF">
        <w:rPr>
          <w:iCs/>
          <w:color w:val="000000"/>
          <w:szCs w:val="22"/>
          <w:lang w:val="sr-Latn-ME"/>
        </w:rPr>
        <w:t xml:space="preserve"> l</w:t>
      </w:r>
      <w:r w:rsidR="00E7101F" w:rsidRPr="00D768EF">
        <w:rPr>
          <w:iCs/>
          <w:color w:val="000000"/>
          <w:szCs w:val="22"/>
          <w:lang w:val="sr-Latn-ME"/>
        </w:rPr>
        <w:t>ij</w:t>
      </w:r>
      <w:r w:rsidRPr="00D768EF">
        <w:rPr>
          <w:iCs/>
          <w:color w:val="000000"/>
          <w:szCs w:val="22"/>
          <w:lang w:val="sr-Latn-ME"/>
        </w:rPr>
        <w:t xml:space="preserve">ečenje </w:t>
      </w:r>
      <w:r w:rsidRPr="00D768EF">
        <w:rPr>
          <w:color w:val="000000"/>
          <w:szCs w:val="22"/>
          <w:lang w:val="sr-Latn-ME"/>
        </w:rPr>
        <w:t>teškog</w:t>
      </w:r>
      <w:r w:rsidRPr="00D768EF">
        <w:rPr>
          <w:snapToGrid w:val="0"/>
          <w:color w:val="000000"/>
          <w:szCs w:val="22"/>
          <w:lang w:val="sr-Latn-ME"/>
        </w:rPr>
        <w:t xml:space="preserve">, </w:t>
      </w:r>
      <w:r w:rsidRPr="00D768EF">
        <w:rPr>
          <w:color w:val="000000"/>
          <w:szCs w:val="22"/>
          <w:lang w:val="sr-Latn-ME"/>
        </w:rPr>
        <w:t xml:space="preserve">aktivnog </w:t>
      </w:r>
      <w:r w:rsidRPr="00D768EF">
        <w:rPr>
          <w:snapToGrid w:val="0"/>
          <w:color w:val="000000"/>
          <w:szCs w:val="22"/>
          <w:lang w:val="sr-Latn-ME"/>
        </w:rPr>
        <w:t xml:space="preserve">ankilozirajućeg spondilitisa </w:t>
      </w:r>
      <w:r w:rsidRPr="00D768EF">
        <w:rPr>
          <w:color w:val="000000"/>
          <w:szCs w:val="22"/>
          <w:lang w:val="sr-Latn-ME"/>
        </w:rPr>
        <w:t>kod odraslih pacijenata koji nisu na odgovarajući način odreagovali na konvencionalnu terapiju</w:t>
      </w:r>
      <w:r w:rsidRPr="00D768EF">
        <w:rPr>
          <w:snapToGrid w:val="0"/>
          <w:color w:val="000000"/>
          <w:szCs w:val="22"/>
          <w:lang w:val="sr-Latn-ME"/>
        </w:rPr>
        <w:t>.</w:t>
      </w:r>
    </w:p>
    <w:p w14:paraId="707DFAF1" w14:textId="77777777" w:rsidR="00C175E4" w:rsidRPr="00D768EF" w:rsidRDefault="00C175E4" w:rsidP="00C175E4">
      <w:pPr>
        <w:tabs>
          <w:tab w:val="left" w:pos="1298"/>
          <w:tab w:val="left" w:pos="2596"/>
          <w:tab w:val="left" w:pos="3895"/>
          <w:tab w:val="left" w:pos="5193"/>
          <w:tab w:val="left" w:pos="6492"/>
          <w:tab w:val="left" w:pos="7790"/>
        </w:tabs>
        <w:rPr>
          <w:snapToGrid w:val="0"/>
          <w:color w:val="000000"/>
          <w:szCs w:val="22"/>
          <w:u w:val="single"/>
          <w:lang w:val="sr-Latn-ME"/>
        </w:rPr>
      </w:pPr>
    </w:p>
    <w:p w14:paraId="2C10DAED" w14:textId="77777777" w:rsidR="00C175E4" w:rsidRPr="00D768EF" w:rsidRDefault="00C175E4" w:rsidP="00C175E4">
      <w:pPr>
        <w:tabs>
          <w:tab w:val="left" w:pos="1298"/>
          <w:tab w:val="left" w:pos="2596"/>
          <w:tab w:val="left" w:pos="3895"/>
          <w:tab w:val="left" w:pos="5193"/>
          <w:tab w:val="left" w:pos="6492"/>
          <w:tab w:val="left" w:pos="7790"/>
        </w:tabs>
        <w:rPr>
          <w:snapToGrid w:val="0"/>
          <w:color w:val="000000"/>
          <w:szCs w:val="22"/>
          <w:u w:val="single"/>
          <w:lang w:val="sr-Latn-ME"/>
        </w:rPr>
      </w:pPr>
      <w:bookmarkStart w:id="2" w:name="OLE_LINK1"/>
      <w:r w:rsidRPr="00D768EF">
        <w:rPr>
          <w:snapToGrid w:val="0"/>
          <w:color w:val="000000"/>
          <w:szCs w:val="22"/>
          <w:u w:val="single"/>
          <w:lang w:val="sr-Latn-ME"/>
        </w:rPr>
        <w:t>Psorijatični artritis</w:t>
      </w:r>
    </w:p>
    <w:p w14:paraId="1DAB74D1" w14:textId="408A447D" w:rsidR="00C175E4" w:rsidRPr="00D768EF" w:rsidRDefault="00C175E4" w:rsidP="00C175E4">
      <w:pPr>
        <w:tabs>
          <w:tab w:val="left" w:pos="1298"/>
          <w:tab w:val="left" w:pos="2596"/>
          <w:tab w:val="left" w:pos="3895"/>
          <w:tab w:val="left" w:pos="5193"/>
          <w:tab w:val="left" w:pos="6492"/>
          <w:tab w:val="left" w:pos="7790"/>
        </w:tabs>
        <w:rPr>
          <w:snapToGrid w:val="0"/>
          <w:color w:val="000000"/>
          <w:szCs w:val="22"/>
          <w:lang w:val="sr-Latn-ME"/>
        </w:rPr>
      </w:pPr>
      <w:r w:rsidRPr="00D768EF">
        <w:rPr>
          <w:szCs w:val="22"/>
          <w:lang w:val="sr-Latn-ME"/>
        </w:rPr>
        <w:t>L</w:t>
      </w:r>
      <w:r w:rsidR="00E7101F" w:rsidRPr="00D768EF">
        <w:rPr>
          <w:szCs w:val="22"/>
          <w:lang w:val="sr-Latn-ME"/>
        </w:rPr>
        <w:t>ij</w:t>
      </w:r>
      <w:r w:rsidRPr="00D768EF">
        <w:rPr>
          <w:szCs w:val="22"/>
          <w:lang w:val="sr-Latn-ME"/>
        </w:rPr>
        <w:t xml:space="preserve">ek Inflectra </w:t>
      </w:r>
      <w:r w:rsidRPr="00D768EF">
        <w:rPr>
          <w:color w:val="000000"/>
          <w:szCs w:val="22"/>
          <w:lang w:val="sr-Latn-ME"/>
        </w:rPr>
        <w:t>je indikovan za</w:t>
      </w:r>
      <w:r w:rsidRPr="00D768EF">
        <w:rPr>
          <w:iCs/>
          <w:color w:val="000000"/>
          <w:szCs w:val="22"/>
          <w:lang w:val="sr-Latn-ME"/>
        </w:rPr>
        <w:t xml:space="preserve"> l</w:t>
      </w:r>
      <w:r w:rsidR="00E7101F" w:rsidRPr="00D768EF">
        <w:rPr>
          <w:iCs/>
          <w:color w:val="000000"/>
          <w:szCs w:val="22"/>
          <w:lang w:val="sr-Latn-ME"/>
        </w:rPr>
        <w:t>ij</w:t>
      </w:r>
      <w:r w:rsidRPr="00D768EF">
        <w:rPr>
          <w:iCs/>
          <w:color w:val="000000"/>
          <w:szCs w:val="22"/>
          <w:lang w:val="sr-Latn-ME"/>
        </w:rPr>
        <w:t xml:space="preserve">ečenje </w:t>
      </w:r>
      <w:r w:rsidRPr="00D768EF">
        <w:rPr>
          <w:color w:val="000000"/>
          <w:szCs w:val="22"/>
          <w:lang w:val="sr-Latn-ME"/>
        </w:rPr>
        <w:t xml:space="preserve">aktivnog i progresivnog </w:t>
      </w:r>
      <w:r w:rsidRPr="00D768EF">
        <w:rPr>
          <w:snapToGrid w:val="0"/>
          <w:color w:val="000000"/>
          <w:szCs w:val="22"/>
          <w:lang w:val="sr-Latn-ME"/>
        </w:rPr>
        <w:t xml:space="preserve">psorijatičnog artritisa </w:t>
      </w:r>
      <w:r w:rsidRPr="00D768EF">
        <w:rPr>
          <w:color w:val="000000"/>
          <w:szCs w:val="22"/>
          <w:lang w:val="sr-Latn-ME"/>
        </w:rPr>
        <w:t>kod odraslih pacijenata kod kojih odgovor na prethodno</w:t>
      </w:r>
      <w:r w:rsidRPr="00D768EF">
        <w:rPr>
          <w:snapToGrid w:val="0"/>
          <w:color w:val="000000"/>
          <w:szCs w:val="22"/>
          <w:lang w:val="sr-Latn-ME"/>
        </w:rPr>
        <w:t xml:space="preserve"> l</w:t>
      </w:r>
      <w:r w:rsidR="00E7101F" w:rsidRPr="00D768EF">
        <w:rPr>
          <w:snapToGrid w:val="0"/>
          <w:color w:val="000000"/>
          <w:szCs w:val="22"/>
          <w:lang w:val="sr-Latn-ME"/>
        </w:rPr>
        <w:t>ij</w:t>
      </w:r>
      <w:r w:rsidRPr="00D768EF">
        <w:rPr>
          <w:snapToGrid w:val="0"/>
          <w:color w:val="000000"/>
          <w:szCs w:val="22"/>
          <w:lang w:val="sr-Latn-ME"/>
        </w:rPr>
        <w:t>ečenje antireumatskim l</w:t>
      </w:r>
      <w:r w:rsidR="00E7101F" w:rsidRPr="00D768EF">
        <w:rPr>
          <w:snapToGrid w:val="0"/>
          <w:color w:val="000000"/>
          <w:szCs w:val="22"/>
          <w:lang w:val="sr-Latn-ME"/>
        </w:rPr>
        <w:t>j</w:t>
      </w:r>
      <w:r w:rsidRPr="00D768EF">
        <w:rPr>
          <w:snapToGrid w:val="0"/>
          <w:color w:val="000000"/>
          <w:szCs w:val="22"/>
          <w:lang w:val="sr-Latn-ME"/>
        </w:rPr>
        <w:t>ekovima koji modifikuju tok bolesti (</w:t>
      </w:r>
      <w:r w:rsidRPr="00D768EF">
        <w:rPr>
          <w:color w:val="000000"/>
          <w:szCs w:val="22"/>
          <w:lang w:val="sr-Latn-ME"/>
        </w:rPr>
        <w:t>DMARD</w:t>
      </w:r>
      <w:r w:rsidR="00780BB3" w:rsidRPr="00D768EF">
        <w:rPr>
          <w:color w:val="000000"/>
          <w:szCs w:val="22"/>
          <w:lang w:val="sr-Latn-ME"/>
        </w:rPr>
        <w:t>)</w:t>
      </w:r>
      <w:r w:rsidRPr="00D768EF">
        <w:rPr>
          <w:snapToGrid w:val="0"/>
          <w:color w:val="000000"/>
          <w:szCs w:val="22"/>
          <w:lang w:val="sr-Latn-ME"/>
        </w:rPr>
        <w:t xml:space="preserve"> nije bio odgovarajući.</w:t>
      </w:r>
    </w:p>
    <w:p w14:paraId="55AD2AAD" w14:textId="77777777" w:rsidR="00C175E4" w:rsidRPr="00D768EF" w:rsidRDefault="00C175E4" w:rsidP="00C175E4">
      <w:pPr>
        <w:tabs>
          <w:tab w:val="left" w:pos="1298"/>
          <w:tab w:val="left" w:pos="2596"/>
          <w:tab w:val="left" w:pos="3895"/>
          <w:tab w:val="left" w:pos="5193"/>
          <w:tab w:val="left" w:pos="6492"/>
          <w:tab w:val="left" w:pos="7790"/>
        </w:tabs>
        <w:rPr>
          <w:color w:val="000000"/>
          <w:szCs w:val="22"/>
          <w:lang w:val="sr-Latn-ME"/>
        </w:rPr>
      </w:pPr>
    </w:p>
    <w:p w14:paraId="6F4B03E4" w14:textId="5A54EFA3" w:rsidR="00C175E4" w:rsidRPr="00D768EF" w:rsidRDefault="00C175E4" w:rsidP="00C175E4">
      <w:pPr>
        <w:tabs>
          <w:tab w:val="left" w:pos="1298"/>
          <w:tab w:val="left" w:pos="2596"/>
          <w:tab w:val="left" w:pos="3895"/>
          <w:tab w:val="left" w:pos="5193"/>
          <w:tab w:val="left" w:pos="6492"/>
          <w:tab w:val="left" w:pos="7790"/>
        </w:tabs>
        <w:ind w:left="360" w:hanging="360"/>
        <w:rPr>
          <w:snapToGrid w:val="0"/>
          <w:color w:val="000000"/>
          <w:szCs w:val="22"/>
          <w:lang w:val="sr-Latn-ME"/>
        </w:rPr>
      </w:pPr>
      <w:r w:rsidRPr="00D768EF">
        <w:rPr>
          <w:snapToGrid w:val="0"/>
          <w:color w:val="000000"/>
          <w:szCs w:val="22"/>
          <w:lang w:val="sr-Latn-ME"/>
        </w:rPr>
        <w:t>L</w:t>
      </w:r>
      <w:r w:rsidR="00E7101F" w:rsidRPr="00D768EF">
        <w:rPr>
          <w:snapToGrid w:val="0"/>
          <w:color w:val="000000"/>
          <w:szCs w:val="22"/>
          <w:lang w:val="sr-Latn-ME"/>
        </w:rPr>
        <w:t>ij</w:t>
      </w:r>
      <w:r w:rsidRPr="00D768EF">
        <w:rPr>
          <w:snapToGrid w:val="0"/>
          <w:color w:val="000000"/>
          <w:szCs w:val="22"/>
          <w:lang w:val="sr-Latn-ME"/>
        </w:rPr>
        <w:t>ek Inflectra treba prim</w:t>
      </w:r>
      <w:r w:rsidR="00E7101F" w:rsidRPr="00D768EF">
        <w:rPr>
          <w:snapToGrid w:val="0"/>
          <w:color w:val="000000"/>
          <w:szCs w:val="22"/>
          <w:lang w:val="sr-Latn-ME"/>
        </w:rPr>
        <w:t>j</w:t>
      </w:r>
      <w:r w:rsidRPr="00D768EF">
        <w:rPr>
          <w:snapToGrid w:val="0"/>
          <w:color w:val="000000"/>
          <w:szCs w:val="22"/>
          <w:lang w:val="sr-Latn-ME"/>
        </w:rPr>
        <w:t>enjivati:</w:t>
      </w:r>
    </w:p>
    <w:p w14:paraId="2BE121E3" w14:textId="077A2872" w:rsidR="00C175E4" w:rsidRPr="00D768EF" w:rsidRDefault="00C175E4" w:rsidP="00C175E4">
      <w:pPr>
        <w:tabs>
          <w:tab w:val="num" w:pos="720"/>
          <w:tab w:val="left" w:pos="1298"/>
          <w:tab w:val="left" w:pos="2596"/>
          <w:tab w:val="left" w:pos="3895"/>
          <w:tab w:val="left" w:pos="5193"/>
          <w:tab w:val="left" w:pos="6492"/>
          <w:tab w:val="left" w:pos="7790"/>
        </w:tabs>
        <w:ind w:left="360"/>
        <w:rPr>
          <w:snapToGrid w:val="0"/>
          <w:color w:val="000000"/>
          <w:szCs w:val="22"/>
          <w:lang w:val="sr-Latn-ME"/>
        </w:rPr>
      </w:pPr>
      <w:r w:rsidRPr="00D768EF">
        <w:rPr>
          <w:snapToGrid w:val="0"/>
          <w:color w:val="000000"/>
          <w:szCs w:val="22"/>
          <w:lang w:val="sr-Latn-ME"/>
        </w:rPr>
        <w:t>- u kombinaciji sa metotreksatom</w:t>
      </w:r>
    </w:p>
    <w:p w14:paraId="76DDD635" w14:textId="77777777" w:rsidR="00C175E4" w:rsidRPr="00D768EF" w:rsidRDefault="00C175E4" w:rsidP="00C175E4">
      <w:pPr>
        <w:ind w:left="360"/>
        <w:rPr>
          <w:snapToGrid w:val="0"/>
          <w:color w:val="000000"/>
          <w:szCs w:val="22"/>
          <w:lang w:val="sr-Latn-ME"/>
        </w:rPr>
      </w:pPr>
      <w:r w:rsidRPr="00D768EF">
        <w:rPr>
          <w:snapToGrid w:val="0"/>
          <w:color w:val="000000"/>
          <w:szCs w:val="22"/>
          <w:lang w:val="sr-Latn-ME"/>
        </w:rPr>
        <w:t>- ili samostalno kod pacijenata koji ne podnose metotreksat ili je kod njih metotreksat kontraindikovan.</w:t>
      </w:r>
    </w:p>
    <w:p w14:paraId="376F99CE" w14:textId="77777777" w:rsidR="00C175E4" w:rsidRPr="00D768EF" w:rsidRDefault="00C175E4" w:rsidP="00C175E4">
      <w:pPr>
        <w:rPr>
          <w:color w:val="000000"/>
          <w:szCs w:val="22"/>
          <w:lang w:val="sr-Latn-ME"/>
        </w:rPr>
      </w:pPr>
    </w:p>
    <w:p w14:paraId="4F6C32B3" w14:textId="19DAF32F" w:rsidR="00C175E4" w:rsidRPr="00D768EF" w:rsidRDefault="00C175E4" w:rsidP="00C175E4">
      <w:pPr>
        <w:rPr>
          <w:bCs/>
          <w:color w:val="000000"/>
          <w:szCs w:val="22"/>
          <w:lang w:val="sr-Latn-ME"/>
        </w:rPr>
      </w:pPr>
      <w:r w:rsidRPr="00D768EF">
        <w:rPr>
          <w:color w:val="000000"/>
          <w:szCs w:val="22"/>
          <w:lang w:val="sr-Latn-ME"/>
        </w:rPr>
        <w:t xml:space="preserve">Pokazano je da infliksimab poboljšava </w:t>
      </w:r>
      <w:r w:rsidR="00EE6F7B" w:rsidRPr="00D768EF">
        <w:rPr>
          <w:color w:val="000000"/>
          <w:szCs w:val="22"/>
          <w:lang w:val="sr-Latn-ME"/>
        </w:rPr>
        <w:t>fizičku funkciju</w:t>
      </w:r>
      <w:r w:rsidRPr="00D768EF">
        <w:rPr>
          <w:color w:val="000000"/>
          <w:szCs w:val="22"/>
          <w:lang w:val="sr-Latn-ME"/>
        </w:rPr>
        <w:t xml:space="preserve"> kod pacijenata sa </w:t>
      </w:r>
      <w:r w:rsidRPr="00D768EF">
        <w:rPr>
          <w:snapToGrid w:val="0"/>
          <w:color w:val="000000"/>
          <w:szCs w:val="22"/>
          <w:lang w:val="sr-Latn-ME"/>
        </w:rPr>
        <w:t>psorijatičnim artritisom i smanjuje brzinu napredovanja oštećenja perifernih zglobova, što je proc</w:t>
      </w:r>
      <w:r w:rsidR="00E7101F" w:rsidRPr="00D768EF">
        <w:rPr>
          <w:snapToGrid w:val="0"/>
          <w:color w:val="000000"/>
          <w:szCs w:val="22"/>
          <w:lang w:val="sr-Latn-ME"/>
        </w:rPr>
        <w:t>ij</w:t>
      </w:r>
      <w:r w:rsidRPr="00D768EF">
        <w:rPr>
          <w:snapToGrid w:val="0"/>
          <w:color w:val="000000"/>
          <w:szCs w:val="22"/>
          <w:lang w:val="sr-Latn-ME"/>
        </w:rPr>
        <w:t>enjeno na osnovu rendgenskih snimaka kod pacijenata sa</w:t>
      </w:r>
      <w:r w:rsidRPr="00D768EF">
        <w:rPr>
          <w:color w:val="000000"/>
          <w:szCs w:val="22"/>
          <w:lang w:val="sr-Latn-ME"/>
        </w:rPr>
        <w:t xml:space="preserve"> poliartikularnim simetričnim podtipovima bolesti (vid</w:t>
      </w:r>
      <w:r w:rsidR="00E7101F" w:rsidRPr="00D768EF">
        <w:rPr>
          <w:color w:val="000000"/>
          <w:szCs w:val="22"/>
          <w:lang w:val="sr-Latn-ME"/>
        </w:rPr>
        <w:t>j</w:t>
      </w:r>
      <w:r w:rsidRPr="00D768EF">
        <w:rPr>
          <w:color w:val="000000"/>
          <w:szCs w:val="22"/>
          <w:lang w:val="sr-Latn-ME"/>
        </w:rPr>
        <w:t xml:space="preserve">eti </w:t>
      </w:r>
      <w:r w:rsidR="00E7101F" w:rsidRPr="00D768EF">
        <w:rPr>
          <w:color w:val="000000"/>
          <w:szCs w:val="22"/>
          <w:lang w:val="sr-Latn-ME"/>
        </w:rPr>
        <w:t>di</w:t>
      </w:r>
      <w:r w:rsidRPr="00D768EF">
        <w:rPr>
          <w:color w:val="000000"/>
          <w:szCs w:val="22"/>
          <w:lang w:val="sr-Latn-ME"/>
        </w:rPr>
        <w:t>o 5.1).</w:t>
      </w:r>
    </w:p>
    <w:bookmarkEnd w:id="2"/>
    <w:p w14:paraId="04E1E615" w14:textId="77777777" w:rsidR="00C175E4" w:rsidRPr="00D768EF" w:rsidRDefault="00C175E4" w:rsidP="00C175E4">
      <w:pPr>
        <w:rPr>
          <w:szCs w:val="22"/>
          <w:lang w:val="sr-Latn-ME"/>
        </w:rPr>
      </w:pPr>
    </w:p>
    <w:p w14:paraId="69445A11" w14:textId="77777777" w:rsidR="00C175E4" w:rsidRPr="00D768EF" w:rsidRDefault="00C175E4" w:rsidP="00C175E4">
      <w:pPr>
        <w:rPr>
          <w:bCs/>
          <w:color w:val="000000"/>
          <w:szCs w:val="22"/>
          <w:u w:val="single"/>
          <w:lang w:val="sr-Latn-ME"/>
        </w:rPr>
      </w:pPr>
      <w:r w:rsidRPr="00D768EF">
        <w:rPr>
          <w:bCs/>
          <w:color w:val="000000"/>
          <w:szCs w:val="22"/>
          <w:u w:val="single"/>
          <w:lang w:val="sr-Latn-ME"/>
        </w:rPr>
        <w:t>Psorijaza</w:t>
      </w:r>
    </w:p>
    <w:p w14:paraId="7E401EFB" w14:textId="1C1CDDB7" w:rsidR="00C175E4" w:rsidRPr="00D768EF" w:rsidRDefault="00C175E4" w:rsidP="00C175E4">
      <w:pPr>
        <w:autoSpaceDE w:val="0"/>
        <w:autoSpaceDN w:val="0"/>
        <w:adjustRightInd w:val="0"/>
        <w:rPr>
          <w:color w:val="000000"/>
          <w:szCs w:val="22"/>
          <w:lang w:val="sr-Latn-ME"/>
        </w:rPr>
      </w:pPr>
      <w:r w:rsidRPr="00D768EF">
        <w:rPr>
          <w:szCs w:val="22"/>
          <w:lang w:val="sr-Latn-ME"/>
        </w:rPr>
        <w:t>L</w:t>
      </w:r>
      <w:r w:rsidR="00E7101F" w:rsidRPr="00D768EF">
        <w:rPr>
          <w:szCs w:val="22"/>
          <w:lang w:val="sr-Latn-ME"/>
        </w:rPr>
        <w:t>ij</w:t>
      </w:r>
      <w:r w:rsidRPr="00D768EF">
        <w:rPr>
          <w:szCs w:val="22"/>
          <w:lang w:val="sr-Latn-ME"/>
        </w:rPr>
        <w:t xml:space="preserve">ek Inflectra </w:t>
      </w:r>
      <w:r w:rsidRPr="00D768EF">
        <w:rPr>
          <w:color w:val="000000"/>
          <w:szCs w:val="22"/>
          <w:lang w:val="sr-Latn-ME"/>
        </w:rPr>
        <w:t>je indikovan za</w:t>
      </w:r>
      <w:r w:rsidRPr="00D768EF">
        <w:rPr>
          <w:iCs/>
          <w:color w:val="000000"/>
          <w:szCs w:val="22"/>
          <w:lang w:val="sr-Latn-ME"/>
        </w:rPr>
        <w:t xml:space="preserve"> l</w:t>
      </w:r>
      <w:r w:rsidR="00E7101F" w:rsidRPr="00D768EF">
        <w:rPr>
          <w:iCs/>
          <w:color w:val="000000"/>
          <w:szCs w:val="22"/>
          <w:lang w:val="sr-Latn-ME"/>
        </w:rPr>
        <w:t>ij</w:t>
      </w:r>
      <w:r w:rsidRPr="00D768EF">
        <w:rPr>
          <w:iCs/>
          <w:color w:val="000000"/>
          <w:szCs w:val="22"/>
          <w:lang w:val="sr-Latn-ME"/>
        </w:rPr>
        <w:t>ečenje um</w:t>
      </w:r>
      <w:r w:rsidR="00E7101F" w:rsidRPr="00D768EF">
        <w:rPr>
          <w:iCs/>
          <w:color w:val="000000"/>
          <w:szCs w:val="22"/>
          <w:lang w:val="sr-Latn-ME"/>
        </w:rPr>
        <w:t>j</w:t>
      </w:r>
      <w:r w:rsidRPr="00D768EF">
        <w:rPr>
          <w:iCs/>
          <w:color w:val="000000"/>
          <w:szCs w:val="22"/>
          <w:lang w:val="sr-Latn-ME"/>
        </w:rPr>
        <w:t xml:space="preserve">erene do teške </w:t>
      </w:r>
      <w:r w:rsidRPr="00D768EF">
        <w:rPr>
          <w:color w:val="000000"/>
          <w:szCs w:val="22"/>
          <w:lang w:val="sr-Latn-ME"/>
        </w:rPr>
        <w:t xml:space="preserve">plak psorijaze kod odraslih pacijenata kod kojih je druga sistemska terapija, uključujući ciklosporin, metotreksat ili </w:t>
      </w:r>
      <w:r w:rsidRPr="00D768EF">
        <w:rPr>
          <w:szCs w:val="22"/>
          <w:lang w:val="sr-Latn-ME"/>
        </w:rPr>
        <w:t xml:space="preserve">psoralen ultraljubičastu A svetlost </w:t>
      </w:r>
      <w:r w:rsidRPr="00D768EF">
        <w:rPr>
          <w:color w:val="000000"/>
          <w:szCs w:val="22"/>
          <w:lang w:val="sr-Latn-ME"/>
        </w:rPr>
        <w:t>(PUVA), neefikasna, kontraindikovana ili je pacijenti ne podnose (vid</w:t>
      </w:r>
      <w:r w:rsidR="00E7101F" w:rsidRPr="00D768EF">
        <w:rPr>
          <w:color w:val="000000"/>
          <w:szCs w:val="22"/>
          <w:lang w:val="sr-Latn-ME"/>
        </w:rPr>
        <w:t>j</w:t>
      </w:r>
      <w:r w:rsidRPr="00D768EF">
        <w:rPr>
          <w:color w:val="000000"/>
          <w:szCs w:val="22"/>
          <w:lang w:val="sr-Latn-ME"/>
        </w:rPr>
        <w:t xml:space="preserve">eti </w:t>
      </w:r>
      <w:r w:rsidR="00E7101F" w:rsidRPr="00D768EF">
        <w:rPr>
          <w:color w:val="000000"/>
          <w:szCs w:val="22"/>
          <w:lang w:val="sr-Latn-ME"/>
        </w:rPr>
        <w:t>di</w:t>
      </w:r>
      <w:r w:rsidRPr="00D768EF">
        <w:rPr>
          <w:color w:val="000000"/>
          <w:szCs w:val="22"/>
          <w:lang w:val="sr-Latn-ME"/>
        </w:rPr>
        <w:t>o 5.1).</w:t>
      </w:r>
    </w:p>
    <w:p w14:paraId="5672D3EC" w14:textId="77777777" w:rsidR="005073A3" w:rsidRPr="00D768EF" w:rsidRDefault="005073A3" w:rsidP="00923865">
      <w:pPr>
        <w:rPr>
          <w:b/>
          <w:bCs/>
          <w:szCs w:val="22"/>
          <w:lang w:val="sr-Latn-ME"/>
        </w:rPr>
      </w:pPr>
    </w:p>
    <w:p w14:paraId="0E38D67C" w14:textId="1A72874E" w:rsidR="00CE09F3" w:rsidRPr="00D768EF" w:rsidRDefault="00CE09F3" w:rsidP="00923865">
      <w:pPr>
        <w:rPr>
          <w:b/>
          <w:bCs/>
          <w:szCs w:val="22"/>
          <w:lang w:val="sr-Latn-ME"/>
        </w:rPr>
      </w:pPr>
      <w:r w:rsidRPr="00D768EF">
        <w:rPr>
          <w:b/>
          <w:bCs/>
          <w:szCs w:val="22"/>
          <w:lang w:val="sr-Latn-ME"/>
        </w:rPr>
        <w:t>4.2. Doziranje i način prim</w:t>
      </w:r>
      <w:r w:rsidR="009E353A" w:rsidRPr="00D768EF">
        <w:rPr>
          <w:b/>
          <w:bCs/>
          <w:szCs w:val="22"/>
          <w:lang w:val="sr-Latn-ME"/>
        </w:rPr>
        <w:t>j</w:t>
      </w:r>
      <w:r w:rsidRPr="00D768EF">
        <w:rPr>
          <w:b/>
          <w:bCs/>
          <w:szCs w:val="22"/>
          <w:lang w:val="sr-Latn-ME"/>
        </w:rPr>
        <w:t>ene</w:t>
      </w:r>
    </w:p>
    <w:p w14:paraId="35890D0B" w14:textId="77777777" w:rsidR="00CE09F3" w:rsidRPr="00D768EF" w:rsidRDefault="00CE09F3" w:rsidP="00923865">
      <w:pPr>
        <w:rPr>
          <w:szCs w:val="22"/>
          <w:lang w:val="sr-Latn-ME"/>
        </w:rPr>
      </w:pPr>
    </w:p>
    <w:p w14:paraId="65C62919" w14:textId="6C4BC4F1" w:rsidR="00C175E4" w:rsidRPr="00D768EF" w:rsidRDefault="00C175E4" w:rsidP="00C175E4">
      <w:pPr>
        <w:rPr>
          <w:color w:val="000000"/>
          <w:szCs w:val="22"/>
          <w:lang w:val="sr-Latn-ME"/>
        </w:rPr>
      </w:pPr>
      <w:r w:rsidRPr="00D768EF">
        <w:rPr>
          <w:color w:val="000000"/>
          <w:szCs w:val="22"/>
          <w:lang w:val="sr-Latn-ME"/>
        </w:rPr>
        <w:t>L</w:t>
      </w:r>
      <w:r w:rsidR="00D57936" w:rsidRPr="00D768EF">
        <w:rPr>
          <w:color w:val="000000"/>
          <w:szCs w:val="22"/>
          <w:lang w:val="sr-Latn-ME"/>
        </w:rPr>
        <w:t>ij</w:t>
      </w:r>
      <w:r w:rsidRPr="00D768EF">
        <w:rPr>
          <w:color w:val="000000"/>
          <w:szCs w:val="22"/>
          <w:lang w:val="sr-Latn-ME"/>
        </w:rPr>
        <w:t>ečenje l</w:t>
      </w:r>
      <w:r w:rsidR="00D57936" w:rsidRPr="00D768EF">
        <w:rPr>
          <w:color w:val="000000"/>
          <w:szCs w:val="22"/>
          <w:lang w:val="sr-Latn-ME"/>
        </w:rPr>
        <w:t>ij</w:t>
      </w:r>
      <w:r w:rsidRPr="00D768EF">
        <w:rPr>
          <w:color w:val="000000"/>
          <w:szCs w:val="22"/>
          <w:lang w:val="sr-Latn-ME"/>
        </w:rPr>
        <w:t>ekom Inflectra uvodi se i prim</w:t>
      </w:r>
      <w:r w:rsidR="00D57936" w:rsidRPr="00D768EF">
        <w:rPr>
          <w:color w:val="000000"/>
          <w:szCs w:val="22"/>
          <w:lang w:val="sr-Latn-ME"/>
        </w:rPr>
        <w:t>j</w:t>
      </w:r>
      <w:r w:rsidRPr="00D768EF">
        <w:rPr>
          <w:color w:val="000000"/>
          <w:szCs w:val="22"/>
          <w:lang w:val="sr-Latn-ME"/>
        </w:rPr>
        <w:t>enjuje pod kontrolom l</w:t>
      </w:r>
      <w:r w:rsidR="00D57936" w:rsidRPr="00D768EF">
        <w:rPr>
          <w:color w:val="000000"/>
          <w:szCs w:val="22"/>
          <w:lang w:val="sr-Latn-ME"/>
        </w:rPr>
        <w:t>j</w:t>
      </w:r>
      <w:r w:rsidRPr="00D768EF">
        <w:rPr>
          <w:color w:val="000000"/>
          <w:szCs w:val="22"/>
          <w:lang w:val="sr-Latn-ME"/>
        </w:rPr>
        <w:t>ekara specijalista koji imaju iskustva u postavljanju dijagnoze i l</w:t>
      </w:r>
      <w:r w:rsidR="00D57936" w:rsidRPr="00D768EF">
        <w:rPr>
          <w:color w:val="000000"/>
          <w:szCs w:val="22"/>
          <w:lang w:val="sr-Latn-ME"/>
        </w:rPr>
        <w:t>ij</w:t>
      </w:r>
      <w:r w:rsidRPr="00D768EF">
        <w:rPr>
          <w:color w:val="000000"/>
          <w:szCs w:val="22"/>
          <w:lang w:val="sr-Latn-ME"/>
        </w:rPr>
        <w:t>ečenju reumatoidnog artritisa, inflamatornih bolesti cr</w:t>
      </w:r>
      <w:r w:rsidR="00D57936" w:rsidRPr="00D768EF">
        <w:rPr>
          <w:color w:val="000000"/>
          <w:szCs w:val="22"/>
          <w:lang w:val="sr-Latn-ME"/>
        </w:rPr>
        <w:t>ij</w:t>
      </w:r>
      <w:r w:rsidRPr="00D768EF">
        <w:rPr>
          <w:color w:val="000000"/>
          <w:szCs w:val="22"/>
          <w:lang w:val="sr-Latn-ME"/>
        </w:rPr>
        <w:t xml:space="preserve">eva, </w:t>
      </w:r>
      <w:r w:rsidRPr="00D768EF">
        <w:rPr>
          <w:snapToGrid w:val="0"/>
          <w:color w:val="000000"/>
          <w:szCs w:val="22"/>
          <w:lang w:val="sr-Latn-ME"/>
        </w:rPr>
        <w:t>ankilozirajućeg spondilitisa</w:t>
      </w:r>
      <w:r w:rsidRPr="00D768EF">
        <w:rPr>
          <w:color w:val="000000"/>
          <w:szCs w:val="22"/>
          <w:lang w:val="sr-Latn-ME"/>
        </w:rPr>
        <w:t xml:space="preserve">, </w:t>
      </w:r>
      <w:r w:rsidRPr="00D768EF">
        <w:rPr>
          <w:snapToGrid w:val="0"/>
          <w:color w:val="000000"/>
          <w:szCs w:val="22"/>
          <w:lang w:val="sr-Latn-ME"/>
        </w:rPr>
        <w:t xml:space="preserve">psorijatičnog artritisa </w:t>
      </w:r>
      <w:r w:rsidRPr="00D768EF">
        <w:rPr>
          <w:color w:val="000000"/>
          <w:szCs w:val="22"/>
          <w:lang w:val="sr-Latn-ME"/>
        </w:rPr>
        <w:t xml:space="preserve">ili psorijaze. </w:t>
      </w:r>
      <w:r w:rsidR="00D57936" w:rsidRPr="00D768EF">
        <w:rPr>
          <w:color w:val="000000"/>
          <w:szCs w:val="22"/>
          <w:lang w:val="sr-Latn-ME"/>
        </w:rPr>
        <w:t>Lijek Inflectra</w:t>
      </w:r>
      <w:r w:rsidRPr="00D768EF">
        <w:rPr>
          <w:color w:val="000000"/>
          <w:szCs w:val="22"/>
          <w:lang w:val="sr-Latn-ME"/>
        </w:rPr>
        <w:t xml:space="preserve"> treba prim</w:t>
      </w:r>
      <w:r w:rsidR="00126595" w:rsidRPr="00D768EF">
        <w:rPr>
          <w:color w:val="000000"/>
          <w:szCs w:val="22"/>
          <w:lang w:val="sr-Latn-ME"/>
        </w:rPr>
        <w:t>j</w:t>
      </w:r>
      <w:r w:rsidRPr="00D768EF">
        <w:rPr>
          <w:color w:val="000000"/>
          <w:szCs w:val="22"/>
          <w:lang w:val="sr-Latn-ME"/>
        </w:rPr>
        <w:t xml:space="preserve">enjivati intravenski. </w:t>
      </w:r>
      <w:r w:rsidRPr="00D768EF">
        <w:rPr>
          <w:iCs/>
          <w:color w:val="000000"/>
          <w:szCs w:val="22"/>
          <w:lang w:val="sr-Latn-ME"/>
        </w:rPr>
        <w:t>Infuziju l</w:t>
      </w:r>
      <w:r w:rsidR="00D57936" w:rsidRPr="00D768EF">
        <w:rPr>
          <w:iCs/>
          <w:color w:val="000000"/>
          <w:szCs w:val="22"/>
          <w:lang w:val="sr-Latn-ME"/>
        </w:rPr>
        <w:t>ij</w:t>
      </w:r>
      <w:r w:rsidRPr="00D768EF">
        <w:rPr>
          <w:iCs/>
          <w:color w:val="000000"/>
          <w:szCs w:val="22"/>
          <w:lang w:val="sr-Latn-ME"/>
        </w:rPr>
        <w:t xml:space="preserve">eka </w:t>
      </w:r>
      <w:r w:rsidRPr="00D768EF">
        <w:rPr>
          <w:color w:val="000000"/>
          <w:szCs w:val="22"/>
          <w:lang w:val="sr-Latn-ME"/>
        </w:rPr>
        <w:t>Inflectra</w:t>
      </w:r>
      <w:r w:rsidRPr="00D768EF">
        <w:rPr>
          <w:iCs/>
          <w:color w:val="000000"/>
          <w:szCs w:val="22"/>
          <w:lang w:val="sr-Latn-ME"/>
        </w:rPr>
        <w:t xml:space="preserve"> treba da </w:t>
      </w:r>
      <w:r w:rsidR="00D57936" w:rsidRPr="00D768EF">
        <w:rPr>
          <w:iCs/>
          <w:color w:val="000000"/>
          <w:szCs w:val="22"/>
          <w:lang w:val="sr-Latn-ME"/>
        </w:rPr>
        <w:t>primjenju</w:t>
      </w:r>
      <w:r w:rsidRPr="00D768EF">
        <w:rPr>
          <w:iCs/>
          <w:color w:val="000000"/>
          <w:szCs w:val="22"/>
          <w:lang w:val="sr-Latn-ME"/>
        </w:rPr>
        <w:t>ju osposobljeni zdravstveni radnici koji su obučeni da prepoznaju bilo koji problem u vezi sa infuzijom.</w:t>
      </w:r>
      <w:r w:rsidRPr="00D768EF">
        <w:rPr>
          <w:color w:val="000000"/>
          <w:szCs w:val="22"/>
          <w:lang w:val="sr-Latn-ME"/>
        </w:rPr>
        <w:t xml:space="preserve"> Pacijentima koji primaju </w:t>
      </w:r>
      <w:r w:rsidR="00D57936" w:rsidRPr="00D768EF">
        <w:rPr>
          <w:color w:val="000000"/>
          <w:szCs w:val="22"/>
          <w:lang w:val="sr-Latn-ME"/>
        </w:rPr>
        <w:t>lijek Inflectra</w:t>
      </w:r>
      <w:r w:rsidRPr="00D768EF">
        <w:rPr>
          <w:color w:val="000000"/>
          <w:szCs w:val="22"/>
          <w:lang w:val="sr-Latn-ME"/>
        </w:rPr>
        <w:t xml:space="preserve"> treba dati Uputstvo za l</w:t>
      </w:r>
      <w:r w:rsidR="00D57936" w:rsidRPr="00D768EF">
        <w:rPr>
          <w:color w:val="000000"/>
          <w:szCs w:val="22"/>
          <w:lang w:val="sr-Latn-ME"/>
        </w:rPr>
        <w:t>ij</w:t>
      </w:r>
      <w:r w:rsidRPr="00D768EF">
        <w:rPr>
          <w:color w:val="000000"/>
          <w:szCs w:val="22"/>
          <w:lang w:val="sr-Latn-ME"/>
        </w:rPr>
        <w:t xml:space="preserve">ek i </w:t>
      </w:r>
      <w:r w:rsidR="001C7EE4" w:rsidRPr="00D768EF">
        <w:rPr>
          <w:color w:val="000000"/>
          <w:szCs w:val="22"/>
          <w:lang w:val="sr-Latn-ME"/>
        </w:rPr>
        <w:br/>
        <w:t>K</w:t>
      </w:r>
      <w:r w:rsidRPr="00D768EF">
        <w:rPr>
          <w:color w:val="000000"/>
          <w:szCs w:val="22"/>
          <w:lang w:val="sr-Latn-ME"/>
        </w:rPr>
        <w:t>articu</w:t>
      </w:r>
      <w:r w:rsidR="001C7EE4" w:rsidRPr="00D768EF">
        <w:rPr>
          <w:color w:val="000000"/>
          <w:szCs w:val="22"/>
          <w:lang w:val="sr-Latn-ME"/>
        </w:rPr>
        <w:t> - pods</w:t>
      </w:r>
      <w:r w:rsidR="00D57936" w:rsidRPr="00D768EF">
        <w:rPr>
          <w:color w:val="000000"/>
          <w:szCs w:val="22"/>
          <w:lang w:val="sr-Latn-ME"/>
        </w:rPr>
        <w:t>j</w:t>
      </w:r>
      <w:r w:rsidR="001C7EE4" w:rsidRPr="00D768EF">
        <w:rPr>
          <w:color w:val="000000"/>
          <w:szCs w:val="22"/>
          <w:lang w:val="sr-Latn-ME"/>
        </w:rPr>
        <w:t>etnik</w:t>
      </w:r>
      <w:r w:rsidR="00B8632C" w:rsidRPr="00D768EF">
        <w:rPr>
          <w:color w:val="000000"/>
          <w:szCs w:val="22"/>
          <w:lang w:val="sr-Latn-ME"/>
        </w:rPr>
        <w:t xml:space="preserve"> za pacijenta</w:t>
      </w:r>
      <w:r w:rsidRPr="00D768EF">
        <w:rPr>
          <w:color w:val="000000"/>
          <w:szCs w:val="22"/>
          <w:lang w:val="sr-Latn-ME"/>
        </w:rPr>
        <w:t xml:space="preserve">. </w:t>
      </w:r>
    </w:p>
    <w:p w14:paraId="7E239692" w14:textId="77777777" w:rsidR="00C175E4" w:rsidRPr="00D768EF" w:rsidRDefault="00C175E4" w:rsidP="00C175E4">
      <w:pPr>
        <w:rPr>
          <w:color w:val="000000"/>
          <w:szCs w:val="22"/>
          <w:lang w:val="sr-Latn-ME"/>
        </w:rPr>
      </w:pPr>
    </w:p>
    <w:p w14:paraId="36544DDC" w14:textId="34558EE3" w:rsidR="00C175E4" w:rsidRPr="00D768EF" w:rsidRDefault="00C175E4" w:rsidP="00C175E4">
      <w:pPr>
        <w:rPr>
          <w:color w:val="000000"/>
          <w:szCs w:val="22"/>
          <w:lang w:val="sr-Latn-ME"/>
        </w:rPr>
      </w:pPr>
      <w:r w:rsidRPr="00D768EF">
        <w:rPr>
          <w:color w:val="000000"/>
          <w:szCs w:val="22"/>
          <w:lang w:val="sr-Latn-ME"/>
        </w:rPr>
        <w:t xml:space="preserve">U toku </w:t>
      </w:r>
      <w:r w:rsidR="00D57936" w:rsidRPr="00D768EF">
        <w:rPr>
          <w:color w:val="000000"/>
          <w:szCs w:val="22"/>
          <w:lang w:val="sr-Latn-ME"/>
        </w:rPr>
        <w:t>liječe</w:t>
      </w:r>
      <w:r w:rsidRPr="00D768EF">
        <w:rPr>
          <w:color w:val="000000"/>
          <w:szCs w:val="22"/>
          <w:lang w:val="sr-Latn-ME"/>
        </w:rPr>
        <w:t xml:space="preserve">nja </w:t>
      </w:r>
      <w:r w:rsidR="00D57936" w:rsidRPr="00D768EF">
        <w:rPr>
          <w:color w:val="000000"/>
          <w:szCs w:val="22"/>
          <w:lang w:val="sr-Latn-ME"/>
        </w:rPr>
        <w:t>lijekom Inflectra</w:t>
      </w:r>
      <w:r w:rsidRPr="00D768EF">
        <w:rPr>
          <w:color w:val="000000"/>
          <w:szCs w:val="22"/>
          <w:lang w:val="sr-Latn-ME"/>
        </w:rPr>
        <w:t xml:space="preserve">, treba prilagoditi istovremenu terapiju drugim </w:t>
      </w:r>
      <w:r w:rsidR="00D57936" w:rsidRPr="00D768EF">
        <w:rPr>
          <w:color w:val="000000"/>
          <w:szCs w:val="22"/>
          <w:lang w:val="sr-Latn-ME"/>
        </w:rPr>
        <w:t>ljekovi</w:t>
      </w:r>
      <w:r w:rsidRPr="00D768EF">
        <w:rPr>
          <w:color w:val="000000"/>
          <w:szCs w:val="22"/>
          <w:lang w:val="sr-Latn-ME"/>
        </w:rPr>
        <w:t>ma, npr. kortikosteriodima i imunosupresivima.</w:t>
      </w:r>
    </w:p>
    <w:p w14:paraId="5B3BBD46" w14:textId="77777777" w:rsidR="00C175E4" w:rsidRPr="00D768EF" w:rsidRDefault="00C175E4" w:rsidP="00C175E4">
      <w:pPr>
        <w:tabs>
          <w:tab w:val="clear" w:pos="284"/>
        </w:tabs>
        <w:autoSpaceDE w:val="0"/>
        <w:autoSpaceDN w:val="0"/>
        <w:adjustRightInd w:val="0"/>
        <w:rPr>
          <w:szCs w:val="22"/>
          <w:lang w:val="sr-Latn-ME"/>
        </w:rPr>
      </w:pPr>
    </w:p>
    <w:p w14:paraId="1DD903CB" w14:textId="77777777" w:rsidR="00C175E4" w:rsidRPr="00D768EF" w:rsidRDefault="00C175E4" w:rsidP="00307FEE">
      <w:pPr>
        <w:keepNext/>
        <w:rPr>
          <w:b/>
          <w:color w:val="000000"/>
          <w:szCs w:val="22"/>
          <w:u w:val="single"/>
          <w:lang w:val="sr-Latn-ME"/>
        </w:rPr>
      </w:pPr>
      <w:r w:rsidRPr="00D768EF">
        <w:rPr>
          <w:b/>
          <w:color w:val="000000"/>
          <w:szCs w:val="22"/>
          <w:u w:val="single"/>
          <w:lang w:val="sr-Latn-ME"/>
        </w:rPr>
        <w:lastRenderedPageBreak/>
        <w:t>Doziranje</w:t>
      </w:r>
    </w:p>
    <w:p w14:paraId="297342A9" w14:textId="77777777" w:rsidR="00C175E4" w:rsidRPr="00D768EF" w:rsidRDefault="00C175E4" w:rsidP="00307FEE">
      <w:pPr>
        <w:keepNext/>
        <w:outlineLvl w:val="0"/>
        <w:rPr>
          <w:color w:val="000000"/>
          <w:szCs w:val="22"/>
          <w:u w:val="single"/>
          <w:lang w:val="sr-Latn-ME"/>
        </w:rPr>
      </w:pPr>
    </w:p>
    <w:p w14:paraId="45D124E9" w14:textId="51577CEB" w:rsidR="00C175E4" w:rsidRPr="00D768EF" w:rsidRDefault="00C175E4" w:rsidP="00307FEE">
      <w:pPr>
        <w:keepNext/>
        <w:outlineLvl w:val="0"/>
        <w:rPr>
          <w:i/>
          <w:iCs/>
          <w:color w:val="000000"/>
          <w:szCs w:val="22"/>
          <w:u w:val="single"/>
          <w:lang w:val="sr-Latn-ME"/>
        </w:rPr>
      </w:pPr>
      <w:r w:rsidRPr="00D768EF">
        <w:rPr>
          <w:i/>
          <w:iCs/>
          <w:color w:val="000000"/>
          <w:szCs w:val="22"/>
          <w:u w:val="single"/>
          <w:lang w:val="sr-Latn-ME"/>
        </w:rPr>
        <w:t>Odrasli (</w:t>
      </w:r>
      <w:r w:rsidRPr="00D768EF">
        <w:rPr>
          <w:i/>
          <w:iCs/>
          <w:color w:val="000000"/>
          <w:szCs w:val="22"/>
          <w:u w:val="single"/>
          <w:lang w:val="sr-Latn-ME"/>
        </w:rPr>
        <w:sym w:font="Symbol" w:char="F0B3"/>
      </w:r>
      <w:r w:rsidRPr="00D768EF">
        <w:rPr>
          <w:i/>
          <w:iCs/>
          <w:color w:val="000000"/>
          <w:szCs w:val="22"/>
          <w:u w:val="single"/>
          <w:lang w:val="sr-Latn-ME"/>
        </w:rPr>
        <w:t xml:space="preserve"> 18 godina)</w:t>
      </w:r>
    </w:p>
    <w:p w14:paraId="0381DE7B" w14:textId="77777777" w:rsidR="00C175E4" w:rsidRPr="00D768EF" w:rsidRDefault="00C175E4" w:rsidP="00307FEE">
      <w:pPr>
        <w:keepNext/>
        <w:outlineLvl w:val="0"/>
        <w:rPr>
          <w:b/>
          <w:bCs/>
          <w:color w:val="000000"/>
          <w:szCs w:val="22"/>
          <w:lang w:val="sr-Latn-ME"/>
        </w:rPr>
      </w:pPr>
    </w:p>
    <w:p w14:paraId="2840D460" w14:textId="77777777" w:rsidR="00C175E4" w:rsidRPr="00D768EF" w:rsidRDefault="00C175E4" w:rsidP="00307FEE">
      <w:pPr>
        <w:keepNext/>
        <w:outlineLvl w:val="0"/>
        <w:rPr>
          <w:i/>
          <w:color w:val="000000"/>
          <w:szCs w:val="22"/>
          <w:lang w:val="sr-Latn-ME"/>
        </w:rPr>
      </w:pPr>
      <w:r w:rsidRPr="00D768EF">
        <w:rPr>
          <w:i/>
          <w:color w:val="000000"/>
          <w:szCs w:val="22"/>
          <w:lang w:val="sr-Latn-ME"/>
        </w:rPr>
        <w:t>Reumatoidni artritis</w:t>
      </w:r>
    </w:p>
    <w:p w14:paraId="5A20297C" w14:textId="75CD1488" w:rsidR="00C175E4" w:rsidRPr="00D768EF" w:rsidRDefault="00EE6F7B" w:rsidP="00C175E4">
      <w:pPr>
        <w:outlineLvl w:val="0"/>
        <w:rPr>
          <w:color w:val="000000"/>
          <w:szCs w:val="22"/>
          <w:lang w:val="sr-Latn-ME"/>
        </w:rPr>
      </w:pPr>
      <w:r w:rsidRPr="00D768EF">
        <w:rPr>
          <w:color w:val="000000"/>
          <w:szCs w:val="22"/>
          <w:lang w:val="sr-Latn-ME"/>
        </w:rPr>
        <w:t xml:space="preserve">Doza od </w:t>
      </w:r>
      <w:r w:rsidR="00C175E4" w:rsidRPr="00D768EF">
        <w:rPr>
          <w:color w:val="000000"/>
          <w:szCs w:val="22"/>
          <w:lang w:val="sr-Latn-ME"/>
        </w:rPr>
        <w:t xml:space="preserve">3 mg/kg se </w:t>
      </w:r>
      <w:r w:rsidR="00B750A5" w:rsidRPr="00D768EF">
        <w:rPr>
          <w:color w:val="000000"/>
          <w:szCs w:val="22"/>
          <w:lang w:val="sr-Latn-ME"/>
        </w:rPr>
        <w:t>primjenjuje</w:t>
      </w:r>
      <w:r w:rsidR="00C175E4" w:rsidRPr="00D768EF">
        <w:rPr>
          <w:color w:val="000000"/>
          <w:szCs w:val="22"/>
          <w:lang w:val="sr-Latn-ME"/>
        </w:rPr>
        <w:t xml:space="preserve"> u vidu intravenske infuzije, </w:t>
      </w:r>
      <w:r w:rsidRPr="00D768EF">
        <w:rPr>
          <w:color w:val="000000"/>
          <w:szCs w:val="22"/>
          <w:lang w:val="sr-Latn-ME"/>
        </w:rPr>
        <w:t>nakon</w:t>
      </w:r>
      <w:r w:rsidR="00C175E4" w:rsidRPr="00D768EF">
        <w:rPr>
          <w:color w:val="000000"/>
          <w:szCs w:val="22"/>
          <w:lang w:val="sr-Latn-ME"/>
        </w:rPr>
        <w:t xml:space="preserve"> čega sl</w:t>
      </w:r>
      <w:r w:rsidR="00D57936" w:rsidRPr="00D768EF">
        <w:rPr>
          <w:color w:val="000000"/>
          <w:szCs w:val="22"/>
          <w:lang w:val="sr-Latn-ME"/>
        </w:rPr>
        <w:t>ij</w:t>
      </w:r>
      <w:r w:rsidR="00C175E4" w:rsidRPr="00D768EF">
        <w:rPr>
          <w:color w:val="000000"/>
          <w:szCs w:val="22"/>
          <w:lang w:val="sr-Latn-ME"/>
        </w:rPr>
        <w:t xml:space="preserve">ede dodatne infuzije u dozi od 3 mg/kg u 2. i 6. </w:t>
      </w:r>
      <w:r w:rsidR="00D57936" w:rsidRPr="00D768EF">
        <w:rPr>
          <w:color w:val="000000"/>
          <w:szCs w:val="22"/>
          <w:lang w:val="sr-Latn-ME"/>
        </w:rPr>
        <w:t>nedjelj</w:t>
      </w:r>
      <w:r w:rsidR="00C175E4" w:rsidRPr="00D768EF">
        <w:rPr>
          <w:color w:val="000000"/>
          <w:szCs w:val="22"/>
          <w:lang w:val="sr-Latn-ME"/>
        </w:rPr>
        <w:t xml:space="preserve">i posle prve infuzije, a zatim na svakih 8 </w:t>
      </w:r>
      <w:r w:rsidR="00D57936" w:rsidRPr="00D768EF">
        <w:rPr>
          <w:color w:val="000000"/>
          <w:szCs w:val="22"/>
          <w:lang w:val="sr-Latn-ME"/>
        </w:rPr>
        <w:t>nedjelj</w:t>
      </w:r>
      <w:r w:rsidR="00C175E4" w:rsidRPr="00D768EF">
        <w:rPr>
          <w:color w:val="000000"/>
          <w:szCs w:val="22"/>
          <w:lang w:val="sr-Latn-ME"/>
        </w:rPr>
        <w:t>a posl</w:t>
      </w:r>
      <w:r w:rsidR="00A04DB2">
        <w:rPr>
          <w:color w:val="000000"/>
          <w:szCs w:val="22"/>
          <w:lang w:val="sr-Latn-ME"/>
        </w:rPr>
        <w:t>ij</w:t>
      </w:r>
      <w:r w:rsidR="00C175E4" w:rsidRPr="00D768EF">
        <w:rPr>
          <w:color w:val="000000"/>
          <w:szCs w:val="22"/>
          <w:lang w:val="sr-Latn-ME"/>
        </w:rPr>
        <w:t xml:space="preserve">e toga. </w:t>
      </w:r>
    </w:p>
    <w:p w14:paraId="1EE4663F" w14:textId="77777777" w:rsidR="00C175E4" w:rsidRPr="00D768EF" w:rsidRDefault="00C175E4" w:rsidP="00C175E4">
      <w:pPr>
        <w:outlineLvl w:val="0"/>
        <w:rPr>
          <w:color w:val="000000"/>
          <w:szCs w:val="22"/>
          <w:lang w:val="sr-Latn-ME"/>
        </w:rPr>
      </w:pPr>
    </w:p>
    <w:p w14:paraId="3B333D74" w14:textId="77777777" w:rsidR="00C175E4" w:rsidRPr="00D768EF" w:rsidRDefault="00D57936" w:rsidP="00C175E4">
      <w:pPr>
        <w:rPr>
          <w:color w:val="000000"/>
          <w:szCs w:val="22"/>
          <w:lang w:val="sr-Latn-ME"/>
        </w:rPr>
      </w:pPr>
      <w:r w:rsidRPr="00D768EF">
        <w:rPr>
          <w:color w:val="000000"/>
          <w:szCs w:val="22"/>
          <w:lang w:val="sr-Latn-ME"/>
        </w:rPr>
        <w:t>Lijek Inflectra</w:t>
      </w:r>
      <w:r w:rsidR="00C175E4" w:rsidRPr="00D768EF">
        <w:rPr>
          <w:color w:val="000000"/>
          <w:szCs w:val="22"/>
          <w:lang w:val="sr-Latn-ME"/>
        </w:rPr>
        <w:t xml:space="preserve"> se mora davati istovremeno sa metotreksatom. </w:t>
      </w:r>
    </w:p>
    <w:p w14:paraId="37C95851" w14:textId="77777777" w:rsidR="00C175E4" w:rsidRPr="00D768EF" w:rsidRDefault="00C175E4" w:rsidP="00C175E4">
      <w:pPr>
        <w:rPr>
          <w:color w:val="000000"/>
          <w:szCs w:val="22"/>
          <w:lang w:val="sr-Latn-ME"/>
        </w:rPr>
      </w:pPr>
    </w:p>
    <w:p w14:paraId="424DF8B6" w14:textId="761EDD72" w:rsidR="00C175E4" w:rsidRPr="00D768EF" w:rsidRDefault="00C175E4" w:rsidP="00C175E4">
      <w:pPr>
        <w:rPr>
          <w:color w:val="000000"/>
          <w:szCs w:val="22"/>
          <w:lang w:val="sr-Latn-ME"/>
        </w:rPr>
      </w:pPr>
      <w:r w:rsidRPr="00D768EF">
        <w:rPr>
          <w:color w:val="000000"/>
          <w:szCs w:val="22"/>
          <w:lang w:val="sr-Latn-ME"/>
        </w:rPr>
        <w:t xml:space="preserve">Dostupni podaci ukazuju da se klinički odgovor obično postiže u roku od 12 </w:t>
      </w:r>
      <w:r w:rsidR="00D57936" w:rsidRPr="00D768EF">
        <w:rPr>
          <w:color w:val="000000"/>
          <w:szCs w:val="22"/>
          <w:lang w:val="sr-Latn-ME"/>
        </w:rPr>
        <w:t>nedjelj</w:t>
      </w:r>
      <w:r w:rsidRPr="00D768EF">
        <w:rPr>
          <w:color w:val="000000"/>
          <w:szCs w:val="22"/>
          <w:lang w:val="sr-Latn-ME"/>
        </w:rPr>
        <w:t xml:space="preserve">a </w:t>
      </w:r>
      <w:r w:rsidR="00D57936" w:rsidRPr="00D768EF">
        <w:rPr>
          <w:color w:val="000000"/>
          <w:szCs w:val="22"/>
          <w:lang w:val="sr-Latn-ME"/>
        </w:rPr>
        <w:t>liječe</w:t>
      </w:r>
      <w:r w:rsidRPr="00D768EF">
        <w:rPr>
          <w:color w:val="000000"/>
          <w:szCs w:val="22"/>
          <w:lang w:val="sr-Latn-ME"/>
        </w:rPr>
        <w:t xml:space="preserve">nja. Ako posle tog perioda odgovor pacijenta na terapiju više nije odgovarajući ili </w:t>
      </w:r>
      <w:r w:rsidRPr="00D768EF">
        <w:rPr>
          <w:color w:val="000000"/>
          <w:szCs w:val="22"/>
          <w:lang w:val="sr-Latn-ME" w:eastAsia="sv-SE"/>
        </w:rPr>
        <w:t>je pacijent prestao da reaguje, može se razmotriti postepeno povećanje doze za oko</w:t>
      </w:r>
      <w:r w:rsidRPr="00D768EF">
        <w:rPr>
          <w:color w:val="000000"/>
          <w:szCs w:val="22"/>
          <w:lang w:val="sr-Latn-ME"/>
        </w:rPr>
        <w:t xml:space="preserve"> 1,5 mg/kg do </w:t>
      </w:r>
      <w:r w:rsidRPr="00D768EF">
        <w:rPr>
          <w:color w:val="000000"/>
          <w:szCs w:val="22"/>
          <w:lang w:val="sr-Latn-ME" w:eastAsia="sv-SE"/>
        </w:rPr>
        <w:t xml:space="preserve">maksimalne doze od 7,5 mg/kg na </w:t>
      </w:r>
      <w:r w:rsidRPr="00D768EF">
        <w:rPr>
          <w:color w:val="000000"/>
          <w:szCs w:val="22"/>
          <w:lang w:val="sr-Latn-ME"/>
        </w:rPr>
        <w:t xml:space="preserve">svakih 8 </w:t>
      </w:r>
      <w:r w:rsidR="00D57936" w:rsidRPr="00D768EF">
        <w:rPr>
          <w:color w:val="000000"/>
          <w:szCs w:val="22"/>
          <w:lang w:val="sr-Latn-ME"/>
        </w:rPr>
        <w:t>nedjelj</w:t>
      </w:r>
      <w:r w:rsidRPr="00D768EF">
        <w:rPr>
          <w:color w:val="000000"/>
          <w:szCs w:val="22"/>
          <w:lang w:val="sr-Latn-ME"/>
        </w:rPr>
        <w:t>a</w:t>
      </w:r>
      <w:r w:rsidRPr="00D768EF">
        <w:rPr>
          <w:color w:val="000000"/>
          <w:szCs w:val="22"/>
          <w:lang w:val="sr-Latn-ME" w:eastAsia="sv-SE"/>
        </w:rPr>
        <w:t xml:space="preserve">. Alternativno, može se razmotriti </w:t>
      </w:r>
      <w:r w:rsidR="00D57936" w:rsidRPr="00D768EF">
        <w:rPr>
          <w:color w:val="000000"/>
          <w:szCs w:val="22"/>
          <w:lang w:val="sr-Latn-ME" w:eastAsia="sv-SE"/>
        </w:rPr>
        <w:t>primjena</w:t>
      </w:r>
      <w:r w:rsidRPr="00D768EF">
        <w:rPr>
          <w:color w:val="000000"/>
          <w:szCs w:val="22"/>
          <w:lang w:val="sr-Latn-ME" w:eastAsia="sv-SE"/>
        </w:rPr>
        <w:t xml:space="preserve"> doze od 3 mg/kg na svake 4 </w:t>
      </w:r>
      <w:r w:rsidR="00D57936" w:rsidRPr="00D768EF">
        <w:rPr>
          <w:color w:val="000000"/>
          <w:szCs w:val="22"/>
          <w:lang w:val="sr-Latn-ME" w:eastAsia="sv-SE"/>
        </w:rPr>
        <w:t>nedjelj</w:t>
      </w:r>
      <w:r w:rsidRPr="00D768EF">
        <w:rPr>
          <w:color w:val="000000"/>
          <w:szCs w:val="22"/>
          <w:lang w:val="sr-Latn-ME" w:eastAsia="sv-SE"/>
        </w:rPr>
        <w:t xml:space="preserve">e. Ukoliko se postigne odgovarajući </w:t>
      </w:r>
      <w:r w:rsidRPr="00D768EF">
        <w:rPr>
          <w:color w:val="000000"/>
          <w:szCs w:val="22"/>
          <w:lang w:val="sr-Latn-ME"/>
        </w:rPr>
        <w:t>odgovor</w:t>
      </w:r>
      <w:r w:rsidRPr="00D768EF">
        <w:rPr>
          <w:color w:val="000000"/>
          <w:szCs w:val="22"/>
          <w:lang w:val="sr-Latn-ME" w:eastAsia="sv-SE"/>
        </w:rPr>
        <w:t xml:space="preserve">, treba nastaviti </w:t>
      </w:r>
      <w:r w:rsidR="00D57936" w:rsidRPr="00D768EF">
        <w:rPr>
          <w:color w:val="000000"/>
          <w:szCs w:val="22"/>
          <w:lang w:val="sr-Latn-ME" w:eastAsia="sv-SE"/>
        </w:rPr>
        <w:t>liječe</w:t>
      </w:r>
      <w:r w:rsidRPr="00D768EF">
        <w:rPr>
          <w:color w:val="000000"/>
          <w:szCs w:val="22"/>
          <w:lang w:val="sr-Latn-ME" w:eastAsia="sv-SE"/>
        </w:rPr>
        <w:t>nje odabranom dozom i učestalošću prim</w:t>
      </w:r>
      <w:r w:rsidR="00D57936" w:rsidRPr="00D768EF">
        <w:rPr>
          <w:color w:val="000000"/>
          <w:szCs w:val="22"/>
          <w:lang w:val="sr-Latn-ME" w:eastAsia="sv-SE"/>
        </w:rPr>
        <w:t>j</w:t>
      </w:r>
      <w:r w:rsidRPr="00D768EF">
        <w:rPr>
          <w:color w:val="000000"/>
          <w:szCs w:val="22"/>
          <w:lang w:val="sr-Latn-ME" w:eastAsia="sv-SE"/>
        </w:rPr>
        <w:t xml:space="preserve">ene. </w:t>
      </w:r>
      <w:r w:rsidRPr="00D768EF">
        <w:rPr>
          <w:color w:val="000000"/>
          <w:szCs w:val="22"/>
          <w:lang w:val="sr-Latn-ME"/>
        </w:rPr>
        <w:t xml:space="preserve">Dalji nastavak </w:t>
      </w:r>
      <w:r w:rsidR="00D57936" w:rsidRPr="00D768EF">
        <w:rPr>
          <w:color w:val="000000"/>
          <w:szCs w:val="22"/>
          <w:lang w:val="sr-Latn-ME"/>
        </w:rPr>
        <w:t>liječe</w:t>
      </w:r>
      <w:r w:rsidRPr="00D768EF">
        <w:rPr>
          <w:color w:val="000000"/>
          <w:szCs w:val="22"/>
          <w:lang w:val="sr-Latn-ME"/>
        </w:rPr>
        <w:t xml:space="preserve">nja treba pažljivo razmotriti kod pacijenata kod kojih ne postoje dokazi o koristi terapije u toku prvih 12 </w:t>
      </w:r>
      <w:r w:rsidR="00D57936" w:rsidRPr="00D768EF">
        <w:rPr>
          <w:color w:val="000000"/>
          <w:szCs w:val="22"/>
          <w:lang w:val="sr-Latn-ME"/>
        </w:rPr>
        <w:t>nedjelj</w:t>
      </w:r>
      <w:r w:rsidRPr="00D768EF">
        <w:rPr>
          <w:color w:val="000000"/>
          <w:szCs w:val="22"/>
          <w:lang w:val="sr-Latn-ME"/>
        </w:rPr>
        <w:t xml:space="preserve">a </w:t>
      </w:r>
      <w:r w:rsidR="00D57936" w:rsidRPr="00D768EF">
        <w:rPr>
          <w:color w:val="000000"/>
          <w:szCs w:val="22"/>
          <w:lang w:val="sr-Latn-ME"/>
        </w:rPr>
        <w:t>liječe</w:t>
      </w:r>
      <w:r w:rsidRPr="00D768EF">
        <w:rPr>
          <w:color w:val="000000"/>
          <w:szCs w:val="22"/>
          <w:lang w:val="sr-Latn-ME"/>
        </w:rPr>
        <w:t>nja ili posl</w:t>
      </w:r>
      <w:r w:rsidR="00A04DB2">
        <w:rPr>
          <w:color w:val="000000"/>
          <w:szCs w:val="22"/>
          <w:lang w:val="sr-Latn-ME"/>
        </w:rPr>
        <w:t>ij</w:t>
      </w:r>
      <w:r w:rsidRPr="00D768EF">
        <w:rPr>
          <w:color w:val="000000"/>
          <w:szCs w:val="22"/>
          <w:lang w:val="sr-Latn-ME"/>
        </w:rPr>
        <w:t>e korekcije doze.</w:t>
      </w:r>
    </w:p>
    <w:p w14:paraId="444B3D6D" w14:textId="77777777" w:rsidR="00C175E4" w:rsidRPr="00D768EF" w:rsidRDefault="00C175E4" w:rsidP="00C175E4">
      <w:pPr>
        <w:rPr>
          <w:color w:val="000000"/>
          <w:szCs w:val="22"/>
          <w:lang w:val="sr-Latn-ME"/>
        </w:rPr>
      </w:pPr>
    </w:p>
    <w:p w14:paraId="15805A3D" w14:textId="77777777" w:rsidR="00C175E4" w:rsidRPr="00D768EF" w:rsidRDefault="00C175E4" w:rsidP="00C175E4">
      <w:pPr>
        <w:outlineLvl w:val="0"/>
        <w:rPr>
          <w:i/>
          <w:color w:val="000000"/>
          <w:szCs w:val="22"/>
          <w:lang w:val="sr-Latn-ME"/>
        </w:rPr>
      </w:pPr>
      <w:r w:rsidRPr="00D768EF">
        <w:rPr>
          <w:i/>
          <w:color w:val="000000"/>
          <w:szCs w:val="22"/>
          <w:lang w:val="sr-Latn-ME"/>
        </w:rPr>
        <w:t>Um</w:t>
      </w:r>
      <w:r w:rsidR="00D57936" w:rsidRPr="00D768EF">
        <w:rPr>
          <w:i/>
          <w:color w:val="000000"/>
          <w:szCs w:val="22"/>
          <w:lang w:val="sr-Latn-ME"/>
        </w:rPr>
        <w:t>j</w:t>
      </w:r>
      <w:r w:rsidRPr="00D768EF">
        <w:rPr>
          <w:i/>
          <w:color w:val="000000"/>
          <w:szCs w:val="22"/>
          <w:lang w:val="sr-Latn-ME"/>
        </w:rPr>
        <w:t>ereno do izrazito aktivna Kronova bolest</w:t>
      </w:r>
    </w:p>
    <w:p w14:paraId="78128F41" w14:textId="2C894C44" w:rsidR="00C175E4" w:rsidRPr="00D768EF" w:rsidRDefault="00EE6F7B" w:rsidP="00C175E4">
      <w:pPr>
        <w:rPr>
          <w:color w:val="000000"/>
          <w:szCs w:val="22"/>
          <w:lang w:val="sr-Latn-ME"/>
        </w:rPr>
      </w:pPr>
      <w:r w:rsidRPr="00D768EF">
        <w:rPr>
          <w:color w:val="000000"/>
          <w:szCs w:val="22"/>
          <w:lang w:val="sr-Latn-ME"/>
        </w:rPr>
        <w:t xml:space="preserve">Doza od </w:t>
      </w:r>
      <w:r w:rsidR="00C175E4" w:rsidRPr="00D768EF">
        <w:rPr>
          <w:color w:val="000000"/>
          <w:szCs w:val="22"/>
          <w:lang w:val="sr-Latn-ME"/>
        </w:rPr>
        <w:t xml:space="preserve">5 mg/kg se daje u vidu intravenske infuzije, a zatim se 2 </w:t>
      </w:r>
      <w:r w:rsidR="00D57936" w:rsidRPr="00D768EF">
        <w:rPr>
          <w:color w:val="000000"/>
          <w:szCs w:val="22"/>
          <w:lang w:val="sr-Latn-ME"/>
        </w:rPr>
        <w:t>nedjelj</w:t>
      </w:r>
      <w:r w:rsidR="00C175E4" w:rsidRPr="00D768EF">
        <w:rPr>
          <w:color w:val="000000"/>
          <w:szCs w:val="22"/>
          <w:lang w:val="sr-Latn-ME"/>
        </w:rPr>
        <w:t xml:space="preserve">e posle prve infuzije daje dodatna infuzija u dozi od 5mg/kg. </w:t>
      </w:r>
      <w:r w:rsidR="00C175E4" w:rsidRPr="00D768EF">
        <w:rPr>
          <w:color w:val="000000"/>
          <w:szCs w:val="22"/>
          <w:lang w:val="sr-Latn-ME" w:eastAsia="sv-SE"/>
        </w:rPr>
        <w:t xml:space="preserve">Ukoliko pacijent ne reaguje na terapiju posle </w:t>
      </w:r>
      <w:r w:rsidR="00C175E4" w:rsidRPr="00D768EF">
        <w:rPr>
          <w:color w:val="000000"/>
          <w:szCs w:val="22"/>
          <w:lang w:val="sr-Latn-ME"/>
        </w:rPr>
        <w:t>2 doze, ne treba nastav</w:t>
      </w:r>
      <w:r w:rsidRPr="00D768EF">
        <w:rPr>
          <w:color w:val="000000"/>
          <w:szCs w:val="22"/>
          <w:lang w:val="sr-Latn-ME"/>
        </w:rPr>
        <w:t>lja</w:t>
      </w:r>
      <w:r w:rsidR="00C175E4" w:rsidRPr="00D768EF">
        <w:rPr>
          <w:color w:val="000000"/>
          <w:szCs w:val="22"/>
          <w:lang w:val="sr-Latn-ME"/>
        </w:rPr>
        <w:t xml:space="preserve">ti </w:t>
      </w:r>
      <w:r w:rsidR="00D57936" w:rsidRPr="00D768EF">
        <w:rPr>
          <w:color w:val="000000"/>
          <w:szCs w:val="22"/>
          <w:lang w:val="sr-Latn-ME"/>
        </w:rPr>
        <w:t>liječe</w:t>
      </w:r>
      <w:r w:rsidR="00C175E4" w:rsidRPr="00D768EF">
        <w:rPr>
          <w:color w:val="000000"/>
          <w:szCs w:val="22"/>
          <w:lang w:val="sr-Latn-ME"/>
        </w:rPr>
        <w:t xml:space="preserve">nje infliksimabom. </w:t>
      </w:r>
      <w:r w:rsidRPr="00D768EF">
        <w:rPr>
          <w:color w:val="000000"/>
          <w:szCs w:val="22"/>
          <w:lang w:val="sr-Latn-ME"/>
        </w:rPr>
        <w:t>D</w:t>
      </w:r>
      <w:r w:rsidR="00C175E4" w:rsidRPr="00D768EF">
        <w:rPr>
          <w:color w:val="000000"/>
          <w:szCs w:val="22"/>
          <w:lang w:val="sr-Latn-ME"/>
        </w:rPr>
        <w:t>ostupni poda</w:t>
      </w:r>
      <w:r w:rsidRPr="00D768EF">
        <w:rPr>
          <w:color w:val="000000"/>
          <w:szCs w:val="22"/>
          <w:lang w:val="sr-Latn-ME"/>
        </w:rPr>
        <w:t>ci</w:t>
      </w:r>
      <w:r w:rsidR="00C175E4" w:rsidRPr="00D768EF">
        <w:rPr>
          <w:color w:val="000000"/>
          <w:szCs w:val="22"/>
          <w:lang w:val="sr-Latn-ME"/>
        </w:rPr>
        <w:t xml:space="preserve"> ne </w:t>
      </w:r>
      <w:r w:rsidRPr="00D768EF">
        <w:rPr>
          <w:color w:val="000000"/>
          <w:szCs w:val="22"/>
          <w:lang w:val="sr-Latn-ME"/>
        </w:rPr>
        <w:t>podržavaju</w:t>
      </w:r>
      <w:r w:rsidR="00C175E4" w:rsidRPr="00D768EF">
        <w:rPr>
          <w:color w:val="000000"/>
          <w:szCs w:val="22"/>
          <w:lang w:val="sr-Latn-ME"/>
        </w:rPr>
        <w:t xml:space="preserve"> </w:t>
      </w:r>
      <w:r w:rsidRPr="00D768EF">
        <w:rPr>
          <w:color w:val="000000"/>
          <w:szCs w:val="22"/>
          <w:lang w:val="sr-Latn-ME"/>
        </w:rPr>
        <w:t>nastavak</w:t>
      </w:r>
      <w:r w:rsidR="00C175E4" w:rsidRPr="00D768EF">
        <w:rPr>
          <w:color w:val="000000"/>
          <w:szCs w:val="22"/>
          <w:lang w:val="sr-Latn-ME"/>
        </w:rPr>
        <w:t xml:space="preserve"> </w:t>
      </w:r>
      <w:r w:rsidR="00D57936" w:rsidRPr="00D768EF">
        <w:rPr>
          <w:color w:val="000000"/>
          <w:szCs w:val="22"/>
          <w:lang w:val="sr-Latn-ME"/>
        </w:rPr>
        <w:t>liječe</w:t>
      </w:r>
      <w:r w:rsidR="00C175E4" w:rsidRPr="00D768EF">
        <w:rPr>
          <w:color w:val="000000"/>
          <w:szCs w:val="22"/>
          <w:lang w:val="sr-Latn-ME"/>
        </w:rPr>
        <w:t>nj</w:t>
      </w:r>
      <w:r w:rsidRPr="00D768EF">
        <w:rPr>
          <w:color w:val="000000"/>
          <w:szCs w:val="22"/>
          <w:lang w:val="sr-Latn-ME"/>
        </w:rPr>
        <w:t>a</w:t>
      </w:r>
      <w:r w:rsidR="00C175E4" w:rsidRPr="00D768EF">
        <w:rPr>
          <w:color w:val="000000"/>
          <w:szCs w:val="22"/>
          <w:lang w:val="sr-Latn-ME"/>
        </w:rPr>
        <w:t xml:space="preserve"> infliksimabom kod pacijenata koji nisu reagovali na terapiju u roku od 6 </w:t>
      </w:r>
      <w:r w:rsidR="00D57936" w:rsidRPr="00D768EF">
        <w:rPr>
          <w:color w:val="000000"/>
          <w:szCs w:val="22"/>
          <w:lang w:val="sr-Latn-ME"/>
        </w:rPr>
        <w:t>nedjelj</w:t>
      </w:r>
      <w:r w:rsidR="00C175E4" w:rsidRPr="00D768EF">
        <w:rPr>
          <w:color w:val="000000"/>
          <w:szCs w:val="22"/>
          <w:lang w:val="sr-Latn-ME"/>
        </w:rPr>
        <w:t>a posl</w:t>
      </w:r>
      <w:r w:rsidR="00A04DB2">
        <w:rPr>
          <w:color w:val="000000"/>
          <w:szCs w:val="22"/>
          <w:lang w:val="sr-Latn-ME"/>
        </w:rPr>
        <w:t>ij</w:t>
      </w:r>
      <w:r w:rsidR="00C175E4" w:rsidRPr="00D768EF">
        <w:rPr>
          <w:color w:val="000000"/>
          <w:szCs w:val="22"/>
          <w:lang w:val="sr-Latn-ME"/>
        </w:rPr>
        <w:t xml:space="preserve">e početne infuzije. </w:t>
      </w:r>
    </w:p>
    <w:p w14:paraId="7B0E9A2F" w14:textId="77777777" w:rsidR="00C175E4" w:rsidRPr="00D768EF" w:rsidRDefault="00C175E4" w:rsidP="00C175E4">
      <w:pPr>
        <w:rPr>
          <w:color w:val="000000"/>
          <w:szCs w:val="22"/>
          <w:lang w:val="sr-Latn-ME"/>
        </w:rPr>
      </w:pPr>
    </w:p>
    <w:p w14:paraId="7A3DFABA" w14:textId="30235615" w:rsidR="00C175E4" w:rsidRPr="00D768EF" w:rsidRDefault="00C175E4" w:rsidP="00C175E4">
      <w:pPr>
        <w:rPr>
          <w:color w:val="000000"/>
          <w:szCs w:val="22"/>
          <w:lang w:val="sr-Latn-ME"/>
        </w:rPr>
      </w:pPr>
      <w:r w:rsidRPr="00D768EF">
        <w:rPr>
          <w:color w:val="000000"/>
          <w:szCs w:val="22"/>
          <w:lang w:val="sr-Latn-ME"/>
        </w:rPr>
        <w:t xml:space="preserve">Kod pacijenata koji su reagovali na terapiju, alternativne strategije za </w:t>
      </w:r>
      <w:r w:rsidR="00EE6F7B" w:rsidRPr="00D768EF">
        <w:rPr>
          <w:color w:val="000000"/>
          <w:szCs w:val="22"/>
          <w:lang w:val="sr-Latn-ME"/>
        </w:rPr>
        <w:t>nastavak</w:t>
      </w:r>
      <w:r w:rsidRPr="00D768EF">
        <w:rPr>
          <w:color w:val="000000"/>
          <w:szCs w:val="22"/>
          <w:lang w:val="sr-Latn-ME"/>
        </w:rPr>
        <w:t xml:space="preserve"> </w:t>
      </w:r>
      <w:r w:rsidR="00D57936" w:rsidRPr="00D768EF">
        <w:rPr>
          <w:color w:val="000000"/>
          <w:szCs w:val="22"/>
          <w:lang w:val="sr-Latn-ME"/>
        </w:rPr>
        <w:t>liječe</w:t>
      </w:r>
      <w:r w:rsidRPr="00D768EF">
        <w:rPr>
          <w:color w:val="000000"/>
          <w:szCs w:val="22"/>
          <w:lang w:val="sr-Latn-ME"/>
        </w:rPr>
        <w:t>nj</w:t>
      </w:r>
      <w:r w:rsidR="00EE6F7B" w:rsidRPr="00D768EF">
        <w:rPr>
          <w:color w:val="000000"/>
          <w:szCs w:val="22"/>
          <w:lang w:val="sr-Latn-ME"/>
        </w:rPr>
        <w:t>a</w:t>
      </w:r>
      <w:r w:rsidRPr="00D768EF">
        <w:rPr>
          <w:color w:val="000000"/>
          <w:szCs w:val="22"/>
          <w:lang w:val="sr-Latn-ME"/>
        </w:rPr>
        <w:t xml:space="preserve"> su:</w:t>
      </w:r>
    </w:p>
    <w:p w14:paraId="36C8A2F0" w14:textId="19A7775D" w:rsidR="00C175E4" w:rsidRPr="00D768EF" w:rsidRDefault="00C175E4" w:rsidP="00C175E4">
      <w:pPr>
        <w:numPr>
          <w:ilvl w:val="0"/>
          <w:numId w:val="6"/>
        </w:numPr>
        <w:tabs>
          <w:tab w:val="clear" w:pos="284"/>
          <w:tab w:val="clear" w:pos="360"/>
        </w:tabs>
        <w:ind w:left="567" w:hanging="567"/>
        <w:rPr>
          <w:szCs w:val="22"/>
          <w:lang w:val="sr-Latn-ME"/>
        </w:rPr>
      </w:pPr>
      <w:r w:rsidRPr="00D768EF">
        <w:rPr>
          <w:color w:val="000000"/>
          <w:szCs w:val="22"/>
          <w:lang w:val="sr-Latn-ME"/>
        </w:rPr>
        <w:t xml:space="preserve">terapija održavanja: dodatna infuzija u dozi od </w:t>
      </w:r>
      <w:r w:rsidRPr="00D768EF">
        <w:rPr>
          <w:snapToGrid w:val="0"/>
          <w:color w:val="000000"/>
          <w:szCs w:val="22"/>
          <w:lang w:val="sr-Latn-ME" w:eastAsia="sv-SE"/>
        </w:rPr>
        <w:t xml:space="preserve">5 mg/kg u </w:t>
      </w:r>
      <w:r w:rsidRPr="00D768EF">
        <w:rPr>
          <w:color w:val="000000"/>
          <w:szCs w:val="22"/>
          <w:lang w:val="sr-Latn-ME"/>
        </w:rPr>
        <w:t xml:space="preserve">6. </w:t>
      </w:r>
      <w:r w:rsidR="00D57936" w:rsidRPr="00D768EF">
        <w:rPr>
          <w:color w:val="000000"/>
          <w:szCs w:val="22"/>
          <w:lang w:val="sr-Latn-ME"/>
        </w:rPr>
        <w:t>nedjelj</w:t>
      </w:r>
      <w:r w:rsidRPr="00D768EF">
        <w:rPr>
          <w:color w:val="000000"/>
          <w:szCs w:val="22"/>
          <w:lang w:val="sr-Latn-ME"/>
        </w:rPr>
        <w:t>i po</w:t>
      </w:r>
      <w:r w:rsidR="00A04DB2">
        <w:rPr>
          <w:color w:val="000000"/>
          <w:szCs w:val="22"/>
          <w:lang w:val="sr-Latn-ME"/>
        </w:rPr>
        <w:t>l</w:t>
      </w:r>
      <w:r w:rsidRPr="00D768EF">
        <w:rPr>
          <w:color w:val="000000"/>
          <w:szCs w:val="22"/>
          <w:lang w:val="sr-Latn-ME"/>
        </w:rPr>
        <w:t>s</w:t>
      </w:r>
      <w:r w:rsidR="00A04DB2">
        <w:rPr>
          <w:color w:val="000000"/>
          <w:szCs w:val="22"/>
          <w:lang w:val="sr-Latn-ME"/>
        </w:rPr>
        <w:t>ij</w:t>
      </w:r>
      <w:r w:rsidRPr="00D768EF">
        <w:rPr>
          <w:color w:val="000000"/>
          <w:szCs w:val="22"/>
          <w:lang w:val="sr-Latn-ME"/>
        </w:rPr>
        <w:t xml:space="preserve">e početne doze, a posle toga infuzije na svakih 8 </w:t>
      </w:r>
      <w:r w:rsidR="00D57936" w:rsidRPr="00D768EF">
        <w:rPr>
          <w:color w:val="000000"/>
          <w:szCs w:val="22"/>
          <w:lang w:val="sr-Latn-ME"/>
        </w:rPr>
        <w:t>nedjelj</w:t>
      </w:r>
      <w:r w:rsidRPr="00D768EF">
        <w:rPr>
          <w:color w:val="000000"/>
          <w:szCs w:val="22"/>
          <w:lang w:val="sr-Latn-ME"/>
        </w:rPr>
        <w:t xml:space="preserve">a ili </w:t>
      </w:r>
    </w:p>
    <w:p w14:paraId="4A1FA448" w14:textId="56AA2DBB" w:rsidR="00C175E4" w:rsidRPr="00D768EF" w:rsidRDefault="00C175E4" w:rsidP="00C175E4">
      <w:pPr>
        <w:numPr>
          <w:ilvl w:val="0"/>
          <w:numId w:val="6"/>
        </w:numPr>
        <w:tabs>
          <w:tab w:val="clear" w:pos="284"/>
          <w:tab w:val="clear" w:pos="360"/>
          <w:tab w:val="num" w:pos="567"/>
        </w:tabs>
        <w:ind w:left="567" w:hanging="567"/>
        <w:rPr>
          <w:color w:val="000000"/>
          <w:szCs w:val="22"/>
          <w:lang w:val="sr-Latn-ME"/>
        </w:rPr>
      </w:pPr>
      <w:r w:rsidRPr="00D768EF">
        <w:rPr>
          <w:szCs w:val="22"/>
          <w:lang w:val="sr-Latn-ME"/>
        </w:rPr>
        <w:t xml:space="preserve">ponovna </w:t>
      </w:r>
      <w:r w:rsidR="00D57936" w:rsidRPr="00D768EF">
        <w:rPr>
          <w:szCs w:val="22"/>
          <w:lang w:val="sr-Latn-ME"/>
        </w:rPr>
        <w:t>primjena</w:t>
      </w:r>
      <w:r w:rsidRPr="00D768EF">
        <w:rPr>
          <w:szCs w:val="22"/>
          <w:lang w:val="sr-Latn-ME"/>
        </w:rPr>
        <w:t xml:space="preserve">: </w:t>
      </w:r>
      <w:r w:rsidRPr="00D768EF">
        <w:rPr>
          <w:color w:val="000000"/>
          <w:szCs w:val="22"/>
          <w:lang w:val="sr-Latn-ME"/>
        </w:rPr>
        <w:t xml:space="preserve">infuzija u dozi od </w:t>
      </w:r>
      <w:r w:rsidRPr="00D768EF">
        <w:rPr>
          <w:szCs w:val="22"/>
          <w:lang w:val="sr-Latn-ME"/>
        </w:rPr>
        <w:t xml:space="preserve">5 mg/kg </w:t>
      </w:r>
      <w:r w:rsidR="00EE6F7B" w:rsidRPr="00D768EF">
        <w:rPr>
          <w:szCs w:val="22"/>
          <w:lang w:val="sr-Latn-ME"/>
        </w:rPr>
        <w:t>ukoliko</w:t>
      </w:r>
      <w:r w:rsidRPr="00D768EF">
        <w:rPr>
          <w:szCs w:val="22"/>
          <w:lang w:val="sr-Latn-ME"/>
        </w:rPr>
        <w:t xml:space="preserve"> se ponovo jave znaci i simptomi bolesti (vid</w:t>
      </w:r>
      <w:r w:rsidR="00D57936" w:rsidRPr="00D768EF">
        <w:rPr>
          <w:szCs w:val="22"/>
          <w:lang w:val="sr-Latn-ME"/>
        </w:rPr>
        <w:t>j</w:t>
      </w:r>
      <w:r w:rsidRPr="00D768EF">
        <w:rPr>
          <w:szCs w:val="22"/>
          <w:lang w:val="sr-Latn-ME"/>
        </w:rPr>
        <w:t xml:space="preserve">eti ″Ponovna </w:t>
      </w:r>
      <w:r w:rsidR="00D57936" w:rsidRPr="00D768EF">
        <w:rPr>
          <w:szCs w:val="22"/>
          <w:lang w:val="sr-Latn-ME"/>
        </w:rPr>
        <w:t>primjena</w:t>
      </w:r>
      <w:r w:rsidRPr="00D768EF">
        <w:rPr>
          <w:szCs w:val="22"/>
          <w:lang w:val="sr-Latn-ME"/>
        </w:rPr>
        <w:t>″ u tekstu koji sl</w:t>
      </w:r>
      <w:r w:rsidR="00D57936" w:rsidRPr="00D768EF">
        <w:rPr>
          <w:szCs w:val="22"/>
          <w:lang w:val="sr-Latn-ME"/>
        </w:rPr>
        <w:t>ij</w:t>
      </w:r>
      <w:r w:rsidRPr="00D768EF">
        <w:rPr>
          <w:szCs w:val="22"/>
          <w:lang w:val="sr-Latn-ME"/>
        </w:rPr>
        <w:t xml:space="preserve">edi i </w:t>
      </w:r>
      <w:r w:rsidR="00D57936" w:rsidRPr="00D768EF">
        <w:rPr>
          <w:szCs w:val="22"/>
          <w:lang w:val="sr-Latn-ME"/>
        </w:rPr>
        <w:t xml:space="preserve">dio </w:t>
      </w:r>
      <w:r w:rsidRPr="00D768EF">
        <w:rPr>
          <w:szCs w:val="22"/>
          <w:lang w:val="sr-Latn-ME"/>
        </w:rPr>
        <w:t xml:space="preserve">4.4). </w:t>
      </w:r>
    </w:p>
    <w:p w14:paraId="3AEE48DB" w14:textId="77777777" w:rsidR="00C175E4" w:rsidRPr="00D768EF" w:rsidRDefault="00C175E4" w:rsidP="00C175E4">
      <w:pPr>
        <w:rPr>
          <w:szCs w:val="22"/>
          <w:lang w:val="sr-Latn-ME"/>
        </w:rPr>
      </w:pPr>
    </w:p>
    <w:p w14:paraId="626DC635" w14:textId="77777777" w:rsidR="00C175E4" w:rsidRPr="00D768EF" w:rsidRDefault="00C175E4" w:rsidP="00C175E4">
      <w:pPr>
        <w:rPr>
          <w:strike/>
          <w:color w:val="000000"/>
          <w:szCs w:val="22"/>
          <w:lang w:val="sr-Latn-ME"/>
        </w:rPr>
      </w:pPr>
      <w:r w:rsidRPr="00D768EF">
        <w:rPr>
          <w:szCs w:val="22"/>
          <w:lang w:val="sr-Latn-ME"/>
        </w:rPr>
        <w:t>Premda ne postoje komparativni podaci, ograničeni podaci o pacijentima</w:t>
      </w:r>
      <w:r w:rsidRPr="00D768EF">
        <w:rPr>
          <w:color w:val="000000"/>
          <w:szCs w:val="22"/>
          <w:lang w:val="sr-Latn-ME"/>
        </w:rPr>
        <w:t xml:space="preserve"> koji su inicijalno odreagovali na dozu od 5 mg/kg, ali se odgovor potom izgubio, ukazuju na to da se kod nekih pacijenata povećanjem doze može ponovo uspostaviti terapijski odgovor (vid</w:t>
      </w:r>
      <w:r w:rsidR="00454E9F" w:rsidRPr="00D768EF">
        <w:rPr>
          <w:color w:val="000000"/>
          <w:szCs w:val="22"/>
          <w:lang w:val="sr-Latn-ME"/>
        </w:rPr>
        <w:t>j</w:t>
      </w:r>
      <w:r w:rsidRPr="00D768EF">
        <w:rPr>
          <w:color w:val="000000"/>
          <w:szCs w:val="22"/>
          <w:lang w:val="sr-Latn-ME"/>
        </w:rPr>
        <w:t xml:space="preserve">eti </w:t>
      </w:r>
      <w:r w:rsidR="00454E9F" w:rsidRPr="00D768EF">
        <w:rPr>
          <w:color w:val="000000"/>
          <w:szCs w:val="22"/>
          <w:lang w:val="sr-Latn-ME"/>
        </w:rPr>
        <w:t>di</w:t>
      </w:r>
      <w:r w:rsidRPr="00D768EF">
        <w:rPr>
          <w:color w:val="000000"/>
          <w:szCs w:val="22"/>
          <w:lang w:val="sr-Latn-ME"/>
        </w:rPr>
        <w:t>o 5.1). Dalji nastavak terapije treba pažljivo razmotriti kod pacijenata kod kojih ne postoje dokazi o koristi terapije posle korekcije doze.</w:t>
      </w:r>
      <w:r w:rsidRPr="00D768EF">
        <w:rPr>
          <w:strike/>
          <w:color w:val="000000"/>
          <w:szCs w:val="22"/>
          <w:lang w:val="sr-Latn-ME"/>
        </w:rPr>
        <w:t xml:space="preserve"> </w:t>
      </w:r>
    </w:p>
    <w:p w14:paraId="2859D87D" w14:textId="77777777" w:rsidR="00C175E4" w:rsidRPr="00D768EF" w:rsidRDefault="00C175E4" w:rsidP="00C175E4">
      <w:pPr>
        <w:outlineLvl w:val="0"/>
        <w:rPr>
          <w:color w:val="000000"/>
          <w:szCs w:val="22"/>
          <w:u w:val="single"/>
          <w:lang w:val="sr-Latn-ME"/>
        </w:rPr>
      </w:pPr>
    </w:p>
    <w:p w14:paraId="19D30935" w14:textId="77777777" w:rsidR="00C175E4" w:rsidRPr="00D768EF" w:rsidRDefault="00C175E4" w:rsidP="00C175E4">
      <w:pPr>
        <w:outlineLvl w:val="0"/>
        <w:rPr>
          <w:i/>
          <w:color w:val="000000"/>
          <w:szCs w:val="22"/>
          <w:lang w:val="sr-Latn-ME"/>
        </w:rPr>
      </w:pPr>
      <w:r w:rsidRPr="00D768EF">
        <w:rPr>
          <w:i/>
          <w:color w:val="000000"/>
          <w:szCs w:val="22"/>
          <w:lang w:val="sr-Latn-ME"/>
        </w:rPr>
        <w:t>Fistulozna, aktivna Kronova bolest</w:t>
      </w:r>
    </w:p>
    <w:p w14:paraId="5014E8E8" w14:textId="7F4D783B" w:rsidR="00C175E4" w:rsidRPr="00D768EF" w:rsidRDefault="00EE6F7B" w:rsidP="00C175E4">
      <w:pPr>
        <w:rPr>
          <w:color w:val="000000"/>
          <w:szCs w:val="22"/>
          <w:lang w:val="sr-Latn-ME"/>
        </w:rPr>
      </w:pPr>
      <w:r w:rsidRPr="00D768EF">
        <w:rPr>
          <w:color w:val="000000"/>
          <w:szCs w:val="22"/>
          <w:lang w:val="sr-Latn-ME"/>
        </w:rPr>
        <w:t xml:space="preserve">Doza od </w:t>
      </w:r>
      <w:r w:rsidR="00C175E4" w:rsidRPr="00D768EF">
        <w:rPr>
          <w:color w:val="000000"/>
          <w:szCs w:val="22"/>
          <w:lang w:val="sr-Latn-ME"/>
        </w:rPr>
        <w:t xml:space="preserve">5 mg/kg se </w:t>
      </w:r>
      <w:r w:rsidR="00B750A5" w:rsidRPr="00D768EF">
        <w:rPr>
          <w:color w:val="000000"/>
          <w:szCs w:val="22"/>
          <w:lang w:val="sr-Latn-ME"/>
        </w:rPr>
        <w:t>primjenjuje</w:t>
      </w:r>
      <w:r w:rsidR="00C175E4" w:rsidRPr="00D768EF">
        <w:rPr>
          <w:color w:val="000000"/>
          <w:szCs w:val="22"/>
          <w:lang w:val="sr-Latn-ME"/>
        </w:rPr>
        <w:t xml:space="preserve"> u vidu intravenske infuzije, posle čega sl</w:t>
      </w:r>
      <w:r w:rsidR="00454E9F" w:rsidRPr="00D768EF">
        <w:rPr>
          <w:color w:val="000000"/>
          <w:szCs w:val="22"/>
          <w:lang w:val="sr-Latn-ME"/>
        </w:rPr>
        <w:t>ij</w:t>
      </w:r>
      <w:r w:rsidR="00C175E4" w:rsidRPr="00D768EF">
        <w:rPr>
          <w:color w:val="000000"/>
          <w:szCs w:val="22"/>
          <w:lang w:val="sr-Latn-ME"/>
        </w:rPr>
        <w:t>ede dodatne infuzije u dozi od 5 mg/kg 2. i 6. </w:t>
      </w:r>
      <w:r w:rsidR="00D57936" w:rsidRPr="00D768EF">
        <w:rPr>
          <w:color w:val="000000"/>
          <w:szCs w:val="22"/>
          <w:lang w:val="sr-Latn-ME"/>
        </w:rPr>
        <w:t>nedjelj</w:t>
      </w:r>
      <w:r w:rsidR="00C175E4" w:rsidRPr="00D768EF">
        <w:rPr>
          <w:color w:val="000000"/>
          <w:szCs w:val="22"/>
          <w:lang w:val="sr-Latn-ME"/>
        </w:rPr>
        <w:t xml:space="preserve">e posle prve infuzije. </w:t>
      </w:r>
      <w:r w:rsidR="00C175E4" w:rsidRPr="00D768EF">
        <w:rPr>
          <w:color w:val="000000"/>
          <w:szCs w:val="22"/>
          <w:lang w:val="sr-Latn-ME" w:eastAsia="sv-SE"/>
        </w:rPr>
        <w:t>Ukoliko pacijent ne reaguje na terapiju posl</w:t>
      </w:r>
      <w:r w:rsidR="00A04DB2">
        <w:rPr>
          <w:color w:val="000000"/>
          <w:szCs w:val="22"/>
          <w:lang w:val="sr-Latn-ME" w:eastAsia="sv-SE"/>
        </w:rPr>
        <w:t>ij</w:t>
      </w:r>
      <w:r w:rsidR="00C175E4" w:rsidRPr="00D768EF">
        <w:rPr>
          <w:color w:val="000000"/>
          <w:szCs w:val="22"/>
          <w:lang w:val="sr-Latn-ME" w:eastAsia="sv-SE"/>
        </w:rPr>
        <w:t xml:space="preserve">e </w:t>
      </w:r>
      <w:r w:rsidR="00C175E4" w:rsidRPr="00D768EF">
        <w:rPr>
          <w:color w:val="000000"/>
          <w:szCs w:val="22"/>
          <w:lang w:val="sr-Latn-ME"/>
        </w:rPr>
        <w:t xml:space="preserve">3 doze, ne treba nastaviti </w:t>
      </w:r>
      <w:r w:rsidR="00D57936" w:rsidRPr="00D768EF">
        <w:rPr>
          <w:color w:val="000000"/>
          <w:szCs w:val="22"/>
          <w:lang w:val="sr-Latn-ME"/>
        </w:rPr>
        <w:t>liječe</w:t>
      </w:r>
      <w:r w:rsidR="00C175E4" w:rsidRPr="00D768EF">
        <w:rPr>
          <w:color w:val="000000"/>
          <w:szCs w:val="22"/>
          <w:lang w:val="sr-Latn-ME"/>
        </w:rPr>
        <w:t>nje infliksimabom.</w:t>
      </w:r>
    </w:p>
    <w:p w14:paraId="4D37DE07" w14:textId="77777777" w:rsidR="00C175E4" w:rsidRPr="00D768EF" w:rsidRDefault="00C175E4" w:rsidP="00C175E4">
      <w:pPr>
        <w:rPr>
          <w:color w:val="000000"/>
          <w:szCs w:val="22"/>
          <w:lang w:val="sr-Latn-ME"/>
        </w:rPr>
      </w:pPr>
    </w:p>
    <w:p w14:paraId="734D92E6" w14:textId="1B1B1A2E" w:rsidR="00C175E4" w:rsidRPr="00D768EF" w:rsidRDefault="00C175E4" w:rsidP="00C175E4">
      <w:pPr>
        <w:rPr>
          <w:color w:val="000000"/>
          <w:szCs w:val="22"/>
          <w:lang w:val="sr-Latn-ME"/>
        </w:rPr>
      </w:pPr>
      <w:r w:rsidRPr="00D768EF">
        <w:rPr>
          <w:color w:val="000000"/>
          <w:szCs w:val="22"/>
          <w:lang w:val="sr-Latn-ME"/>
        </w:rPr>
        <w:t xml:space="preserve">Kod pacijenata koji su </w:t>
      </w:r>
      <w:r w:rsidR="00AF3AEA" w:rsidRPr="00D768EF">
        <w:rPr>
          <w:color w:val="000000"/>
          <w:szCs w:val="22"/>
          <w:lang w:val="sr-Latn-ME"/>
        </w:rPr>
        <w:t>reagovali</w:t>
      </w:r>
      <w:r w:rsidRPr="00D768EF">
        <w:rPr>
          <w:color w:val="000000"/>
          <w:szCs w:val="22"/>
          <w:lang w:val="sr-Latn-ME"/>
        </w:rPr>
        <w:t xml:space="preserve"> na terapiju, alternativne strategije za nastavak </w:t>
      </w:r>
      <w:r w:rsidR="00D57936" w:rsidRPr="00D768EF">
        <w:rPr>
          <w:color w:val="000000"/>
          <w:szCs w:val="22"/>
          <w:lang w:val="sr-Latn-ME"/>
        </w:rPr>
        <w:t>liječe</w:t>
      </w:r>
      <w:r w:rsidRPr="00D768EF">
        <w:rPr>
          <w:color w:val="000000"/>
          <w:szCs w:val="22"/>
          <w:lang w:val="sr-Latn-ME"/>
        </w:rPr>
        <w:t>nja su:</w:t>
      </w:r>
    </w:p>
    <w:p w14:paraId="02097207" w14:textId="0736717E" w:rsidR="00C175E4" w:rsidRPr="00D768EF" w:rsidRDefault="00C175E4" w:rsidP="00C175E4">
      <w:pPr>
        <w:numPr>
          <w:ilvl w:val="0"/>
          <w:numId w:val="8"/>
        </w:numPr>
        <w:tabs>
          <w:tab w:val="clear" w:pos="284"/>
          <w:tab w:val="clear" w:pos="720"/>
        </w:tabs>
        <w:ind w:left="567" w:hanging="567"/>
        <w:rPr>
          <w:szCs w:val="22"/>
          <w:lang w:val="sr-Latn-ME"/>
        </w:rPr>
      </w:pPr>
      <w:r w:rsidRPr="00D768EF">
        <w:rPr>
          <w:color w:val="000000"/>
          <w:szCs w:val="22"/>
          <w:lang w:val="sr-Latn-ME"/>
        </w:rPr>
        <w:t xml:space="preserve">terapija održavanja: dodatne infuzije </w:t>
      </w:r>
      <w:r w:rsidR="00AF3AEA" w:rsidRPr="00D768EF">
        <w:rPr>
          <w:color w:val="000000"/>
          <w:szCs w:val="22"/>
          <w:lang w:val="sr-Latn-ME"/>
        </w:rPr>
        <w:t xml:space="preserve">u dozi </w:t>
      </w:r>
      <w:r w:rsidRPr="00D768EF">
        <w:rPr>
          <w:color w:val="000000"/>
          <w:szCs w:val="22"/>
          <w:lang w:val="sr-Latn-ME"/>
        </w:rPr>
        <w:t xml:space="preserve">od </w:t>
      </w:r>
      <w:r w:rsidRPr="00D768EF">
        <w:rPr>
          <w:snapToGrid w:val="0"/>
          <w:color w:val="000000"/>
          <w:szCs w:val="22"/>
          <w:lang w:val="sr-Latn-ME" w:eastAsia="sv-SE"/>
        </w:rPr>
        <w:t xml:space="preserve">5 mg/kg na </w:t>
      </w:r>
      <w:r w:rsidRPr="00D768EF">
        <w:rPr>
          <w:szCs w:val="22"/>
          <w:lang w:val="sr-Latn-ME"/>
        </w:rPr>
        <w:t xml:space="preserve">svakih 8 </w:t>
      </w:r>
      <w:r w:rsidR="00D57936" w:rsidRPr="00D768EF">
        <w:rPr>
          <w:color w:val="000000"/>
          <w:szCs w:val="22"/>
          <w:lang w:val="sr-Latn-ME"/>
        </w:rPr>
        <w:t>nedjelj</w:t>
      </w:r>
      <w:r w:rsidRPr="00D768EF">
        <w:rPr>
          <w:color w:val="000000"/>
          <w:szCs w:val="22"/>
          <w:lang w:val="sr-Latn-ME"/>
        </w:rPr>
        <w:t xml:space="preserve">a </w:t>
      </w:r>
      <w:r w:rsidRPr="00D768EF">
        <w:rPr>
          <w:szCs w:val="22"/>
          <w:lang w:val="sr-Latn-ME"/>
        </w:rPr>
        <w:t xml:space="preserve">ili </w:t>
      </w:r>
    </w:p>
    <w:p w14:paraId="3F681C62" w14:textId="79C81ABE" w:rsidR="00C175E4" w:rsidRPr="00D768EF" w:rsidRDefault="00C175E4" w:rsidP="00C175E4">
      <w:pPr>
        <w:numPr>
          <w:ilvl w:val="0"/>
          <w:numId w:val="7"/>
        </w:numPr>
        <w:tabs>
          <w:tab w:val="clear" w:pos="284"/>
          <w:tab w:val="clear" w:pos="360"/>
        </w:tabs>
        <w:ind w:left="567" w:hanging="567"/>
        <w:rPr>
          <w:color w:val="000000"/>
          <w:szCs w:val="22"/>
          <w:lang w:val="sr-Latn-ME"/>
        </w:rPr>
      </w:pPr>
      <w:r w:rsidRPr="00D768EF">
        <w:rPr>
          <w:szCs w:val="22"/>
          <w:lang w:val="sr-Latn-ME"/>
        </w:rPr>
        <w:t xml:space="preserve">ponovna </w:t>
      </w:r>
      <w:r w:rsidR="00D57936" w:rsidRPr="00D768EF">
        <w:rPr>
          <w:szCs w:val="22"/>
          <w:lang w:val="sr-Latn-ME"/>
        </w:rPr>
        <w:t>primjena</w:t>
      </w:r>
      <w:r w:rsidRPr="00D768EF">
        <w:rPr>
          <w:szCs w:val="22"/>
          <w:lang w:val="sr-Latn-ME"/>
        </w:rPr>
        <w:t xml:space="preserve">: </w:t>
      </w:r>
      <w:r w:rsidRPr="00D768EF">
        <w:rPr>
          <w:color w:val="000000"/>
          <w:szCs w:val="22"/>
          <w:lang w:val="sr-Latn-ME"/>
        </w:rPr>
        <w:t xml:space="preserve">infuzija od </w:t>
      </w:r>
      <w:r w:rsidRPr="00D768EF">
        <w:rPr>
          <w:szCs w:val="22"/>
          <w:lang w:val="sr-Latn-ME"/>
        </w:rPr>
        <w:t xml:space="preserve">5 mg/kg ukoliko se ponovo jave znaci ili simptomi bolesti, </w:t>
      </w:r>
      <w:r w:rsidR="00AF3AEA" w:rsidRPr="00D768EF">
        <w:rPr>
          <w:szCs w:val="22"/>
          <w:lang w:val="sr-Latn-ME"/>
        </w:rPr>
        <w:t>nakon</w:t>
      </w:r>
      <w:r w:rsidRPr="00D768EF">
        <w:rPr>
          <w:szCs w:val="22"/>
          <w:lang w:val="sr-Latn-ME"/>
        </w:rPr>
        <w:t xml:space="preserve"> čega sl</w:t>
      </w:r>
      <w:r w:rsidR="00454E9F" w:rsidRPr="00D768EF">
        <w:rPr>
          <w:szCs w:val="22"/>
          <w:lang w:val="sr-Latn-ME"/>
        </w:rPr>
        <w:t>ij</w:t>
      </w:r>
      <w:r w:rsidRPr="00D768EF">
        <w:rPr>
          <w:szCs w:val="22"/>
          <w:lang w:val="sr-Latn-ME"/>
        </w:rPr>
        <w:t xml:space="preserve">ede infuzije </w:t>
      </w:r>
      <w:r w:rsidRPr="00D768EF">
        <w:rPr>
          <w:color w:val="000000"/>
          <w:szCs w:val="22"/>
          <w:lang w:val="sr-Latn-ME"/>
        </w:rPr>
        <w:t xml:space="preserve">od 5 mg/kg na </w:t>
      </w:r>
      <w:r w:rsidRPr="00D768EF">
        <w:rPr>
          <w:szCs w:val="22"/>
          <w:lang w:val="sr-Latn-ME"/>
        </w:rPr>
        <w:t xml:space="preserve">svakih 8 </w:t>
      </w:r>
      <w:r w:rsidR="00D57936" w:rsidRPr="00D768EF">
        <w:rPr>
          <w:color w:val="000000"/>
          <w:szCs w:val="22"/>
          <w:lang w:val="sr-Latn-ME"/>
        </w:rPr>
        <w:t>nedjelj</w:t>
      </w:r>
      <w:r w:rsidRPr="00D768EF">
        <w:rPr>
          <w:color w:val="000000"/>
          <w:szCs w:val="22"/>
          <w:lang w:val="sr-Latn-ME"/>
        </w:rPr>
        <w:t>a (</w:t>
      </w:r>
      <w:r w:rsidRPr="00D768EF">
        <w:rPr>
          <w:szCs w:val="22"/>
          <w:lang w:val="sr-Latn-ME"/>
        </w:rPr>
        <w:t>vid</w:t>
      </w:r>
      <w:r w:rsidR="00454E9F" w:rsidRPr="00D768EF">
        <w:rPr>
          <w:szCs w:val="22"/>
          <w:lang w:val="sr-Latn-ME"/>
        </w:rPr>
        <w:t>j</w:t>
      </w:r>
      <w:r w:rsidRPr="00D768EF">
        <w:rPr>
          <w:szCs w:val="22"/>
          <w:lang w:val="sr-Latn-ME"/>
        </w:rPr>
        <w:t xml:space="preserve">eti ‘Ponovna </w:t>
      </w:r>
      <w:r w:rsidR="00D57936" w:rsidRPr="00D768EF">
        <w:rPr>
          <w:szCs w:val="22"/>
          <w:lang w:val="sr-Latn-ME"/>
        </w:rPr>
        <w:t>primjena</w:t>
      </w:r>
      <w:r w:rsidRPr="00D768EF">
        <w:rPr>
          <w:szCs w:val="22"/>
          <w:lang w:val="sr-Latn-ME"/>
        </w:rPr>
        <w:t>’ u daljem tekstu</w:t>
      </w:r>
      <w:r w:rsidR="00AF3AEA" w:rsidRPr="00D768EF">
        <w:rPr>
          <w:szCs w:val="22"/>
          <w:lang w:val="sr-Latn-ME"/>
        </w:rPr>
        <w:t xml:space="preserve"> koji sl</w:t>
      </w:r>
      <w:r w:rsidR="00853D98" w:rsidRPr="00D768EF">
        <w:rPr>
          <w:szCs w:val="22"/>
          <w:lang w:val="sr-Latn-ME"/>
        </w:rPr>
        <w:t>ij</w:t>
      </w:r>
      <w:r w:rsidR="00AF3AEA" w:rsidRPr="00D768EF">
        <w:rPr>
          <w:szCs w:val="22"/>
          <w:lang w:val="sr-Latn-ME"/>
        </w:rPr>
        <w:t>edi</w:t>
      </w:r>
      <w:r w:rsidRPr="00D768EF">
        <w:rPr>
          <w:szCs w:val="22"/>
          <w:lang w:val="sr-Latn-ME"/>
        </w:rPr>
        <w:t xml:space="preserve"> i </w:t>
      </w:r>
      <w:r w:rsidR="00454E9F" w:rsidRPr="00D768EF">
        <w:rPr>
          <w:szCs w:val="22"/>
          <w:lang w:val="sr-Latn-ME"/>
        </w:rPr>
        <w:t>di</w:t>
      </w:r>
      <w:r w:rsidRPr="00D768EF">
        <w:rPr>
          <w:szCs w:val="22"/>
          <w:lang w:val="sr-Latn-ME"/>
        </w:rPr>
        <w:t xml:space="preserve">o </w:t>
      </w:r>
      <w:r w:rsidRPr="00D768EF">
        <w:rPr>
          <w:color w:val="000000"/>
          <w:szCs w:val="22"/>
          <w:lang w:val="sr-Latn-ME"/>
        </w:rPr>
        <w:t>4.4).</w:t>
      </w:r>
    </w:p>
    <w:p w14:paraId="1815AB08" w14:textId="77777777" w:rsidR="00C175E4" w:rsidRPr="00D768EF" w:rsidRDefault="00C175E4" w:rsidP="00C175E4">
      <w:pPr>
        <w:tabs>
          <w:tab w:val="clear" w:pos="284"/>
        </w:tabs>
        <w:rPr>
          <w:color w:val="000000"/>
          <w:szCs w:val="22"/>
          <w:lang w:val="sr-Latn-ME"/>
        </w:rPr>
      </w:pPr>
    </w:p>
    <w:p w14:paraId="124F0AB4" w14:textId="7D7F0B37" w:rsidR="00C175E4" w:rsidRPr="00D768EF" w:rsidRDefault="00C175E4" w:rsidP="00C175E4">
      <w:pPr>
        <w:autoSpaceDE w:val="0"/>
        <w:autoSpaceDN w:val="0"/>
        <w:adjustRightInd w:val="0"/>
        <w:rPr>
          <w:color w:val="000000"/>
          <w:szCs w:val="22"/>
          <w:lang w:val="sr-Latn-ME"/>
        </w:rPr>
      </w:pPr>
      <w:r w:rsidRPr="00D768EF">
        <w:rPr>
          <w:szCs w:val="22"/>
          <w:lang w:val="sr-Latn-ME"/>
        </w:rPr>
        <w:t>Premda ne postoje komparativni podaci, ograničeni podaci kod pacijenata</w:t>
      </w:r>
      <w:r w:rsidRPr="00D768EF">
        <w:rPr>
          <w:color w:val="000000"/>
          <w:szCs w:val="22"/>
          <w:lang w:val="sr-Latn-ME"/>
        </w:rPr>
        <w:t xml:space="preserve"> koji su inicijalno odgovorili na dozu od 5 mg/kg, ali se odgovor potom izgubio, ukazuju na to da se kod nekih pacijenata povećanjem doze može ponovo uspostaviti terapijski odgovor (</w:t>
      </w:r>
      <w:r w:rsidR="00282A1E" w:rsidRPr="00D768EF">
        <w:rPr>
          <w:color w:val="000000"/>
          <w:szCs w:val="22"/>
          <w:lang w:val="sr-Latn-ME"/>
        </w:rPr>
        <w:t>vidjeti</w:t>
      </w:r>
      <w:r w:rsidRPr="00D768EF">
        <w:rPr>
          <w:color w:val="000000"/>
          <w:szCs w:val="22"/>
          <w:lang w:val="sr-Latn-ME"/>
        </w:rPr>
        <w:t xml:space="preserve"> </w:t>
      </w:r>
      <w:r w:rsidR="00454E9F" w:rsidRPr="00D768EF">
        <w:rPr>
          <w:color w:val="000000"/>
          <w:szCs w:val="22"/>
          <w:lang w:val="sr-Latn-ME"/>
        </w:rPr>
        <w:t>dio</w:t>
      </w:r>
      <w:r w:rsidRPr="00D768EF">
        <w:rPr>
          <w:color w:val="000000"/>
          <w:szCs w:val="22"/>
          <w:lang w:val="sr-Latn-ME"/>
        </w:rPr>
        <w:t xml:space="preserve"> 5.1). Dalji nastavak terapije treba pažljivo </w:t>
      </w:r>
      <w:r w:rsidR="00AF3AEA" w:rsidRPr="00D768EF">
        <w:rPr>
          <w:color w:val="000000"/>
          <w:szCs w:val="22"/>
          <w:lang w:val="sr-Latn-ME"/>
        </w:rPr>
        <w:t>razmotriti</w:t>
      </w:r>
      <w:r w:rsidRPr="00D768EF">
        <w:rPr>
          <w:color w:val="000000"/>
          <w:szCs w:val="22"/>
          <w:lang w:val="sr-Latn-ME"/>
        </w:rPr>
        <w:t xml:space="preserve"> kod pacijenata kod kojih ne postoje dokazi o </w:t>
      </w:r>
      <w:r w:rsidR="00AF3AEA" w:rsidRPr="00D768EF">
        <w:rPr>
          <w:color w:val="000000"/>
          <w:szCs w:val="22"/>
          <w:lang w:val="sr-Latn-ME"/>
        </w:rPr>
        <w:t xml:space="preserve">koristi </w:t>
      </w:r>
      <w:r w:rsidRPr="00D768EF">
        <w:rPr>
          <w:color w:val="000000"/>
          <w:szCs w:val="22"/>
          <w:lang w:val="sr-Latn-ME"/>
        </w:rPr>
        <w:t>terapijsko</w:t>
      </w:r>
      <w:r w:rsidR="00AF3AEA" w:rsidRPr="00D768EF">
        <w:rPr>
          <w:color w:val="000000"/>
          <w:szCs w:val="22"/>
          <w:lang w:val="sr-Latn-ME"/>
        </w:rPr>
        <w:t>e</w:t>
      </w:r>
      <w:r w:rsidRPr="00D768EF">
        <w:rPr>
          <w:color w:val="000000"/>
          <w:szCs w:val="22"/>
          <w:lang w:val="sr-Latn-ME"/>
        </w:rPr>
        <w:t xml:space="preserve"> posle </w:t>
      </w:r>
      <w:r w:rsidR="00AF3AEA" w:rsidRPr="00D768EF">
        <w:rPr>
          <w:color w:val="000000"/>
          <w:szCs w:val="22"/>
          <w:lang w:val="sr-Latn-ME"/>
        </w:rPr>
        <w:t>korekcije</w:t>
      </w:r>
      <w:r w:rsidRPr="00D768EF">
        <w:rPr>
          <w:color w:val="000000"/>
          <w:szCs w:val="22"/>
          <w:lang w:val="sr-Latn-ME"/>
        </w:rPr>
        <w:t xml:space="preserve"> doze.</w:t>
      </w:r>
      <w:r w:rsidRPr="00D768EF">
        <w:rPr>
          <w:strike/>
          <w:color w:val="000000"/>
          <w:szCs w:val="22"/>
          <w:lang w:val="sr-Latn-ME"/>
        </w:rPr>
        <w:t xml:space="preserve"> </w:t>
      </w:r>
    </w:p>
    <w:p w14:paraId="7D5A6916" w14:textId="77777777" w:rsidR="00C175E4" w:rsidRPr="00D768EF" w:rsidRDefault="00C175E4" w:rsidP="00C175E4">
      <w:pPr>
        <w:rPr>
          <w:color w:val="000000"/>
          <w:szCs w:val="22"/>
          <w:lang w:val="sr-Latn-ME"/>
        </w:rPr>
      </w:pPr>
    </w:p>
    <w:p w14:paraId="107E7F0F" w14:textId="58445CB2" w:rsidR="00C175E4" w:rsidRPr="00D768EF" w:rsidRDefault="00C175E4" w:rsidP="00C175E4">
      <w:pPr>
        <w:rPr>
          <w:color w:val="000000"/>
          <w:szCs w:val="22"/>
          <w:lang w:val="sr-Latn-ME"/>
        </w:rPr>
      </w:pPr>
      <w:r w:rsidRPr="00D768EF">
        <w:rPr>
          <w:color w:val="000000"/>
          <w:szCs w:val="22"/>
          <w:lang w:val="sr-Latn-ME"/>
        </w:rPr>
        <w:t>Iskustvo sa ponovnom prim</w:t>
      </w:r>
      <w:r w:rsidR="00454E9F" w:rsidRPr="00D768EF">
        <w:rPr>
          <w:color w:val="000000"/>
          <w:szCs w:val="22"/>
          <w:lang w:val="sr-Latn-ME"/>
        </w:rPr>
        <w:t>j</w:t>
      </w:r>
      <w:r w:rsidRPr="00D768EF">
        <w:rPr>
          <w:color w:val="000000"/>
          <w:szCs w:val="22"/>
          <w:lang w:val="sr-Latn-ME"/>
        </w:rPr>
        <w:t>enom l</w:t>
      </w:r>
      <w:r w:rsidR="00454E9F" w:rsidRPr="00D768EF">
        <w:rPr>
          <w:color w:val="000000"/>
          <w:szCs w:val="22"/>
          <w:lang w:val="sr-Latn-ME"/>
        </w:rPr>
        <w:t>ij</w:t>
      </w:r>
      <w:r w:rsidRPr="00D768EF">
        <w:rPr>
          <w:color w:val="000000"/>
          <w:szCs w:val="22"/>
          <w:lang w:val="sr-Latn-ME"/>
        </w:rPr>
        <w:t xml:space="preserve">eka u slučaju ponovne pojave znakova i simptoma Kronove bolesti je ograničeno i </w:t>
      </w:r>
      <w:r w:rsidRPr="00D768EF">
        <w:rPr>
          <w:szCs w:val="22"/>
          <w:lang w:val="sr-Latn-ME"/>
        </w:rPr>
        <w:t>ne postoje komparativni podaci o odnosu koristi i rizika</w:t>
      </w:r>
      <w:r w:rsidRPr="00D768EF">
        <w:rPr>
          <w:color w:val="000000"/>
          <w:szCs w:val="22"/>
          <w:lang w:val="sr-Latn-ME"/>
        </w:rPr>
        <w:t xml:space="preserve"> alternativnih strategija za nastavak </w:t>
      </w:r>
      <w:r w:rsidR="00D57936" w:rsidRPr="00D768EF">
        <w:rPr>
          <w:color w:val="000000"/>
          <w:szCs w:val="22"/>
          <w:lang w:val="sr-Latn-ME"/>
        </w:rPr>
        <w:t>liječe</w:t>
      </w:r>
      <w:r w:rsidRPr="00D768EF">
        <w:rPr>
          <w:color w:val="000000"/>
          <w:szCs w:val="22"/>
          <w:lang w:val="sr-Latn-ME"/>
        </w:rPr>
        <w:t>nja.</w:t>
      </w:r>
    </w:p>
    <w:p w14:paraId="5FDD24E9" w14:textId="77777777" w:rsidR="00C175E4" w:rsidRPr="00D768EF" w:rsidRDefault="00C175E4" w:rsidP="00C175E4">
      <w:pPr>
        <w:rPr>
          <w:color w:val="000000"/>
          <w:szCs w:val="22"/>
          <w:lang w:val="sr-Latn-ME"/>
        </w:rPr>
      </w:pPr>
    </w:p>
    <w:p w14:paraId="41DDDCE8" w14:textId="77777777" w:rsidR="00C175E4" w:rsidRPr="00D768EF" w:rsidRDefault="00C175E4" w:rsidP="006A1E9C">
      <w:pPr>
        <w:keepNext/>
        <w:rPr>
          <w:i/>
          <w:color w:val="000000"/>
          <w:szCs w:val="22"/>
          <w:lang w:val="sr-Latn-ME"/>
        </w:rPr>
      </w:pPr>
      <w:r w:rsidRPr="00D768EF">
        <w:rPr>
          <w:i/>
          <w:color w:val="000000"/>
          <w:szCs w:val="22"/>
          <w:lang w:val="sr-Latn-ME"/>
        </w:rPr>
        <w:t>Ulcerozni kolitis</w:t>
      </w:r>
    </w:p>
    <w:p w14:paraId="77707716" w14:textId="233CB60C" w:rsidR="00C175E4" w:rsidRPr="00D768EF" w:rsidRDefault="00AF3AEA" w:rsidP="00C175E4">
      <w:pPr>
        <w:rPr>
          <w:color w:val="000000"/>
          <w:szCs w:val="22"/>
          <w:lang w:val="sr-Latn-ME"/>
        </w:rPr>
      </w:pPr>
      <w:r w:rsidRPr="00D768EF">
        <w:rPr>
          <w:color w:val="000000"/>
          <w:szCs w:val="22"/>
          <w:lang w:val="sr-Latn-ME"/>
        </w:rPr>
        <w:t xml:space="preserve">Doza od </w:t>
      </w:r>
      <w:r w:rsidR="00C175E4" w:rsidRPr="00D768EF">
        <w:rPr>
          <w:color w:val="000000"/>
          <w:szCs w:val="22"/>
          <w:lang w:val="sr-Latn-ME"/>
        </w:rPr>
        <w:t xml:space="preserve">5 mg/kg se </w:t>
      </w:r>
      <w:r w:rsidR="00B750A5" w:rsidRPr="00D768EF">
        <w:rPr>
          <w:color w:val="000000"/>
          <w:szCs w:val="22"/>
          <w:lang w:val="sr-Latn-ME"/>
        </w:rPr>
        <w:t>primjenjuje</w:t>
      </w:r>
      <w:r w:rsidR="00C175E4" w:rsidRPr="00D768EF">
        <w:rPr>
          <w:color w:val="000000"/>
          <w:szCs w:val="22"/>
          <w:lang w:val="sr-Latn-ME"/>
        </w:rPr>
        <w:t xml:space="preserve"> u vidu intravenske infuzije, </w:t>
      </w:r>
      <w:r w:rsidRPr="00D768EF">
        <w:rPr>
          <w:color w:val="000000"/>
          <w:szCs w:val="22"/>
          <w:lang w:val="sr-Latn-ME"/>
        </w:rPr>
        <w:t>nakon</w:t>
      </w:r>
      <w:r w:rsidR="00C175E4" w:rsidRPr="00D768EF">
        <w:rPr>
          <w:color w:val="000000"/>
          <w:szCs w:val="22"/>
          <w:lang w:val="sr-Latn-ME"/>
        </w:rPr>
        <w:t xml:space="preserve"> čega sl</w:t>
      </w:r>
      <w:r w:rsidR="00454E9F" w:rsidRPr="00D768EF">
        <w:rPr>
          <w:color w:val="000000"/>
          <w:szCs w:val="22"/>
          <w:lang w:val="sr-Latn-ME"/>
        </w:rPr>
        <w:t>ij</w:t>
      </w:r>
      <w:r w:rsidR="00C175E4" w:rsidRPr="00D768EF">
        <w:rPr>
          <w:color w:val="000000"/>
          <w:szCs w:val="22"/>
          <w:lang w:val="sr-Latn-ME"/>
        </w:rPr>
        <w:t>ede dodatne infuzije u dozi od 5 mg/kg, 2. i 6. </w:t>
      </w:r>
      <w:r w:rsidR="00D57936" w:rsidRPr="00D768EF">
        <w:rPr>
          <w:color w:val="000000"/>
          <w:szCs w:val="22"/>
          <w:lang w:val="sr-Latn-ME"/>
        </w:rPr>
        <w:t>nedjelj</w:t>
      </w:r>
      <w:r w:rsidR="00C175E4" w:rsidRPr="00D768EF">
        <w:rPr>
          <w:color w:val="000000"/>
          <w:szCs w:val="22"/>
          <w:lang w:val="sr-Latn-ME"/>
        </w:rPr>
        <w:t>e posle prve infuzije, a zatim na</w:t>
      </w:r>
      <w:r w:rsidR="00C175E4" w:rsidRPr="00D768EF">
        <w:rPr>
          <w:szCs w:val="22"/>
          <w:lang w:val="sr-Latn-ME"/>
        </w:rPr>
        <w:t xml:space="preserve"> svakih 8 </w:t>
      </w:r>
      <w:r w:rsidR="00D57936" w:rsidRPr="00D768EF">
        <w:rPr>
          <w:color w:val="000000"/>
          <w:szCs w:val="22"/>
          <w:lang w:val="sr-Latn-ME"/>
        </w:rPr>
        <w:t>nedjelj</w:t>
      </w:r>
      <w:r w:rsidR="00C175E4" w:rsidRPr="00D768EF">
        <w:rPr>
          <w:color w:val="000000"/>
          <w:szCs w:val="22"/>
          <w:lang w:val="sr-Latn-ME"/>
        </w:rPr>
        <w:t xml:space="preserve">a posle toga. </w:t>
      </w:r>
    </w:p>
    <w:p w14:paraId="309579C9" w14:textId="77777777" w:rsidR="00C175E4" w:rsidRPr="00D768EF" w:rsidRDefault="00C175E4" w:rsidP="00C175E4">
      <w:pPr>
        <w:rPr>
          <w:szCs w:val="22"/>
          <w:lang w:val="sr-Latn-ME"/>
        </w:rPr>
      </w:pPr>
    </w:p>
    <w:p w14:paraId="716DD1FC" w14:textId="3438717A" w:rsidR="00C175E4" w:rsidRPr="00D768EF" w:rsidRDefault="00C175E4" w:rsidP="00C175E4">
      <w:pPr>
        <w:rPr>
          <w:szCs w:val="22"/>
          <w:lang w:val="sr-Latn-ME"/>
        </w:rPr>
      </w:pPr>
      <w:r w:rsidRPr="00D768EF">
        <w:rPr>
          <w:color w:val="000000"/>
          <w:szCs w:val="22"/>
          <w:lang w:val="sr-Latn-ME"/>
        </w:rPr>
        <w:t xml:space="preserve">Dostupni podaci ukazuju na to da se klinički odgovor obično javlja u roku od 14 </w:t>
      </w:r>
      <w:r w:rsidR="00D57936" w:rsidRPr="00D768EF">
        <w:rPr>
          <w:color w:val="000000"/>
          <w:szCs w:val="22"/>
          <w:lang w:val="sr-Latn-ME"/>
        </w:rPr>
        <w:t>nedjelj</w:t>
      </w:r>
      <w:r w:rsidRPr="00D768EF">
        <w:rPr>
          <w:color w:val="000000"/>
          <w:szCs w:val="22"/>
          <w:lang w:val="sr-Latn-ME"/>
        </w:rPr>
        <w:t xml:space="preserve">a </w:t>
      </w:r>
      <w:r w:rsidR="00D57936" w:rsidRPr="00D768EF">
        <w:rPr>
          <w:color w:val="000000"/>
          <w:szCs w:val="22"/>
          <w:lang w:val="sr-Latn-ME"/>
        </w:rPr>
        <w:t>liječe</w:t>
      </w:r>
      <w:r w:rsidRPr="00D768EF">
        <w:rPr>
          <w:color w:val="000000"/>
          <w:szCs w:val="22"/>
          <w:lang w:val="sr-Latn-ME"/>
        </w:rPr>
        <w:t xml:space="preserve">nja, tj. posle tri doze. </w:t>
      </w:r>
      <w:r w:rsidR="00AF3AEA" w:rsidRPr="00D768EF">
        <w:rPr>
          <w:color w:val="000000"/>
          <w:szCs w:val="22"/>
          <w:lang w:val="sr-Latn-ME"/>
        </w:rPr>
        <w:t>Dalji nastavak terapije t</w:t>
      </w:r>
      <w:r w:rsidRPr="00D768EF">
        <w:rPr>
          <w:color w:val="000000"/>
          <w:szCs w:val="22"/>
          <w:lang w:val="sr-Latn-ME"/>
        </w:rPr>
        <w:t xml:space="preserve">reba pažljivo razmotriti kod pacijenata kod kojih </w:t>
      </w:r>
      <w:r w:rsidR="00AF3AEA" w:rsidRPr="00D768EF">
        <w:rPr>
          <w:color w:val="000000"/>
          <w:szCs w:val="22"/>
          <w:lang w:val="sr-Latn-ME"/>
        </w:rPr>
        <w:t xml:space="preserve">ne postoje </w:t>
      </w:r>
      <w:r w:rsidRPr="00D768EF">
        <w:rPr>
          <w:color w:val="000000"/>
          <w:szCs w:val="22"/>
          <w:lang w:val="sr-Latn-ME"/>
        </w:rPr>
        <w:t xml:space="preserve"> dokazi o koristi terapije</w:t>
      </w:r>
      <w:r w:rsidR="00AF3AEA" w:rsidRPr="00D768EF">
        <w:rPr>
          <w:color w:val="000000"/>
          <w:szCs w:val="22"/>
          <w:lang w:val="sr-Latn-ME"/>
        </w:rPr>
        <w:t xml:space="preserve"> u toku ovog perioda</w:t>
      </w:r>
      <w:r w:rsidRPr="00D768EF">
        <w:rPr>
          <w:color w:val="000000"/>
          <w:szCs w:val="22"/>
          <w:lang w:val="sr-Latn-ME"/>
        </w:rPr>
        <w:t>.</w:t>
      </w:r>
    </w:p>
    <w:p w14:paraId="1D1D92B5" w14:textId="77777777" w:rsidR="00C175E4" w:rsidRPr="00D768EF" w:rsidRDefault="00C175E4" w:rsidP="00C175E4">
      <w:pPr>
        <w:tabs>
          <w:tab w:val="clear" w:pos="284"/>
        </w:tabs>
        <w:rPr>
          <w:color w:val="000000"/>
          <w:szCs w:val="22"/>
          <w:lang w:val="sr-Latn-ME"/>
        </w:rPr>
      </w:pPr>
    </w:p>
    <w:p w14:paraId="1291DB6F" w14:textId="77777777" w:rsidR="00C175E4" w:rsidRPr="00D768EF" w:rsidRDefault="00C175E4" w:rsidP="00C175E4">
      <w:pPr>
        <w:rPr>
          <w:i/>
          <w:color w:val="000000"/>
          <w:szCs w:val="22"/>
          <w:lang w:val="sr-Latn-ME"/>
        </w:rPr>
      </w:pPr>
      <w:r w:rsidRPr="00D768EF">
        <w:rPr>
          <w:i/>
          <w:snapToGrid w:val="0"/>
          <w:szCs w:val="22"/>
          <w:lang w:val="sr-Latn-ME"/>
        </w:rPr>
        <w:t>Ankilozirajući spondilitis</w:t>
      </w:r>
      <w:r w:rsidRPr="00D768EF">
        <w:rPr>
          <w:i/>
          <w:color w:val="000000"/>
          <w:szCs w:val="22"/>
          <w:lang w:val="sr-Latn-ME"/>
        </w:rPr>
        <w:t xml:space="preserve"> </w:t>
      </w:r>
    </w:p>
    <w:p w14:paraId="009BF537" w14:textId="0EBECE7C" w:rsidR="00C175E4" w:rsidRPr="00D768EF" w:rsidRDefault="00AF3AEA" w:rsidP="00C175E4">
      <w:pPr>
        <w:rPr>
          <w:color w:val="000000"/>
          <w:szCs w:val="22"/>
          <w:lang w:val="sr-Latn-ME"/>
        </w:rPr>
      </w:pPr>
      <w:r w:rsidRPr="00D768EF">
        <w:rPr>
          <w:color w:val="000000"/>
          <w:szCs w:val="22"/>
          <w:lang w:val="sr-Latn-ME"/>
        </w:rPr>
        <w:t xml:space="preserve">Doza od </w:t>
      </w:r>
      <w:r w:rsidR="00C175E4" w:rsidRPr="00D768EF">
        <w:rPr>
          <w:color w:val="000000"/>
          <w:szCs w:val="22"/>
          <w:lang w:val="sr-Latn-ME"/>
        </w:rPr>
        <w:t xml:space="preserve">5 mg/kg se </w:t>
      </w:r>
      <w:r w:rsidR="00B750A5" w:rsidRPr="00D768EF">
        <w:rPr>
          <w:color w:val="000000"/>
          <w:szCs w:val="22"/>
          <w:lang w:val="sr-Latn-ME"/>
        </w:rPr>
        <w:t>primjenjuje</w:t>
      </w:r>
      <w:r w:rsidR="00C175E4" w:rsidRPr="00D768EF">
        <w:rPr>
          <w:color w:val="000000"/>
          <w:szCs w:val="22"/>
          <w:lang w:val="sr-Latn-ME"/>
        </w:rPr>
        <w:t xml:space="preserve"> u vidu intravenske infuzije, </w:t>
      </w:r>
      <w:r w:rsidRPr="00D768EF">
        <w:rPr>
          <w:color w:val="000000"/>
          <w:szCs w:val="22"/>
          <w:lang w:val="sr-Latn-ME"/>
        </w:rPr>
        <w:t>nakon</w:t>
      </w:r>
      <w:r w:rsidR="00C175E4" w:rsidRPr="00D768EF">
        <w:rPr>
          <w:color w:val="000000"/>
          <w:szCs w:val="22"/>
          <w:lang w:val="sr-Latn-ME"/>
        </w:rPr>
        <w:t xml:space="preserve"> čega sl</w:t>
      </w:r>
      <w:r w:rsidR="00454E9F" w:rsidRPr="00D768EF">
        <w:rPr>
          <w:color w:val="000000"/>
          <w:szCs w:val="22"/>
          <w:lang w:val="sr-Latn-ME"/>
        </w:rPr>
        <w:t>ij</w:t>
      </w:r>
      <w:r w:rsidR="00C175E4" w:rsidRPr="00D768EF">
        <w:rPr>
          <w:color w:val="000000"/>
          <w:szCs w:val="22"/>
          <w:lang w:val="sr-Latn-ME"/>
        </w:rPr>
        <w:t>ede</w:t>
      </w:r>
      <w:r w:rsidR="00454E9F" w:rsidRPr="00D768EF">
        <w:rPr>
          <w:color w:val="000000"/>
          <w:szCs w:val="22"/>
          <w:lang w:val="sr-Latn-ME"/>
        </w:rPr>
        <w:t xml:space="preserve"> </w:t>
      </w:r>
      <w:r w:rsidR="00C175E4" w:rsidRPr="00D768EF">
        <w:rPr>
          <w:color w:val="000000"/>
          <w:szCs w:val="22"/>
          <w:lang w:val="sr-Latn-ME"/>
        </w:rPr>
        <w:t>dodatne infuzije u dozi od 5 mg/kg, 2. i 6. </w:t>
      </w:r>
      <w:r w:rsidR="00D57936" w:rsidRPr="00D768EF">
        <w:rPr>
          <w:color w:val="000000"/>
          <w:szCs w:val="22"/>
          <w:lang w:val="sr-Latn-ME"/>
        </w:rPr>
        <w:t>nedjelj</w:t>
      </w:r>
      <w:r w:rsidR="00C175E4" w:rsidRPr="00D768EF">
        <w:rPr>
          <w:color w:val="000000"/>
          <w:szCs w:val="22"/>
          <w:lang w:val="sr-Latn-ME"/>
        </w:rPr>
        <w:t>e posle prve infuzije, a zatim na</w:t>
      </w:r>
      <w:r w:rsidR="00C175E4" w:rsidRPr="00D768EF">
        <w:rPr>
          <w:szCs w:val="22"/>
          <w:lang w:val="sr-Latn-ME"/>
        </w:rPr>
        <w:t xml:space="preserve"> svakih </w:t>
      </w:r>
      <w:r w:rsidR="00C175E4" w:rsidRPr="00D768EF">
        <w:rPr>
          <w:color w:val="000000"/>
          <w:szCs w:val="22"/>
          <w:lang w:val="sr-Latn-ME"/>
        </w:rPr>
        <w:t xml:space="preserve">6 do 8 </w:t>
      </w:r>
      <w:r w:rsidR="00D57936" w:rsidRPr="00D768EF">
        <w:rPr>
          <w:color w:val="000000"/>
          <w:szCs w:val="22"/>
          <w:lang w:val="sr-Latn-ME"/>
        </w:rPr>
        <w:t>nedjelj</w:t>
      </w:r>
      <w:r w:rsidR="00C175E4" w:rsidRPr="00D768EF">
        <w:rPr>
          <w:color w:val="000000"/>
          <w:szCs w:val="22"/>
          <w:lang w:val="sr-Latn-ME"/>
        </w:rPr>
        <w:t xml:space="preserve">a. Ukoliko pacijent ne odreaguje na terapiju posle 6 </w:t>
      </w:r>
      <w:r w:rsidR="00D57936" w:rsidRPr="00D768EF">
        <w:rPr>
          <w:color w:val="000000"/>
          <w:szCs w:val="22"/>
          <w:lang w:val="sr-Latn-ME"/>
        </w:rPr>
        <w:t>nedjelj</w:t>
      </w:r>
      <w:r w:rsidR="00C175E4" w:rsidRPr="00D768EF">
        <w:rPr>
          <w:color w:val="000000"/>
          <w:szCs w:val="22"/>
          <w:lang w:val="sr-Latn-ME"/>
        </w:rPr>
        <w:t xml:space="preserve">a (tj. posle 2 doze), ne bi trebalo nastaviti </w:t>
      </w:r>
      <w:r w:rsidR="00D57936" w:rsidRPr="00D768EF">
        <w:rPr>
          <w:color w:val="000000"/>
          <w:szCs w:val="22"/>
          <w:lang w:val="sr-Latn-ME"/>
        </w:rPr>
        <w:t>liječe</w:t>
      </w:r>
      <w:r w:rsidR="00C175E4" w:rsidRPr="00D768EF">
        <w:rPr>
          <w:color w:val="000000"/>
          <w:szCs w:val="22"/>
          <w:lang w:val="sr-Latn-ME"/>
        </w:rPr>
        <w:t>nje infliksimabom.</w:t>
      </w:r>
    </w:p>
    <w:p w14:paraId="7A1AE1D2" w14:textId="77777777" w:rsidR="00C175E4" w:rsidRPr="00D768EF" w:rsidRDefault="00C175E4" w:rsidP="00C175E4">
      <w:pPr>
        <w:rPr>
          <w:color w:val="000000"/>
          <w:szCs w:val="22"/>
          <w:lang w:val="sr-Latn-ME"/>
        </w:rPr>
      </w:pPr>
    </w:p>
    <w:p w14:paraId="745620E2" w14:textId="77777777" w:rsidR="00C175E4" w:rsidRPr="00D768EF" w:rsidRDefault="00C175E4" w:rsidP="00C175E4">
      <w:pPr>
        <w:rPr>
          <w:i/>
          <w:snapToGrid w:val="0"/>
          <w:color w:val="000000"/>
          <w:szCs w:val="22"/>
          <w:lang w:val="sr-Latn-ME"/>
        </w:rPr>
      </w:pPr>
      <w:r w:rsidRPr="00D768EF">
        <w:rPr>
          <w:i/>
          <w:snapToGrid w:val="0"/>
          <w:color w:val="000000"/>
          <w:szCs w:val="22"/>
          <w:lang w:val="sr-Latn-ME"/>
        </w:rPr>
        <w:t xml:space="preserve">Psorijatični artritis </w:t>
      </w:r>
    </w:p>
    <w:p w14:paraId="2738838D" w14:textId="08CA1877" w:rsidR="00C175E4" w:rsidRPr="00D768EF" w:rsidRDefault="00AF3AEA" w:rsidP="00C175E4">
      <w:pPr>
        <w:rPr>
          <w:color w:val="000000"/>
          <w:szCs w:val="22"/>
          <w:lang w:val="sr-Latn-ME"/>
        </w:rPr>
      </w:pPr>
      <w:r w:rsidRPr="00D768EF">
        <w:rPr>
          <w:color w:val="000000"/>
          <w:szCs w:val="22"/>
          <w:lang w:val="sr-Latn-ME"/>
        </w:rPr>
        <w:t xml:space="preserve">Doza od </w:t>
      </w:r>
      <w:r w:rsidR="00C175E4" w:rsidRPr="00D768EF">
        <w:rPr>
          <w:color w:val="000000"/>
          <w:szCs w:val="22"/>
          <w:lang w:val="sr-Latn-ME"/>
        </w:rPr>
        <w:t xml:space="preserve">5 mg/kg se </w:t>
      </w:r>
      <w:r w:rsidR="00B750A5" w:rsidRPr="00D768EF">
        <w:rPr>
          <w:color w:val="000000"/>
          <w:szCs w:val="22"/>
          <w:lang w:val="sr-Latn-ME"/>
        </w:rPr>
        <w:t>primjenjuje</w:t>
      </w:r>
      <w:r w:rsidR="00C175E4" w:rsidRPr="00D768EF">
        <w:rPr>
          <w:color w:val="000000"/>
          <w:szCs w:val="22"/>
          <w:lang w:val="sr-Latn-ME"/>
        </w:rPr>
        <w:t xml:space="preserve"> u vidu intravenske infuzije, </w:t>
      </w:r>
      <w:r w:rsidRPr="00D768EF">
        <w:rPr>
          <w:color w:val="000000"/>
          <w:szCs w:val="22"/>
          <w:lang w:val="sr-Latn-ME"/>
        </w:rPr>
        <w:t>nakon</w:t>
      </w:r>
      <w:r w:rsidR="00C175E4" w:rsidRPr="00D768EF">
        <w:rPr>
          <w:color w:val="000000"/>
          <w:szCs w:val="22"/>
          <w:lang w:val="sr-Latn-ME"/>
        </w:rPr>
        <w:t xml:space="preserve"> čega sl</w:t>
      </w:r>
      <w:r w:rsidR="00454E9F" w:rsidRPr="00D768EF">
        <w:rPr>
          <w:color w:val="000000"/>
          <w:szCs w:val="22"/>
          <w:lang w:val="sr-Latn-ME"/>
        </w:rPr>
        <w:t>ij</w:t>
      </w:r>
      <w:r w:rsidR="00C175E4" w:rsidRPr="00D768EF">
        <w:rPr>
          <w:color w:val="000000"/>
          <w:szCs w:val="22"/>
          <w:lang w:val="sr-Latn-ME"/>
        </w:rPr>
        <w:t>ede dodatne infuzije u dozi od 5 mg/kg , 2. i 6. </w:t>
      </w:r>
      <w:r w:rsidR="00D57936" w:rsidRPr="00D768EF">
        <w:rPr>
          <w:color w:val="000000"/>
          <w:szCs w:val="22"/>
          <w:lang w:val="sr-Latn-ME"/>
        </w:rPr>
        <w:t>nedjelj</w:t>
      </w:r>
      <w:r w:rsidR="00C175E4" w:rsidRPr="00D768EF">
        <w:rPr>
          <w:color w:val="000000"/>
          <w:szCs w:val="22"/>
          <w:lang w:val="sr-Latn-ME"/>
        </w:rPr>
        <w:t>e posl</w:t>
      </w:r>
      <w:r w:rsidR="00A04DB2">
        <w:rPr>
          <w:color w:val="000000"/>
          <w:szCs w:val="22"/>
          <w:lang w:val="sr-Latn-ME"/>
        </w:rPr>
        <w:t>ij</w:t>
      </w:r>
      <w:r w:rsidR="00C175E4" w:rsidRPr="00D768EF">
        <w:rPr>
          <w:color w:val="000000"/>
          <w:szCs w:val="22"/>
          <w:lang w:val="sr-Latn-ME"/>
        </w:rPr>
        <w:t>e prve infuzije, a zatim</w:t>
      </w:r>
      <w:r w:rsidR="00C175E4" w:rsidRPr="00D768EF">
        <w:rPr>
          <w:szCs w:val="22"/>
          <w:lang w:val="sr-Latn-ME"/>
        </w:rPr>
        <w:t xml:space="preserve"> na svakih 8 </w:t>
      </w:r>
      <w:r w:rsidR="00D57936" w:rsidRPr="00D768EF">
        <w:rPr>
          <w:color w:val="000000"/>
          <w:szCs w:val="22"/>
          <w:lang w:val="sr-Latn-ME"/>
        </w:rPr>
        <w:t>nedjelj</w:t>
      </w:r>
      <w:r w:rsidR="00C175E4" w:rsidRPr="00D768EF">
        <w:rPr>
          <w:color w:val="000000"/>
          <w:szCs w:val="22"/>
          <w:lang w:val="sr-Latn-ME"/>
        </w:rPr>
        <w:t>a posl</w:t>
      </w:r>
      <w:r w:rsidR="00A04DB2">
        <w:rPr>
          <w:color w:val="000000"/>
          <w:szCs w:val="22"/>
          <w:lang w:val="sr-Latn-ME"/>
        </w:rPr>
        <w:t>ij</w:t>
      </w:r>
      <w:r w:rsidR="00C175E4" w:rsidRPr="00D768EF">
        <w:rPr>
          <w:color w:val="000000"/>
          <w:szCs w:val="22"/>
          <w:lang w:val="sr-Latn-ME"/>
        </w:rPr>
        <w:t>e toga</w:t>
      </w:r>
      <w:r w:rsidR="00C175E4" w:rsidRPr="00D768EF">
        <w:rPr>
          <w:snapToGrid w:val="0"/>
          <w:color w:val="000000"/>
          <w:szCs w:val="22"/>
          <w:lang w:val="sr-Latn-ME"/>
        </w:rPr>
        <w:t xml:space="preserve">. </w:t>
      </w:r>
    </w:p>
    <w:p w14:paraId="3E1B7F08" w14:textId="77777777" w:rsidR="00C175E4" w:rsidRPr="00D768EF" w:rsidRDefault="00C175E4" w:rsidP="00C175E4">
      <w:pPr>
        <w:rPr>
          <w:color w:val="000000"/>
          <w:szCs w:val="22"/>
          <w:lang w:val="sr-Latn-ME"/>
        </w:rPr>
      </w:pPr>
    </w:p>
    <w:p w14:paraId="3FE52255" w14:textId="77777777" w:rsidR="00C175E4" w:rsidRPr="00D768EF" w:rsidRDefault="00C175E4" w:rsidP="00C175E4">
      <w:pPr>
        <w:rPr>
          <w:bCs/>
          <w:i/>
          <w:color w:val="000000"/>
          <w:szCs w:val="22"/>
          <w:lang w:val="sr-Latn-ME"/>
        </w:rPr>
      </w:pPr>
      <w:r w:rsidRPr="00D768EF">
        <w:rPr>
          <w:bCs/>
          <w:i/>
          <w:color w:val="000000"/>
          <w:szCs w:val="22"/>
          <w:lang w:val="sr-Latn-ME"/>
        </w:rPr>
        <w:t>Psorijaza</w:t>
      </w:r>
    </w:p>
    <w:p w14:paraId="5462FB35" w14:textId="5877ED71" w:rsidR="00C175E4" w:rsidRPr="00D768EF" w:rsidRDefault="00AF3AEA" w:rsidP="00C175E4">
      <w:pPr>
        <w:rPr>
          <w:color w:val="000000"/>
          <w:szCs w:val="22"/>
          <w:lang w:val="sr-Latn-ME"/>
        </w:rPr>
      </w:pPr>
      <w:r w:rsidRPr="00D768EF">
        <w:rPr>
          <w:color w:val="000000"/>
          <w:szCs w:val="22"/>
          <w:lang w:val="sr-Latn-ME"/>
        </w:rPr>
        <w:t xml:space="preserve">Doza od </w:t>
      </w:r>
      <w:r w:rsidR="00C175E4" w:rsidRPr="00D768EF">
        <w:rPr>
          <w:color w:val="000000"/>
          <w:szCs w:val="22"/>
          <w:lang w:val="sr-Latn-ME"/>
        </w:rPr>
        <w:t xml:space="preserve">5 mg/kg se </w:t>
      </w:r>
      <w:r w:rsidR="00B750A5" w:rsidRPr="00D768EF">
        <w:rPr>
          <w:color w:val="000000"/>
          <w:szCs w:val="22"/>
          <w:lang w:val="sr-Latn-ME"/>
        </w:rPr>
        <w:t>primjenjuje</w:t>
      </w:r>
      <w:r w:rsidR="00C175E4" w:rsidRPr="00D768EF">
        <w:rPr>
          <w:color w:val="000000"/>
          <w:szCs w:val="22"/>
          <w:lang w:val="sr-Latn-ME"/>
        </w:rPr>
        <w:t xml:space="preserve"> u vidu intravenske infuzije, posl</w:t>
      </w:r>
      <w:r w:rsidR="00A04DB2">
        <w:rPr>
          <w:color w:val="000000"/>
          <w:szCs w:val="22"/>
          <w:lang w:val="sr-Latn-ME"/>
        </w:rPr>
        <w:t>ij</w:t>
      </w:r>
      <w:r w:rsidR="00C175E4" w:rsidRPr="00D768EF">
        <w:rPr>
          <w:color w:val="000000"/>
          <w:szCs w:val="22"/>
          <w:lang w:val="sr-Latn-ME"/>
        </w:rPr>
        <w:t xml:space="preserve">e čega </w:t>
      </w:r>
      <w:r w:rsidR="00454E9F" w:rsidRPr="00D768EF">
        <w:rPr>
          <w:color w:val="000000"/>
          <w:szCs w:val="22"/>
          <w:lang w:val="sr-Latn-ME"/>
        </w:rPr>
        <w:t xml:space="preserve">slijede </w:t>
      </w:r>
      <w:r w:rsidR="00C175E4" w:rsidRPr="00D768EF">
        <w:rPr>
          <w:color w:val="000000"/>
          <w:szCs w:val="22"/>
          <w:lang w:val="sr-Latn-ME"/>
        </w:rPr>
        <w:t>dodatne infuzije u dozi od 5 mg/kg, 2. i 6. </w:t>
      </w:r>
      <w:r w:rsidR="00D57936" w:rsidRPr="00D768EF">
        <w:rPr>
          <w:color w:val="000000"/>
          <w:szCs w:val="22"/>
          <w:lang w:val="sr-Latn-ME"/>
        </w:rPr>
        <w:t>nedjelj</w:t>
      </w:r>
      <w:r w:rsidR="00C175E4" w:rsidRPr="00D768EF">
        <w:rPr>
          <w:color w:val="000000"/>
          <w:szCs w:val="22"/>
          <w:lang w:val="sr-Latn-ME"/>
        </w:rPr>
        <w:t>e posl</w:t>
      </w:r>
      <w:r w:rsidR="00A04DB2">
        <w:rPr>
          <w:color w:val="000000"/>
          <w:szCs w:val="22"/>
          <w:lang w:val="sr-Latn-ME"/>
        </w:rPr>
        <w:t>ij</w:t>
      </w:r>
      <w:r w:rsidR="00C175E4" w:rsidRPr="00D768EF">
        <w:rPr>
          <w:color w:val="000000"/>
          <w:szCs w:val="22"/>
          <w:lang w:val="sr-Latn-ME"/>
        </w:rPr>
        <w:t>e prve infuzije, a zatim na</w:t>
      </w:r>
      <w:r w:rsidR="00C175E4" w:rsidRPr="00D768EF">
        <w:rPr>
          <w:szCs w:val="22"/>
          <w:lang w:val="sr-Latn-ME"/>
        </w:rPr>
        <w:t xml:space="preserve"> svakih </w:t>
      </w:r>
      <w:r w:rsidR="00C175E4" w:rsidRPr="00D768EF">
        <w:rPr>
          <w:color w:val="000000"/>
          <w:szCs w:val="22"/>
          <w:lang w:val="sr-Latn-ME"/>
        </w:rPr>
        <w:t xml:space="preserve">8 </w:t>
      </w:r>
      <w:r w:rsidR="00D57936" w:rsidRPr="00D768EF">
        <w:rPr>
          <w:color w:val="000000"/>
          <w:szCs w:val="22"/>
          <w:lang w:val="sr-Latn-ME"/>
        </w:rPr>
        <w:t>nedjelj</w:t>
      </w:r>
      <w:r w:rsidR="00C175E4" w:rsidRPr="00D768EF">
        <w:rPr>
          <w:color w:val="000000"/>
          <w:szCs w:val="22"/>
          <w:lang w:val="sr-Latn-ME"/>
        </w:rPr>
        <w:t>a posle toga</w:t>
      </w:r>
      <w:r w:rsidR="00C175E4" w:rsidRPr="00D768EF">
        <w:rPr>
          <w:snapToGrid w:val="0"/>
          <w:color w:val="000000"/>
          <w:szCs w:val="22"/>
          <w:lang w:val="sr-Latn-ME"/>
        </w:rPr>
        <w:t>.</w:t>
      </w:r>
      <w:r w:rsidR="00C175E4" w:rsidRPr="00D768EF">
        <w:rPr>
          <w:color w:val="000000"/>
          <w:szCs w:val="22"/>
          <w:lang w:val="sr-Latn-ME"/>
        </w:rPr>
        <w:t xml:space="preserve"> Ukoliko pacijent ne odreaguje na terapiju posl</w:t>
      </w:r>
      <w:r w:rsidR="00A04DB2">
        <w:rPr>
          <w:color w:val="000000"/>
          <w:szCs w:val="22"/>
          <w:lang w:val="sr-Latn-ME"/>
        </w:rPr>
        <w:t>ij</w:t>
      </w:r>
      <w:r w:rsidR="00C175E4" w:rsidRPr="00D768EF">
        <w:rPr>
          <w:color w:val="000000"/>
          <w:szCs w:val="22"/>
          <w:lang w:val="sr-Latn-ME"/>
        </w:rPr>
        <w:t xml:space="preserve">e 14 </w:t>
      </w:r>
      <w:r w:rsidR="00D57936" w:rsidRPr="00D768EF">
        <w:rPr>
          <w:color w:val="000000"/>
          <w:szCs w:val="22"/>
          <w:lang w:val="sr-Latn-ME"/>
        </w:rPr>
        <w:t>nedjelj</w:t>
      </w:r>
      <w:r w:rsidR="00C175E4" w:rsidRPr="00D768EF">
        <w:rPr>
          <w:color w:val="000000"/>
          <w:szCs w:val="22"/>
          <w:lang w:val="sr-Latn-ME"/>
        </w:rPr>
        <w:t>a (tj. posl</w:t>
      </w:r>
      <w:r w:rsidR="00A04DB2">
        <w:rPr>
          <w:color w:val="000000"/>
          <w:szCs w:val="22"/>
          <w:lang w:val="sr-Latn-ME"/>
        </w:rPr>
        <w:t>ij</w:t>
      </w:r>
      <w:r w:rsidR="00C175E4" w:rsidRPr="00D768EF">
        <w:rPr>
          <w:color w:val="000000"/>
          <w:szCs w:val="22"/>
          <w:lang w:val="sr-Latn-ME"/>
        </w:rPr>
        <w:t xml:space="preserve">e 4 doze), ne bi trebalo nastaviti </w:t>
      </w:r>
      <w:r w:rsidR="00D57936" w:rsidRPr="00D768EF">
        <w:rPr>
          <w:color w:val="000000"/>
          <w:szCs w:val="22"/>
          <w:lang w:val="sr-Latn-ME"/>
        </w:rPr>
        <w:t>liječe</w:t>
      </w:r>
      <w:r w:rsidR="00C175E4" w:rsidRPr="00D768EF">
        <w:rPr>
          <w:color w:val="000000"/>
          <w:szCs w:val="22"/>
          <w:lang w:val="sr-Latn-ME"/>
        </w:rPr>
        <w:t xml:space="preserve">nje infliksimabom. </w:t>
      </w:r>
    </w:p>
    <w:p w14:paraId="744C0268" w14:textId="77777777" w:rsidR="00C175E4" w:rsidRPr="00D768EF" w:rsidRDefault="00C175E4" w:rsidP="00C175E4">
      <w:pPr>
        <w:rPr>
          <w:szCs w:val="22"/>
          <w:lang w:val="sr-Latn-ME"/>
        </w:rPr>
      </w:pPr>
    </w:p>
    <w:p w14:paraId="23054E0A" w14:textId="77777777" w:rsidR="00C175E4" w:rsidRPr="00D768EF" w:rsidRDefault="00C175E4" w:rsidP="00C175E4">
      <w:pPr>
        <w:outlineLvl w:val="0"/>
        <w:rPr>
          <w:i/>
          <w:color w:val="000000"/>
          <w:szCs w:val="22"/>
          <w:lang w:val="sr-Latn-ME"/>
        </w:rPr>
      </w:pPr>
      <w:r w:rsidRPr="00D768EF">
        <w:rPr>
          <w:i/>
          <w:color w:val="000000"/>
          <w:szCs w:val="22"/>
          <w:lang w:val="sr-Latn-ME"/>
        </w:rPr>
        <w:t xml:space="preserve">Ponovna </w:t>
      </w:r>
      <w:r w:rsidR="00D57936" w:rsidRPr="00D768EF">
        <w:rPr>
          <w:i/>
          <w:color w:val="000000"/>
          <w:szCs w:val="22"/>
          <w:lang w:val="sr-Latn-ME"/>
        </w:rPr>
        <w:t>primjena</w:t>
      </w:r>
      <w:r w:rsidRPr="00D768EF">
        <w:rPr>
          <w:i/>
          <w:color w:val="000000"/>
          <w:szCs w:val="22"/>
          <w:lang w:val="sr-Latn-ME"/>
        </w:rPr>
        <w:t xml:space="preserve"> kod Kronove bolesti i reumatoidnog artritisa</w:t>
      </w:r>
    </w:p>
    <w:p w14:paraId="0C12FDFE" w14:textId="2582C27C" w:rsidR="00AF3AEA" w:rsidRPr="00D768EF" w:rsidRDefault="00C175E4" w:rsidP="00C175E4">
      <w:pPr>
        <w:rPr>
          <w:color w:val="000000"/>
          <w:szCs w:val="22"/>
          <w:lang w:val="sr-Latn-ME"/>
        </w:rPr>
      </w:pPr>
      <w:r w:rsidRPr="00D768EF">
        <w:rPr>
          <w:color w:val="000000"/>
          <w:szCs w:val="22"/>
          <w:lang w:val="sr-Latn-ME"/>
        </w:rPr>
        <w:t xml:space="preserve">Ukoliko se ponovo pojave znaci i simptomi bolesti, </w:t>
      </w:r>
      <w:r w:rsidR="00D57936" w:rsidRPr="00D768EF">
        <w:rPr>
          <w:color w:val="000000"/>
          <w:szCs w:val="22"/>
          <w:lang w:val="sr-Latn-ME"/>
        </w:rPr>
        <w:t>lijek Inflectra</w:t>
      </w:r>
      <w:r w:rsidRPr="00D768EF">
        <w:rPr>
          <w:color w:val="000000"/>
          <w:szCs w:val="22"/>
          <w:lang w:val="sr-Latn-ME"/>
        </w:rPr>
        <w:t xml:space="preserve"> se može ponovno prim</w:t>
      </w:r>
      <w:r w:rsidR="00454E9F" w:rsidRPr="00D768EF">
        <w:rPr>
          <w:color w:val="000000"/>
          <w:szCs w:val="22"/>
          <w:lang w:val="sr-Latn-ME"/>
        </w:rPr>
        <w:t>ij</w:t>
      </w:r>
      <w:r w:rsidRPr="00D768EF">
        <w:rPr>
          <w:color w:val="000000"/>
          <w:szCs w:val="22"/>
          <w:lang w:val="sr-Latn-ME"/>
        </w:rPr>
        <w:t>eniti u periodu od 16 </w:t>
      </w:r>
      <w:r w:rsidR="00D57936" w:rsidRPr="00D768EF">
        <w:rPr>
          <w:color w:val="000000"/>
          <w:szCs w:val="22"/>
          <w:lang w:val="sr-Latn-ME"/>
        </w:rPr>
        <w:t>nedjelj</w:t>
      </w:r>
      <w:r w:rsidRPr="00D768EF">
        <w:rPr>
          <w:color w:val="000000"/>
          <w:szCs w:val="22"/>
          <w:lang w:val="sr-Latn-ME"/>
        </w:rPr>
        <w:t>a od posl</w:t>
      </w:r>
      <w:r w:rsidR="00A04DB2">
        <w:rPr>
          <w:color w:val="000000"/>
          <w:szCs w:val="22"/>
          <w:lang w:val="sr-Latn-ME"/>
        </w:rPr>
        <w:t>j</w:t>
      </w:r>
      <w:r w:rsidRPr="00D768EF">
        <w:rPr>
          <w:color w:val="000000"/>
          <w:szCs w:val="22"/>
          <w:lang w:val="sr-Latn-ME"/>
        </w:rPr>
        <w:t>ednje infuzije. U kliničkim ispitivanjima</w:t>
      </w:r>
      <w:r w:rsidR="00AF3AEA" w:rsidRPr="00D768EF">
        <w:rPr>
          <w:color w:val="000000"/>
          <w:szCs w:val="22"/>
          <w:lang w:val="sr-Latn-ME"/>
        </w:rPr>
        <w:t>,</w:t>
      </w:r>
      <w:r w:rsidRPr="00D768EF">
        <w:rPr>
          <w:color w:val="000000"/>
          <w:szCs w:val="22"/>
          <w:lang w:val="sr-Latn-ME"/>
        </w:rPr>
        <w:t xml:space="preserve"> reakcije kasne </w:t>
      </w:r>
      <w:r w:rsidR="001B0A77" w:rsidRPr="00D768EF">
        <w:rPr>
          <w:color w:val="000000"/>
          <w:szCs w:val="22"/>
          <w:lang w:val="sr-Latn-ME"/>
        </w:rPr>
        <w:t>preosje</w:t>
      </w:r>
      <w:r w:rsidRPr="00D768EF">
        <w:rPr>
          <w:color w:val="000000"/>
          <w:szCs w:val="22"/>
          <w:lang w:val="sr-Latn-ME"/>
        </w:rPr>
        <w:t>tljivosti su bile povremene i javljale su se nakon što se infliksimab nije prim</w:t>
      </w:r>
      <w:r w:rsidR="00126595" w:rsidRPr="00D768EF">
        <w:rPr>
          <w:color w:val="000000"/>
          <w:szCs w:val="22"/>
          <w:lang w:val="sr-Latn-ME"/>
        </w:rPr>
        <w:t>j</w:t>
      </w:r>
      <w:r w:rsidRPr="00D768EF">
        <w:rPr>
          <w:color w:val="000000"/>
          <w:szCs w:val="22"/>
          <w:lang w:val="sr-Latn-ME"/>
        </w:rPr>
        <w:t>enjivao u periodu kraćem od godinu dana (</w:t>
      </w:r>
      <w:r w:rsidR="00282A1E" w:rsidRPr="00D768EF">
        <w:rPr>
          <w:color w:val="000000"/>
          <w:szCs w:val="22"/>
          <w:lang w:val="sr-Latn-ME"/>
        </w:rPr>
        <w:t>vidjeti</w:t>
      </w:r>
      <w:r w:rsidRPr="00D768EF">
        <w:rPr>
          <w:color w:val="000000"/>
          <w:szCs w:val="22"/>
          <w:lang w:val="sr-Latn-ME"/>
        </w:rPr>
        <w:t xml:space="preserve"> </w:t>
      </w:r>
      <w:r w:rsidR="00282A1E" w:rsidRPr="00D768EF">
        <w:rPr>
          <w:color w:val="000000"/>
          <w:szCs w:val="22"/>
          <w:lang w:val="sr-Latn-ME"/>
        </w:rPr>
        <w:t>djelov</w:t>
      </w:r>
      <w:r w:rsidRPr="00D768EF">
        <w:rPr>
          <w:color w:val="000000"/>
          <w:szCs w:val="22"/>
          <w:lang w:val="sr-Latn-ME"/>
        </w:rPr>
        <w:t xml:space="preserve">e 4.4 i 4.8). </w:t>
      </w:r>
    </w:p>
    <w:p w14:paraId="1D8F8BA9" w14:textId="2CC4919D" w:rsidR="00C175E4" w:rsidRPr="00D768EF" w:rsidRDefault="00C175E4" w:rsidP="00C175E4">
      <w:pPr>
        <w:rPr>
          <w:color w:val="000000"/>
          <w:szCs w:val="22"/>
          <w:lang w:val="sr-Latn-ME"/>
        </w:rPr>
      </w:pPr>
      <w:r w:rsidRPr="00D768EF">
        <w:rPr>
          <w:color w:val="000000"/>
          <w:szCs w:val="22"/>
          <w:lang w:val="sr-Latn-ME"/>
        </w:rPr>
        <w:t>Nisu utvrđeni bezb</w:t>
      </w:r>
      <w:r w:rsidR="00282A1E" w:rsidRPr="00D768EF">
        <w:rPr>
          <w:color w:val="000000"/>
          <w:szCs w:val="22"/>
          <w:lang w:val="sr-Latn-ME"/>
        </w:rPr>
        <w:t>j</w:t>
      </w:r>
      <w:r w:rsidRPr="00D768EF">
        <w:rPr>
          <w:color w:val="000000"/>
          <w:szCs w:val="22"/>
          <w:lang w:val="sr-Latn-ME"/>
        </w:rPr>
        <w:t>ednost i efikasnost ponovne prim</w:t>
      </w:r>
      <w:r w:rsidR="00282A1E" w:rsidRPr="00D768EF">
        <w:rPr>
          <w:color w:val="000000"/>
          <w:szCs w:val="22"/>
          <w:lang w:val="sr-Latn-ME"/>
        </w:rPr>
        <w:t>j</w:t>
      </w:r>
      <w:r w:rsidRPr="00D768EF">
        <w:rPr>
          <w:color w:val="000000"/>
          <w:szCs w:val="22"/>
          <w:lang w:val="sr-Latn-ME"/>
        </w:rPr>
        <w:t xml:space="preserve">ene ako je period u kojem se infliksimab nije davao duži od 16 </w:t>
      </w:r>
      <w:r w:rsidR="00D57936" w:rsidRPr="00D768EF">
        <w:rPr>
          <w:color w:val="000000"/>
          <w:szCs w:val="22"/>
          <w:lang w:val="sr-Latn-ME"/>
        </w:rPr>
        <w:t>nedjelj</w:t>
      </w:r>
      <w:r w:rsidRPr="00D768EF">
        <w:rPr>
          <w:color w:val="000000"/>
          <w:szCs w:val="22"/>
          <w:lang w:val="sr-Latn-ME"/>
        </w:rPr>
        <w:t>a. To se odnosi i na pacijente koji imaju Kronovu bolest i na pacijente koji imaju reumatoidni artritis.</w:t>
      </w:r>
    </w:p>
    <w:p w14:paraId="26ED8473" w14:textId="77777777" w:rsidR="00C175E4" w:rsidRPr="00D768EF" w:rsidRDefault="00C175E4" w:rsidP="00C175E4">
      <w:pPr>
        <w:rPr>
          <w:color w:val="000000"/>
          <w:szCs w:val="22"/>
          <w:lang w:val="sr-Latn-ME"/>
        </w:rPr>
      </w:pPr>
    </w:p>
    <w:p w14:paraId="00FEF025" w14:textId="77777777" w:rsidR="00C175E4" w:rsidRPr="00D768EF" w:rsidRDefault="00C175E4" w:rsidP="00C175E4">
      <w:pPr>
        <w:rPr>
          <w:i/>
          <w:color w:val="000000"/>
          <w:szCs w:val="22"/>
          <w:lang w:val="sr-Latn-ME"/>
        </w:rPr>
      </w:pPr>
      <w:r w:rsidRPr="00D768EF">
        <w:rPr>
          <w:i/>
          <w:color w:val="000000"/>
          <w:szCs w:val="22"/>
          <w:lang w:val="sr-Latn-ME"/>
        </w:rPr>
        <w:t xml:space="preserve">Ponovna </w:t>
      </w:r>
      <w:r w:rsidR="00D57936" w:rsidRPr="00D768EF">
        <w:rPr>
          <w:i/>
          <w:color w:val="000000"/>
          <w:szCs w:val="22"/>
          <w:lang w:val="sr-Latn-ME"/>
        </w:rPr>
        <w:t>primjena</w:t>
      </w:r>
      <w:r w:rsidRPr="00D768EF">
        <w:rPr>
          <w:i/>
          <w:color w:val="000000"/>
          <w:szCs w:val="22"/>
          <w:lang w:val="sr-Latn-ME"/>
        </w:rPr>
        <w:t xml:space="preserve"> kod ulceroznog kolitisa</w:t>
      </w:r>
    </w:p>
    <w:p w14:paraId="4F4F700A" w14:textId="77576D61" w:rsidR="00C175E4" w:rsidRPr="00D768EF" w:rsidRDefault="00C175E4" w:rsidP="00C175E4">
      <w:pPr>
        <w:rPr>
          <w:color w:val="000000"/>
          <w:szCs w:val="22"/>
          <w:lang w:val="sr-Latn-ME"/>
        </w:rPr>
      </w:pPr>
      <w:r w:rsidRPr="00D768EF">
        <w:rPr>
          <w:color w:val="000000"/>
          <w:szCs w:val="22"/>
          <w:lang w:val="sr-Latn-ME"/>
        </w:rPr>
        <w:t>Bezb</w:t>
      </w:r>
      <w:r w:rsidR="00282A1E" w:rsidRPr="00D768EF">
        <w:rPr>
          <w:color w:val="000000"/>
          <w:szCs w:val="22"/>
          <w:lang w:val="sr-Latn-ME"/>
        </w:rPr>
        <w:t>j</w:t>
      </w:r>
      <w:r w:rsidRPr="00D768EF">
        <w:rPr>
          <w:color w:val="000000"/>
          <w:szCs w:val="22"/>
          <w:lang w:val="sr-Latn-ME"/>
        </w:rPr>
        <w:t>ednost i efikasnost ponovne prim</w:t>
      </w:r>
      <w:r w:rsidR="00282A1E" w:rsidRPr="00D768EF">
        <w:rPr>
          <w:color w:val="000000"/>
          <w:szCs w:val="22"/>
          <w:lang w:val="sr-Latn-ME"/>
        </w:rPr>
        <w:t>j</w:t>
      </w:r>
      <w:r w:rsidRPr="00D768EF">
        <w:rPr>
          <w:color w:val="000000"/>
          <w:szCs w:val="22"/>
          <w:lang w:val="sr-Latn-ME"/>
        </w:rPr>
        <w:t>ene ni</w:t>
      </w:r>
      <w:r w:rsidR="00555C46" w:rsidRPr="00D768EF">
        <w:rPr>
          <w:color w:val="000000"/>
          <w:szCs w:val="22"/>
          <w:lang w:val="sr-Latn-ME"/>
        </w:rPr>
        <w:t>su</w:t>
      </w:r>
      <w:r w:rsidRPr="00D768EF">
        <w:rPr>
          <w:color w:val="000000"/>
          <w:szCs w:val="22"/>
          <w:lang w:val="sr-Latn-ME"/>
        </w:rPr>
        <w:t xml:space="preserve"> utvrđen</w:t>
      </w:r>
      <w:r w:rsidR="00555C46" w:rsidRPr="00D768EF">
        <w:rPr>
          <w:color w:val="000000"/>
          <w:szCs w:val="22"/>
          <w:lang w:val="sr-Latn-ME"/>
        </w:rPr>
        <w:t>e</w:t>
      </w:r>
      <w:r w:rsidRPr="00D768EF">
        <w:rPr>
          <w:color w:val="000000"/>
          <w:szCs w:val="22"/>
          <w:lang w:val="sr-Latn-ME"/>
        </w:rPr>
        <w:t xml:space="preserve">, osim kada se daje svakih 8 </w:t>
      </w:r>
      <w:r w:rsidR="00D57936" w:rsidRPr="00D768EF">
        <w:rPr>
          <w:color w:val="000000"/>
          <w:szCs w:val="22"/>
          <w:lang w:val="sr-Latn-ME"/>
        </w:rPr>
        <w:t>nedjelj</w:t>
      </w:r>
      <w:r w:rsidRPr="00D768EF">
        <w:rPr>
          <w:color w:val="000000"/>
          <w:szCs w:val="22"/>
          <w:lang w:val="sr-Latn-ME"/>
        </w:rPr>
        <w:t>a</w:t>
      </w:r>
      <w:r w:rsidRPr="00D768EF">
        <w:rPr>
          <w:szCs w:val="22"/>
          <w:lang w:val="sr-Latn-ME" w:bidi="gu-IN"/>
        </w:rPr>
        <w:t xml:space="preserve"> (vid</w:t>
      </w:r>
      <w:r w:rsidR="00282A1E" w:rsidRPr="00D768EF">
        <w:rPr>
          <w:szCs w:val="22"/>
          <w:lang w:val="sr-Latn-ME" w:bidi="gu-IN"/>
        </w:rPr>
        <w:t>j</w:t>
      </w:r>
      <w:r w:rsidRPr="00D768EF">
        <w:rPr>
          <w:szCs w:val="22"/>
          <w:lang w:val="sr-Latn-ME" w:bidi="gu-IN"/>
        </w:rPr>
        <w:t xml:space="preserve">eti </w:t>
      </w:r>
      <w:r w:rsidR="00282A1E" w:rsidRPr="00D768EF">
        <w:rPr>
          <w:szCs w:val="22"/>
          <w:lang w:val="sr-Latn-ME" w:bidi="gu-IN"/>
        </w:rPr>
        <w:t xml:space="preserve">djelove </w:t>
      </w:r>
      <w:r w:rsidRPr="00D768EF">
        <w:rPr>
          <w:szCs w:val="22"/>
          <w:lang w:val="sr-Latn-ME" w:bidi="gu-IN"/>
        </w:rPr>
        <w:t>4.4 i 4.8)</w:t>
      </w:r>
      <w:r w:rsidRPr="00D768EF">
        <w:rPr>
          <w:color w:val="000000"/>
          <w:szCs w:val="22"/>
          <w:lang w:val="sr-Latn-ME"/>
        </w:rPr>
        <w:t>.</w:t>
      </w:r>
    </w:p>
    <w:p w14:paraId="358A1D1B" w14:textId="77777777" w:rsidR="00C175E4" w:rsidRPr="00D768EF" w:rsidRDefault="00C175E4" w:rsidP="00C175E4">
      <w:pPr>
        <w:rPr>
          <w:color w:val="000000"/>
          <w:szCs w:val="22"/>
          <w:lang w:val="sr-Latn-ME"/>
        </w:rPr>
      </w:pPr>
    </w:p>
    <w:p w14:paraId="0E8B6236" w14:textId="77777777" w:rsidR="00C175E4" w:rsidRPr="00D768EF" w:rsidRDefault="00C175E4" w:rsidP="00C175E4">
      <w:pPr>
        <w:pStyle w:val="Heading8"/>
        <w:spacing w:before="0" w:after="0"/>
        <w:rPr>
          <w:sz w:val="22"/>
          <w:szCs w:val="22"/>
          <w:lang w:val="sr-Latn-ME" w:eastAsia="en-US"/>
        </w:rPr>
      </w:pPr>
      <w:r w:rsidRPr="00D768EF">
        <w:rPr>
          <w:sz w:val="22"/>
          <w:szCs w:val="22"/>
          <w:lang w:val="sr-Latn-ME" w:eastAsia="en-US"/>
        </w:rPr>
        <w:t xml:space="preserve">Ponovna </w:t>
      </w:r>
      <w:r w:rsidR="00D57936" w:rsidRPr="00D768EF">
        <w:rPr>
          <w:sz w:val="22"/>
          <w:szCs w:val="22"/>
          <w:lang w:val="sr-Latn-ME" w:eastAsia="en-US"/>
        </w:rPr>
        <w:t>primjena</w:t>
      </w:r>
      <w:r w:rsidRPr="00D768EF">
        <w:rPr>
          <w:sz w:val="22"/>
          <w:szCs w:val="22"/>
          <w:lang w:val="sr-Latn-ME" w:eastAsia="en-US"/>
        </w:rPr>
        <w:t xml:space="preserve"> kod ankilozirajućeg spondilitisa</w:t>
      </w:r>
    </w:p>
    <w:p w14:paraId="14437D73" w14:textId="188FE90B" w:rsidR="00C175E4" w:rsidRPr="00D768EF" w:rsidRDefault="00C175E4" w:rsidP="00C175E4">
      <w:pPr>
        <w:rPr>
          <w:color w:val="000000"/>
          <w:szCs w:val="22"/>
          <w:lang w:val="sr-Latn-ME"/>
        </w:rPr>
      </w:pPr>
      <w:r w:rsidRPr="00D768EF">
        <w:rPr>
          <w:color w:val="000000"/>
          <w:szCs w:val="22"/>
          <w:lang w:val="sr-Latn-ME"/>
        </w:rPr>
        <w:t>Bezb</w:t>
      </w:r>
      <w:r w:rsidR="00282A1E" w:rsidRPr="00D768EF">
        <w:rPr>
          <w:color w:val="000000"/>
          <w:szCs w:val="22"/>
          <w:lang w:val="sr-Latn-ME"/>
        </w:rPr>
        <w:t>j</w:t>
      </w:r>
      <w:r w:rsidRPr="00D768EF">
        <w:rPr>
          <w:color w:val="000000"/>
          <w:szCs w:val="22"/>
          <w:lang w:val="sr-Latn-ME"/>
        </w:rPr>
        <w:t>ednost i efikasnost ponovne prim</w:t>
      </w:r>
      <w:r w:rsidR="00126595" w:rsidRPr="00D768EF">
        <w:rPr>
          <w:color w:val="000000"/>
          <w:szCs w:val="22"/>
          <w:lang w:val="sr-Latn-ME"/>
        </w:rPr>
        <w:t>j</w:t>
      </w:r>
      <w:r w:rsidRPr="00D768EF">
        <w:rPr>
          <w:color w:val="000000"/>
          <w:szCs w:val="22"/>
          <w:lang w:val="sr-Latn-ME"/>
        </w:rPr>
        <w:t>ene ni</w:t>
      </w:r>
      <w:r w:rsidR="00555C46" w:rsidRPr="00D768EF">
        <w:rPr>
          <w:color w:val="000000"/>
          <w:szCs w:val="22"/>
          <w:lang w:val="sr-Latn-ME"/>
        </w:rPr>
        <w:t>su</w:t>
      </w:r>
      <w:r w:rsidRPr="00D768EF">
        <w:rPr>
          <w:color w:val="000000"/>
          <w:szCs w:val="22"/>
          <w:lang w:val="sr-Latn-ME"/>
        </w:rPr>
        <w:t xml:space="preserve"> utvrđen</w:t>
      </w:r>
      <w:r w:rsidR="00555C46" w:rsidRPr="00D768EF">
        <w:rPr>
          <w:color w:val="000000"/>
          <w:szCs w:val="22"/>
          <w:lang w:val="sr-Latn-ME"/>
        </w:rPr>
        <w:t>e</w:t>
      </w:r>
      <w:r w:rsidRPr="00D768EF">
        <w:rPr>
          <w:color w:val="000000"/>
          <w:szCs w:val="22"/>
          <w:lang w:val="sr-Latn-ME"/>
        </w:rPr>
        <w:t xml:space="preserve">, osim kada se daje svakih 6 do 8 </w:t>
      </w:r>
      <w:r w:rsidR="00D57936" w:rsidRPr="00D768EF">
        <w:rPr>
          <w:color w:val="000000"/>
          <w:szCs w:val="22"/>
          <w:lang w:val="sr-Latn-ME"/>
        </w:rPr>
        <w:t>nedjelj</w:t>
      </w:r>
      <w:r w:rsidRPr="00D768EF">
        <w:rPr>
          <w:color w:val="000000"/>
          <w:szCs w:val="22"/>
          <w:lang w:val="sr-Latn-ME"/>
        </w:rPr>
        <w:t>a (</w:t>
      </w:r>
      <w:r w:rsidR="00282A1E" w:rsidRPr="00D768EF">
        <w:rPr>
          <w:szCs w:val="22"/>
          <w:lang w:val="sr-Latn-ME" w:bidi="gu-IN"/>
        </w:rPr>
        <w:t>vidjeti</w:t>
      </w:r>
      <w:r w:rsidRPr="00D768EF">
        <w:rPr>
          <w:szCs w:val="22"/>
          <w:lang w:val="sr-Latn-ME" w:bidi="gu-IN"/>
        </w:rPr>
        <w:t xml:space="preserve"> </w:t>
      </w:r>
      <w:r w:rsidR="00282A1E" w:rsidRPr="00D768EF">
        <w:rPr>
          <w:szCs w:val="22"/>
          <w:lang w:val="sr-Latn-ME" w:bidi="gu-IN"/>
        </w:rPr>
        <w:t>djelove</w:t>
      </w:r>
      <w:r w:rsidRPr="00D768EF">
        <w:rPr>
          <w:szCs w:val="22"/>
          <w:lang w:val="sr-Latn-ME" w:bidi="gu-IN"/>
        </w:rPr>
        <w:t xml:space="preserve"> 4.4 i 4.8)</w:t>
      </w:r>
      <w:r w:rsidRPr="00D768EF">
        <w:rPr>
          <w:color w:val="000000"/>
          <w:szCs w:val="22"/>
          <w:lang w:val="sr-Latn-ME"/>
        </w:rPr>
        <w:t>.</w:t>
      </w:r>
    </w:p>
    <w:p w14:paraId="7C30515B" w14:textId="77777777" w:rsidR="00C175E4" w:rsidRPr="00D768EF" w:rsidRDefault="00C175E4" w:rsidP="00C175E4">
      <w:pPr>
        <w:rPr>
          <w:color w:val="000000"/>
          <w:szCs w:val="22"/>
          <w:lang w:val="sr-Latn-ME"/>
        </w:rPr>
      </w:pPr>
    </w:p>
    <w:p w14:paraId="64AE132E" w14:textId="77777777" w:rsidR="00C175E4" w:rsidRPr="00D768EF" w:rsidRDefault="00C175E4" w:rsidP="00C175E4">
      <w:pPr>
        <w:rPr>
          <w:i/>
          <w:color w:val="000000"/>
          <w:szCs w:val="22"/>
          <w:lang w:val="sr-Latn-ME"/>
        </w:rPr>
      </w:pPr>
      <w:r w:rsidRPr="00D768EF">
        <w:rPr>
          <w:i/>
          <w:color w:val="000000"/>
          <w:szCs w:val="22"/>
          <w:lang w:val="sr-Latn-ME"/>
        </w:rPr>
        <w:t xml:space="preserve">Ponovna </w:t>
      </w:r>
      <w:r w:rsidR="00D57936" w:rsidRPr="00D768EF">
        <w:rPr>
          <w:i/>
          <w:color w:val="000000"/>
          <w:szCs w:val="22"/>
          <w:lang w:val="sr-Latn-ME"/>
        </w:rPr>
        <w:t>primjena</w:t>
      </w:r>
      <w:r w:rsidRPr="00D768EF">
        <w:rPr>
          <w:i/>
          <w:color w:val="000000"/>
          <w:szCs w:val="22"/>
          <w:lang w:val="sr-Latn-ME"/>
        </w:rPr>
        <w:t xml:space="preserve"> kod psorijatičnog artritisa</w:t>
      </w:r>
    </w:p>
    <w:p w14:paraId="0522C71F" w14:textId="73990B12" w:rsidR="00C175E4" w:rsidRPr="00D768EF" w:rsidRDefault="00282A1E" w:rsidP="00C175E4">
      <w:pPr>
        <w:rPr>
          <w:color w:val="000000"/>
          <w:szCs w:val="22"/>
          <w:lang w:val="sr-Latn-ME"/>
        </w:rPr>
      </w:pPr>
      <w:r w:rsidRPr="00D768EF">
        <w:rPr>
          <w:color w:val="000000"/>
          <w:szCs w:val="22"/>
          <w:lang w:val="sr-Latn-ME"/>
        </w:rPr>
        <w:t>Bezbjedn</w:t>
      </w:r>
      <w:r w:rsidR="00220982" w:rsidRPr="00D768EF">
        <w:rPr>
          <w:color w:val="000000"/>
          <w:szCs w:val="22"/>
          <w:lang w:val="sr-Latn-ME"/>
        </w:rPr>
        <w:t>o</w:t>
      </w:r>
      <w:r w:rsidR="00C175E4" w:rsidRPr="00D768EF">
        <w:rPr>
          <w:color w:val="000000"/>
          <w:szCs w:val="22"/>
          <w:lang w:val="sr-Latn-ME"/>
        </w:rPr>
        <w:t>st i efikasnost ponovne prim</w:t>
      </w:r>
      <w:r w:rsidR="00126595" w:rsidRPr="00D768EF">
        <w:rPr>
          <w:color w:val="000000"/>
          <w:szCs w:val="22"/>
          <w:lang w:val="sr-Latn-ME"/>
        </w:rPr>
        <w:t>j</w:t>
      </w:r>
      <w:r w:rsidR="00C175E4" w:rsidRPr="00D768EF">
        <w:rPr>
          <w:color w:val="000000"/>
          <w:szCs w:val="22"/>
          <w:lang w:val="sr-Latn-ME"/>
        </w:rPr>
        <w:t>ene ni</w:t>
      </w:r>
      <w:r w:rsidR="00555C46" w:rsidRPr="00D768EF">
        <w:rPr>
          <w:color w:val="000000"/>
          <w:szCs w:val="22"/>
          <w:lang w:val="sr-Latn-ME"/>
        </w:rPr>
        <w:t>su</w:t>
      </w:r>
      <w:r w:rsidR="00C175E4" w:rsidRPr="00D768EF">
        <w:rPr>
          <w:color w:val="000000"/>
          <w:szCs w:val="22"/>
          <w:lang w:val="sr-Latn-ME"/>
        </w:rPr>
        <w:t xml:space="preserve"> utvrđen</w:t>
      </w:r>
      <w:r w:rsidR="00555C46" w:rsidRPr="00D768EF">
        <w:rPr>
          <w:color w:val="000000"/>
          <w:szCs w:val="22"/>
          <w:lang w:val="sr-Latn-ME"/>
        </w:rPr>
        <w:t>e</w:t>
      </w:r>
      <w:r w:rsidR="00C175E4" w:rsidRPr="00D768EF">
        <w:rPr>
          <w:color w:val="000000"/>
          <w:szCs w:val="22"/>
          <w:lang w:val="sr-Latn-ME"/>
        </w:rPr>
        <w:t xml:space="preserve">, osim kada se daje svakih 8 </w:t>
      </w:r>
      <w:r w:rsidR="00D57936" w:rsidRPr="00D768EF">
        <w:rPr>
          <w:color w:val="000000"/>
          <w:szCs w:val="22"/>
          <w:lang w:val="sr-Latn-ME"/>
        </w:rPr>
        <w:t>nedjelj</w:t>
      </w:r>
      <w:r w:rsidR="00C175E4" w:rsidRPr="00D768EF">
        <w:rPr>
          <w:color w:val="000000"/>
          <w:szCs w:val="22"/>
          <w:lang w:val="sr-Latn-ME"/>
        </w:rPr>
        <w:t>a</w:t>
      </w:r>
      <w:r w:rsidR="00C175E4" w:rsidRPr="00D768EF">
        <w:rPr>
          <w:szCs w:val="22"/>
          <w:lang w:val="sr-Latn-ME" w:bidi="gu-IN"/>
        </w:rPr>
        <w:t xml:space="preserve"> (</w:t>
      </w:r>
      <w:r w:rsidRPr="00D768EF">
        <w:rPr>
          <w:szCs w:val="22"/>
          <w:lang w:val="sr-Latn-ME" w:bidi="gu-IN"/>
        </w:rPr>
        <w:t>vidjeti</w:t>
      </w:r>
      <w:r w:rsidR="00C175E4" w:rsidRPr="00D768EF">
        <w:rPr>
          <w:szCs w:val="22"/>
          <w:lang w:val="sr-Latn-ME" w:bidi="gu-IN"/>
        </w:rPr>
        <w:t xml:space="preserve"> </w:t>
      </w:r>
      <w:r w:rsidRPr="00D768EF">
        <w:rPr>
          <w:szCs w:val="22"/>
          <w:lang w:val="sr-Latn-ME" w:bidi="gu-IN"/>
        </w:rPr>
        <w:t>djelove</w:t>
      </w:r>
      <w:r w:rsidR="00C175E4" w:rsidRPr="00D768EF">
        <w:rPr>
          <w:szCs w:val="22"/>
          <w:lang w:val="sr-Latn-ME" w:bidi="gu-IN"/>
        </w:rPr>
        <w:t xml:space="preserve"> 4.4 i 4.8)</w:t>
      </w:r>
      <w:r w:rsidR="00C175E4" w:rsidRPr="00D768EF">
        <w:rPr>
          <w:color w:val="000000"/>
          <w:szCs w:val="22"/>
          <w:lang w:val="sr-Latn-ME"/>
        </w:rPr>
        <w:t>.</w:t>
      </w:r>
    </w:p>
    <w:p w14:paraId="223DA9F5" w14:textId="77777777" w:rsidR="00C175E4" w:rsidRPr="00D768EF" w:rsidRDefault="00C175E4" w:rsidP="00C175E4">
      <w:pPr>
        <w:keepNext/>
        <w:rPr>
          <w:color w:val="000000"/>
          <w:szCs w:val="22"/>
          <w:u w:val="single"/>
          <w:lang w:val="sr-Latn-ME"/>
        </w:rPr>
      </w:pPr>
    </w:p>
    <w:p w14:paraId="32ADF099" w14:textId="77777777" w:rsidR="00C175E4" w:rsidRPr="00D768EF" w:rsidRDefault="00C175E4" w:rsidP="00C175E4">
      <w:pPr>
        <w:keepNext/>
        <w:rPr>
          <w:i/>
          <w:color w:val="000000"/>
          <w:szCs w:val="22"/>
          <w:lang w:val="sr-Latn-ME"/>
        </w:rPr>
      </w:pPr>
      <w:r w:rsidRPr="00D768EF">
        <w:rPr>
          <w:i/>
          <w:color w:val="000000"/>
          <w:szCs w:val="22"/>
          <w:lang w:val="sr-Latn-ME"/>
        </w:rPr>
        <w:t xml:space="preserve">Ponovna </w:t>
      </w:r>
      <w:r w:rsidR="00D57936" w:rsidRPr="00D768EF">
        <w:rPr>
          <w:i/>
          <w:color w:val="000000"/>
          <w:szCs w:val="22"/>
          <w:lang w:val="sr-Latn-ME"/>
        </w:rPr>
        <w:t>primjena</w:t>
      </w:r>
      <w:r w:rsidRPr="00D768EF">
        <w:rPr>
          <w:i/>
          <w:color w:val="000000"/>
          <w:szCs w:val="22"/>
          <w:lang w:val="sr-Latn-ME"/>
        </w:rPr>
        <w:t xml:space="preserve"> kod psorijaze</w:t>
      </w:r>
    </w:p>
    <w:p w14:paraId="55F3FA31" w14:textId="2C102815" w:rsidR="00C175E4" w:rsidRPr="00D768EF" w:rsidRDefault="00C175E4" w:rsidP="00C175E4">
      <w:pPr>
        <w:keepNext/>
        <w:rPr>
          <w:color w:val="000000"/>
          <w:szCs w:val="22"/>
          <w:lang w:val="sr-Latn-ME"/>
        </w:rPr>
      </w:pPr>
      <w:r w:rsidRPr="00D768EF">
        <w:rPr>
          <w:color w:val="000000"/>
          <w:szCs w:val="22"/>
          <w:lang w:val="sr-Latn-ME"/>
        </w:rPr>
        <w:t xml:space="preserve">Ograničeno iskustvo </w:t>
      </w:r>
      <w:r w:rsidR="00555C46" w:rsidRPr="00D768EF">
        <w:rPr>
          <w:color w:val="000000"/>
          <w:szCs w:val="22"/>
          <w:lang w:val="sr-Latn-ME"/>
        </w:rPr>
        <w:t xml:space="preserve">vezano za </w:t>
      </w:r>
      <w:r w:rsidRPr="00D768EF">
        <w:rPr>
          <w:color w:val="000000"/>
          <w:szCs w:val="22"/>
          <w:lang w:val="sr-Latn-ME"/>
        </w:rPr>
        <w:t>ponovn</w:t>
      </w:r>
      <w:r w:rsidR="00555C46" w:rsidRPr="00D768EF">
        <w:rPr>
          <w:color w:val="000000"/>
          <w:szCs w:val="22"/>
          <w:lang w:val="sr-Latn-ME"/>
        </w:rPr>
        <w:t>u</w:t>
      </w:r>
      <w:r w:rsidRPr="00D768EF">
        <w:rPr>
          <w:color w:val="000000"/>
          <w:szCs w:val="22"/>
          <w:lang w:val="sr-Latn-ME"/>
        </w:rPr>
        <w:t xml:space="preserve"> prim</w:t>
      </w:r>
      <w:r w:rsidR="00126595" w:rsidRPr="00D768EF">
        <w:rPr>
          <w:color w:val="000000"/>
          <w:szCs w:val="22"/>
          <w:lang w:val="sr-Latn-ME"/>
        </w:rPr>
        <w:t>j</w:t>
      </w:r>
      <w:r w:rsidRPr="00D768EF">
        <w:rPr>
          <w:color w:val="000000"/>
          <w:szCs w:val="22"/>
          <w:lang w:val="sr-Latn-ME"/>
        </w:rPr>
        <w:t>en</w:t>
      </w:r>
      <w:r w:rsidR="00555C46" w:rsidRPr="00D768EF">
        <w:rPr>
          <w:color w:val="000000"/>
          <w:szCs w:val="22"/>
          <w:lang w:val="sr-Latn-ME"/>
        </w:rPr>
        <w:t>u</w:t>
      </w:r>
      <w:r w:rsidRPr="00D768EF">
        <w:rPr>
          <w:color w:val="000000"/>
          <w:szCs w:val="22"/>
          <w:lang w:val="sr-Latn-ME"/>
        </w:rPr>
        <w:t xml:space="preserve"> l</w:t>
      </w:r>
      <w:r w:rsidR="00126595" w:rsidRPr="00D768EF">
        <w:rPr>
          <w:color w:val="000000"/>
          <w:szCs w:val="22"/>
          <w:lang w:val="sr-Latn-ME"/>
        </w:rPr>
        <w:t>ij</w:t>
      </w:r>
      <w:r w:rsidRPr="00D768EF">
        <w:rPr>
          <w:color w:val="000000"/>
          <w:szCs w:val="22"/>
          <w:lang w:val="sr-Latn-ME"/>
        </w:rPr>
        <w:t xml:space="preserve">eka kod pacijenata sa psorijazom </w:t>
      </w:r>
      <w:r w:rsidR="00555C46" w:rsidRPr="00D768EF">
        <w:rPr>
          <w:color w:val="000000"/>
          <w:szCs w:val="22"/>
          <w:lang w:val="sr-Latn-ME"/>
        </w:rPr>
        <w:t>prim</w:t>
      </w:r>
      <w:r w:rsidR="00853D98" w:rsidRPr="00D768EF">
        <w:rPr>
          <w:color w:val="000000"/>
          <w:szCs w:val="22"/>
          <w:lang w:val="sr-Latn-ME"/>
        </w:rPr>
        <w:t>j</w:t>
      </w:r>
      <w:r w:rsidR="00555C46" w:rsidRPr="00D768EF">
        <w:rPr>
          <w:color w:val="000000"/>
          <w:szCs w:val="22"/>
          <w:lang w:val="sr-Latn-ME"/>
        </w:rPr>
        <w:t xml:space="preserve">enom </w:t>
      </w:r>
      <w:r w:rsidRPr="00D768EF">
        <w:rPr>
          <w:color w:val="000000"/>
          <w:szCs w:val="22"/>
          <w:lang w:val="sr-Latn-ME"/>
        </w:rPr>
        <w:t>jedne doze infliksimab</w:t>
      </w:r>
      <w:r w:rsidR="00555C46" w:rsidRPr="00D768EF">
        <w:rPr>
          <w:color w:val="000000"/>
          <w:szCs w:val="22"/>
          <w:lang w:val="sr-Latn-ME"/>
        </w:rPr>
        <w:t>a</w:t>
      </w:r>
      <w:r w:rsidRPr="00D768EF">
        <w:rPr>
          <w:color w:val="000000"/>
          <w:szCs w:val="22"/>
          <w:lang w:val="sr-Latn-ME"/>
        </w:rPr>
        <w:t xml:space="preserve"> posl</w:t>
      </w:r>
      <w:r w:rsidR="00A04DB2">
        <w:rPr>
          <w:color w:val="000000"/>
          <w:szCs w:val="22"/>
          <w:lang w:val="sr-Latn-ME"/>
        </w:rPr>
        <w:t>ij</w:t>
      </w:r>
      <w:r w:rsidRPr="00D768EF">
        <w:rPr>
          <w:color w:val="000000"/>
          <w:szCs w:val="22"/>
          <w:lang w:val="sr-Latn-ME"/>
        </w:rPr>
        <w:t xml:space="preserve">e 20 </w:t>
      </w:r>
      <w:r w:rsidR="00D57936" w:rsidRPr="00D768EF">
        <w:rPr>
          <w:color w:val="000000"/>
          <w:szCs w:val="22"/>
          <w:lang w:val="sr-Latn-ME"/>
        </w:rPr>
        <w:t>nedjelj</w:t>
      </w:r>
      <w:r w:rsidRPr="00D768EF">
        <w:rPr>
          <w:color w:val="000000"/>
          <w:szCs w:val="22"/>
          <w:lang w:val="sr-Latn-ME"/>
        </w:rPr>
        <w:t>a ukazuje na smanjenu efikasnost i povećanu učestalost blagih do um</w:t>
      </w:r>
      <w:r w:rsidR="00282A1E" w:rsidRPr="00D768EF">
        <w:rPr>
          <w:color w:val="000000"/>
          <w:szCs w:val="22"/>
          <w:lang w:val="sr-Latn-ME"/>
        </w:rPr>
        <w:t>j</w:t>
      </w:r>
      <w:r w:rsidRPr="00D768EF">
        <w:rPr>
          <w:color w:val="000000"/>
          <w:szCs w:val="22"/>
          <w:lang w:val="sr-Latn-ME"/>
        </w:rPr>
        <w:t>erenih reakcija na infuziju u poređenju sa onima tokom prvobitne prim</w:t>
      </w:r>
      <w:r w:rsidR="00282A1E" w:rsidRPr="00D768EF">
        <w:rPr>
          <w:color w:val="000000"/>
          <w:szCs w:val="22"/>
          <w:lang w:val="sr-Latn-ME"/>
        </w:rPr>
        <w:t>j</w:t>
      </w:r>
      <w:r w:rsidRPr="00D768EF">
        <w:rPr>
          <w:color w:val="000000"/>
          <w:szCs w:val="22"/>
          <w:lang w:val="sr-Latn-ME"/>
        </w:rPr>
        <w:t>ene uvodne terapije (</w:t>
      </w:r>
      <w:r w:rsidR="00282A1E" w:rsidRPr="00D768EF">
        <w:rPr>
          <w:color w:val="000000"/>
          <w:szCs w:val="22"/>
          <w:lang w:val="sr-Latn-ME"/>
        </w:rPr>
        <w:t>vidjeti</w:t>
      </w:r>
      <w:r w:rsidRPr="00D768EF">
        <w:rPr>
          <w:color w:val="000000"/>
          <w:szCs w:val="22"/>
          <w:lang w:val="sr-Latn-ME"/>
        </w:rPr>
        <w:t xml:space="preserve"> </w:t>
      </w:r>
      <w:r w:rsidR="00454E9F" w:rsidRPr="00D768EF">
        <w:rPr>
          <w:color w:val="000000"/>
          <w:szCs w:val="22"/>
          <w:lang w:val="sr-Latn-ME"/>
        </w:rPr>
        <w:t>dio</w:t>
      </w:r>
      <w:r w:rsidRPr="00D768EF">
        <w:rPr>
          <w:color w:val="000000"/>
          <w:szCs w:val="22"/>
          <w:lang w:val="sr-Latn-ME"/>
        </w:rPr>
        <w:t xml:space="preserve"> 5.1).</w:t>
      </w:r>
    </w:p>
    <w:p w14:paraId="0BD21720" w14:textId="77777777" w:rsidR="00C175E4" w:rsidRPr="00D768EF" w:rsidRDefault="00C175E4" w:rsidP="00C175E4">
      <w:pPr>
        <w:rPr>
          <w:color w:val="000000"/>
          <w:szCs w:val="22"/>
          <w:lang w:val="sr-Latn-ME"/>
        </w:rPr>
      </w:pPr>
    </w:p>
    <w:p w14:paraId="15CDDAA1" w14:textId="0E4650A6" w:rsidR="00C175E4" w:rsidRPr="00D768EF" w:rsidRDefault="00C175E4" w:rsidP="00C175E4">
      <w:pPr>
        <w:rPr>
          <w:szCs w:val="22"/>
          <w:lang w:val="sr-Latn-ME" w:bidi="gu-IN"/>
        </w:rPr>
      </w:pPr>
      <w:r w:rsidRPr="00D768EF">
        <w:rPr>
          <w:color w:val="000000"/>
          <w:szCs w:val="22"/>
          <w:lang w:val="sr-Latn-ME"/>
        </w:rPr>
        <w:t>Ograničeno iskustvo vezano za ponovnu prim</w:t>
      </w:r>
      <w:r w:rsidR="00126595" w:rsidRPr="00D768EF">
        <w:rPr>
          <w:color w:val="000000"/>
          <w:szCs w:val="22"/>
          <w:lang w:val="sr-Latn-ME"/>
        </w:rPr>
        <w:t>j</w:t>
      </w:r>
      <w:r w:rsidRPr="00D768EF">
        <w:rPr>
          <w:color w:val="000000"/>
          <w:szCs w:val="22"/>
          <w:lang w:val="sr-Latn-ME"/>
        </w:rPr>
        <w:t>enu l</w:t>
      </w:r>
      <w:r w:rsidR="00282A1E" w:rsidRPr="00D768EF">
        <w:rPr>
          <w:color w:val="000000"/>
          <w:szCs w:val="22"/>
          <w:lang w:val="sr-Latn-ME"/>
        </w:rPr>
        <w:t>ij</w:t>
      </w:r>
      <w:r w:rsidRPr="00D768EF">
        <w:rPr>
          <w:color w:val="000000"/>
          <w:szCs w:val="22"/>
          <w:lang w:val="sr-Latn-ME"/>
        </w:rPr>
        <w:t xml:space="preserve">eka zbog novog izbijanja bolesti ponavljanjem uvodnog režima </w:t>
      </w:r>
      <w:r w:rsidR="00D57936" w:rsidRPr="00D768EF">
        <w:rPr>
          <w:color w:val="000000"/>
          <w:szCs w:val="22"/>
          <w:lang w:val="sr-Latn-ME"/>
        </w:rPr>
        <w:t>liječe</w:t>
      </w:r>
      <w:r w:rsidRPr="00D768EF">
        <w:rPr>
          <w:color w:val="000000"/>
          <w:szCs w:val="22"/>
          <w:lang w:val="sr-Latn-ME"/>
        </w:rPr>
        <w:t xml:space="preserve">nja, </w:t>
      </w:r>
      <w:r w:rsidR="00555C46" w:rsidRPr="00D768EF">
        <w:rPr>
          <w:color w:val="000000"/>
          <w:szCs w:val="22"/>
          <w:lang w:val="sr-Latn-ME"/>
        </w:rPr>
        <w:t>u</w:t>
      </w:r>
      <w:r w:rsidRPr="00D768EF">
        <w:rPr>
          <w:color w:val="000000"/>
          <w:szCs w:val="22"/>
          <w:lang w:val="sr-Latn-ME"/>
        </w:rPr>
        <w:t xml:space="preserve">kazuje </w:t>
      </w:r>
      <w:r w:rsidR="00555C46" w:rsidRPr="00D768EF">
        <w:rPr>
          <w:color w:val="000000"/>
          <w:szCs w:val="22"/>
          <w:lang w:val="sr-Latn-ME"/>
        </w:rPr>
        <w:t xml:space="preserve">na </w:t>
      </w:r>
      <w:r w:rsidRPr="00D768EF">
        <w:rPr>
          <w:color w:val="000000"/>
          <w:szCs w:val="22"/>
          <w:lang w:val="sr-Latn-ME"/>
        </w:rPr>
        <w:t xml:space="preserve">veću incidencu reakcija vezanih za infuziju, uključujući i ozbiljne reakcije, u poređenju sa </w:t>
      </w:r>
      <w:r w:rsidRPr="00D768EF">
        <w:rPr>
          <w:szCs w:val="22"/>
          <w:lang w:val="sr-Latn-ME" w:bidi="gu-IN"/>
        </w:rPr>
        <w:t xml:space="preserve">terapijom održavanja svakih 8 </w:t>
      </w:r>
      <w:r w:rsidR="00D57936" w:rsidRPr="00D768EF">
        <w:rPr>
          <w:szCs w:val="22"/>
          <w:lang w:val="sr-Latn-ME" w:bidi="gu-IN"/>
        </w:rPr>
        <w:t>nedjelj</w:t>
      </w:r>
      <w:r w:rsidRPr="00D768EF">
        <w:rPr>
          <w:szCs w:val="22"/>
          <w:lang w:val="sr-Latn-ME" w:bidi="gu-IN"/>
        </w:rPr>
        <w:t>a (</w:t>
      </w:r>
      <w:r w:rsidR="00282A1E" w:rsidRPr="00D768EF">
        <w:rPr>
          <w:szCs w:val="22"/>
          <w:lang w:val="sr-Latn-ME" w:bidi="gu-IN"/>
        </w:rPr>
        <w:t>vidjeti</w:t>
      </w:r>
      <w:r w:rsidRPr="00D768EF">
        <w:rPr>
          <w:szCs w:val="22"/>
          <w:lang w:val="sr-Latn-ME" w:bidi="gu-IN"/>
        </w:rPr>
        <w:t xml:space="preserve"> </w:t>
      </w:r>
      <w:r w:rsidR="00454E9F" w:rsidRPr="00D768EF">
        <w:rPr>
          <w:szCs w:val="22"/>
          <w:lang w:val="sr-Latn-ME" w:bidi="gu-IN"/>
        </w:rPr>
        <w:t>dio</w:t>
      </w:r>
      <w:r w:rsidRPr="00D768EF">
        <w:rPr>
          <w:szCs w:val="22"/>
          <w:lang w:val="sr-Latn-ME" w:bidi="gu-IN"/>
        </w:rPr>
        <w:t xml:space="preserve"> 4.8).</w:t>
      </w:r>
    </w:p>
    <w:p w14:paraId="15490837" w14:textId="77777777" w:rsidR="00C175E4" w:rsidRPr="00D768EF" w:rsidRDefault="00C175E4" w:rsidP="00C175E4">
      <w:pPr>
        <w:rPr>
          <w:szCs w:val="22"/>
          <w:lang w:val="sr-Latn-ME" w:bidi="gu-IN"/>
        </w:rPr>
      </w:pPr>
    </w:p>
    <w:p w14:paraId="2DCCE286" w14:textId="77777777" w:rsidR="00C175E4" w:rsidRPr="00D768EF" w:rsidRDefault="00C175E4" w:rsidP="00C175E4">
      <w:pPr>
        <w:rPr>
          <w:i/>
          <w:color w:val="000000"/>
          <w:szCs w:val="22"/>
          <w:lang w:val="sr-Latn-ME"/>
        </w:rPr>
      </w:pPr>
      <w:r w:rsidRPr="00D768EF">
        <w:rPr>
          <w:i/>
          <w:color w:val="000000"/>
          <w:szCs w:val="22"/>
          <w:lang w:val="sr-Latn-ME"/>
        </w:rPr>
        <w:t xml:space="preserve">Ponovna </w:t>
      </w:r>
      <w:r w:rsidR="00D57936" w:rsidRPr="00D768EF">
        <w:rPr>
          <w:i/>
          <w:color w:val="000000"/>
          <w:szCs w:val="22"/>
          <w:lang w:val="sr-Latn-ME"/>
        </w:rPr>
        <w:t>primjena</w:t>
      </w:r>
      <w:r w:rsidRPr="00D768EF">
        <w:rPr>
          <w:i/>
          <w:color w:val="000000"/>
          <w:szCs w:val="22"/>
          <w:lang w:val="sr-Latn-ME"/>
        </w:rPr>
        <w:t xml:space="preserve"> kod različitih indikacija</w:t>
      </w:r>
    </w:p>
    <w:p w14:paraId="281AFF87" w14:textId="6787DCCA" w:rsidR="00C175E4" w:rsidRPr="00D768EF" w:rsidRDefault="00C175E4" w:rsidP="00C175E4">
      <w:pPr>
        <w:rPr>
          <w:color w:val="000000"/>
          <w:szCs w:val="22"/>
          <w:lang w:val="sr-Latn-ME"/>
        </w:rPr>
      </w:pPr>
      <w:r w:rsidRPr="00D768EF">
        <w:rPr>
          <w:color w:val="000000"/>
          <w:szCs w:val="22"/>
          <w:lang w:val="sr-Latn-ME"/>
        </w:rPr>
        <w:t>Ukoliko se prekine</w:t>
      </w:r>
      <w:r w:rsidRPr="00D768EF">
        <w:rPr>
          <w:szCs w:val="22"/>
          <w:lang w:val="sr-Latn-ME" w:bidi="gu-IN"/>
        </w:rPr>
        <w:t xml:space="preserve"> terapija održavanja</w:t>
      </w:r>
      <w:r w:rsidRPr="00D768EF">
        <w:rPr>
          <w:color w:val="000000"/>
          <w:szCs w:val="22"/>
          <w:lang w:val="sr-Latn-ME"/>
        </w:rPr>
        <w:t xml:space="preserve">, a postoji potreba da se </w:t>
      </w:r>
      <w:r w:rsidR="00D57936" w:rsidRPr="00D768EF">
        <w:rPr>
          <w:color w:val="000000"/>
          <w:szCs w:val="22"/>
          <w:lang w:val="sr-Latn-ME"/>
        </w:rPr>
        <w:t>liječe</w:t>
      </w:r>
      <w:r w:rsidRPr="00D768EF">
        <w:rPr>
          <w:color w:val="000000"/>
          <w:szCs w:val="22"/>
          <w:lang w:val="sr-Latn-ME"/>
        </w:rPr>
        <w:t xml:space="preserve">nje ponovo započne, ne preporučuje se ponavljanje uvodnog režima </w:t>
      </w:r>
      <w:r w:rsidR="00D57936" w:rsidRPr="00D768EF">
        <w:rPr>
          <w:color w:val="000000"/>
          <w:szCs w:val="22"/>
          <w:lang w:val="sr-Latn-ME"/>
        </w:rPr>
        <w:t>liječe</w:t>
      </w:r>
      <w:r w:rsidRPr="00D768EF">
        <w:rPr>
          <w:color w:val="000000"/>
          <w:szCs w:val="22"/>
          <w:lang w:val="sr-Latn-ME"/>
        </w:rPr>
        <w:t>nja (</w:t>
      </w:r>
      <w:r w:rsidR="00282A1E" w:rsidRPr="00D768EF">
        <w:rPr>
          <w:color w:val="000000"/>
          <w:szCs w:val="22"/>
          <w:lang w:val="sr-Latn-ME"/>
        </w:rPr>
        <w:t>vidjeti</w:t>
      </w:r>
      <w:r w:rsidRPr="00D768EF">
        <w:rPr>
          <w:color w:val="000000"/>
          <w:szCs w:val="22"/>
          <w:lang w:val="sr-Latn-ME"/>
        </w:rPr>
        <w:t xml:space="preserve"> </w:t>
      </w:r>
      <w:r w:rsidR="00454E9F" w:rsidRPr="00D768EF">
        <w:rPr>
          <w:color w:val="000000"/>
          <w:szCs w:val="22"/>
          <w:lang w:val="sr-Latn-ME"/>
        </w:rPr>
        <w:t>dio</w:t>
      </w:r>
      <w:r w:rsidRPr="00D768EF">
        <w:rPr>
          <w:color w:val="000000"/>
          <w:szCs w:val="22"/>
          <w:lang w:val="sr-Latn-ME"/>
        </w:rPr>
        <w:t xml:space="preserve"> 4.8). U takvim slučajevima, treba započeti terapiju davanjem jedne doze </w:t>
      </w:r>
      <w:r w:rsidR="00B8632C" w:rsidRPr="00D768EF">
        <w:rPr>
          <w:color w:val="000000"/>
          <w:szCs w:val="22"/>
          <w:lang w:val="sr-Latn-ME"/>
        </w:rPr>
        <w:t>infliksimaba</w:t>
      </w:r>
      <w:r w:rsidRPr="00D768EF">
        <w:rPr>
          <w:color w:val="000000"/>
          <w:szCs w:val="22"/>
          <w:lang w:val="sr-Latn-ME"/>
        </w:rPr>
        <w:t>, a zatim nastaviti sa dozama održavanja, prema gore opisanim preporukama.</w:t>
      </w:r>
    </w:p>
    <w:p w14:paraId="2EC9B782" w14:textId="77777777" w:rsidR="00C175E4" w:rsidRPr="00D768EF" w:rsidRDefault="00C175E4" w:rsidP="00C175E4">
      <w:pPr>
        <w:rPr>
          <w:color w:val="000000"/>
          <w:szCs w:val="22"/>
          <w:lang w:val="sr-Latn-ME"/>
        </w:rPr>
      </w:pPr>
    </w:p>
    <w:p w14:paraId="0B91CB6C" w14:textId="77777777" w:rsidR="00B8632C" w:rsidRPr="00D768EF" w:rsidRDefault="00B8632C" w:rsidP="00C175E4">
      <w:pPr>
        <w:pStyle w:val="Default"/>
        <w:jc w:val="both"/>
        <w:rPr>
          <w:b/>
          <w:bCs/>
          <w:iCs/>
          <w:sz w:val="22"/>
          <w:szCs w:val="22"/>
          <w:u w:val="single"/>
          <w:lang w:val="sr-Latn-ME"/>
        </w:rPr>
      </w:pPr>
      <w:r w:rsidRPr="00D768EF">
        <w:rPr>
          <w:b/>
          <w:bCs/>
          <w:iCs/>
          <w:sz w:val="22"/>
          <w:szCs w:val="22"/>
          <w:u w:val="single"/>
          <w:lang w:val="sr-Latn-ME"/>
        </w:rPr>
        <w:t>Posebne populacije</w:t>
      </w:r>
    </w:p>
    <w:p w14:paraId="7335B5DD" w14:textId="77777777" w:rsidR="00B8632C" w:rsidRPr="00D768EF" w:rsidRDefault="00B8632C" w:rsidP="00C175E4">
      <w:pPr>
        <w:pStyle w:val="Default"/>
        <w:jc w:val="both"/>
        <w:rPr>
          <w:i/>
          <w:iCs/>
          <w:sz w:val="22"/>
          <w:szCs w:val="22"/>
          <w:lang w:val="sr-Latn-ME"/>
        </w:rPr>
      </w:pPr>
    </w:p>
    <w:p w14:paraId="6E8ED1FF" w14:textId="622E309C" w:rsidR="00C175E4" w:rsidRPr="00D768EF" w:rsidRDefault="00C175E4" w:rsidP="00C175E4">
      <w:pPr>
        <w:pStyle w:val="Default"/>
        <w:jc w:val="both"/>
        <w:rPr>
          <w:b/>
          <w:bCs/>
          <w:i/>
          <w:iCs/>
          <w:sz w:val="22"/>
          <w:szCs w:val="22"/>
          <w:lang w:val="sr-Latn-ME"/>
        </w:rPr>
      </w:pPr>
      <w:r w:rsidRPr="00D768EF">
        <w:rPr>
          <w:b/>
          <w:bCs/>
          <w:i/>
          <w:iCs/>
          <w:sz w:val="22"/>
          <w:szCs w:val="22"/>
          <w:u w:val="single"/>
          <w:lang w:val="sr-Latn-ME"/>
        </w:rPr>
        <w:t>Stariji pacijenti</w:t>
      </w:r>
      <w:r w:rsidRPr="00D768EF">
        <w:rPr>
          <w:b/>
          <w:bCs/>
          <w:i/>
          <w:iCs/>
          <w:sz w:val="22"/>
          <w:szCs w:val="22"/>
          <w:lang w:val="sr-Latn-ME"/>
        </w:rPr>
        <w:t xml:space="preserve"> </w:t>
      </w:r>
    </w:p>
    <w:p w14:paraId="781B276F" w14:textId="41C85EE8" w:rsidR="00C175E4" w:rsidRPr="00D768EF" w:rsidRDefault="00B8632C" w:rsidP="00B8632C">
      <w:pPr>
        <w:pStyle w:val="Default"/>
        <w:tabs>
          <w:tab w:val="left" w:pos="2373"/>
        </w:tabs>
        <w:jc w:val="both"/>
        <w:rPr>
          <w:i/>
          <w:iCs/>
          <w:sz w:val="22"/>
          <w:szCs w:val="22"/>
          <w:lang w:val="sr-Latn-ME"/>
        </w:rPr>
      </w:pPr>
      <w:r w:rsidRPr="00D768EF">
        <w:rPr>
          <w:i/>
          <w:iCs/>
          <w:sz w:val="22"/>
          <w:szCs w:val="22"/>
          <w:lang w:val="sr-Latn-ME"/>
        </w:rPr>
        <w:tab/>
      </w:r>
    </w:p>
    <w:p w14:paraId="44C4BAA5" w14:textId="5BD0C9F6" w:rsidR="00C175E4" w:rsidRPr="00D768EF" w:rsidRDefault="00C175E4" w:rsidP="00C175E4">
      <w:pPr>
        <w:autoSpaceDE w:val="0"/>
        <w:autoSpaceDN w:val="0"/>
        <w:adjustRightInd w:val="0"/>
        <w:rPr>
          <w:szCs w:val="22"/>
          <w:lang w:val="sr-Latn-ME"/>
        </w:rPr>
      </w:pPr>
      <w:r w:rsidRPr="00D768EF">
        <w:rPr>
          <w:szCs w:val="22"/>
          <w:lang w:val="sr-Latn-ME"/>
        </w:rPr>
        <w:t xml:space="preserve">Nisu sprovedena posebna ispitivanja </w:t>
      </w:r>
      <w:r w:rsidR="00B8632C" w:rsidRPr="00D768EF">
        <w:rPr>
          <w:szCs w:val="22"/>
          <w:lang w:val="sr-Latn-ME"/>
        </w:rPr>
        <w:t>infliksimaba</w:t>
      </w:r>
      <w:r w:rsidRPr="00D768EF">
        <w:rPr>
          <w:szCs w:val="22"/>
          <w:lang w:val="sr-Latn-ME"/>
        </w:rPr>
        <w:t xml:space="preserve"> kod starijih pacijenata. U kliničkim ispitivanj</w:t>
      </w:r>
      <w:r w:rsidR="00483083" w:rsidRPr="00D768EF">
        <w:rPr>
          <w:szCs w:val="22"/>
          <w:lang w:val="sr-Latn-ME"/>
        </w:rPr>
        <w:t>im</w:t>
      </w:r>
      <w:r w:rsidRPr="00D768EF">
        <w:rPr>
          <w:szCs w:val="22"/>
          <w:lang w:val="sr-Latn-ME"/>
        </w:rPr>
        <w:t>a nisu prim</w:t>
      </w:r>
      <w:r w:rsidR="00282A1E" w:rsidRPr="00D768EF">
        <w:rPr>
          <w:szCs w:val="22"/>
          <w:lang w:val="sr-Latn-ME"/>
        </w:rPr>
        <w:t>ij</w:t>
      </w:r>
      <w:r w:rsidRPr="00D768EF">
        <w:rPr>
          <w:szCs w:val="22"/>
          <w:lang w:val="sr-Latn-ME"/>
        </w:rPr>
        <w:t>ećene značajnije razlike u klirensu ili volumenu distribucije vezane za starost. Nije potrebna korekcija doze (</w:t>
      </w:r>
      <w:r w:rsidR="00282A1E" w:rsidRPr="00D768EF">
        <w:rPr>
          <w:szCs w:val="22"/>
          <w:lang w:val="sr-Latn-ME"/>
        </w:rPr>
        <w:t>vidjeti</w:t>
      </w:r>
      <w:r w:rsidRPr="00D768EF">
        <w:rPr>
          <w:szCs w:val="22"/>
          <w:lang w:val="sr-Latn-ME"/>
        </w:rPr>
        <w:t xml:space="preserve"> </w:t>
      </w:r>
      <w:r w:rsidR="00454E9F" w:rsidRPr="00D768EF">
        <w:rPr>
          <w:szCs w:val="22"/>
          <w:lang w:val="sr-Latn-ME"/>
        </w:rPr>
        <w:t>dio</w:t>
      </w:r>
      <w:r w:rsidRPr="00D768EF">
        <w:rPr>
          <w:szCs w:val="22"/>
          <w:lang w:val="sr-Latn-ME"/>
        </w:rPr>
        <w:t xml:space="preserve"> 5.2). Za više informacija o </w:t>
      </w:r>
      <w:r w:rsidR="00282A1E" w:rsidRPr="00D768EF">
        <w:rPr>
          <w:szCs w:val="22"/>
          <w:lang w:val="sr-Latn-ME"/>
        </w:rPr>
        <w:t>bezbjedn</w:t>
      </w:r>
      <w:r w:rsidR="00220982" w:rsidRPr="00D768EF">
        <w:rPr>
          <w:szCs w:val="22"/>
          <w:lang w:val="sr-Latn-ME"/>
        </w:rPr>
        <w:t>o</w:t>
      </w:r>
      <w:r w:rsidRPr="00D768EF">
        <w:rPr>
          <w:szCs w:val="22"/>
          <w:lang w:val="sr-Latn-ME"/>
        </w:rPr>
        <w:t>sti prim</w:t>
      </w:r>
      <w:r w:rsidR="00282A1E" w:rsidRPr="00D768EF">
        <w:rPr>
          <w:szCs w:val="22"/>
          <w:lang w:val="sr-Latn-ME"/>
        </w:rPr>
        <w:t>j</w:t>
      </w:r>
      <w:r w:rsidRPr="00D768EF">
        <w:rPr>
          <w:szCs w:val="22"/>
          <w:lang w:val="sr-Latn-ME"/>
        </w:rPr>
        <w:t xml:space="preserve">ene </w:t>
      </w:r>
      <w:r w:rsidR="00E25270" w:rsidRPr="00D768EF">
        <w:rPr>
          <w:szCs w:val="22"/>
          <w:lang w:val="sr-Latn-ME"/>
        </w:rPr>
        <w:t>infliksimaba</w:t>
      </w:r>
      <w:r w:rsidRPr="00D768EF">
        <w:rPr>
          <w:szCs w:val="22"/>
          <w:lang w:val="sr-Latn-ME"/>
        </w:rPr>
        <w:t xml:space="preserve"> kod starijih pacijenata </w:t>
      </w:r>
      <w:r w:rsidR="00D768EF" w:rsidRPr="00D768EF">
        <w:rPr>
          <w:szCs w:val="22"/>
          <w:lang w:val="sr-Latn-ME"/>
        </w:rPr>
        <w:t>(</w:t>
      </w:r>
      <w:r w:rsidR="00282A1E" w:rsidRPr="00D768EF">
        <w:rPr>
          <w:szCs w:val="22"/>
          <w:lang w:val="sr-Latn-ME"/>
        </w:rPr>
        <w:t>vidjeti</w:t>
      </w:r>
      <w:r w:rsidRPr="00D768EF">
        <w:rPr>
          <w:szCs w:val="22"/>
          <w:lang w:val="sr-Latn-ME"/>
        </w:rPr>
        <w:t xml:space="preserve"> </w:t>
      </w:r>
      <w:r w:rsidR="00282A1E" w:rsidRPr="00D768EF">
        <w:rPr>
          <w:szCs w:val="22"/>
          <w:lang w:val="sr-Latn-ME"/>
        </w:rPr>
        <w:t>djelove</w:t>
      </w:r>
      <w:r w:rsidRPr="00D768EF">
        <w:rPr>
          <w:szCs w:val="22"/>
          <w:lang w:val="sr-Latn-ME"/>
        </w:rPr>
        <w:t xml:space="preserve"> 4.4 i 4.8</w:t>
      </w:r>
      <w:r w:rsidR="00D768EF" w:rsidRPr="00D768EF">
        <w:rPr>
          <w:szCs w:val="22"/>
          <w:lang w:val="sr-Latn-ME"/>
        </w:rPr>
        <w:t>)</w:t>
      </w:r>
      <w:r w:rsidRPr="00D768EF">
        <w:rPr>
          <w:szCs w:val="22"/>
          <w:lang w:val="sr-Latn-ME"/>
        </w:rPr>
        <w:t>.</w:t>
      </w:r>
    </w:p>
    <w:p w14:paraId="4A392661" w14:textId="232C5C85" w:rsidR="00C175E4" w:rsidRPr="00D768EF" w:rsidRDefault="00C175E4" w:rsidP="00C175E4">
      <w:pPr>
        <w:autoSpaceDE w:val="0"/>
        <w:autoSpaceDN w:val="0"/>
        <w:adjustRightInd w:val="0"/>
        <w:rPr>
          <w:szCs w:val="22"/>
          <w:lang w:val="sr-Latn-ME"/>
        </w:rPr>
      </w:pPr>
    </w:p>
    <w:p w14:paraId="0D823A4C" w14:textId="77777777" w:rsidR="00C175E4" w:rsidRPr="00D768EF" w:rsidRDefault="00C175E4" w:rsidP="00C175E4">
      <w:pPr>
        <w:pStyle w:val="Heading8"/>
        <w:spacing w:before="0" w:after="0"/>
        <w:rPr>
          <w:b/>
          <w:bCs/>
          <w:iCs w:val="0"/>
          <w:sz w:val="22"/>
          <w:szCs w:val="22"/>
          <w:u w:val="single"/>
          <w:lang w:val="sr-Latn-ME" w:eastAsia="en-US"/>
        </w:rPr>
      </w:pPr>
      <w:r w:rsidRPr="00D768EF">
        <w:rPr>
          <w:b/>
          <w:bCs/>
          <w:iCs w:val="0"/>
          <w:sz w:val="22"/>
          <w:szCs w:val="22"/>
          <w:u w:val="single"/>
          <w:lang w:val="sr-Latn-ME" w:eastAsia="en-US"/>
        </w:rPr>
        <w:t>Oštećen</w:t>
      </w:r>
      <w:r w:rsidR="001F2E02" w:rsidRPr="00D768EF">
        <w:rPr>
          <w:b/>
          <w:bCs/>
          <w:iCs w:val="0"/>
          <w:sz w:val="22"/>
          <w:szCs w:val="22"/>
          <w:u w:val="single"/>
          <w:lang w:val="sr-Latn-ME" w:eastAsia="en-US"/>
        </w:rPr>
        <w:t>je</w:t>
      </w:r>
      <w:r w:rsidRPr="00D768EF">
        <w:rPr>
          <w:b/>
          <w:bCs/>
          <w:iCs w:val="0"/>
          <w:sz w:val="22"/>
          <w:szCs w:val="22"/>
          <w:u w:val="single"/>
          <w:lang w:val="sr-Latn-ME" w:eastAsia="en-US"/>
        </w:rPr>
        <w:t xml:space="preserve"> funkcij</w:t>
      </w:r>
      <w:r w:rsidR="001F2E02" w:rsidRPr="00D768EF">
        <w:rPr>
          <w:b/>
          <w:bCs/>
          <w:iCs w:val="0"/>
          <w:sz w:val="22"/>
          <w:szCs w:val="22"/>
          <w:u w:val="single"/>
          <w:lang w:val="sr-Latn-ME" w:eastAsia="en-US"/>
        </w:rPr>
        <w:t>e</w:t>
      </w:r>
      <w:r w:rsidRPr="00D768EF">
        <w:rPr>
          <w:b/>
          <w:bCs/>
          <w:iCs w:val="0"/>
          <w:sz w:val="22"/>
          <w:szCs w:val="22"/>
          <w:u w:val="single"/>
          <w:lang w:val="sr-Latn-ME" w:eastAsia="en-US"/>
        </w:rPr>
        <w:t xml:space="preserve"> bubrega i/ili jetre</w:t>
      </w:r>
    </w:p>
    <w:p w14:paraId="58032E07" w14:textId="77777777" w:rsidR="00C175E4" w:rsidRPr="00D768EF" w:rsidRDefault="00C175E4" w:rsidP="00C175E4">
      <w:pPr>
        <w:rPr>
          <w:szCs w:val="22"/>
          <w:lang w:val="sr-Latn-ME"/>
        </w:rPr>
      </w:pPr>
    </w:p>
    <w:p w14:paraId="0D09BA22" w14:textId="2406E036" w:rsidR="00C175E4" w:rsidRPr="00D768EF" w:rsidRDefault="00E25270" w:rsidP="00C175E4">
      <w:pPr>
        <w:rPr>
          <w:szCs w:val="22"/>
          <w:lang w:val="sr-Latn-ME"/>
        </w:rPr>
      </w:pPr>
      <w:r w:rsidRPr="00D768EF">
        <w:rPr>
          <w:bCs/>
          <w:color w:val="000000"/>
          <w:szCs w:val="22"/>
          <w:lang w:val="sr-Latn-ME"/>
        </w:rPr>
        <w:t>Infliksimab</w:t>
      </w:r>
      <w:r w:rsidR="00C175E4" w:rsidRPr="00D768EF">
        <w:rPr>
          <w:bCs/>
          <w:color w:val="000000"/>
          <w:szCs w:val="22"/>
          <w:lang w:val="sr-Latn-ME"/>
        </w:rPr>
        <w:t xml:space="preserve"> nije ispitivan u ovim populacijama pacijenata</w:t>
      </w:r>
      <w:r w:rsidR="00C175E4" w:rsidRPr="00D768EF">
        <w:rPr>
          <w:szCs w:val="22"/>
          <w:lang w:val="sr-Latn-ME"/>
        </w:rPr>
        <w:t>. Ne mogu se dati preporuke u vezi doziranja (</w:t>
      </w:r>
      <w:r w:rsidR="00282A1E" w:rsidRPr="00D768EF">
        <w:rPr>
          <w:szCs w:val="22"/>
          <w:lang w:val="sr-Latn-ME"/>
        </w:rPr>
        <w:t>vidjeti</w:t>
      </w:r>
      <w:r w:rsidR="00C175E4" w:rsidRPr="00D768EF">
        <w:rPr>
          <w:szCs w:val="22"/>
          <w:lang w:val="sr-Latn-ME"/>
        </w:rPr>
        <w:t xml:space="preserve"> </w:t>
      </w:r>
      <w:r w:rsidR="00454E9F" w:rsidRPr="00D768EF">
        <w:rPr>
          <w:szCs w:val="22"/>
          <w:lang w:val="sr-Latn-ME"/>
        </w:rPr>
        <w:t>dio</w:t>
      </w:r>
      <w:r w:rsidR="00C175E4" w:rsidRPr="00D768EF">
        <w:rPr>
          <w:szCs w:val="22"/>
          <w:lang w:val="sr-Latn-ME"/>
        </w:rPr>
        <w:t xml:space="preserve"> 5.2).</w:t>
      </w:r>
    </w:p>
    <w:p w14:paraId="493659EE" w14:textId="77777777" w:rsidR="00C175E4" w:rsidRPr="00D768EF" w:rsidRDefault="00C175E4" w:rsidP="00C175E4">
      <w:pPr>
        <w:tabs>
          <w:tab w:val="clear" w:pos="284"/>
        </w:tabs>
        <w:autoSpaceDE w:val="0"/>
        <w:autoSpaceDN w:val="0"/>
        <w:adjustRightInd w:val="0"/>
        <w:rPr>
          <w:szCs w:val="22"/>
          <w:lang w:val="sr-Latn-ME"/>
        </w:rPr>
      </w:pPr>
    </w:p>
    <w:p w14:paraId="4524E66A" w14:textId="77777777" w:rsidR="00C175E4" w:rsidRPr="00D768EF" w:rsidRDefault="00C175E4" w:rsidP="00C175E4">
      <w:pPr>
        <w:rPr>
          <w:b/>
          <w:bCs/>
          <w:i/>
          <w:iCs/>
          <w:color w:val="000000"/>
          <w:szCs w:val="22"/>
          <w:u w:val="single"/>
          <w:lang w:val="sr-Latn-ME"/>
        </w:rPr>
      </w:pPr>
      <w:r w:rsidRPr="00D768EF">
        <w:rPr>
          <w:b/>
          <w:bCs/>
          <w:i/>
          <w:iCs/>
          <w:color w:val="000000"/>
          <w:szCs w:val="22"/>
          <w:u w:val="single"/>
          <w:lang w:val="sr-Latn-ME"/>
        </w:rPr>
        <w:t>Pedijatrijska populacija</w:t>
      </w:r>
    </w:p>
    <w:p w14:paraId="33A83A03" w14:textId="77777777" w:rsidR="00C175E4" w:rsidRPr="00D768EF" w:rsidRDefault="00C175E4" w:rsidP="00C175E4">
      <w:pPr>
        <w:rPr>
          <w:color w:val="000000"/>
          <w:szCs w:val="22"/>
          <w:lang w:val="sr-Latn-ME"/>
        </w:rPr>
      </w:pPr>
    </w:p>
    <w:p w14:paraId="57C66632" w14:textId="36D43A74" w:rsidR="00C175E4" w:rsidRPr="00D768EF" w:rsidRDefault="00C175E4" w:rsidP="00C175E4">
      <w:pPr>
        <w:rPr>
          <w:i/>
          <w:color w:val="000000"/>
          <w:szCs w:val="22"/>
          <w:lang w:val="sr-Latn-ME"/>
        </w:rPr>
      </w:pPr>
      <w:r w:rsidRPr="00D768EF">
        <w:rPr>
          <w:i/>
          <w:color w:val="000000"/>
          <w:szCs w:val="22"/>
          <w:lang w:val="sr-Latn-ME"/>
        </w:rPr>
        <w:t>Kronova bolest (6 do 17 godina)</w:t>
      </w:r>
    </w:p>
    <w:p w14:paraId="714B7596" w14:textId="7C3CEC55" w:rsidR="00C175E4" w:rsidRPr="00D768EF" w:rsidRDefault="00555C46" w:rsidP="00C175E4">
      <w:pPr>
        <w:rPr>
          <w:color w:val="000000"/>
          <w:szCs w:val="22"/>
          <w:lang w:val="sr-Latn-ME"/>
        </w:rPr>
      </w:pPr>
      <w:r w:rsidRPr="00D768EF">
        <w:rPr>
          <w:color w:val="000000"/>
          <w:szCs w:val="22"/>
          <w:lang w:val="sr-Latn-ME"/>
        </w:rPr>
        <w:t xml:space="preserve">Doza od </w:t>
      </w:r>
      <w:r w:rsidR="00C175E4" w:rsidRPr="00D768EF">
        <w:rPr>
          <w:color w:val="000000"/>
          <w:szCs w:val="22"/>
          <w:lang w:val="sr-Latn-ME"/>
        </w:rPr>
        <w:t xml:space="preserve">5 mg/kg se </w:t>
      </w:r>
      <w:r w:rsidR="00B750A5" w:rsidRPr="00D768EF">
        <w:rPr>
          <w:color w:val="000000"/>
          <w:szCs w:val="22"/>
          <w:lang w:val="sr-Latn-ME"/>
        </w:rPr>
        <w:t>primjenjuje</w:t>
      </w:r>
      <w:r w:rsidR="00C175E4" w:rsidRPr="00D768EF">
        <w:rPr>
          <w:color w:val="000000"/>
          <w:szCs w:val="22"/>
          <w:lang w:val="sr-Latn-ME"/>
        </w:rPr>
        <w:t xml:space="preserve"> u vidu intravenske infuzije, </w:t>
      </w:r>
      <w:r w:rsidRPr="00D768EF">
        <w:rPr>
          <w:color w:val="000000"/>
          <w:szCs w:val="22"/>
          <w:lang w:val="sr-Latn-ME"/>
        </w:rPr>
        <w:t>nakon</w:t>
      </w:r>
      <w:r w:rsidR="00C175E4" w:rsidRPr="00D768EF">
        <w:rPr>
          <w:color w:val="000000"/>
          <w:szCs w:val="22"/>
          <w:lang w:val="sr-Latn-ME"/>
        </w:rPr>
        <w:t xml:space="preserve"> čega </w:t>
      </w:r>
      <w:r w:rsidR="00454E9F" w:rsidRPr="00D768EF">
        <w:rPr>
          <w:color w:val="000000"/>
          <w:szCs w:val="22"/>
          <w:lang w:val="sr-Latn-ME"/>
        </w:rPr>
        <w:t xml:space="preserve">slijede </w:t>
      </w:r>
      <w:r w:rsidR="00C175E4" w:rsidRPr="00D768EF">
        <w:rPr>
          <w:color w:val="000000"/>
          <w:szCs w:val="22"/>
          <w:lang w:val="sr-Latn-ME"/>
        </w:rPr>
        <w:t>dodatne infuzije u dozi od 5 mg/kg, 2. i 6. </w:t>
      </w:r>
      <w:r w:rsidR="00D57936" w:rsidRPr="00D768EF">
        <w:rPr>
          <w:color w:val="000000"/>
          <w:szCs w:val="22"/>
          <w:lang w:val="sr-Latn-ME"/>
        </w:rPr>
        <w:t>nedjelj</w:t>
      </w:r>
      <w:r w:rsidR="00C175E4" w:rsidRPr="00D768EF">
        <w:rPr>
          <w:color w:val="000000"/>
          <w:szCs w:val="22"/>
          <w:lang w:val="sr-Latn-ME"/>
        </w:rPr>
        <w:t>e posl</w:t>
      </w:r>
      <w:r w:rsidR="00A04DB2">
        <w:rPr>
          <w:color w:val="000000"/>
          <w:szCs w:val="22"/>
          <w:lang w:val="sr-Latn-ME"/>
        </w:rPr>
        <w:t>ij</w:t>
      </w:r>
      <w:r w:rsidR="00C175E4" w:rsidRPr="00D768EF">
        <w:rPr>
          <w:color w:val="000000"/>
          <w:szCs w:val="22"/>
          <w:lang w:val="sr-Latn-ME"/>
        </w:rPr>
        <w:t>e prve infuzije, a zatim na</w:t>
      </w:r>
      <w:r w:rsidR="00C175E4" w:rsidRPr="00D768EF">
        <w:rPr>
          <w:szCs w:val="22"/>
          <w:lang w:val="sr-Latn-ME"/>
        </w:rPr>
        <w:t xml:space="preserve"> svakih </w:t>
      </w:r>
      <w:r w:rsidR="00C175E4" w:rsidRPr="00D768EF">
        <w:rPr>
          <w:color w:val="000000"/>
          <w:szCs w:val="22"/>
          <w:lang w:val="sr-Latn-ME"/>
        </w:rPr>
        <w:t xml:space="preserve">8 </w:t>
      </w:r>
      <w:r w:rsidR="00D57936" w:rsidRPr="00D768EF">
        <w:rPr>
          <w:color w:val="000000"/>
          <w:szCs w:val="22"/>
          <w:lang w:val="sr-Latn-ME"/>
        </w:rPr>
        <w:t>nedjelj</w:t>
      </w:r>
      <w:r w:rsidR="00C175E4" w:rsidRPr="00D768EF">
        <w:rPr>
          <w:color w:val="000000"/>
          <w:szCs w:val="22"/>
          <w:lang w:val="sr-Latn-ME"/>
        </w:rPr>
        <w:t xml:space="preserve">a. Dostupni podaci ne podržavaju dalje </w:t>
      </w:r>
      <w:r w:rsidR="00D57936" w:rsidRPr="00D768EF">
        <w:rPr>
          <w:color w:val="000000"/>
          <w:szCs w:val="22"/>
          <w:lang w:val="sr-Latn-ME"/>
        </w:rPr>
        <w:t>liječe</w:t>
      </w:r>
      <w:r w:rsidR="00C175E4" w:rsidRPr="00D768EF">
        <w:rPr>
          <w:color w:val="000000"/>
          <w:szCs w:val="22"/>
          <w:lang w:val="sr-Latn-ME"/>
        </w:rPr>
        <w:t>nje infliksimabom kod d</w:t>
      </w:r>
      <w:r w:rsidR="00220982" w:rsidRPr="00D768EF">
        <w:rPr>
          <w:color w:val="000000"/>
          <w:szCs w:val="22"/>
          <w:lang w:val="sr-Latn-ME"/>
        </w:rPr>
        <w:t>j</w:t>
      </w:r>
      <w:r w:rsidR="00C175E4" w:rsidRPr="00D768EF">
        <w:rPr>
          <w:color w:val="000000"/>
          <w:szCs w:val="22"/>
          <w:lang w:val="sr-Latn-ME"/>
        </w:rPr>
        <w:t>ece i adolescenata koji nisu odreagovali na l</w:t>
      </w:r>
      <w:r w:rsidR="00220982" w:rsidRPr="00D768EF">
        <w:rPr>
          <w:color w:val="000000"/>
          <w:szCs w:val="22"/>
          <w:lang w:val="sr-Latn-ME"/>
        </w:rPr>
        <w:t>ij</w:t>
      </w:r>
      <w:r w:rsidR="00C175E4" w:rsidRPr="00D768EF">
        <w:rPr>
          <w:color w:val="000000"/>
          <w:szCs w:val="22"/>
          <w:lang w:val="sr-Latn-ME"/>
        </w:rPr>
        <w:t xml:space="preserve">ek u toku prvih 10 </w:t>
      </w:r>
      <w:r w:rsidR="00D57936" w:rsidRPr="00D768EF">
        <w:rPr>
          <w:color w:val="000000"/>
          <w:szCs w:val="22"/>
          <w:lang w:val="sr-Latn-ME"/>
        </w:rPr>
        <w:t>nedjelj</w:t>
      </w:r>
      <w:r w:rsidR="00C175E4" w:rsidRPr="00D768EF">
        <w:rPr>
          <w:color w:val="000000"/>
          <w:szCs w:val="22"/>
          <w:lang w:val="sr-Latn-ME"/>
        </w:rPr>
        <w:t xml:space="preserve">a </w:t>
      </w:r>
      <w:r w:rsidR="00D57936" w:rsidRPr="00D768EF">
        <w:rPr>
          <w:color w:val="000000"/>
          <w:szCs w:val="22"/>
          <w:lang w:val="sr-Latn-ME"/>
        </w:rPr>
        <w:t>liječe</w:t>
      </w:r>
      <w:r w:rsidR="00C175E4" w:rsidRPr="00D768EF">
        <w:rPr>
          <w:color w:val="000000"/>
          <w:szCs w:val="22"/>
          <w:lang w:val="sr-Latn-ME"/>
        </w:rPr>
        <w:t>nja (</w:t>
      </w:r>
      <w:r w:rsidR="00282A1E" w:rsidRPr="00D768EF">
        <w:rPr>
          <w:color w:val="000000"/>
          <w:szCs w:val="22"/>
          <w:lang w:val="sr-Latn-ME"/>
        </w:rPr>
        <w:t>vidjeti</w:t>
      </w:r>
      <w:r w:rsidR="00C175E4" w:rsidRPr="00D768EF">
        <w:rPr>
          <w:color w:val="000000"/>
          <w:szCs w:val="22"/>
          <w:lang w:val="sr-Latn-ME"/>
        </w:rPr>
        <w:t xml:space="preserve"> </w:t>
      </w:r>
      <w:r w:rsidR="00454E9F" w:rsidRPr="00D768EF">
        <w:rPr>
          <w:color w:val="000000"/>
          <w:szCs w:val="22"/>
          <w:lang w:val="sr-Latn-ME"/>
        </w:rPr>
        <w:t>dio</w:t>
      </w:r>
      <w:r w:rsidR="00C175E4" w:rsidRPr="00D768EF">
        <w:rPr>
          <w:color w:val="000000"/>
          <w:szCs w:val="22"/>
          <w:lang w:val="sr-Latn-ME"/>
        </w:rPr>
        <w:t xml:space="preserve"> 5.1).</w:t>
      </w:r>
    </w:p>
    <w:p w14:paraId="76EAEB22" w14:textId="77777777" w:rsidR="00C175E4" w:rsidRPr="00D768EF" w:rsidRDefault="00C175E4" w:rsidP="00C175E4">
      <w:pPr>
        <w:tabs>
          <w:tab w:val="clear" w:pos="284"/>
        </w:tabs>
        <w:autoSpaceDE w:val="0"/>
        <w:autoSpaceDN w:val="0"/>
        <w:adjustRightInd w:val="0"/>
        <w:rPr>
          <w:color w:val="000000"/>
          <w:szCs w:val="22"/>
          <w:lang w:val="sr-Latn-ME"/>
        </w:rPr>
      </w:pPr>
    </w:p>
    <w:p w14:paraId="2D4B6A11" w14:textId="55B5AA0F" w:rsidR="00C175E4" w:rsidRPr="00D768EF" w:rsidRDefault="00C175E4" w:rsidP="00C175E4">
      <w:pPr>
        <w:rPr>
          <w:color w:val="000000"/>
          <w:szCs w:val="22"/>
          <w:lang w:val="sr-Latn-ME"/>
        </w:rPr>
      </w:pPr>
      <w:r w:rsidRPr="00D768EF">
        <w:rPr>
          <w:color w:val="000000"/>
          <w:szCs w:val="22"/>
          <w:lang w:val="sr-Latn-ME"/>
        </w:rPr>
        <w:t>Kod nekih pacijenata je potreban kraći interval doziranja da bi se održal</w:t>
      </w:r>
      <w:r w:rsidR="00555C46" w:rsidRPr="00D768EF">
        <w:rPr>
          <w:color w:val="000000"/>
          <w:szCs w:val="22"/>
          <w:lang w:val="sr-Latn-ME"/>
        </w:rPr>
        <w:t>i</w:t>
      </w:r>
      <w:r w:rsidRPr="00D768EF">
        <w:rPr>
          <w:color w:val="000000"/>
          <w:szCs w:val="22"/>
          <w:lang w:val="sr-Latn-ME"/>
        </w:rPr>
        <w:t xml:space="preserve"> </w:t>
      </w:r>
      <w:r w:rsidR="00555C46" w:rsidRPr="00D768EF">
        <w:rPr>
          <w:color w:val="000000"/>
          <w:szCs w:val="22"/>
          <w:lang w:val="sr-Latn-ME"/>
        </w:rPr>
        <w:t xml:space="preserve">korisni </w:t>
      </w:r>
      <w:r w:rsidRPr="00D768EF">
        <w:rPr>
          <w:color w:val="000000"/>
          <w:szCs w:val="22"/>
          <w:lang w:val="sr-Latn-ME"/>
        </w:rPr>
        <w:t>kliničk</w:t>
      </w:r>
      <w:r w:rsidR="00555C46" w:rsidRPr="00D768EF">
        <w:rPr>
          <w:color w:val="000000"/>
          <w:szCs w:val="22"/>
          <w:lang w:val="sr-Latn-ME"/>
        </w:rPr>
        <w:t>i</w:t>
      </w:r>
      <w:r w:rsidRPr="00D768EF">
        <w:rPr>
          <w:color w:val="000000"/>
          <w:szCs w:val="22"/>
          <w:lang w:val="sr-Latn-ME"/>
        </w:rPr>
        <w:t xml:space="preserve"> </w:t>
      </w:r>
      <w:r w:rsidR="00555C46" w:rsidRPr="00D768EF">
        <w:rPr>
          <w:color w:val="000000"/>
          <w:szCs w:val="22"/>
          <w:lang w:val="sr-Latn-ME"/>
        </w:rPr>
        <w:t>efekti</w:t>
      </w:r>
      <w:r w:rsidRPr="00D768EF">
        <w:rPr>
          <w:color w:val="000000"/>
          <w:szCs w:val="22"/>
          <w:lang w:val="sr-Latn-ME"/>
        </w:rPr>
        <w:t>, dok kod drugih</w:t>
      </w:r>
      <w:r w:rsidR="00555C46" w:rsidRPr="00D768EF">
        <w:rPr>
          <w:color w:val="000000"/>
          <w:szCs w:val="22"/>
          <w:lang w:val="sr-Latn-ME"/>
        </w:rPr>
        <w:t xml:space="preserve"> može biti</w:t>
      </w:r>
      <w:r w:rsidRPr="00D768EF">
        <w:rPr>
          <w:color w:val="000000"/>
          <w:szCs w:val="22"/>
          <w:lang w:val="sr-Latn-ME"/>
        </w:rPr>
        <w:t xml:space="preserve"> dovoljan duži interval doziranja. Pacijenti koji primaju doze l</w:t>
      </w:r>
      <w:r w:rsidR="00220982" w:rsidRPr="00D768EF">
        <w:rPr>
          <w:color w:val="000000"/>
          <w:szCs w:val="22"/>
          <w:lang w:val="sr-Latn-ME"/>
        </w:rPr>
        <w:t>ij</w:t>
      </w:r>
      <w:r w:rsidRPr="00D768EF">
        <w:rPr>
          <w:color w:val="000000"/>
          <w:szCs w:val="22"/>
          <w:lang w:val="sr-Latn-ME"/>
        </w:rPr>
        <w:t xml:space="preserve">eka u intervalu kraćem od 8 </w:t>
      </w:r>
      <w:r w:rsidR="00D57936" w:rsidRPr="00D768EF">
        <w:rPr>
          <w:color w:val="000000"/>
          <w:szCs w:val="22"/>
          <w:lang w:val="sr-Latn-ME"/>
        </w:rPr>
        <w:t>nedjelj</w:t>
      </w:r>
      <w:r w:rsidRPr="00D768EF">
        <w:rPr>
          <w:color w:val="000000"/>
          <w:szCs w:val="22"/>
          <w:lang w:val="sr-Latn-ME"/>
        </w:rPr>
        <w:t xml:space="preserve">a, mogu biti izloženi povećanom riziku od neželjenih reakcija. Nastavak terapije sa skraćenim intervalom doziranja treba pažljivo razmotriti kod pacijenata kod kojih </w:t>
      </w:r>
      <w:r w:rsidR="00555C46" w:rsidRPr="00D768EF">
        <w:rPr>
          <w:color w:val="000000"/>
          <w:szCs w:val="22"/>
          <w:lang w:val="sr-Latn-ME"/>
        </w:rPr>
        <w:t>ne postoje dokazi o</w:t>
      </w:r>
      <w:r w:rsidRPr="00D768EF">
        <w:rPr>
          <w:color w:val="000000"/>
          <w:szCs w:val="22"/>
          <w:lang w:val="sr-Latn-ME"/>
        </w:rPr>
        <w:t xml:space="preserve"> dodatn</w:t>
      </w:r>
      <w:r w:rsidR="00555C46" w:rsidRPr="00D768EF">
        <w:rPr>
          <w:color w:val="000000"/>
          <w:szCs w:val="22"/>
          <w:lang w:val="sr-Latn-ME"/>
        </w:rPr>
        <w:t>oj</w:t>
      </w:r>
      <w:r w:rsidRPr="00D768EF">
        <w:rPr>
          <w:color w:val="000000"/>
          <w:szCs w:val="22"/>
          <w:lang w:val="sr-Latn-ME"/>
        </w:rPr>
        <w:t xml:space="preserve"> </w:t>
      </w:r>
      <w:r w:rsidR="00555C46" w:rsidRPr="00D768EF">
        <w:rPr>
          <w:color w:val="000000"/>
          <w:szCs w:val="22"/>
          <w:lang w:val="sr-Latn-ME"/>
        </w:rPr>
        <w:t xml:space="preserve">koristi </w:t>
      </w:r>
      <w:r w:rsidRPr="00D768EF">
        <w:rPr>
          <w:color w:val="000000"/>
          <w:szCs w:val="22"/>
          <w:lang w:val="sr-Latn-ME"/>
        </w:rPr>
        <w:t>terapij</w:t>
      </w:r>
      <w:r w:rsidR="00555C46" w:rsidRPr="00D768EF">
        <w:rPr>
          <w:color w:val="000000"/>
          <w:szCs w:val="22"/>
          <w:lang w:val="sr-Latn-ME"/>
        </w:rPr>
        <w:t>e</w:t>
      </w:r>
      <w:r w:rsidRPr="00D768EF">
        <w:rPr>
          <w:color w:val="000000"/>
          <w:szCs w:val="22"/>
          <w:lang w:val="sr-Latn-ME"/>
        </w:rPr>
        <w:t xml:space="preserve"> posl</w:t>
      </w:r>
      <w:r w:rsidR="00A04DB2">
        <w:rPr>
          <w:color w:val="000000"/>
          <w:szCs w:val="22"/>
          <w:lang w:val="sr-Latn-ME"/>
        </w:rPr>
        <w:t>ij</w:t>
      </w:r>
      <w:r w:rsidRPr="00D768EF">
        <w:rPr>
          <w:color w:val="000000"/>
          <w:szCs w:val="22"/>
          <w:lang w:val="sr-Latn-ME"/>
        </w:rPr>
        <w:t>e prom</w:t>
      </w:r>
      <w:r w:rsidR="00220982" w:rsidRPr="00D768EF">
        <w:rPr>
          <w:color w:val="000000"/>
          <w:szCs w:val="22"/>
          <w:lang w:val="sr-Latn-ME"/>
        </w:rPr>
        <w:t>j</w:t>
      </w:r>
      <w:r w:rsidRPr="00D768EF">
        <w:rPr>
          <w:color w:val="000000"/>
          <w:szCs w:val="22"/>
          <w:lang w:val="sr-Latn-ME"/>
        </w:rPr>
        <w:t>ene intervala doziranja.</w:t>
      </w:r>
    </w:p>
    <w:p w14:paraId="4130EB9D" w14:textId="16347138" w:rsidR="00C175E4" w:rsidRPr="00D768EF" w:rsidRDefault="00C175E4" w:rsidP="00C175E4">
      <w:pPr>
        <w:rPr>
          <w:color w:val="000000"/>
          <w:szCs w:val="22"/>
          <w:lang w:val="sr-Latn-ME"/>
        </w:rPr>
      </w:pPr>
    </w:p>
    <w:p w14:paraId="0CCBACEC" w14:textId="05089128" w:rsidR="00C175E4" w:rsidRPr="00D768EF" w:rsidRDefault="00282A1E" w:rsidP="00C175E4">
      <w:pPr>
        <w:rPr>
          <w:bCs/>
          <w:color w:val="000000"/>
          <w:szCs w:val="22"/>
          <w:lang w:val="sr-Latn-ME"/>
        </w:rPr>
      </w:pPr>
      <w:r w:rsidRPr="00D768EF">
        <w:rPr>
          <w:bCs/>
          <w:color w:val="000000"/>
          <w:szCs w:val="22"/>
          <w:lang w:val="sr-Latn-ME"/>
        </w:rPr>
        <w:t>Bezbjedn</w:t>
      </w:r>
      <w:r w:rsidR="00C175E4" w:rsidRPr="00D768EF">
        <w:rPr>
          <w:bCs/>
          <w:color w:val="000000"/>
          <w:szCs w:val="22"/>
          <w:lang w:val="sr-Latn-ME"/>
        </w:rPr>
        <w:t xml:space="preserve">ost i efikasnost </w:t>
      </w:r>
      <w:r w:rsidR="00E25270" w:rsidRPr="00D768EF">
        <w:rPr>
          <w:bCs/>
          <w:color w:val="000000"/>
          <w:szCs w:val="22"/>
          <w:lang w:val="sr-Latn-ME"/>
        </w:rPr>
        <w:t>infliksimaba</w:t>
      </w:r>
      <w:r w:rsidR="00C175E4" w:rsidRPr="00D768EF">
        <w:rPr>
          <w:bCs/>
          <w:color w:val="000000"/>
          <w:szCs w:val="22"/>
          <w:lang w:val="sr-Latn-ME"/>
        </w:rPr>
        <w:t xml:space="preserve"> nisu ispitivan</w:t>
      </w:r>
      <w:r w:rsidR="00555C46" w:rsidRPr="00D768EF">
        <w:rPr>
          <w:bCs/>
          <w:color w:val="000000"/>
          <w:szCs w:val="22"/>
          <w:lang w:val="sr-Latn-ME"/>
        </w:rPr>
        <w:t>e</w:t>
      </w:r>
      <w:r w:rsidR="00C175E4" w:rsidRPr="00D768EF">
        <w:rPr>
          <w:bCs/>
          <w:color w:val="000000"/>
          <w:szCs w:val="22"/>
          <w:lang w:val="sr-Latn-ME"/>
        </w:rPr>
        <w:t xml:space="preserve"> kod d</w:t>
      </w:r>
      <w:r w:rsidR="00220982" w:rsidRPr="00D768EF">
        <w:rPr>
          <w:bCs/>
          <w:color w:val="000000"/>
          <w:szCs w:val="22"/>
          <w:lang w:val="sr-Latn-ME"/>
        </w:rPr>
        <w:t>j</w:t>
      </w:r>
      <w:r w:rsidR="00C175E4" w:rsidRPr="00D768EF">
        <w:rPr>
          <w:bCs/>
          <w:color w:val="000000"/>
          <w:szCs w:val="22"/>
          <w:lang w:val="sr-Latn-ME"/>
        </w:rPr>
        <w:t xml:space="preserve">ece mlađe od 6 godina koja boluju od Kronove bolesti. Trenutno dostupni farmakokinetički podaci opisani su u </w:t>
      </w:r>
      <w:r w:rsidR="00220982" w:rsidRPr="00D768EF">
        <w:rPr>
          <w:bCs/>
          <w:color w:val="000000"/>
          <w:szCs w:val="22"/>
          <w:lang w:val="sr-Latn-ME"/>
        </w:rPr>
        <w:t xml:space="preserve">dijelu </w:t>
      </w:r>
      <w:r w:rsidR="00C175E4" w:rsidRPr="00D768EF">
        <w:rPr>
          <w:bCs/>
          <w:color w:val="000000"/>
          <w:szCs w:val="22"/>
          <w:lang w:val="sr-Latn-ME"/>
        </w:rPr>
        <w:t>5.2, ali se ne mogu dati preporuke za doziranje kod d</w:t>
      </w:r>
      <w:r w:rsidR="00220982" w:rsidRPr="00D768EF">
        <w:rPr>
          <w:bCs/>
          <w:color w:val="000000"/>
          <w:szCs w:val="22"/>
          <w:lang w:val="sr-Latn-ME"/>
        </w:rPr>
        <w:t>j</w:t>
      </w:r>
      <w:r w:rsidR="00C175E4" w:rsidRPr="00D768EF">
        <w:rPr>
          <w:bCs/>
          <w:color w:val="000000"/>
          <w:szCs w:val="22"/>
          <w:lang w:val="sr-Latn-ME"/>
        </w:rPr>
        <w:t>ece mlađe od 6 godina.</w:t>
      </w:r>
    </w:p>
    <w:p w14:paraId="7CB586C3" w14:textId="77777777" w:rsidR="00C175E4" w:rsidRPr="00D768EF" w:rsidRDefault="00C175E4" w:rsidP="00C175E4">
      <w:pPr>
        <w:rPr>
          <w:szCs w:val="22"/>
          <w:lang w:val="sr-Latn-ME"/>
        </w:rPr>
      </w:pPr>
    </w:p>
    <w:p w14:paraId="5AFFED69" w14:textId="0FC19C7A" w:rsidR="00C175E4" w:rsidRPr="00D768EF" w:rsidRDefault="00C175E4" w:rsidP="00C175E4">
      <w:pPr>
        <w:rPr>
          <w:bCs/>
          <w:i/>
          <w:color w:val="000000"/>
          <w:szCs w:val="22"/>
          <w:lang w:val="sr-Latn-ME"/>
        </w:rPr>
      </w:pPr>
      <w:r w:rsidRPr="00D768EF">
        <w:rPr>
          <w:bCs/>
          <w:i/>
          <w:color w:val="000000"/>
          <w:szCs w:val="22"/>
          <w:lang w:val="sr-Latn-ME"/>
        </w:rPr>
        <w:t>Ulcerozni kolitis (6 do 17 godina)</w:t>
      </w:r>
    </w:p>
    <w:p w14:paraId="2743B7AD" w14:textId="7651C361" w:rsidR="00C175E4" w:rsidRPr="00D768EF" w:rsidRDefault="00555C46" w:rsidP="00C175E4">
      <w:pPr>
        <w:rPr>
          <w:color w:val="000000"/>
          <w:szCs w:val="22"/>
          <w:lang w:val="sr-Latn-ME"/>
        </w:rPr>
      </w:pPr>
      <w:r w:rsidRPr="00D768EF">
        <w:rPr>
          <w:color w:val="000000"/>
          <w:szCs w:val="22"/>
          <w:lang w:val="sr-Latn-ME"/>
        </w:rPr>
        <w:t xml:space="preserve">Doza od </w:t>
      </w:r>
      <w:r w:rsidR="00C175E4" w:rsidRPr="00D768EF">
        <w:rPr>
          <w:color w:val="000000"/>
          <w:szCs w:val="22"/>
          <w:lang w:val="sr-Latn-ME"/>
        </w:rPr>
        <w:t xml:space="preserve">5 mg/kg se </w:t>
      </w:r>
      <w:r w:rsidR="00B750A5" w:rsidRPr="00D768EF">
        <w:rPr>
          <w:color w:val="000000"/>
          <w:szCs w:val="22"/>
          <w:lang w:val="sr-Latn-ME"/>
        </w:rPr>
        <w:t>primjenjuje</w:t>
      </w:r>
      <w:r w:rsidR="00C175E4" w:rsidRPr="00D768EF">
        <w:rPr>
          <w:color w:val="000000"/>
          <w:szCs w:val="22"/>
          <w:lang w:val="sr-Latn-ME"/>
        </w:rPr>
        <w:t xml:space="preserve"> u vidu intravenske infuzije, </w:t>
      </w:r>
      <w:r w:rsidRPr="00D768EF">
        <w:rPr>
          <w:color w:val="000000"/>
          <w:szCs w:val="22"/>
          <w:lang w:val="sr-Latn-ME"/>
        </w:rPr>
        <w:t>nakon</w:t>
      </w:r>
      <w:r w:rsidR="00C175E4" w:rsidRPr="00D768EF">
        <w:rPr>
          <w:color w:val="000000"/>
          <w:szCs w:val="22"/>
          <w:lang w:val="sr-Latn-ME"/>
        </w:rPr>
        <w:t xml:space="preserve"> čega </w:t>
      </w:r>
      <w:r w:rsidR="00454E9F" w:rsidRPr="00D768EF">
        <w:rPr>
          <w:color w:val="000000"/>
          <w:szCs w:val="22"/>
          <w:lang w:val="sr-Latn-ME"/>
        </w:rPr>
        <w:t xml:space="preserve">slijede </w:t>
      </w:r>
      <w:r w:rsidR="00C175E4" w:rsidRPr="00D768EF">
        <w:rPr>
          <w:color w:val="000000"/>
          <w:szCs w:val="22"/>
          <w:lang w:val="sr-Latn-ME"/>
        </w:rPr>
        <w:t>dodatne infuzije u dozi od 5 mg/kg, 2. i 6. </w:t>
      </w:r>
      <w:r w:rsidR="00D57936" w:rsidRPr="00D768EF">
        <w:rPr>
          <w:color w:val="000000"/>
          <w:szCs w:val="22"/>
          <w:lang w:val="sr-Latn-ME"/>
        </w:rPr>
        <w:t>nedjelj</w:t>
      </w:r>
      <w:r w:rsidR="00C175E4" w:rsidRPr="00D768EF">
        <w:rPr>
          <w:color w:val="000000"/>
          <w:szCs w:val="22"/>
          <w:lang w:val="sr-Latn-ME"/>
        </w:rPr>
        <w:t>e posl</w:t>
      </w:r>
      <w:r w:rsidR="00A04DB2">
        <w:rPr>
          <w:color w:val="000000"/>
          <w:szCs w:val="22"/>
          <w:lang w:val="sr-Latn-ME"/>
        </w:rPr>
        <w:t>ij</w:t>
      </w:r>
      <w:r w:rsidR="00C175E4" w:rsidRPr="00D768EF">
        <w:rPr>
          <w:color w:val="000000"/>
          <w:szCs w:val="22"/>
          <w:lang w:val="sr-Latn-ME"/>
        </w:rPr>
        <w:t>e prve infuzije, a zatim na</w:t>
      </w:r>
      <w:r w:rsidR="00C175E4" w:rsidRPr="00D768EF">
        <w:rPr>
          <w:szCs w:val="22"/>
          <w:lang w:val="sr-Latn-ME"/>
        </w:rPr>
        <w:t xml:space="preserve"> svakih </w:t>
      </w:r>
      <w:r w:rsidR="00C175E4" w:rsidRPr="00D768EF">
        <w:rPr>
          <w:color w:val="000000"/>
          <w:szCs w:val="22"/>
          <w:lang w:val="sr-Latn-ME"/>
        </w:rPr>
        <w:t xml:space="preserve">8 </w:t>
      </w:r>
      <w:r w:rsidR="00D57936" w:rsidRPr="00D768EF">
        <w:rPr>
          <w:color w:val="000000"/>
          <w:szCs w:val="22"/>
          <w:lang w:val="sr-Latn-ME"/>
        </w:rPr>
        <w:t>nedjelj</w:t>
      </w:r>
      <w:r w:rsidR="00C175E4" w:rsidRPr="00D768EF">
        <w:rPr>
          <w:color w:val="000000"/>
          <w:szCs w:val="22"/>
          <w:lang w:val="sr-Latn-ME"/>
        </w:rPr>
        <w:t xml:space="preserve">a. Dostupni podaci ne podržavaju dalje </w:t>
      </w:r>
      <w:r w:rsidR="00D57936" w:rsidRPr="00D768EF">
        <w:rPr>
          <w:color w:val="000000"/>
          <w:szCs w:val="22"/>
          <w:lang w:val="sr-Latn-ME"/>
        </w:rPr>
        <w:t>liječe</w:t>
      </w:r>
      <w:r w:rsidR="00C175E4" w:rsidRPr="00D768EF">
        <w:rPr>
          <w:color w:val="000000"/>
          <w:szCs w:val="22"/>
          <w:lang w:val="sr-Latn-ME"/>
        </w:rPr>
        <w:t xml:space="preserve">nje infliksimabom kod pedijatrijskih pacijenata koji nisu odgovorili na terapiju u toku prvih 8 </w:t>
      </w:r>
      <w:r w:rsidR="00D57936" w:rsidRPr="00D768EF">
        <w:rPr>
          <w:color w:val="000000"/>
          <w:szCs w:val="22"/>
          <w:lang w:val="sr-Latn-ME"/>
        </w:rPr>
        <w:t>nedjelj</w:t>
      </w:r>
      <w:r w:rsidR="00C175E4" w:rsidRPr="00D768EF">
        <w:rPr>
          <w:color w:val="000000"/>
          <w:szCs w:val="22"/>
          <w:lang w:val="sr-Latn-ME"/>
        </w:rPr>
        <w:t xml:space="preserve">a </w:t>
      </w:r>
      <w:r w:rsidR="00D57936" w:rsidRPr="00D768EF">
        <w:rPr>
          <w:color w:val="000000"/>
          <w:szCs w:val="22"/>
          <w:lang w:val="sr-Latn-ME"/>
        </w:rPr>
        <w:t>liječe</w:t>
      </w:r>
      <w:r w:rsidR="00C175E4" w:rsidRPr="00D768EF">
        <w:rPr>
          <w:color w:val="000000"/>
          <w:szCs w:val="22"/>
          <w:lang w:val="sr-Latn-ME"/>
        </w:rPr>
        <w:t>nja (</w:t>
      </w:r>
      <w:r w:rsidR="00282A1E" w:rsidRPr="00D768EF">
        <w:rPr>
          <w:color w:val="000000"/>
          <w:szCs w:val="22"/>
          <w:lang w:val="sr-Latn-ME"/>
        </w:rPr>
        <w:t>vidjeti</w:t>
      </w:r>
      <w:r w:rsidR="00C175E4" w:rsidRPr="00D768EF">
        <w:rPr>
          <w:color w:val="000000"/>
          <w:szCs w:val="22"/>
          <w:lang w:val="sr-Latn-ME"/>
        </w:rPr>
        <w:t xml:space="preserve"> </w:t>
      </w:r>
      <w:r w:rsidR="00454E9F" w:rsidRPr="00D768EF">
        <w:rPr>
          <w:color w:val="000000"/>
          <w:szCs w:val="22"/>
          <w:lang w:val="sr-Latn-ME"/>
        </w:rPr>
        <w:t>dio</w:t>
      </w:r>
      <w:r w:rsidR="00C175E4" w:rsidRPr="00D768EF">
        <w:rPr>
          <w:color w:val="000000"/>
          <w:szCs w:val="22"/>
          <w:lang w:val="sr-Latn-ME"/>
        </w:rPr>
        <w:t xml:space="preserve"> 5.1).</w:t>
      </w:r>
    </w:p>
    <w:p w14:paraId="6BEA3C37" w14:textId="77777777" w:rsidR="00C175E4" w:rsidRPr="00D768EF" w:rsidRDefault="00C175E4" w:rsidP="00C175E4">
      <w:pPr>
        <w:rPr>
          <w:color w:val="000000"/>
          <w:szCs w:val="22"/>
          <w:lang w:val="sr-Latn-ME"/>
        </w:rPr>
      </w:pPr>
    </w:p>
    <w:p w14:paraId="1414F80E" w14:textId="0C365E26" w:rsidR="00C175E4" w:rsidRPr="00D768EF" w:rsidRDefault="00282A1E" w:rsidP="00C175E4">
      <w:pPr>
        <w:rPr>
          <w:szCs w:val="22"/>
          <w:lang w:val="sr-Latn-ME"/>
        </w:rPr>
      </w:pPr>
      <w:r w:rsidRPr="00D768EF">
        <w:rPr>
          <w:bCs/>
          <w:color w:val="000000"/>
          <w:szCs w:val="22"/>
          <w:lang w:val="sr-Latn-ME"/>
        </w:rPr>
        <w:t>Bezbjedn</w:t>
      </w:r>
      <w:r w:rsidR="00C175E4" w:rsidRPr="00D768EF">
        <w:rPr>
          <w:bCs/>
          <w:color w:val="000000"/>
          <w:szCs w:val="22"/>
          <w:lang w:val="sr-Latn-ME"/>
        </w:rPr>
        <w:t xml:space="preserve">ost i efikasnost </w:t>
      </w:r>
      <w:r w:rsidR="00E25270" w:rsidRPr="00D768EF">
        <w:rPr>
          <w:bCs/>
          <w:color w:val="000000"/>
          <w:szCs w:val="22"/>
          <w:lang w:val="sr-Latn-ME"/>
        </w:rPr>
        <w:t>infliksimaba</w:t>
      </w:r>
      <w:r w:rsidR="00C175E4" w:rsidRPr="00D768EF">
        <w:rPr>
          <w:bCs/>
          <w:color w:val="000000"/>
          <w:szCs w:val="22"/>
          <w:lang w:val="sr-Latn-ME"/>
        </w:rPr>
        <w:t xml:space="preserve"> nisu ispitivani kod d</w:t>
      </w:r>
      <w:r w:rsidR="00220982" w:rsidRPr="00D768EF">
        <w:rPr>
          <w:bCs/>
          <w:color w:val="000000"/>
          <w:szCs w:val="22"/>
          <w:lang w:val="sr-Latn-ME"/>
        </w:rPr>
        <w:t>j</w:t>
      </w:r>
      <w:r w:rsidR="00C175E4" w:rsidRPr="00D768EF">
        <w:rPr>
          <w:bCs/>
          <w:color w:val="000000"/>
          <w:szCs w:val="22"/>
          <w:lang w:val="sr-Latn-ME"/>
        </w:rPr>
        <w:t xml:space="preserve">ece mlađe od 6 godina koja boluju od ulceroznog kolitisa. Trenutno dostupni farmakokinetički podaci opisani su u </w:t>
      </w:r>
      <w:r w:rsidR="00220982" w:rsidRPr="00D768EF">
        <w:rPr>
          <w:bCs/>
          <w:color w:val="000000"/>
          <w:szCs w:val="22"/>
          <w:lang w:val="sr-Latn-ME"/>
        </w:rPr>
        <w:t xml:space="preserve">dijelu </w:t>
      </w:r>
      <w:r w:rsidR="00C175E4" w:rsidRPr="00D768EF">
        <w:rPr>
          <w:bCs/>
          <w:color w:val="000000"/>
          <w:szCs w:val="22"/>
          <w:lang w:val="sr-Latn-ME"/>
        </w:rPr>
        <w:t>5.2, ali se ne mogu dati preporuke za doziranje kod d</w:t>
      </w:r>
      <w:r w:rsidR="00220982" w:rsidRPr="00D768EF">
        <w:rPr>
          <w:bCs/>
          <w:color w:val="000000"/>
          <w:szCs w:val="22"/>
          <w:lang w:val="sr-Latn-ME"/>
        </w:rPr>
        <w:t>j</w:t>
      </w:r>
      <w:r w:rsidR="00C175E4" w:rsidRPr="00D768EF">
        <w:rPr>
          <w:bCs/>
          <w:color w:val="000000"/>
          <w:szCs w:val="22"/>
          <w:lang w:val="sr-Latn-ME"/>
        </w:rPr>
        <w:t>ece mlađe od 6 godina.</w:t>
      </w:r>
    </w:p>
    <w:p w14:paraId="037CDE1F" w14:textId="77777777" w:rsidR="00C175E4" w:rsidRPr="00D768EF" w:rsidRDefault="00C175E4" w:rsidP="00C175E4">
      <w:pPr>
        <w:rPr>
          <w:szCs w:val="22"/>
          <w:lang w:val="sr-Latn-ME"/>
        </w:rPr>
      </w:pPr>
    </w:p>
    <w:p w14:paraId="6862051B" w14:textId="77777777" w:rsidR="00C175E4" w:rsidRPr="00D768EF" w:rsidRDefault="00C175E4" w:rsidP="00C175E4">
      <w:pPr>
        <w:rPr>
          <w:bCs/>
          <w:i/>
          <w:color w:val="000000"/>
          <w:szCs w:val="22"/>
          <w:lang w:val="sr-Latn-ME"/>
        </w:rPr>
      </w:pPr>
      <w:r w:rsidRPr="00D768EF">
        <w:rPr>
          <w:bCs/>
          <w:i/>
          <w:color w:val="000000"/>
          <w:szCs w:val="22"/>
          <w:lang w:val="sr-Latn-ME"/>
        </w:rPr>
        <w:t>Psorijaza</w:t>
      </w:r>
    </w:p>
    <w:p w14:paraId="136ABF58" w14:textId="5915359B" w:rsidR="00C175E4" w:rsidRPr="00D768EF" w:rsidRDefault="00282A1E" w:rsidP="00C175E4">
      <w:pPr>
        <w:rPr>
          <w:bCs/>
          <w:color w:val="000000"/>
          <w:szCs w:val="22"/>
          <w:u w:val="single"/>
          <w:lang w:val="sr-Latn-ME"/>
        </w:rPr>
      </w:pPr>
      <w:r w:rsidRPr="00D768EF">
        <w:rPr>
          <w:bCs/>
          <w:color w:val="000000"/>
          <w:szCs w:val="22"/>
          <w:lang w:val="sr-Latn-ME"/>
        </w:rPr>
        <w:t>Bezbjedn</w:t>
      </w:r>
      <w:r w:rsidR="00220982" w:rsidRPr="00D768EF">
        <w:rPr>
          <w:bCs/>
          <w:color w:val="000000"/>
          <w:szCs w:val="22"/>
          <w:lang w:val="sr-Latn-ME"/>
        </w:rPr>
        <w:t>o</w:t>
      </w:r>
      <w:r w:rsidR="00C175E4" w:rsidRPr="00D768EF">
        <w:rPr>
          <w:bCs/>
          <w:color w:val="000000"/>
          <w:szCs w:val="22"/>
          <w:lang w:val="sr-Latn-ME"/>
        </w:rPr>
        <w:t xml:space="preserve">st i efikasnost </w:t>
      </w:r>
      <w:r w:rsidR="00E25270" w:rsidRPr="00D768EF">
        <w:rPr>
          <w:bCs/>
          <w:color w:val="000000"/>
          <w:szCs w:val="22"/>
          <w:lang w:val="sr-Latn-ME"/>
        </w:rPr>
        <w:t>infliksimaba</w:t>
      </w:r>
      <w:r w:rsidR="00C175E4" w:rsidRPr="00D768EF">
        <w:rPr>
          <w:bCs/>
          <w:color w:val="000000"/>
          <w:szCs w:val="22"/>
          <w:lang w:val="sr-Latn-ME"/>
        </w:rPr>
        <w:t xml:space="preserve"> nisu utvrđen</w:t>
      </w:r>
      <w:r w:rsidR="00555C46" w:rsidRPr="00D768EF">
        <w:rPr>
          <w:bCs/>
          <w:color w:val="000000"/>
          <w:szCs w:val="22"/>
          <w:lang w:val="sr-Latn-ME"/>
        </w:rPr>
        <w:t>e</w:t>
      </w:r>
      <w:r w:rsidR="00C175E4" w:rsidRPr="00D768EF">
        <w:rPr>
          <w:bCs/>
          <w:color w:val="000000"/>
          <w:szCs w:val="22"/>
          <w:lang w:val="sr-Latn-ME"/>
        </w:rPr>
        <w:t xml:space="preserve"> kod </w:t>
      </w:r>
      <w:r w:rsidR="00220982" w:rsidRPr="00D768EF">
        <w:rPr>
          <w:bCs/>
          <w:color w:val="000000"/>
          <w:szCs w:val="22"/>
          <w:lang w:val="sr-Latn-ME"/>
        </w:rPr>
        <w:t>djece</w:t>
      </w:r>
      <w:r w:rsidR="00C175E4" w:rsidRPr="00D768EF">
        <w:rPr>
          <w:bCs/>
          <w:color w:val="000000"/>
          <w:szCs w:val="22"/>
          <w:lang w:val="sr-Latn-ME"/>
        </w:rPr>
        <w:t xml:space="preserve"> i adolescenata mlađih od 18 godina koji boluju od psorijaze. Trenutno dostupni podaci su opisani u </w:t>
      </w:r>
      <w:r w:rsidR="00220982" w:rsidRPr="00D768EF">
        <w:rPr>
          <w:bCs/>
          <w:color w:val="000000"/>
          <w:szCs w:val="22"/>
          <w:lang w:val="sr-Latn-ME"/>
        </w:rPr>
        <w:t>dijelu</w:t>
      </w:r>
      <w:r w:rsidR="00C175E4" w:rsidRPr="00D768EF">
        <w:rPr>
          <w:bCs/>
          <w:color w:val="000000"/>
          <w:szCs w:val="22"/>
          <w:lang w:val="sr-Latn-ME"/>
        </w:rPr>
        <w:t xml:space="preserve"> 5.2, ali ne mogu se dati preporuke za doziranje.</w:t>
      </w:r>
    </w:p>
    <w:p w14:paraId="013B40FB" w14:textId="77777777" w:rsidR="00C175E4" w:rsidRPr="00D768EF" w:rsidRDefault="00C175E4" w:rsidP="00C175E4">
      <w:pPr>
        <w:rPr>
          <w:szCs w:val="22"/>
          <w:lang w:val="sr-Latn-ME"/>
        </w:rPr>
      </w:pPr>
    </w:p>
    <w:p w14:paraId="59387E87" w14:textId="77777777" w:rsidR="00C175E4" w:rsidRPr="00D768EF" w:rsidRDefault="00C175E4" w:rsidP="00C175E4">
      <w:pPr>
        <w:rPr>
          <w:bCs/>
          <w:i/>
          <w:color w:val="000000"/>
          <w:szCs w:val="22"/>
          <w:lang w:val="sr-Latn-ME"/>
        </w:rPr>
      </w:pPr>
      <w:r w:rsidRPr="00D768EF">
        <w:rPr>
          <w:bCs/>
          <w:i/>
          <w:color w:val="000000"/>
          <w:szCs w:val="22"/>
          <w:lang w:val="sr-Latn-ME"/>
        </w:rPr>
        <w:lastRenderedPageBreak/>
        <w:t>Juvenilni idiopatski artritis, psorijatični artritis i ankilozirajući spondilitis</w:t>
      </w:r>
    </w:p>
    <w:p w14:paraId="675AD45D" w14:textId="7A06C0C8" w:rsidR="00C175E4" w:rsidRPr="00D768EF" w:rsidRDefault="00282A1E" w:rsidP="00C175E4">
      <w:pPr>
        <w:rPr>
          <w:bCs/>
          <w:color w:val="000000"/>
          <w:szCs w:val="22"/>
          <w:lang w:val="sr-Latn-ME"/>
        </w:rPr>
      </w:pPr>
      <w:r w:rsidRPr="00D768EF">
        <w:rPr>
          <w:bCs/>
          <w:color w:val="000000"/>
          <w:szCs w:val="22"/>
          <w:lang w:val="sr-Latn-ME"/>
        </w:rPr>
        <w:t>Bezbjedn</w:t>
      </w:r>
      <w:r w:rsidR="00220982" w:rsidRPr="00D768EF">
        <w:rPr>
          <w:bCs/>
          <w:color w:val="000000"/>
          <w:szCs w:val="22"/>
          <w:lang w:val="sr-Latn-ME"/>
        </w:rPr>
        <w:t>o</w:t>
      </w:r>
      <w:r w:rsidR="00C175E4" w:rsidRPr="00D768EF">
        <w:rPr>
          <w:bCs/>
          <w:color w:val="000000"/>
          <w:szCs w:val="22"/>
          <w:lang w:val="sr-Latn-ME"/>
        </w:rPr>
        <w:t xml:space="preserve">st i efikasnost </w:t>
      </w:r>
      <w:r w:rsidR="00E25270" w:rsidRPr="00D768EF">
        <w:rPr>
          <w:bCs/>
          <w:color w:val="000000"/>
          <w:szCs w:val="22"/>
          <w:lang w:val="sr-Latn-ME"/>
        </w:rPr>
        <w:t>infliksimaba</w:t>
      </w:r>
      <w:r w:rsidR="00C175E4" w:rsidRPr="00D768EF">
        <w:rPr>
          <w:bCs/>
          <w:color w:val="000000"/>
          <w:szCs w:val="22"/>
          <w:lang w:val="sr-Latn-ME"/>
        </w:rPr>
        <w:t xml:space="preserve"> nisu utvrđen</w:t>
      </w:r>
      <w:r w:rsidR="006A6292" w:rsidRPr="00D768EF">
        <w:rPr>
          <w:bCs/>
          <w:color w:val="000000"/>
          <w:szCs w:val="22"/>
          <w:lang w:val="sr-Latn-ME"/>
        </w:rPr>
        <w:t>e</w:t>
      </w:r>
      <w:r w:rsidR="00C175E4" w:rsidRPr="00D768EF">
        <w:rPr>
          <w:bCs/>
          <w:color w:val="000000"/>
          <w:szCs w:val="22"/>
          <w:lang w:val="sr-Latn-ME"/>
        </w:rPr>
        <w:t xml:space="preserve"> kod </w:t>
      </w:r>
      <w:r w:rsidR="00220982" w:rsidRPr="00D768EF">
        <w:rPr>
          <w:bCs/>
          <w:color w:val="000000"/>
          <w:szCs w:val="22"/>
          <w:lang w:val="sr-Latn-ME"/>
        </w:rPr>
        <w:t>djece</w:t>
      </w:r>
      <w:r w:rsidR="00C175E4" w:rsidRPr="00D768EF">
        <w:rPr>
          <w:bCs/>
          <w:color w:val="000000"/>
          <w:szCs w:val="22"/>
          <w:lang w:val="sr-Latn-ME"/>
        </w:rPr>
        <w:t xml:space="preserve"> i adolescenata mlađih od 18 godina </w:t>
      </w:r>
      <w:r w:rsidR="006A6292" w:rsidRPr="00D768EF">
        <w:rPr>
          <w:bCs/>
          <w:color w:val="000000"/>
          <w:szCs w:val="22"/>
          <w:lang w:val="sr-Latn-ME"/>
        </w:rPr>
        <w:t>za indikacije</w:t>
      </w:r>
      <w:r w:rsidR="00C175E4" w:rsidRPr="00D768EF">
        <w:rPr>
          <w:bCs/>
          <w:color w:val="000000"/>
          <w:szCs w:val="22"/>
          <w:lang w:val="sr-Latn-ME"/>
        </w:rPr>
        <w:t xml:space="preserve"> juvenilnog idiopatskog artritisa, psorijatičnog artritisa i ankilozirajućeg spondilitisa. Trenutno dostupni podaci su opisani u </w:t>
      </w:r>
      <w:r w:rsidR="00220982" w:rsidRPr="00D768EF">
        <w:rPr>
          <w:bCs/>
          <w:color w:val="000000"/>
          <w:szCs w:val="22"/>
          <w:lang w:val="sr-Latn-ME"/>
        </w:rPr>
        <w:t>dijelu</w:t>
      </w:r>
      <w:r w:rsidR="00C175E4" w:rsidRPr="00D768EF">
        <w:rPr>
          <w:bCs/>
          <w:color w:val="000000"/>
          <w:szCs w:val="22"/>
          <w:lang w:val="sr-Latn-ME"/>
        </w:rPr>
        <w:t xml:space="preserve"> 5.2, ali se ne mogu dati preporuke za doziranje. </w:t>
      </w:r>
    </w:p>
    <w:p w14:paraId="2291D87E" w14:textId="77777777" w:rsidR="00C175E4" w:rsidRPr="00D768EF" w:rsidRDefault="00C175E4" w:rsidP="00C175E4">
      <w:pPr>
        <w:rPr>
          <w:bCs/>
          <w:color w:val="000000"/>
          <w:szCs w:val="22"/>
          <w:lang w:val="sr-Latn-ME"/>
        </w:rPr>
      </w:pPr>
    </w:p>
    <w:p w14:paraId="502B120B" w14:textId="77777777" w:rsidR="00C175E4" w:rsidRPr="00D768EF" w:rsidRDefault="00C175E4" w:rsidP="00C175E4">
      <w:pPr>
        <w:rPr>
          <w:bCs/>
          <w:i/>
          <w:color w:val="000000"/>
          <w:szCs w:val="22"/>
          <w:lang w:val="sr-Latn-ME"/>
        </w:rPr>
      </w:pPr>
      <w:r w:rsidRPr="00D768EF">
        <w:rPr>
          <w:bCs/>
          <w:i/>
          <w:color w:val="000000"/>
          <w:szCs w:val="22"/>
          <w:lang w:val="sr-Latn-ME"/>
        </w:rPr>
        <w:t>Juvenilni reumatoidni artritis</w:t>
      </w:r>
    </w:p>
    <w:p w14:paraId="1F6019A6" w14:textId="6BA8D418" w:rsidR="00C175E4" w:rsidRPr="00D768EF" w:rsidRDefault="00282A1E" w:rsidP="00C175E4">
      <w:pPr>
        <w:rPr>
          <w:bCs/>
          <w:color w:val="000000"/>
          <w:szCs w:val="22"/>
          <w:lang w:val="sr-Latn-ME"/>
        </w:rPr>
      </w:pPr>
      <w:r w:rsidRPr="00D768EF">
        <w:rPr>
          <w:bCs/>
          <w:color w:val="000000"/>
          <w:szCs w:val="22"/>
          <w:lang w:val="sr-Latn-ME"/>
        </w:rPr>
        <w:t>Bezbjedn</w:t>
      </w:r>
      <w:r w:rsidR="00220982" w:rsidRPr="00D768EF">
        <w:rPr>
          <w:bCs/>
          <w:color w:val="000000"/>
          <w:szCs w:val="22"/>
          <w:lang w:val="sr-Latn-ME"/>
        </w:rPr>
        <w:t>o</w:t>
      </w:r>
      <w:r w:rsidR="00C175E4" w:rsidRPr="00D768EF">
        <w:rPr>
          <w:bCs/>
          <w:color w:val="000000"/>
          <w:szCs w:val="22"/>
          <w:lang w:val="sr-Latn-ME"/>
        </w:rPr>
        <w:t xml:space="preserve">st i efikasnost </w:t>
      </w:r>
      <w:r w:rsidR="00E25270" w:rsidRPr="00D768EF">
        <w:rPr>
          <w:bCs/>
          <w:color w:val="000000"/>
          <w:szCs w:val="22"/>
          <w:lang w:val="sr-Latn-ME"/>
        </w:rPr>
        <w:t>infliksimaba</w:t>
      </w:r>
      <w:r w:rsidR="00C175E4" w:rsidRPr="00D768EF">
        <w:rPr>
          <w:bCs/>
          <w:color w:val="000000"/>
          <w:szCs w:val="22"/>
          <w:lang w:val="sr-Latn-ME"/>
        </w:rPr>
        <w:t xml:space="preserve"> nisu utvrđen</w:t>
      </w:r>
      <w:r w:rsidR="006A6292" w:rsidRPr="00D768EF">
        <w:rPr>
          <w:bCs/>
          <w:color w:val="000000"/>
          <w:szCs w:val="22"/>
          <w:lang w:val="sr-Latn-ME"/>
        </w:rPr>
        <w:t>e</w:t>
      </w:r>
      <w:r w:rsidR="00C175E4" w:rsidRPr="00D768EF">
        <w:rPr>
          <w:bCs/>
          <w:color w:val="000000"/>
          <w:szCs w:val="22"/>
          <w:lang w:val="sr-Latn-ME"/>
        </w:rPr>
        <w:t xml:space="preserve"> kod </w:t>
      </w:r>
      <w:r w:rsidR="00220982" w:rsidRPr="00D768EF">
        <w:rPr>
          <w:bCs/>
          <w:color w:val="000000"/>
          <w:szCs w:val="22"/>
          <w:lang w:val="sr-Latn-ME"/>
        </w:rPr>
        <w:t>djece</w:t>
      </w:r>
      <w:r w:rsidR="00C175E4" w:rsidRPr="00D768EF">
        <w:rPr>
          <w:bCs/>
          <w:color w:val="000000"/>
          <w:szCs w:val="22"/>
          <w:lang w:val="sr-Latn-ME"/>
        </w:rPr>
        <w:t xml:space="preserve"> i adolescenata mlađih od 18 godina </w:t>
      </w:r>
      <w:r w:rsidR="006A6292" w:rsidRPr="00D768EF">
        <w:rPr>
          <w:bCs/>
          <w:color w:val="000000"/>
          <w:szCs w:val="22"/>
          <w:lang w:val="sr-Latn-ME"/>
        </w:rPr>
        <w:t>za indikaciju</w:t>
      </w:r>
      <w:r w:rsidR="00C175E4" w:rsidRPr="00D768EF">
        <w:rPr>
          <w:bCs/>
          <w:color w:val="000000"/>
          <w:szCs w:val="22"/>
          <w:lang w:val="sr-Latn-ME"/>
        </w:rPr>
        <w:t xml:space="preserve"> juvenilnog reumatoidnog artritisa. Trenutno dostupni podaci su opisani u </w:t>
      </w:r>
      <w:r w:rsidR="007F5E3F">
        <w:rPr>
          <w:bCs/>
          <w:color w:val="000000"/>
          <w:szCs w:val="22"/>
          <w:lang w:val="sr-Latn-ME"/>
        </w:rPr>
        <w:t>djelovima</w:t>
      </w:r>
      <w:r w:rsidR="007F5E3F" w:rsidRPr="00D768EF">
        <w:rPr>
          <w:bCs/>
          <w:color w:val="000000"/>
          <w:szCs w:val="22"/>
          <w:lang w:val="sr-Latn-ME"/>
        </w:rPr>
        <w:t xml:space="preserve"> </w:t>
      </w:r>
      <w:r w:rsidR="00C175E4" w:rsidRPr="00D768EF">
        <w:rPr>
          <w:bCs/>
          <w:color w:val="000000"/>
          <w:szCs w:val="22"/>
          <w:lang w:val="sr-Latn-ME"/>
        </w:rPr>
        <w:t>4.8 i 5.2, ali se ne mogu dati preporuke za doziranje.</w:t>
      </w:r>
    </w:p>
    <w:p w14:paraId="44C4AD20" w14:textId="77777777" w:rsidR="00C175E4" w:rsidRPr="00D768EF" w:rsidRDefault="00C175E4" w:rsidP="00C175E4">
      <w:pPr>
        <w:pStyle w:val="Heading8"/>
        <w:spacing w:before="0" w:after="0"/>
        <w:rPr>
          <w:iCs w:val="0"/>
          <w:sz w:val="22"/>
          <w:szCs w:val="22"/>
          <w:lang w:val="sr-Latn-ME" w:eastAsia="en-US"/>
        </w:rPr>
      </w:pPr>
    </w:p>
    <w:p w14:paraId="48328AD4" w14:textId="77777777" w:rsidR="00C175E4" w:rsidRPr="00D768EF" w:rsidRDefault="00C175E4" w:rsidP="00C175E4">
      <w:pPr>
        <w:rPr>
          <w:bCs/>
          <w:color w:val="000000"/>
          <w:szCs w:val="22"/>
          <w:u w:val="single"/>
          <w:lang w:val="sr-Latn-ME"/>
        </w:rPr>
      </w:pPr>
      <w:r w:rsidRPr="00D768EF">
        <w:rPr>
          <w:bCs/>
          <w:color w:val="000000"/>
          <w:szCs w:val="22"/>
          <w:u w:val="single"/>
          <w:lang w:val="sr-Latn-ME"/>
        </w:rPr>
        <w:t>Način prim</w:t>
      </w:r>
      <w:r w:rsidR="00220982" w:rsidRPr="00D768EF">
        <w:rPr>
          <w:bCs/>
          <w:color w:val="000000"/>
          <w:szCs w:val="22"/>
          <w:u w:val="single"/>
          <w:lang w:val="sr-Latn-ME"/>
        </w:rPr>
        <w:t>j</w:t>
      </w:r>
      <w:r w:rsidRPr="00D768EF">
        <w:rPr>
          <w:bCs/>
          <w:color w:val="000000"/>
          <w:szCs w:val="22"/>
          <w:u w:val="single"/>
          <w:lang w:val="sr-Latn-ME"/>
        </w:rPr>
        <w:t>ene</w:t>
      </w:r>
    </w:p>
    <w:p w14:paraId="5604B790" w14:textId="0E347378" w:rsidR="0048207C" w:rsidRPr="00D768EF" w:rsidRDefault="0048207C" w:rsidP="00C175E4">
      <w:pPr>
        <w:rPr>
          <w:bCs/>
          <w:color w:val="000000"/>
          <w:szCs w:val="22"/>
          <w:u w:val="single"/>
          <w:lang w:val="sr-Latn-ME"/>
        </w:rPr>
      </w:pPr>
    </w:p>
    <w:p w14:paraId="0E02F345" w14:textId="3E8EA7CD" w:rsidR="00C175E4" w:rsidRPr="00D768EF" w:rsidRDefault="00E25270" w:rsidP="00C175E4">
      <w:pPr>
        <w:rPr>
          <w:color w:val="000000"/>
          <w:szCs w:val="22"/>
          <w:lang w:val="sr-Latn-ME"/>
        </w:rPr>
      </w:pPr>
      <w:r w:rsidRPr="00D768EF">
        <w:rPr>
          <w:bCs/>
          <w:color w:val="000000"/>
          <w:szCs w:val="22"/>
          <w:lang w:val="sr-Latn-ME"/>
        </w:rPr>
        <w:t>Infliksimab</w:t>
      </w:r>
      <w:r w:rsidR="00C175E4" w:rsidRPr="00D768EF">
        <w:rPr>
          <w:bCs/>
          <w:color w:val="000000"/>
          <w:szCs w:val="22"/>
          <w:lang w:val="sr-Latn-ME"/>
        </w:rPr>
        <w:t xml:space="preserve"> </w:t>
      </w:r>
      <w:r w:rsidR="00C175E4" w:rsidRPr="00D768EF">
        <w:rPr>
          <w:color w:val="000000"/>
          <w:szCs w:val="22"/>
          <w:lang w:val="sr-Latn-ME"/>
        </w:rPr>
        <w:t xml:space="preserve">treba da se </w:t>
      </w:r>
      <w:r w:rsidR="00D57936" w:rsidRPr="00D768EF">
        <w:rPr>
          <w:color w:val="000000"/>
          <w:szCs w:val="22"/>
          <w:lang w:val="sr-Latn-ME"/>
        </w:rPr>
        <w:t>primjenju</w:t>
      </w:r>
      <w:r w:rsidR="00C175E4" w:rsidRPr="00D768EF">
        <w:rPr>
          <w:color w:val="000000"/>
          <w:szCs w:val="22"/>
          <w:lang w:val="sr-Latn-ME"/>
        </w:rPr>
        <w:t xml:space="preserve">je intravenski tokom 2 </w:t>
      </w:r>
      <w:r w:rsidR="002B515F" w:rsidRPr="00D768EF">
        <w:rPr>
          <w:color w:val="000000"/>
          <w:szCs w:val="22"/>
          <w:lang w:val="sr-Latn-ME"/>
        </w:rPr>
        <w:t>sat</w:t>
      </w:r>
      <w:r w:rsidR="00C175E4" w:rsidRPr="00D768EF">
        <w:rPr>
          <w:color w:val="000000"/>
          <w:szCs w:val="22"/>
          <w:lang w:val="sr-Latn-ME"/>
        </w:rPr>
        <w:t xml:space="preserve">a. Svi pacijenti koji primaju </w:t>
      </w:r>
      <w:r w:rsidR="00CE181C" w:rsidRPr="00D768EF">
        <w:rPr>
          <w:bCs/>
          <w:color w:val="000000"/>
          <w:szCs w:val="22"/>
          <w:lang w:val="sr-Latn-ME"/>
        </w:rPr>
        <w:t>infliksimab</w:t>
      </w:r>
      <w:r w:rsidR="00C175E4" w:rsidRPr="00D768EF">
        <w:rPr>
          <w:bCs/>
          <w:color w:val="000000"/>
          <w:szCs w:val="22"/>
          <w:lang w:val="sr-Latn-ME"/>
        </w:rPr>
        <w:t xml:space="preserve"> </w:t>
      </w:r>
      <w:r w:rsidR="00C175E4" w:rsidRPr="00D768EF">
        <w:rPr>
          <w:color w:val="000000"/>
          <w:szCs w:val="22"/>
          <w:lang w:val="sr-Latn-ME"/>
        </w:rPr>
        <w:t>moraju da budu pod nadzorom najmanje 1-2 sata posl</w:t>
      </w:r>
      <w:r w:rsidR="00A04DB2">
        <w:rPr>
          <w:color w:val="000000"/>
          <w:szCs w:val="22"/>
          <w:lang w:val="sr-Latn-ME"/>
        </w:rPr>
        <w:t>ij</w:t>
      </w:r>
      <w:r w:rsidR="00C175E4" w:rsidRPr="00D768EF">
        <w:rPr>
          <w:color w:val="000000"/>
          <w:szCs w:val="22"/>
          <w:lang w:val="sr-Latn-ME"/>
        </w:rPr>
        <w:t>e infuzije zbog akutnih neželjenih reakcija vezanih za prim</w:t>
      </w:r>
      <w:r w:rsidR="00220982" w:rsidRPr="00D768EF">
        <w:rPr>
          <w:color w:val="000000"/>
          <w:szCs w:val="22"/>
          <w:lang w:val="sr-Latn-ME"/>
        </w:rPr>
        <w:t>j</w:t>
      </w:r>
      <w:r w:rsidR="00C175E4" w:rsidRPr="00D768EF">
        <w:rPr>
          <w:color w:val="000000"/>
          <w:szCs w:val="22"/>
          <w:lang w:val="sr-Latn-ME"/>
        </w:rPr>
        <w:t>enu infuzije. Oprema za hitne slučajeve, kao što su adrenalin, antihistaminici, kortikosteriodi i oprema za v</w:t>
      </w:r>
      <w:r w:rsidR="00220982" w:rsidRPr="00D768EF">
        <w:rPr>
          <w:color w:val="000000"/>
          <w:szCs w:val="22"/>
          <w:lang w:val="sr-Latn-ME"/>
        </w:rPr>
        <w:t>j</w:t>
      </w:r>
      <w:r w:rsidR="00C175E4" w:rsidRPr="00D768EF">
        <w:rPr>
          <w:color w:val="000000"/>
          <w:szCs w:val="22"/>
          <w:lang w:val="sr-Latn-ME"/>
        </w:rPr>
        <w:t>eštačko disanje, mora biti dostupna. Pacijenti pr</w:t>
      </w:r>
      <w:r w:rsidR="00220982" w:rsidRPr="00D768EF">
        <w:rPr>
          <w:color w:val="000000"/>
          <w:szCs w:val="22"/>
          <w:lang w:val="sr-Latn-ME"/>
        </w:rPr>
        <w:t>ij</w:t>
      </w:r>
      <w:r w:rsidR="00C175E4" w:rsidRPr="00D768EF">
        <w:rPr>
          <w:color w:val="000000"/>
          <w:szCs w:val="22"/>
          <w:lang w:val="sr-Latn-ME"/>
        </w:rPr>
        <w:t>e infuzije mo</w:t>
      </w:r>
      <w:r w:rsidR="006A6292" w:rsidRPr="00D768EF">
        <w:rPr>
          <w:color w:val="000000"/>
          <w:szCs w:val="22"/>
          <w:lang w:val="sr-Latn-ME"/>
        </w:rPr>
        <w:t>gu</w:t>
      </w:r>
      <w:r w:rsidR="00C175E4" w:rsidRPr="00D768EF">
        <w:rPr>
          <w:color w:val="000000"/>
          <w:szCs w:val="22"/>
          <w:lang w:val="sr-Latn-ME"/>
        </w:rPr>
        <w:t xml:space="preserve"> da</w:t>
      </w:r>
      <w:r w:rsidR="006A6292" w:rsidRPr="00D768EF">
        <w:rPr>
          <w:color w:val="000000"/>
          <w:szCs w:val="22"/>
          <w:lang w:val="sr-Latn-ME"/>
        </w:rPr>
        <w:t xml:space="preserve"> prime</w:t>
      </w:r>
      <w:r w:rsidR="00C175E4" w:rsidRPr="00D768EF">
        <w:rPr>
          <w:color w:val="000000"/>
          <w:szCs w:val="22"/>
          <w:lang w:val="sr-Latn-ME"/>
        </w:rPr>
        <w:t xml:space="preserve"> npr. antihistaminik, hidrokortizon i/ili paracetamol, i brzina infuzije se može usporiti kako bi se smanjio rizik od reakcija vezanih za infuziju, naročito ako su se već ranije javljale neželjene reakcije vezane za infuziju (</w:t>
      </w:r>
      <w:r w:rsidR="00282A1E" w:rsidRPr="00D768EF">
        <w:rPr>
          <w:color w:val="000000"/>
          <w:szCs w:val="22"/>
          <w:lang w:val="sr-Latn-ME"/>
        </w:rPr>
        <w:t>vidjeti</w:t>
      </w:r>
      <w:r w:rsidR="00C175E4" w:rsidRPr="00D768EF">
        <w:rPr>
          <w:color w:val="000000"/>
          <w:szCs w:val="22"/>
          <w:lang w:val="sr-Latn-ME"/>
        </w:rPr>
        <w:t xml:space="preserve"> </w:t>
      </w:r>
      <w:r w:rsidR="00454E9F" w:rsidRPr="00D768EF">
        <w:rPr>
          <w:color w:val="000000"/>
          <w:szCs w:val="22"/>
          <w:lang w:val="sr-Latn-ME"/>
        </w:rPr>
        <w:t>dio</w:t>
      </w:r>
      <w:r w:rsidR="00C175E4" w:rsidRPr="00D768EF">
        <w:rPr>
          <w:color w:val="000000"/>
          <w:szCs w:val="22"/>
          <w:lang w:val="sr-Latn-ME"/>
        </w:rPr>
        <w:t xml:space="preserve"> 4.4).</w:t>
      </w:r>
    </w:p>
    <w:p w14:paraId="223B5D62" w14:textId="77777777" w:rsidR="00C175E4" w:rsidRPr="00D768EF" w:rsidRDefault="00C175E4" w:rsidP="00C175E4">
      <w:pPr>
        <w:rPr>
          <w:color w:val="000000"/>
          <w:szCs w:val="22"/>
          <w:lang w:val="sr-Latn-ME"/>
        </w:rPr>
      </w:pPr>
    </w:p>
    <w:p w14:paraId="5A7A3EBC" w14:textId="249227E2" w:rsidR="00C175E4" w:rsidRPr="00D768EF" w:rsidRDefault="00D57936" w:rsidP="00C175E4">
      <w:pPr>
        <w:rPr>
          <w:i/>
          <w:iCs/>
          <w:szCs w:val="22"/>
          <w:u w:val="single"/>
          <w:lang w:val="sr-Latn-ME"/>
        </w:rPr>
      </w:pPr>
      <w:r w:rsidRPr="00D768EF">
        <w:rPr>
          <w:i/>
          <w:iCs/>
          <w:szCs w:val="22"/>
          <w:u w:val="single"/>
          <w:lang w:val="sr-Latn-ME"/>
        </w:rPr>
        <w:t>Primjena</w:t>
      </w:r>
      <w:r w:rsidR="00C175E4" w:rsidRPr="00D768EF">
        <w:rPr>
          <w:i/>
          <w:iCs/>
          <w:szCs w:val="22"/>
          <w:u w:val="single"/>
          <w:lang w:val="sr-Latn-ME"/>
        </w:rPr>
        <w:t xml:space="preserve"> kratkih infuzija kod odraslih </w:t>
      </w:r>
    </w:p>
    <w:p w14:paraId="1EC58CBD" w14:textId="77777777" w:rsidR="0048207C" w:rsidRPr="00D768EF" w:rsidRDefault="0048207C" w:rsidP="00C175E4">
      <w:pPr>
        <w:rPr>
          <w:szCs w:val="22"/>
          <w:u w:val="single"/>
          <w:lang w:val="sr-Latn-ME"/>
        </w:rPr>
      </w:pPr>
    </w:p>
    <w:p w14:paraId="1BB4EB5B" w14:textId="44FAB274" w:rsidR="00C175E4" w:rsidRPr="00D768EF" w:rsidRDefault="00C175E4" w:rsidP="00C175E4">
      <w:pPr>
        <w:rPr>
          <w:szCs w:val="22"/>
          <w:lang w:val="sr-Latn-ME"/>
        </w:rPr>
      </w:pPr>
      <w:r w:rsidRPr="00D768EF">
        <w:rPr>
          <w:szCs w:val="22"/>
          <w:lang w:val="sr-Latn-ME"/>
        </w:rPr>
        <w:t xml:space="preserve">Kod pažljivo odabranih odraslih pacijenata koji su dobro podneli najmanje 3 inicijalne dvočasovne infuzije </w:t>
      </w:r>
      <w:r w:rsidR="00CE181C" w:rsidRPr="00D768EF">
        <w:rPr>
          <w:bCs/>
          <w:color w:val="000000"/>
          <w:szCs w:val="22"/>
          <w:lang w:val="sr-Latn-ME"/>
        </w:rPr>
        <w:t>infliksimaba</w:t>
      </w:r>
      <w:r w:rsidRPr="00D768EF">
        <w:rPr>
          <w:szCs w:val="22"/>
          <w:lang w:val="sr-Latn-ME"/>
        </w:rPr>
        <w:t xml:space="preserve"> (faza uvodnog </w:t>
      </w:r>
      <w:r w:rsidR="00D57936" w:rsidRPr="00D768EF">
        <w:rPr>
          <w:szCs w:val="22"/>
          <w:lang w:val="sr-Latn-ME"/>
        </w:rPr>
        <w:t>liječe</w:t>
      </w:r>
      <w:r w:rsidRPr="00D768EF">
        <w:rPr>
          <w:szCs w:val="22"/>
          <w:lang w:val="sr-Latn-ME"/>
        </w:rPr>
        <w:t xml:space="preserve">nja) i koji su sada na terapiji održavanja, može se razmotriti davanje </w:t>
      </w:r>
      <w:r w:rsidR="00454E9F" w:rsidRPr="00D768EF">
        <w:rPr>
          <w:szCs w:val="22"/>
          <w:lang w:val="sr-Latn-ME"/>
        </w:rPr>
        <w:t>sl</w:t>
      </w:r>
      <w:r w:rsidR="00220982" w:rsidRPr="00D768EF">
        <w:rPr>
          <w:szCs w:val="22"/>
          <w:lang w:val="sr-Latn-ME"/>
        </w:rPr>
        <w:t>j</w:t>
      </w:r>
      <w:r w:rsidR="00454E9F" w:rsidRPr="00D768EF">
        <w:rPr>
          <w:szCs w:val="22"/>
          <w:lang w:val="sr-Latn-ME"/>
        </w:rPr>
        <w:t>ede</w:t>
      </w:r>
      <w:r w:rsidRPr="00D768EF">
        <w:rPr>
          <w:szCs w:val="22"/>
          <w:lang w:val="sr-Latn-ME"/>
        </w:rPr>
        <w:t xml:space="preserve">ćih infuzija tokom najmanje jednog sata. Ukoliko se kod skraćene infuzije pojavi neželjena reakcija vezana za infuziju, može se razmotriti sporija brzina za buduće infuzije, ukoliko </w:t>
      </w:r>
      <w:r w:rsidR="00D57936" w:rsidRPr="00D768EF">
        <w:rPr>
          <w:szCs w:val="22"/>
          <w:lang w:val="sr-Latn-ME"/>
        </w:rPr>
        <w:t>liječe</w:t>
      </w:r>
      <w:r w:rsidRPr="00D768EF">
        <w:rPr>
          <w:szCs w:val="22"/>
          <w:lang w:val="sr-Latn-ME"/>
        </w:rPr>
        <w:t>nje treba da se nastavi. Nisu sprovedena ispitivanja sa kraćim trajanjem infuzije kod doza &gt;6 mg/kg (</w:t>
      </w:r>
      <w:r w:rsidR="00282A1E" w:rsidRPr="00D768EF">
        <w:rPr>
          <w:szCs w:val="22"/>
          <w:lang w:val="sr-Latn-ME"/>
        </w:rPr>
        <w:t>vidjeti</w:t>
      </w:r>
      <w:r w:rsidRPr="00D768EF">
        <w:rPr>
          <w:szCs w:val="22"/>
          <w:lang w:val="sr-Latn-ME"/>
        </w:rPr>
        <w:t xml:space="preserve"> </w:t>
      </w:r>
      <w:r w:rsidR="00454E9F" w:rsidRPr="00D768EF">
        <w:rPr>
          <w:szCs w:val="22"/>
          <w:lang w:val="sr-Latn-ME"/>
        </w:rPr>
        <w:t>dio</w:t>
      </w:r>
      <w:r w:rsidRPr="00D768EF">
        <w:rPr>
          <w:szCs w:val="22"/>
          <w:lang w:val="sr-Latn-ME"/>
        </w:rPr>
        <w:t xml:space="preserve"> 4.8).</w:t>
      </w:r>
    </w:p>
    <w:p w14:paraId="06B5BA7C" w14:textId="77777777" w:rsidR="00C175E4" w:rsidRPr="00D768EF" w:rsidRDefault="00C175E4" w:rsidP="00C175E4">
      <w:pPr>
        <w:rPr>
          <w:szCs w:val="22"/>
          <w:lang w:val="sr-Latn-ME"/>
        </w:rPr>
      </w:pPr>
    </w:p>
    <w:p w14:paraId="04BFD1E9" w14:textId="332F2CC4" w:rsidR="00C175E4" w:rsidRPr="00D768EF" w:rsidRDefault="00C175E4" w:rsidP="00C175E4">
      <w:pPr>
        <w:rPr>
          <w:color w:val="000000"/>
          <w:szCs w:val="22"/>
          <w:lang w:val="sr-Latn-ME"/>
        </w:rPr>
      </w:pPr>
      <w:r w:rsidRPr="00D768EF">
        <w:rPr>
          <w:color w:val="000000"/>
          <w:szCs w:val="22"/>
          <w:lang w:val="sr-Latn-ME"/>
        </w:rPr>
        <w:t xml:space="preserve">Za uputstva </w:t>
      </w:r>
      <w:r w:rsidR="001F2E02" w:rsidRPr="00D768EF">
        <w:rPr>
          <w:color w:val="000000"/>
          <w:szCs w:val="22"/>
          <w:lang w:val="sr-Latn-ME"/>
        </w:rPr>
        <w:t xml:space="preserve">o </w:t>
      </w:r>
      <w:r w:rsidRPr="00D768EF">
        <w:rPr>
          <w:color w:val="000000"/>
          <w:szCs w:val="22"/>
          <w:lang w:val="sr-Latn-ME"/>
        </w:rPr>
        <w:t>priprem</w:t>
      </w:r>
      <w:r w:rsidR="001F2E02" w:rsidRPr="00D768EF">
        <w:rPr>
          <w:color w:val="000000"/>
          <w:szCs w:val="22"/>
          <w:lang w:val="sr-Latn-ME"/>
        </w:rPr>
        <w:t>i</w:t>
      </w:r>
      <w:r w:rsidRPr="00D768EF">
        <w:rPr>
          <w:color w:val="000000"/>
          <w:szCs w:val="22"/>
          <w:lang w:val="sr-Latn-ME"/>
        </w:rPr>
        <w:t xml:space="preserve"> i prim</w:t>
      </w:r>
      <w:r w:rsidR="00220982" w:rsidRPr="00D768EF">
        <w:rPr>
          <w:color w:val="000000"/>
          <w:szCs w:val="22"/>
          <w:lang w:val="sr-Latn-ME"/>
        </w:rPr>
        <w:t>j</w:t>
      </w:r>
      <w:r w:rsidRPr="00D768EF">
        <w:rPr>
          <w:color w:val="000000"/>
          <w:szCs w:val="22"/>
          <w:lang w:val="sr-Latn-ME"/>
        </w:rPr>
        <w:t>en</w:t>
      </w:r>
      <w:r w:rsidR="001F2E02" w:rsidRPr="00D768EF">
        <w:rPr>
          <w:color w:val="000000"/>
          <w:szCs w:val="22"/>
          <w:lang w:val="sr-Latn-ME"/>
        </w:rPr>
        <w:t>i</w:t>
      </w:r>
      <w:r w:rsidRPr="00D768EF">
        <w:rPr>
          <w:color w:val="000000"/>
          <w:szCs w:val="22"/>
          <w:lang w:val="sr-Latn-ME"/>
        </w:rPr>
        <w:t xml:space="preserve">, </w:t>
      </w:r>
      <w:r w:rsidR="00282A1E" w:rsidRPr="00D768EF">
        <w:rPr>
          <w:color w:val="000000"/>
          <w:szCs w:val="22"/>
          <w:lang w:val="sr-Latn-ME"/>
        </w:rPr>
        <w:t>vidjeti</w:t>
      </w:r>
      <w:r w:rsidRPr="00D768EF">
        <w:rPr>
          <w:color w:val="000000"/>
          <w:szCs w:val="22"/>
          <w:lang w:val="sr-Latn-ME"/>
        </w:rPr>
        <w:t xml:space="preserve"> </w:t>
      </w:r>
      <w:r w:rsidR="00454E9F" w:rsidRPr="00D768EF">
        <w:rPr>
          <w:color w:val="000000"/>
          <w:szCs w:val="22"/>
          <w:lang w:val="sr-Latn-ME"/>
        </w:rPr>
        <w:t>dio</w:t>
      </w:r>
      <w:r w:rsidRPr="00D768EF">
        <w:rPr>
          <w:color w:val="000000"/>
          <w:szCs w:val="22"/>
          <w:lang w:val="sr-Latn-ME"/>
        </w:rPr>
        <w:t xml:space="preserve"> 6.6.</w:t>
      </w:r>
    </w:p>
    <w:p w14:paraId="53247CA8" w14:textId="77777777" w:rsidR="001F2E02" w:rsidRPr="00D768EF" w:rsidRDefault="001F2E02" w:rsidP="00923865">
      <w:pPr>
        <w:rPr>
          <w:szCs w:val="22"/>
          <w:lang w:val="sr-Latn-ME"/>
        </w:rPr>
      </w:pPr>
    </w:p>
    <w:p w14:paraId="39CF28E6" w14:textId="33D5229C" w:rsidR="00CE09F3" w:rsidRPr="00D768EF" w:rsidRDefault="00CE09F3" w:rsidP="00923865">
      <w:pPr>
        <w:rPr>
          <w:b/>
          <w:bCs/>
          <w:szCs w:val="22"/>
          <w:lang w:val="sr-Latn-ME"/>
        </w:rPr>
      </w:pPr>
      <w:r w:rsidRPr="00D768EF">
        <w:rPr>
          <w:b/>
          <w:bCs/>
          <w:szCs w:val="22"/>
          <w:lang w:val="sr-Latn-ME"/>
        </w:rPr>
        <w:t>4.3. Kontraindikacije</w:t>
      </w:r>
    </w:p>
    <w:p w14:paraId="5B60E0A9" w14:textId="77777777" w:rsidR="00CE09F3" w:rsidRPr="00D768EF" w:rsidRDefault="00CE09F3" w:rsidP="00923865">
      <w:pPr>
        <w:rPr>
          <w:szCs w:val="22"/>
          <w:lang w:val="sr-Latn-ME"/>
        </w:rPr>
      </w:pPr>
    </w:p>
    <w:p w14:paraId="2E979CD2" w14:textId="32E7D948" w:rsidR="00C175E4" w:rsidRPr="00D768EF" w:rsidRDefault="00CE181C" w:rsidP="00C175E4">
      <w:pPr>
        <w:widowControl w:val="0"/>
        <w:rPr>
          <w:color w:val="000000"/>
          <w:szCs w:val="22"/>
          <w:lang w:val="sr-Latn-ME"/>
        </w:rPr>
      </w:pPr>
      <w:r w:rsidRPr="00D768EF">
        <w:rPr>
          <w:color w:val="000000"/>
          <w:szCs w:val="22"/>
          <w:lang w:val="sr-Latn-ME"/>
        </w:rPr>
        <w:t>P</w:t>
      </w:r>
      <w:r w:rsidR="00C175E4" w:rsidRPr="00D768EF">
        <w:rPr>
          <w:color w:val="000000"/>
          <w:szCs w:val="22"/>
          <w:lang w:val="sr-Latn-ME"/>
        </w:rPr>
        <w:t>reos</w:t>
      </w:r>
      <w:r w:rsidR="00220982" w:rsidRPr="00D768EF">
        <w:rPr>
          <w:color w:val="000000"/>
          <w:szCs w:val="22"/>
          <w:lang w:val="sr-Latn-ME"/>
        </w:rPr>
        <w:t>j</w:t>
      </w:r>
      <w:r w:rsidR="00C175E4" w:rsidRPr="00D768EF">
        <w:rPr>
          <w:color w:val="000000"/>
          <w:szCs w:val="22"/>
          <w:lang w:val="sr-Latn-ME"/>
        </w:rPr>
        <w:t xml:space="preserve">etljivost na </w:t>
      </w:r>
      <w:r w:rsidRPr="00D768EF">
        <w:rPr>
          <w:color w:val="000000"/>
          <w:szCs w:val="22"/>
          <w:lang w:val="sr-Latn-ME"/>
        </w:rPr>
        <w:t>aktivnu supstancu</w:t>
      </w:r>
      <w:r w:rsidR="00C175E4" w:rsidRPr="00D768EF">
        <w:rPr>
          <w:color w:val="000000"/>
          <w:szCs w:val="22"/>
          <w:lang w:val="sr-Latn-ME"/>
        </w:rPr>
        <w:t>, na druge mišje proteine ili na bilo koju od pomoćnih supstanci naveden</w:t>
      </w:r>
      <w:r w:rsidRPr="00D768EF">
        <w:rPr>
          <w:color w:val="000000"/>
          <w:szCs w:val="22"/>
          <w:lang w:val="sr-Latn-ME"/>
        </w:rPr>
        <w:t>ih</w:t>
      </w:r>
      <w:r w:rsidR="00C175E4" w:rsidRPr="00D768EF">
        <w:rPr>
          <w:color w:val="000000"/>
          <w:szCs w:val="22"/>
          <w:lang w:val="sr-Latn-ME"/>
        </w:rPr>
        <w:t xml:space="preserve"> u </w:t>
      </w:r>
      <w:r w:rsidR="00220982" w:rsidRPr="00D768EF">
        <w:rPr>
          <w:color w:val="000000"/>
          <w:szCs w:val="22"/>
          <w:lang w:val="sr-Latn-ME"/>
        </w:rPr>
        <w:t>dijelu</w:t>
      </w:r>
      <w:r w:rsidR="00C175E4" w:rsidRPr="00D768EF">
        <w:rPr>
          <w:color w:val="000000"/>
          <w:szCs w:val="22"/>
          <w:lang w:val="sr-Latn-ME"/>
        </w:rPr>
        <w:t xml:space="preserve"> 6.1.</w:t>
      </w:r>
    </w:p>
    <w:p w14:paraId="0967ED93" w14:textId="77777777" w:rsidR="00C175E4" w:rsidRPr="00D768EF" w:rsidRDefault="00C175E4" w:rsidP="00C175E4">
      <w:pPr>
        <w:widowControl w:val="0"/>
        <w:rPr>
          <w:color w:val="000000"/>
          <w:szCs w:val="22"/>
          <w:lang w:val="sr-Latn-ME"/>
        </w:rPr>
      </w:pPr>
    </w:p>
    <w:p w14:paraId="7311C63D" w14:textId="4BBCE647" w:rsidR="00C175E4" w:rsidRPr="00D768EF" w:rsidRDefault="00C175E4" w:rsidP="00C175E4">
      <w:pPr>
        <w:widowControl w:val="0"/>
        <w:rPr>
          <w:color w:val="000000"/>
          <w:szCs w:val="22"/>
          <w:lang w:val="sr-Latn-ME"/>
        </w:rPr>
      </w:pPr>
      <w:r w:rsidRPr="00D768EF">
        <w:rPr>
          <w:color w:val="000000"/>
          <w:szCs w:val="22"/>
          <w:lang w:val="sr-Latn-ME"/>
        </w:rPr>
        <w:t>Pacijenti sa tuberkulozom ili drugim teškim infekcijama kao što su sepsa, apscesi i oportunističke infekcije (</w:t>
      </w:r>
      <w:r w:rsidR="00282A1E" w:rsidRPr="00D768EF">
        <w:rPr>
          <w:color w:val="000000"/>
          <w:szCs w:val="22"/>
          <w:lang w:val="sr-Latn-ME"/>
        </w:rPr>
        <w:t>vidjeti</w:t>
      </w:r>
      <w:r w:rsidRPr="00D768EF">
        <w:rPr>
          <w:color w:val="000000"/>
          <w:szCs w:val="22"/>
          <w:lang w:val="sr-Latn-ME"/>
        </w:rPr>
        <w:t xml:space="preserve"> </w:t>
      </w:r>
      <w:r w:rsidR="00454E9F" w:rsidRPr="00D768EF">
        <w:rPr>
          <w:color w:val="000000"/>
          <w:szCs w:val="22"/>
          <w:lang w:val="sr-Latn-ME"/>
        </w:rPr>
        <w:t>dio</w:t>
      </w:r>
      <w:r w:rsidRPr="00D768EF">
        <w:rPr>
          <w:color w:val="000000"/>
          <w:szCs w:val="22"/>
          <w:lang w:val="sr-Latn-ME"/>
        </w:rPr>
        <w:t xml:space="preserve"> 4.4). </w:t>
      </w:r>
    </w:p>
    <w:p w14:paraId="0BEF07F3" w14:textId="77777777" w:rsidR="00C175E4" w:rsidRPr="00D768EF" w:rsidRDefault="00C175E4" w:rsidP="00C175E4">
      <w:pPr>
        <w:widowControl w:val="0"/>
        <w:rPr>
          <w:color w:val="000000"/>
          <w:szCs w:val="22"/>
          <w:lang w:val="sr-Latn-ME"/>
        </w:rPr>
      </w:pPr>
    </w:p>
    <w:p w14:paraId="6C10BD6E" w14:textId="28DB1D9E" w:rsidR="00C175E4" w:rsidRPr="00D768EF" w:rsidRDefault="00C175E4" w:rsidP="00C175E4">
      <w:pPr>
        <w:widowControl w:val="0"/>
        <w:rPr>
          <w:color w:val="000000"/>
          <w:szCs w:val="22"/>
          <w:lang w:val="sr-Latn-ME"/>
        </w:rPr>
      </w:pPr>
      <w:r w:rsidRPr="00D768EF">
        <w:rPr>
          <w:color w:val="000000"/>
          <w:szCs w:val="22"/>
          <w:lang w:val="sr-Latn-ME"/>
        </w:rPr>
        <w:t>Pacijenti sa um</w:t>
      </w:r>
      <w:r w:rsidR="00220982" w:rsidRPr="00D768EF">
        <w:rPr>
          <w:color w:val="000000"/>
          <w:szCs w:val="22"/>
          <w:lang w:val="sr-Latn-ME"/>
        </w:rPr>
        <w:t>j</w:t>
      </w:r>
      <w:r w:rsidRPr="00D768EF">
        <w:rPr>
          <w:color w:val="000000"/>
          <w:szCs w:val="22"/>
          <w:lang w:val="sr-Latn-ME"/>
        </w:rPr>
        <w:t>erenom ili teškom srčanom insuficijencijom (NYHA klasa III/IV) (</w:t>
      </w:r>
      <w:r w:rsidR="00282A1E" w:rsidRPr="00D768EF">
        <w:rPr>
          <w:color w:val="000000"/>
          <w:szCs w:val="22"/>
          <w:lang w:val="sr-Latn-ME"/>
        </w:rPr>
        <w:t>vidjeti</w:t>
      </w:r>
      <w:r w:rsidRPr="00D768EF">
        <w:rPr>
          <w:color w:val="000000"/>
          <w:szCs w:val="22"/>
          <w:lang w:val="sr-Latn-ME"/>
        </w:rPr>
        <w:t xml:space="preserve"> </w:t>
      </w:r>
      <w:r w:rsidR="00282A1E" w:rsidRPr="00D768EF">
        <w:rPr>
          <w:color w:val="000000"/>
          <w:szCs w:val="22"/>
          <w:lang w:val="sr-Latn-ME"/>
        </w:rPr>
        <w:t>djelove</w:t>
      </w:r>
      <w:r w:rsidRPr="00D768EF">
        <w:rPr>
          <w:color w:val="000000"/>
          <w:szCs w:val="22"/>
          <w:lang w:val="sr-Latn-ME"/>
        </w:rPr>
        <w:t xml:space="preserve"> 4.4 i 4.8).</w:t>
      </w:r>
    </w:p>
    <w:p w14:paraId="0C68B363" w14:textId="77777777" w:rsidR="006A1B90" w:rsidRPr="00D768EF" w:rsidRDefault="006A1B90" w:rsidP="00923865">
      <w:pPr>
        <w:rPr>
          <w:szCs w:val="22"/>
          <w:lang w:val="sr-Latn-ME"/>
        </w:rPr>
      </w:pPr>
    </w:p>
    <w:p w14:paraId="27B68714" w14:textId="099C3682" w:rsidR="00CE09F3" w:rsidRPr="00D768EF" w:rsidRDefault="00CE09F3" w:rsidP="00923865">
      <w:pPr>
        <w:rPr>
          <w:b/>
          <w:bCs/>
          <w:szCs w:val="22"/>
          <w:lang w:val="sr-Latn-ME"/>
        </w:rPr>
      </w:pPr>
      <w:r w:rsidRPr="00D768EF">
        <w:rPr>
          <w:b/>
          <w:bCs/>
          <w:szCs w:val="22"/>
          <w:lang w:val="sr-Latn-ME"/>
        </w:rPr>
        <w:t>4.4. Posebna upozorenja i m</w:t>
      </w:r>
      <w:r w:rsidR="00220982" w:rsidRPr="00D768EF">
        <w:rPr>
          <w:b/>
          <w:bCs/>
          <w:szCs w:val="22"/>
          <w:lang w:val="sr-Latn-ME"/>
        </w:rPr>
        <w:t>j</w:t>
      </w:r>
      <w:r w:rsidRPr="00D768EF">
        <w:rPr>
          <w:b/>
          <w:bCs/>
          <w:szCs w:val="22"/>
          <w:lang w:val="sr-Latn-ME"/>
        </w:rPr>
        <w:t>ere opreza pri upotrebi l</w:t>
      </w:r>
      <w:r w:rsidR="00220982" w:rsidRPr="00D768EF">
        <w:rPr>
          <w:b/>
          <w:bCs/>
          <w:szCs w:val="22"/>
          <w:lang w:val="sr-Latn-ME"/>
        </w:rPr>
        <w:t>ij</w:t>
      </w:r>
      <w:r w:rsidRPr="00D768EF">
        <w:rPr>
          <w:b/>
          <w:bCs/>
          <w:szCs w:val="22"/>
          <w:lang w:val="sr-Latn-ME"/>
        </w:rPr>
        <w:t>eka</w:t>
      </w:r>
    </w:p>
    <w:p w14:paraId="2068C0E4" w14:textId="77777777" w:rsidR="00CE09F3" w:rsidRPr="00D768EF" w:rsidRDefault="00CE09F3" w:rsidP="00923865">
      <w:pPr>
        <w:rPr>
          <w:szCs w:val="22"/>
          <w:lang w:val="sr-Latn-ME"/>
        </w:rPr>
      </w:pPr>
    </w:p>
    <w:p w14:paraId="6DBCAE43" w14:textId="60650235" w:rsidR="00010EFF" w:rsidRPr="00D768EF" w:rsidRDefault="00010EFF" w:rsidP="00C175E4">
      <w:pPr>
        <w:pStyle w:val="Header"/>
        <w:tabs>
          <w:tab w:val="clear" w:pos="4536"/>
          <w:tab w:val="clear" w:pos="9072"/>
          <w:tab w:val="left" w:pos="284"/>
        </w:tabs>
        <w:rPr>
          <w:color w:val="000000"/>
          <w:szCs w:val="22"/>
          <w:u w:val="single"/>
          <w:lang w:val="sr-Latn-ME"/>
        </w:rPr>
      </w:pPr>
      <w:r w:rsidRPr="00D768EF">
        <w:rPr>
          <w:color w:val="000000"/>
          <w:szCs w:val="22"/>
          <w:u w:val="single"/>
          <w:lang w:val="sr-Latn-ME"/>
        </w:rPr>
        <w:t>Sl</w:t>
      </w:r>
      <w:r w:rsidR="00CF5D59">
        <w:rPr>
          <w:color w:val="000000"/>
          <w:szCs w:val="22"/>
          <w:u w:val="single"/>
          <w:lang w:val="sr-Latn-ME"/>
        </w:rPr>
        <w:t>j</w:t>
      </w:r>
      <w:r w:rsidRPr="00D768EF">
        <w:rPr>
          <w:color w:val="000000"/>
          <w:szCs w:val="22"/>
          <w:u w:val="single"/>
          <w:lang w:val="sr-Latn-ME"/>
        </w:rPr>
        <w:t>edljivost</w:t>
      </w:r>
    </w:p>
    <w:p w14:paraId="7A762C75" w14:textId="488DD221" w:rsidR="00C175E4" w:rsidRPr="00D768EF" w:rsidRDefault="00C175E4" w:rsidP="00C175E4">
      <w:pPr>
        <w:pStyle w:val="Header"/>
        <w:tabs>
          <w:tab w:val="clear" w:pos="4536"/>
          <w:tab w:val="clear" w:pos="9072"/>
          <w:tab w:val="left" w:pos="284"/>
        </w:tabs>
        <w:rPr>
          <w:szCs w:val="22"/>
          <w:lang w:val="sr-Latn-ME"/>
        </w:rPr>
      </w:pPr>
      <w:r w:rsidRPr="00D768EF">
        <w:rPr>
          <w:szCs w:val="22"/>
          <w:lang w:val="sr-Latn-ME"/>
        </w:rPr>
        <w:t>Kako bi se poboljšala sledljivost bioloških l</w:t>
      </w:r>
      <w:r w:rsidR="00220982" w:rsidRPr="00D768EF">
        <w:rPr>
          <w:szCs w:val="22"/>
          <w:lang w:val="sr-Latn-ME"/>
        </w:rPr>
        <w:t>j</w:t>
      </w:r>
      <w:r w:rsidRPr="00D768EF">
        <w:rPr>
          <w:szCs w:val="22"/>
          <w:lang w:val="sr-Latn-ME"/>
        </w:rPr>
        <w:t>ekova</w:t>
      </w:r>
      <w:r w:rsidR="006A6292" w:rsidRPr="00D768EF">
        <w:rPr>
          <w:szCs w:val="22"/>
          <w:lang w:val="sr-Latn-ME"/>
        </w:rPr>
        <w:t xml:space="preserve"> i praćenja njihove upotrebe</w:t>
      </w:r>
      <w:r w:rsidRPr="00D768EF">
        <w:rPr>
          <w:szCs w:val="22"/>
          <w:lang w:val="sr-Latn-ME"/>
        </w:rPr>
        <w:t>, zaštićeno ime i broj serije prim</w:t>
      </w:r>
      <w:r w:rsidR="00220982" w:rsidRPr="00D768EF">
        <w:rPr>
          <w:szCs w:val="22"/>
          <w:lang w:val="sr-Latn-ME"/>
        </w:rPr>
        <w:t>ij</w:t>
      </w:r>
      <w:r w:rsidRPr="00D768EF">
        <w:rPr>
          <w:szCs w:val="22"/>
          <w:lang w:val="sr-Latn-ME"/>
        </w:rPr>
        <w:t>enjenog l</w:t>
      </w:r>
      <w:r w:rsidR="00220982" w:rsidRPr="00D768EF">
        <w:rPr>
          <w:szCs w:val="22"/>
          <w:lang w:val="sr-Latn-ME"/>
        </w:rPr>
        <w:t>ij</w:t>
      </w:r>
      <w:r w:rsidRPr="00D768EF">
        <w:rPr>
          <w:szCs w:val="22"/>
          <w:lang w:val="sr-Latn-ME"/>
        </w:rPr>
        <w:t xml:space="preserve">eka </w:t>
      </w:r>
      <w:r w:rsidR="006A6292" w:rsidRPr="00D768EF">
        <w:rPr>
          <w:szCs w:val="22"/>
          <w:lang w:val="sr-Latn-ME"/>
        </w:rPr>
        <w:t>treba da budu jasno navedeni u kartonu pacijenta</w:t>
      </w:r>
      <w:r w:rsidRPr="00D768EF">
        <w:rPr>
          <w:szCs w:val="22"/>
          <w:lang w:val="sr-Latn-ME"/>
        </w:rPr>
        <w:t xml:space="preserve">. </w:t>
      </w:r>
    </w:p>
    <w:p w14:paraId="229488E8" w14:textId="77777777" w:rsidR="00C175E4" w:rsidRPr="00D768EF" w:rsidRDefault="00C175E4" w:rsidP="00C175E4">
      <w:pPr>
        <w:rPr>
          <w:color w:val="000000"/>
          <w:szCs w:val="22"/>
          <w:u w:val="single"/>
          <w:lang w:val="sr-Latn-ME"/>
        </w:rPr>
      </w:pPr>
    </w:p>
    <w:p w14:paraId="3754DE42" w14:textId="77777777" w:rsidR="00C175E4" w:rsidRPr="00D768EF" w:rsidRDefault="00C175E4" w:rsidP="00C175E4">
      <w:pPr>
        <w:rPr>
          <w:color w:val="000000"/>
          <w:szCs w:val="22"/>
          <w:u w:val="single"/>
          <w:lang w:val="sr-Latn-ME"/>
        </w:rPr>
      </w:pPr>
      <w:r w:rsidRPr="00D768EF">
        <w:rPr>
          <w:color w:val="000000"/>
          <w:szCs w:val="22"/>
          <w:u w:val="single"/>
          <w:lang w:val="sr-Latn-ME"/>
        </w:rPr>
        <w:t xml:space="preserve">Reakcije na infuziju i </w:t>
      </w:r>
      <w:r w:rsidR="001B0A77" w:rsidRPr="00D768EF">
        <w:rPr>
          <w:color w:val="000000"/>
          <w:szCs w:val="22"/>
          <w:u w:val="single"/>
          <w:lang w:val="sr-Latn-ME"/>
        </w:rPr>
        <w:t>preosje</w:t>
      </w:r>
      <w:r w:rsidRPr="00D768EF">
        <w:rPr>
          <w:color w:val="000000"/>
          <w:szCs w:val="22"/>
          <w:u w:val="single"/>
          <w:lang w:val="sr-Latn-ME"/>
        </w:rPr>
        <w:t xml:space="preserve">tljivost </w:t>
      </w:r>
    </w:p>
    <w:p w14:paraId="4DDF69BC" w14:textId="4BE8F4AE" w:rsidR="00C175E4" w:rsidRPr="00D768EF" w:rsidRDefault="00C175E4" w:rsidP="00C175E4">
      <w:pPr>
        <w:rPr>
          <w:color w:val="000000"/>
          <w:szCs w:val="22"/>
          <w:lang w:val="sr-Latn-ME"/>
        </w:rPr>
      </w:pPr>
      <w:r w:rsidRPr="00D768EF">
        <w:rPr>
          <w:color w:val="000000"/>
          <w:szCs w:val="22"/>
          <w:lang w:val="sr-Latn-ME"/>
        </w:rPr>
        <w:t>Infliksimab je povezivan sa akutnim reakcijama vezanim za infuziju, uključujući anafilaktički šok i reakcije kasne preos</w:t>
      </w:r>
      <w:r w:rsidR="00220982" w:rsidRPr="00D768EF">
        <w:rPr>
          <w:color w:val="000000"/>
          <w:szCs w:val="22"/>
          <w:lang w:val="sr-Latn-ME"/>
        </w:rPr>
        <w:t>j</w:t>
      </w:r>
      <w:r w:rsidRPr="00D768EF">
        <w:rPr>
          <w:color w:val="000000"/>
          <w:szCs w:val="22"/>
          <w:lang w:val="sr-Latn-ME"/>
        </w:rPr>
        <w:t>etljivosti (</w:t>
      </w:r>
      <w:r w:rsidR="00282A1E" w:rsidRPr="00D768EF">
        <w:rPr>
          <w:color w:val="000000"/>
          <w:szCs w:val="22"/>
          <w:lang w:val="sr-Latn-ME"/>
        </w:rPr>
        <w:t>vidjeti</w:t>
      </w:r>
      <w:r w:rsidRPr="00D768EF">
        <w:rPr>
          <w:color w:val="000000"/>
          <w:szCs w:val="22"/>
          <w:lang w:val="sr-Latn-ME"/>
        </w:rPr>
        <w:t xml:space="preserve"> </w:t>
      </w:r>
      <w:r w:rsidR="00454E9F" w:rsidRPr="00D768EF">
        <w:rPr>
          <w:color w:val="000000"/>
          <w:szCs w:val="22"/>
          <w:lang w:val="sr-Latn-ME"/>
        </w:rPr>
        <w:t>dio</w:t>
      </w:r>
      <w:r w:rsidRPr="00D768EF">
        <w:rPr>
          <w:color w:val="000000"/>
          <w:szCs w:val="22"/>
          <w:lang w:val="sr-Latn-ME"/>
        </w:rPr>
        <w:t xml:space="preserve"> 4.8). </w:t>
      </w:r>
    </w:p>
    <w:p w14:paraId="0EE83062" w14:textId="77777777" w:rsidR="00C175E4" w:rsidRPr="00D768EF" w:rsidRDefault="00C175E4" w:rsidP="00C175E4">
      <w:pPr>
        <w:rPr>
          <w:color w:val="000000"/>
          <w:szCs w:val="22"/>
          <w:lang w:val="sr-Latn-ME"/>
        </w:rPr>
      </w:pPr>
    </w:p>
    <w:p w14:paraId="7C94E655" w14:textId="780E4D23" w:rsidR="00C175E4" w:rsidRPr="00D768EF" w:rsidRDefault="00C175E4" w:rsidP="00C175E4">
      <w:pPr>
        <w:rPr>
          <w:color w:val="000000"/>
          <w:szCs w:val="22"/>
          <w:lang w:val="sr-Latn-ME"/>
        </w:rPr>
      </w:pPr>
      <w:r w:rsidRPr="00D768EF">
        <w:rPr>
          <w:color w:val="000000"/>
          <w:szCs w:val="22"/>
          <w:lang w:val="sr-Latn-ME"/>
        </w:rPr>
        <w:t xml:space="preserve">Akutne reakcije vezane za infuziju, uključujući anafilaktičke reakcije, mogu se razviti u toku infuzije (u roku od nekoliko sekundi) ili u roku od nekoliko sati posle infuzije. Ukoliko se pojave akutne reakcije </w:t>
      </w:r>
      <w:r w:rsidRPr="00D768EF">
        <w:rPr>
          <w:color w:val="000000"/>
          <w:szCs w:val="22"/>
          <w:lang w:val="sr-Latn-ME"/>
        </w:rPr>
        <w:lastRenderedPageBreak/>
        <w:t>vezane za infuziju, infuzija se mora odmah prekinuti. Na raspolaganju mora biti oprema za hitne slučajeve, kao što su adrenalin, antihistaminici, kortikosteriodi i oprema za v</w:t>
      </w:r>
      <w:r w:rsidR="00220982" w:rsidRPr="00D768EF">
        <w:rPr>
          <w:color w:val="000000"/>
          <w:szCs w:val="22"/>
          <w:lang w:val="sr-Latn-ME"/>
        </w:rPr>
        <w:t>j</w:t>
      </w:r>
      <w:r w:rsidRPr="00D768EF">
        <w:rPr>
          <w:color w:val="000000"/>
          <w:szCs w:val="22"/>
          <w:lang w:val="sr-Latn-ME"/>
        </w:rPr>
        <w:t>eštačko disanje. Pacijenti pr</w:t>
      </w:r>
      <w:r w:rsidR="00220982" w:rsidRPr="00D768EF">
        <w:rPr>
          <w:color w:val="000000"/>
          <w:szCs w:val="22"/>
          <w:lang w:val="sr-Latn-ME"/>
        </w:rPr>
        <w:t>ij</w:t>
      </w:r>
      <w:r w:rsidRPr="00D768EF">
        <w:rPr>
          <w:color w:val="000000"/>
          <w:szCs w:val="22"/>
          <w:lang w:val="sr-Latn-ME"/>
        </w:rPr>
        <w:t>e infuzije mo</w:t>
      </w:r>
      <w:r w:rsidR="006A6292" w:rsidRPr="00D768EF">
        <w:rPr>
          <w:color w:val="000000"/>
          <w:szCs w:val="22"/>
          <w:lang w:val="sr-Latn-ME"/>
        </w:rPr>
        <w:t>gu</w:t>
      </w:r>
      <w:r w:rsidRPr="00D768EF">
        <w:rPr>
          <w:color w:val="000000"/>
          <w:szCs w:val="22"/>
          <w:lang w:val="sr-Latn-ME"/>
        </w:rPr>
        <w:t xml:space="preserve"> da</w:t>
      </w:r>
      <w:r w:rsidR="006A6292" w:rsidRPr="00D768EF">
        <w:rPr>
          <w:color w:val="000000"/>
          <w:szCs w:val="22"/>
          <w:lang w:val="sr-Latn-ME"/>
        </w:rPr>
        <w:t xml:space="preserve"> prime</w:t>
      </w:r>
      <w:r w:rsidRPr="00D768EF">
        <w:rPr>
          <w:color w:val="000000"/>
          <w:szCs w:val="22"/>
          <w:lang w:val="sr-Latn-ME"/>
        </w:rPr>
        <w:t xml:space="preserve"> npr. antihistaminik, hidrokortizon i/ili paracetamol, </w:t>
      </w:r>
      <w:r w:rsidR="006A6292" w:rsidRPr="00D768EF">
        <w:rPr>
          <w:color w:val="000000"/>
          <w:szCs w:val="22"/>
          <w:lang w:val="sr-Latn-ME"/>
        </w:rPr>
        <w:t>da</w:t>
      </w:r>
      <w:r w:rsidRPr="00D768EF">
        <w:rPr>
          <w:color w:val="000000"/>
          <w:szCs w:val="22"/>
          <w:lang w:val="sr-Latn-ME"/>
        </w:rPr>
        <w:t xml:space="preserve"> bi se spr</w:t>
      </w:r>
      <w:r w:rsidR="00220982" w:rsidRPr="00D768EF">
        <w:rPr>
          <w:color w:val="000000"/>
          <w:szCs w:val="22"/>
          <w:lang w:val="sr-Latn-ME"/>
        </w:rPr>
        <w:t>ij</w:t>
      </w:r>
      <w:r w:rsidRPr="00D768EF">
        <w:rPr>
          <w:color w:val="000000"/>
          <w:szCs w:val="22"/>
          <w:lang w:val="sr-Latn-ME"/>
        </w:rPr>
        <w:t>ečile blage ili prolazne reakcije.</w:t>
      </w:r>
    </w:p>
    <w:p w14:paraId="775536B3" w14:textId="77777777" w:rsidR="00C175E4" w:rsidRPr="00D768EF" w:rsidRDefault="00C175E4" w:rsidP="00C175E4">
      <w:pPr>
        <w:rPr>
          <w:color w:val="000000"/>
          <w:szCs w:val="22"/>
          <w:lang w:val="sr-Latn-ME"/>
        </w:rPr>
      </w:pPr>
    </w:p>
    <w:p w14:paraId="1B20598E" w14:textId="55BC734B" w:rsidR="00C175E4" w:rsidRPr="00D768EF" w:rsidRDefault="006A6292" w:rsidP="00C175E4">
      <w:pPr>
        <w:rPr>
          <w:color w:val="000000"/>
          <w:szCs w:val="22"/>
          <w:lang w:val="sr-Latn-ME"/>
        </w:rPr>
      </w:pPr>
      <w:r w:rsidRPr="00D768EF">
        <w:rPr>
          <w:color w:val="000000"/>
          <w:szCs w:val="22"/>
          <w:lang w:val="sr-Latn-ME"/>
        </w:rPr>
        <w:t>A</w:t>
      </w:r>
      <w:r w:rsidR="00C175E4" w:rsidRPr="00D768EF">
        <w:rPr>
          <w:color w:val="000000"/>
          <w:szCs w:val="22"/>
          <w:lang w:val="sr-Latn-ME"/>
        </w:rPr>
        <w:t>ntit</w:t>
      </w:r>
      <w:r w:rsidR="00220982" w:rsidRPr="00D768EF">
        <w:rPr>
          <w:color w:val="000000"/>
          <w:szCs w:val="22"/>
          <w:lang w:val="sr-Latn-ME"/>
        </w:rPr>
        <w:t>ij</w:t>
      </w:r>
      <w:r w:rsidR="00C175E4" w:rsidRPr="00D768EF">
        <w:rPr>
          <w:color w:val="000000"/>
          <w:szCs w:val="22"/>
          <w:lang w:val="sr-Latn-ME"/>
        </w:rPr>
        <w:t xml:space="preserve">ela na infliksimab </w:t>
      </w:r>
      <w:r w:rsidRPr="00D768EF">
        <w:rPr>
          <w:color w:val="000000"/>
          <w:szCs w:val="22"/>
          <w:lang w:val="sr-Latn-ME"/>
        </w:rPr>
        <w:t xml:space="preserve">mogu da se razviju i </w:t>
      </w:r>
      <w:r w:rsidR="00C175E4" w:rsidRPr="00D768EF">
        <w:rPr>
          <w:color w:val="000000"/>
          <w:szCs w:val="22"/>
          <w:lang w:val="sr-Latn-ME"/>
        </w:rPr>
        <w:t xml:space="preserve"> povezana</w:t>
      </w:r>
      <w:r w:rsidRPr="00D768EF">
        <w:rPr>
          <w:color w:val="000000"/>
          <w:szCs w:val="22"/>
          <w:lang w:val="sr-Latn-ME"/>
        </w:rPr>
        <w:t xml:space="preserve"> su</w:t>
      </w:r>
      <w:r w:rsidR="00C175E4" w:rsidRPr="00D768EF">
        <w:rPr>
          <w:color w:val="000000"/>
          <w:szCs w:val="22"/>
          <w:lang w:val="sr-Latn-ME"/>
        </w:rPr>
        <w:t xml:space="preserve"> sa povećanom učestalošću reakcija vezanih za infuziju. Mali ud</w:t>
      </w:r>
      <w:r w:rsidR="00220982" w:rsidRPr="00D768EF">
        <w:rPr>
          <w:color w:val="000000"/>
          <w:szCs w:val="22"/>
          <w:lang w:val="sr-Latn-ME"/>
        </w:rPr>
        <w:t>i</w:t>
      </w:r>
      <w:r w:rsidR="00C175E4" w:rsidRPr="00D768EF">
        <w:rPr>
          <w:color w:val="000000"/>
          <w:szCs w:val="22"/>
          <w:lang w:val="sr-Latn-ME"/>
        </w:rPr>
        <w:t>o reakcija vezanih za infuziju činile su ozbiljne alergijske reakcije. Uočena je i povezanost između razvoja antit</w:t>
      </w:r>
      <w:r w:rsidR="00220982" w:rsidRPr="00D768EF">
        <w:rPr>
          <w:color w:val="000000"/>
          <w:szCs w:val="22"/>
          <w:lang w:val="sr-Latn-ME"/>
        </w:rPr>
        <w:t>ij</w:t>
      </w:r>
      <w:r w:rsidR="00C175E4" w:rsidRPr="00D768EF">
        <w:rPr>
          <w:color w:val="000000"/>
          <w:szCs w:val="22"/>
          <w:lang w:val="sr-Latn-ME"/>
        </w:rPr>
        <w:t xml:space="preserve">ela na infliksimab i kraćeg trajanja odgovora na terapiju. Istovremena </w:t>
      </w:r>
      <w:r w:rsidR="00D57936" w:rsidRPr="00D768EF">
        <w:rPr>
          <w:color w:val="000000"/>
          <w:szCs w:val="22"/>
          <w:lang w:val="sr-Latn-ME"/>
        </w:rPr>
        <w:t>primjena</w:t>
      </w:r>
      <w:r w:rsidR="00C175E4" w:rsidRPr="00D768EF">
        <w:rPr>
          <w:color w:val="000000"/>
          <w:szCs w:val="22"/>
          <w:lang w:val="sr-Latn-ME"/>
        </w:rPr>
        <w:t xml:space="preserve"> imunomodulatora povezana je sa manjim javljanjem antit</w:t>
      </w:r>
      <w:r w:rsidR="00220982" w:rsidRPr="00D768EF">
        <w:rPr>
          <w:color w:val="000000"/>
          <w:szCs w:val="22"/>
          <w:lang w:val="sr-Latn-ME"/>
        </w:rPr>
        <w:t>ij</w:t>
      </w:r>
      <w:r w:rsidR="00C175E4" w:rsidRPr="00D768EF">
        <w:rPr>
          <w:color w:val="000000"/>
          <w:szCs w:val="22"/>
          <w:lang w:val="sr-Latn-ME"/>
        </w:rPr>
        <w:t xml:space="preserve">ela na infliksimab i smanjenom učestalošću reakcija vezanih za infuziju. Efekat istovremene </w:t>
      </w:r>
      <w:r w:rsidRPr="00D768EF">
        <w:rPr>
          <w:color w:val="000000"/>
          <w:szCs w:val="22"/>
          <w:lang w:val="sr-Latn-ME"/>
        </w:rPr>
        <w:t>prim</w:t>
      </w:r>
      <w:r w:rsidR="00B750A5" w:rsidRPr="00D768EF">
        <w:rPr>
          <w:color w:val="000000"/>
          <w:szCs w:val="22"/>
          <w:lang w:val="sr-Latn-ME"/>
        </w:rPr>
        <w:t>j</w:t>
      </w:r>
      <w:r w:rsidRPr="00D768EF">
        <w:rPr>
          <w:color w:val="000000"/>
          <w:szCs w:val="22"/>
          <w:lang w:val="sr-Latn-ME"/>
        </w:rPr>
        <w:t>ene</w:t>
      </w:r>
      <w:r w:rsidR="00C175E4" w:rsidRPr="00D768EF">
        <w:rPr>
          <w:color w:val="000000"/>
          <w:szCs w:val="22"/>
          <w:lang w:val="sr-Latn-ME"/>
        </w:rPr>
        <w:t xml:space="preserve"> imunomodulatora bio je intenzivniji kod pacijenata koji su </w:t>
      </w:r>
      <w:r w:rsidR="00D57936" w:rsidRPr="00D768EF">
        <w:rPr>
          <w:color w:val="000000"/>
          <w:szCs w:val="22"/>
          <w:lang w:val="sr-Latn-ME"/>
        </w:rPr>
        <w:t>liječe</w:t>
      </w:r>
      <w:r w:rsidR="00C175E4" w:rsidRPr="00D768EF">
        <w:rPr>
          <w:color w:val="000000"/>
          <w:szCs w:val="22"/>
          <w:lang w:val="sr-Latn-ME"/>
        </w:rPr>
        <w:t>ni po epizodama nego kod pacijenata koji su primali terapiju održavanja. Pacijenti koji prestanu da uzimaju imunosupresive pr</w:t>
      </w:r>
      <w:r w:rsidR="00220982" w:rsidRPr="00D768EF">
        <w:rPr>
          <w:color w:val="000000"/>
          <w:szCs w:val="22"/>
          <w:lang w:val="sr-Latn-ME"/>
        </w:rPr>
        <w:t>ij</w:t>
      </w:r>
      <w:r w:rsidR="00C175E4" w:rsidRPr="00D768EF">
        <w:rPr>
          <w:color w:val="000000"/>
          <w:szCs w:val="22"/>
          <w:lang w:val="sr-Latn-ME"/>
        </w:rPr>
        <w:t>e ili za vr</w:t>
      </w:r>
      <w:r w:rsidR="00220982" w:rsidRPr="00D768EF">
        <w:rPr>
          <w:color w:val="000000"/>
          <w:szCs w:val="22"/>
          <w:lang w:val="sr-Latn-ME"/>
        </w:rPr>
        <w:t>ij</w:t>
      </w:r>
      <w:r w:rsidR="00C175E4" w:rsidRPr="00D768EF">
        <w:rPr>
          <w:color w:val="000000"/>
          <w:szCs w:val="22"/>
          <w:lang w:val="sr-Latn-ME"/>
        </w:rPr>
        <w:t>eme prim</w:t>
      </w:r>
      <w:r w:rsidR="00220982" w:rsidRPr="00D768EF">
        <w:rPr>
          <w:color w:val="000000"/>
          <w:szCs w:val="22"/>
          <w:lang w:val="sr-Latn-ME"/>
        </w:rPr>
        <w:t>j</w:t>
      </w:r>
      <w:r w:rsidR="00C175E4" w:rsidRPr="00D768EF">
        <w:rPr>
          <w:color w:val="000000"/>
          <w:szCs w:val="22"/>
          <w:lang w:val="sr-Latn-ME"/>
        </w:rPr>
        <w:t xml:space="preserve">ene </w:t>
      </w:r>
      <w:r w:rsidRPr="00D768EF">
        <w:rPr>
          <w:color w:val="000000"/>
          <w:szCs w:val="22"/>
          <w:lang w:val="sr-Latn-ME"/>
        </w:rPr>
        <w:t>infliksimaba imaju</w:t>
      </w:r>
      <w:r w:rsidR="00C175E4" w:rsidRPr="00D768EF">
        <w:rPr>
          <w:color w:val="000000"/>
          <w:szCs w:val="22"/>
          <w:lang w:val="sr-Latn-ME"/>
        </w:rPr>
        <w:t xml:space="preserve"> već</w:t>
      </w:r>
      <w:r w:rsidRPr="00D768EF">
        <w:rPr>
          <w:color w:val="000000"/>
          <w:szCs w:val="22"/>
          <w:lang w:val="sr-Latn-ME"/>
        </w:rPr>
        <w:t>i</w:t>
      </w:r>
      <w:r w:rsidR="00C175E4" w:rsidRPr="00D768EF">
        <w:rPr>
          <w:color w:val="000000"/>
          <w:szCs w:val="22"/>
          <w:lang w:val="sr-Latn-ME"/>
        </w:rPr>
        <w:t xml:space="preserve"> rizik od razvoja ovih antit</w:t>
      </w:r>
      <w:r w:rsidR="00220982" w:rsidRPr="00D768EF">
        <w:rPr>
          <w:color w:val="000000"/>
          <w:szCs w:val="22"/>
          <w:lang w:val="sr-Latn-ME"/>
        </w:rPr>
        <w:t>ij</w:t>
      </w:r>
      <w:r w:rsidR="00C175E4" w:rsidRPr="00D768EF">
        <w:rPr>
          <w:color w:val="000000"/>
          <w:szCs w:val="22"/>
          <w:lang w:val="sr-Latn-ME"/>
        </w:rPr>
        <w:t xml:space="preserve">ela. </w:t>
      </w:r>
      <w:r w:rsidR="00220982" w:rsidRPr="00D768EF">
        <w:rPr>
          <w:color w:val="000000"/>
          <w:szCs w:val="22"/>
          <w:lang w:val="sr-Latn-ME"/>
        </w:rPr>
        <w:t>Antitijel</w:t>
      </w:r>
      <w:r w:rsidR="00C175E4" w:rsidRPr="00D768EF">
        <w:rPr>
          <w:color w:val="000000"/>
          <w:szCs w:val="22"/>
          <w:lang w:val="sr-Latn-ME"/>
        </w:rPr>
        <w:t>a na infliksimab ne mogu se uvek otkriti u uzorcima seruma. Ukoliko se jave ozbiljne reakcije, mora se prim</w:t>
      </w:r>
      <w:r w:rsidR="00220982" w:rsidRPr="00D768EF">
        <w:rPr>
          <w:color w:val="000000"/>
          <w:szCs w:val="22"/>
          <w:lang w:val="sr-Latn-ME"/>
        </w:rPr>
        <w:t>ij</w:t>
      </w:r>
      <w:r w:rsidR="00C175E4" w:rsidRPr="00D768EF">
        <w:rPr>
          <w:color w:val="000000"/>
          <w:szCs w:val="22"/>
          <w:lang w:val="sr-Latn-ME"/>
        </w:rPr>
        <w:t xml:space="preserve">eniti simptomatsko </w:t>
      </w:r>
      <w:r w:rsidR="00D57936" w:rsidRPr="00D768EF">
        <w:rPr>
          <w:color w:val="000000"/>
          <w:szCs w:val="22"/>
          <w:lang w:val="sr-Latn-ME"/>
        </w:rPr>
        <w:t>liječe</w:t>
      </w:r>
      <w:r w:rsidR="00C175E4" w:rsidRPr="00D768EF">
        <w:rPr>
          <w:color w:val="000000"/>
          <w:szCs w:val="22"/>
          <w:lang w:val="sr-Latn-ME"/>
        </w:rPr>
        <w:t>nje i  ne sm</w:t>
      </w:r>
      <w:r w:rsidR="00220982" w:rsidRPr="00D768EF">
        <w:rPr>
          <w:color w:val="000000"/>
          <w:szCs w:val="22"/>
          <w:lang w:val="sr-Latn-ME"/>
        </w:rPr>
        <w:t>ij</w:t>
      </w:r>
      <w:r w:rsidR="00C175E4" w:rsidRPr="00D768EF">
        <w:rPr>
          <w:color w:val="000000"/>
          <w:szCs w:val="22"/>
          <w:lang w:val="sr-Latn-ME"/>
        </w:rPr>
        <w:t xml:space="preserve">e </w:t>
      </w:r>
      <w:r w:rsidRPr="00D768EF">
        <w:rPr>
          <w:color w:val="000000"/>
          <w:szCs w:val="22"/>
          <w:lang w:val="sr-Latn-ME"/>
        </w:rPr>
        <w:t xml:space="preserve">se dalje </w:t>
      </w:r>
      <w:r w:rsidR="00C175E4" w:rsidRPr="00D768EF">
        <w:rPr>
          <w:color w:val="000000"/>
          <w:szCs w:val="22"/>
          <w:lang w:val="sr-Latn-ME"/>
        </w:rPr>
        <w:t xml:space="preserve">davati </w:t>
      </w:r>
      <w:r w:rsidR="00010EFF" w:rsidRPr="00D768EF">
        <w:rPr>
          <w:color w:val="000000"/>
          <w:szCs w:val="22"/>
          <w:lang w:val="sr-Latn-ME"/>
        </w:rPr>
        <w:t>infliksimab</w:t>
      </w:r>
      <w:r w:rsidR="00C175E4" w:rsidRPr="00D768EF">
        <w:rPr>
          <w:color w:val="000000"/>
          <w:szCs w:val="22"/>
          <w:lang w:val="sr-Latn-ME"/>
        </w:rPr>
        <w:t xml:space="preserve"> (</w:t>
      </w:r>
      <w:r w:rsidR="00282A1E" w:rsidRPr="00D768EF">
        <w:rPr>
          <w:color w:val="000000"/>
          <w:szCs w:val="22"/>
          <w:lang w:val="sr-Latn-ME"/>
        </w:rPr>
        <w:t>vidjeti</w:t>
      </w:r>
      <w:r w:rsidR="00C175E4" w:rsidRPr="00D768EF">
        <w:rPr>
          <w:color w:val="000000"/>
          <w:szCs w:val="22"/>
          <w:lang w:val="sr-Latn-ME"/>
        </w:rPr>
        <w:t xml:space="preserve"> </w:t>
      </w:r>
      <w:r w:rsidR="00454E9F" w:rsidRPr="00D768EF">
        <w:rPr>
          <w:color w:val="000000"/>
          <w:szCs w:val="22"/>
          <w:lang w:val="sr-Latn-ME"/>
        </w:rPr>
        <w:t>dio</w:t>
      </w:r>
      <w:r w:rsidR="00C175E4" w:rsidRPr="00D768EF">
        <w:rPr>
          <w:color w:val="000000"/>
          <w:szCs w:val="22"/>
          <w:lang w:val="sr-Latn-ME"/>
        </w:rPr>
        <w:t xml:space="preserve"> 4.8).</w:t>
      </w:r>
    </w:p>
    <w:p w14:paraId="43185F0C" w14:textId="77777777" w:rsidR="00C175E4" w:rsidRPr="00D768EF" w:rsidRDefault="00C175E4" w:rsidP="00C175E4">
      <w:pPr>
        <w:rPr>
          <w:color w:val="000000"/>
          <w:szCs w:val="22"/>
          <w:lang w:val="sr-Latn-ME"/>
        </w:rPr>
      </w:pPr>
    </w:p>
    <w:p w14:paraId="19032D9F" w14:textId="7C8E7F12" w:rsidR="00C175E4" w:rsidRPr="00D768EF" w:rsidRDefault="00C175E4" w:rsidP="00C175E4">
      <w:pPr>
        <w:rPr>
          <w:color w:val="000000"/>
          <w:szCs w:val="22"/>
          <w:lang w:val="sr-Latn-ME"/>
        </w:rPr>
      </w:pPr>
      <w:r w:rsidRPr="00D768EF">
        <w:rPr>
          <w:color w:val="000000"/>
          <w:szCs w:val="22"/>
          <w:lang w:val="sr-Latn-ME"/>
        </w:rPr>
        <w:t>U kliničkim studijama prijavljene su reakcije kasne preos</w:t>
      </w:r>
      <w:r w:rsidR="00220982" w:rsidRPr="00D768EF">
        <w:rPr>
          <w:color w:val="000000"/>
          <w:szCs w:val="22"/>
          <w:lang w:val="sr-Latn-ME"/>
        </w:rPr>
        <w:t>j</w:t>
      </w:r>
      <w:r w:rsidRPr="00D768EF">
        <w:rPr>
          <w:color w:val="000000"/>
          <w:szCs w:val="22"/>
          <w:lang w:val="sr-Latn-ME"/>
        </w:rPr>
        <w:t>etljivosti. Dostupni podaci ukazuju na povećani rizik od razvoja reakcija kasne preos</w:t>
      </w:r>
      <w:r w:rsidR="00220982" w:rsidRPr="00D768EF">
        <w:rPr>
          <w:color w:val="000000"/>
          <w:szCs w:val="22"/>
          <w:lang w:val="sr-Latn-ME"/>
        </w:rPr>
        <w:t>j</w:t>
      </w:r>
      <w:r w:rsidRPr="00D768EF">
        <w:rPr>
          <w:color w:val="000000"/>
          <w:szCs w:val="22"/>
          <w:lang w:val="sr-Latn-ME"/>
        </w:rPr>
        <w:t xml:space="preserve">etljivosti što je duži period u kojem se </w:t>
      </w:r>
      <w:r w:rsidR="00010EFF" w:rsidRPr="00D768EF">
        <w:rPr>
          <w:color w:val="000000"/>
          <w:szCs w:val="22"/>
          <w:lang w:val="sr-Latn-ME"/>
        </w:rPr>
        <w:t>infliksimab</w:t>
      </w:r>
      <w:r w:rsidRPr="00D768EF">
        <w:rPr>
          <w:color w:val="000000"/>
          <w:szCs w:val="22"/>
          <w:lang w:val="sr-Latn-ME"/>
        </w:rPr>
        <w:t xml:space="preserve"> ne </w:t>
      </w:r>
      <w:r w:rsidR="00D57936" w:rsidRPr="00D768EF">
        <w:rPr>
          <w:color w:val="000000"/>
          <w:szCs w:val="22"/>
          <w:lang w:val="sr-Latn-ME"/>
        </w:rPr>
        <w:t>primjenju</w:t>
      </w:r>
      <w:r w:rsidRPr="00D768EF">
        <w:rPr>
          <w:color w:val="000000"/>
          <w:szCs w:val="22"/>
          <w:lang w:val="sr-Latn-ME"/>
        </w:rPr>
        <w:t>je. Pacijente treba sav</w:t>
      </w:r>
      <w:r w:rsidR="00220982" w:rsidRPr="00D768EF">
        <w:rPr>
          <w:color w:val="000000"/>
          <w:szCs w:val="22"/>
          <w:lang w:val="sr-Latn-ME"/>
        </w:rPr>
        <w:t>j</w:t>
      </w:r>
      <w:r w:rsidRPr="00D768EF">
        <w:rPr>
          <w:color w:val="000000"/>
          <w:szCs w:val="22"/>
          <w:lang w:val="sr-Latn-ME"/>
        </w:rPr>
        <w:t>etovati da odmah zatraže l</w:t>
      </w:r>
      <w:r w:rsidR="00220982" w:rsidRPr="00D768EF">
        <w:rPr>
          <w:color w:val="000000"/>
          <w:szCs w:val="22"/>
          <w:lang w:val="sr-Latn-ME"/>
        </w:rPr>
        <w:t>j</w:t>
      </w:r>
      <w:r w:rsidRPr="00D768EF">
        <w:rPr>
          <w:color w:val="000000"/>
          <w:szCs w:val="22"/>
          <w:lang w:val="sr-Latn-ME"/>
        </w:rPr>
        <w:t>ekarsku pomoć ukoliko se pojave bilo kakv</w:t>
      </w:r>
      <w:r w:rsidR="00010EFF" w:rsidRPr="00D768EF">
        <w:rPr>
          <w:color w:val="000000"/>
          <w:szCs w:val="22"/>
          <w:lang w:val="sr-Latn-ME"/>
        </w:rPr>
        <w:t>e</w:t>
      </w:r>
      <w:r w:rsidRPr="00D768EF">
        <w:rPr>
          <w:color w:val="000000"/>
          <w:szCs w:val="22"/>
          <w:lang w:val="sr-Latn-ME"/>
        </w:rPr>
        <w:t xml:space="preserve"> zakasnel</w:t>
      </w:r>
      <w:r w:rsidR="00010EFF" w:rsidRPr="00D768EF">
        <w:rPr>
          <w:color w:val="000000"/>
          <w:szCs w:val="22"/>
          <w:lang w:val="sr-Latn-ME"/>
        </w:rPr>
        <w:t>e</w:t>
      </w:r>
      <w:r w:rsidRPr="00D768EF">
        <w:rPr>
          <w:color w:val="000000"/>
          <w:szCs w:val="22"/>
          <w:lang w:val="sr-Latn-ME"/>
        </w:rPr>
        <w:t xml:space="preserve"> neželjen</w:t>
      </w:r>
      <w:r w:rsidR="00010EFF" w:rsidRPr="00D768EF">
        <w:rPr>
          <w:color w:val="000000"/>
          <w:szCs w:val="22"/>
          <w:lang w:val="sr-Latn-ME"/>
        </w:rPr>
        <w:t>e</w:t>
      </w:r>
      <w:r w:rsidRPr="00D768EF">
        <w:rPr>
          <w:color w:val="000000"/>
          <w:szCs w:val="22"/>
          <w:lang w:val="sr-Latn-ME"/>
        </w:rPr>
        <w:t xml:space="preserve"> </w:t>
      </w:r>
      <w:r w:rsidR="00010EFF" w:rsidRPr="00D768EF">
        <w:rPr>
          <w:color w:val="000000"/>
          <w:szCs w:val="22"/>
          <w:lang w:val="sr-Latn-ME"/>
        </w:rPr>
        <w:t>reakcije</w:t>
      </w:r>
      <w:r w:rsidRPr="00D768EF">
        <w:rPr>
          <w:color w:val="000000"/>
          <w:szCs w:val="22"/>
          <w:lang w:val="sr-Latn-ME"/>
        </w:rPr>
        <w:t xml:space="preserve"> (</w:t>
      </w:r>
      <w:r w:rsidR="00282A1E" w:rsidRPr="00D768EF">
        <w:rPr>
          <w:color w:val="000000"/>
          <w:szCs w:val="22"/>
          <w:lang w:val="sr-Latn-ME"/>
        </w:rPr>
        <w:t>vidjeti</w:t>
      </w:r>
      <w:r w:rsidRPr="00D768EF">
        <w:rPr>
          <w:color w:val="000000"/>
          <w:szCs w:val="22"/>
          <w:lang w:val="sr-Latn-ME"/>
        </w:rPr>
        <w:t xml:space="preserve"> </w:t>
      </w:r>
      <w:r w:rsidR="00454E9F" w:rsidRPr="00D768EF">
        <w:rPr>
          <w:color w:val="000000"/>
          <w:szCs w:val="22"/>
          <w:lang w:val="sr-Latn-ME"/>
        </w:rPr>
        <w:t>dio</w:t>
      </w:r>
      <w:r w:rsidRPr="00D768EF">
        <w:rPr>
          <w:color w:val="000000"/>
          <w:szCs w:val="22"/>
          <w:lang w:val="sr-Latn-ME"/>
        </w:rPr>
        <w:t xml:space="preserve"> 4.8). Kada se </w:t>
      </w:r>
      <w:r w:rsidR="00D57936" w:rsidRPr="00D768EF">
        <w:rPr>
          <w:color w:val="000000"/>
          <w:szCs w:val="22"/>
          <w:lang w:val="sr-Latn-ME"/>
        </w:rPr>
        <w:t>liječe</w:t>
      </w:r>
      <w:r w:rsidRPr="00D768EF">
        <w:rPr>
          <w:color w:val="000000"/>
          <w:szCs w:val="22"/>
          <w:lang w:val="sr-Latn-ME"/>
        </w:rPr>
        <w:t xml:space="preserve">nje ponavlja posle dužeg perioda, pacijenti moraju </w:t>
      </w:r>
      <w:r w:rsidR="00B750A5" w:rsidRPr="00D768EF">
        <w:rPr>
          <w:color w:val="000000"/>
          <w:szCs w:val="22"/>
          <w:lang w:val="sr-Latn-ME"/>
        </w:rPr>
        <w:t>biti</w:t>
      </w:r>
      <w:r w:rsidRPr="00D768EF">
        <w:rPr>
          <w:color w:val="000000"/>
          <w:szCs w:val="22"/>
          <w:lang w:val="sr-Latn-ME"/>
        </w:rPr>
        <w:t xml:space="preserve"> </w:t>
      </w:r>
      <w:r w:rsidR="00B750A5" w:rsidRPr="00D768EF">
        <w:rPr>
          <w:color w:val="000000"/>
          <w:szCs w:val="22"/>
          <w:lang w:val="sr-Latn-ME"/>
        </w:rPr>
        <w:t xml:space="preserve">pod strogim </w:t>
      </w:r>
      <w:r w:rsidRPr="00D768EF">
        <w:rPr>
          <w:color w:val="000000"/>
          <w:szCs w:val="22"/>
          <w:lang w:val="sr-Latn-ME"/>
        </w:rPr>
        <w:t>nadz</w:t>
      </w:r>
      <w:r w:rsidR="00B750A5" w:rsidRPr="00D768EF">
        <w:rPr>
          <w:color w:val="000000"/>
          <w:szCs w:val="22"/>
          <w:lang w:val="sr-Latn-ME"/>
        </w:rPr>
        <w:t>orom</w:t>
      </w:r>
      <w:r w:rsidRPr="00D768EF">
        <w:rPr>
          <w:color w:val="000000"/>
          <w:szCs w:val="22"/>
          <w:lang w:val="sr-Latn-ME"/>
        </w:rPr>
        <w:t xml:space="preserve"> zbog mogućih znakova i simptoma reakcija kasne preos</w:t>
      </w:r>
      <w:r w:rsidR="00220982" w:rsidRPr="00D768EF">
        <w:rPr>
          <w:color w:val="000000"/>
          <w:szCs w:val="22"/>
          <w:lang w:val="sr-Latn-ME"/>
        </w:rPr>
        <w:t>j</w:t>
      </w:r>
      <w:r w:rsidRPr="00D768EF">
        <w:rPr>
          <w:color w:val="000000"/>
          <w:szCs w:val="22"/>
          <w:lang w:val="sr-Latn-ME"/>
        </w:rPr>
        <w:t>etljivosti.</w:t>
      </w:r>
    </w:p>
    <w:p w14:paraId="29F9F392" w14:textId="77777777" w:rsidR="00C175E4" w:rsidRPr="00D768EF" w:rsidRDefault="00C175E4" w:rsidP="00C175E4">
      <w:pPr>
        <w:rPr>
          <w:color w:val="000000"/>
          <w:szCs w:val="22"/>
          <w:lang w:val="sr-Latn-ME"/>
        </w:rPr>
      </w:pPr>
    </w:p>
    <w:p w14:paraId="7501F477" w14:textId="77777777" w:rsidR="00C175E4" w:rsidRPr="00D768EF" w:rsidRDefault="00C175E4" w:rsidP="00C175E4">
      <w:pPr>
        <w:rPr>
          <w:color w:val="000000"/>
          <w:szCs w:val="22"/>
          <w:u w:val="single"/>
          <w:lang w:val="sr-Latn-ME"/>
        </w:rPr>
      </w:pPr>
      <w:r w:rsidRPr="00D768EF">
        <w:rPr>
          <w:color w:val="000000"/>
          <w:szCs w:val="22"/>
          <w:u w:val="single"/>
          <w:lang w:val="sr-Latn-ME"/>
        </w:rPr>
        <w:t>Infekcije</w:t>
      </w:r>
    </w:p>
    <w:p w14:paraId="670C5D8F" w14:textId="1ECB790A" w:rsidR="00C175E4" w:rsidRPr="00D768EF" w:rsidRDefault="00B750A5" w:rsidP="00C175E4">
      <w:pPr>
        <w:rPr>
          <w:szCs w:val="22"/>
          <w:lang w:val="sr-Latn-ME"/>
        </w:rPr>
      </w:pPr>
      <w:r w:rsidRPr="00D768EF">
        <w:rPr>
          <w:color w:val="000000"/>
          <w:szCs w:val="22"/>
          <w:lang w:val="sr-Latn-ME"/>
        </w:rPr>
        <w:t>P</w:t>
      </w:r>
      <w:r w:rsidR="00C175E4" w:rsidRPr="00D768EF">
        <w:rPr>
          <w:color w:val="000000"/>
          <w:szCs w:val="22"/>
          <w:lang w:val="sr-Latn-ME"/>
        </w:rPr>
        <w:t xml:space="preserve">acijenti moraju da budu pod strogim nadzorom zbog infekcije, </w:t>
      </w:r>
      <w:r w:rsidR="00C175E4" w:rsidRPr="00D768EF">
        <w:rPr>
          <w:szCs w:val="22"/>
          <w:lang w:val="sr-Latn-ME"/>
        </w:rPr>
        <w:t>uključujući tuberkulozu</w:t>
      </w:r>
      <w:r w:rsidRPr="00D768EF">
        <w:rPr>
          <w:szCs w:val="22"/>
          <w:lang w:val="sr-Latn-ME"/>
        </w:rPr>
        <w:t>, prije, u toku i nakon liječenja infliksimabom</w:t>
      </w:r>
      <w:r w:rsidR="00C175E4" w:rsidRPr="00D768EF">
        <w:rPr>
          <w:szCs w:val="22"/>
          <w:lang w:val="sr-Latn-ME"/>
        </w:rPr>
        <w:t>. Budući da eliminacija infliksimaba može da traje i do šest m</w:t>
      </w:r>
      <w:r w:rsidR="00220982" w:rsidRPr="00D768EF">
        <w:rPr>
          <w:szCs w:val="22"/>
          <w:lang w:val="sr-Latn-ME"/>
        </w:rPr>
        <w:t>j</w:t>
      </w:r>
      <w:r w:rsidR="00C175E4" w:rsidRPr="00D768EF">
        <w:rPr>
          <w:szCs w:val="22"/>
          <w:lang w:val="sr-Latn-ME"/>
        </w:rPr>
        <w:t>eseci, nadzor treba nastaviti tokom c</w:t>
      </w:r>
      <w:r w:rsidR="00220982" w:rsidRPr="00D768EF">
        <w:rPr>
          <w:szCs w:val="22"/>
          <w:lang w:val="sr-Latn-ME"/>
        </w:rPr>
        <w:t>ij</w:t>
      </w:r>
      <w:r w:rsidR="00C175E4" w:rsidRPr="00D768EF">
        <w:rPr>
          <w:szCs w:val="22"/>
          <w:lang w:val="sr-Latn-ME"/>
        </w:rPr>
        <w:t xml:space="preserve">elog ovog perioda. Ukoliko se kod pacijenta razvije teška infekcija ili sepsa, mora se obustaviti </w:t>
      </w:r>
      <w:r w:rsidR="00D57936" w:rsidRPr="00D768EF">
        <w:rPr>
          <w:szCs w:val="22"/>
          <w:lang w:val="sr-Latn-ME"/>
        </w:rPr>
        <w:t>primjena</w:t>
      </w:r>
      <w:r w:rsidR="00C175E4" w:rsidRPr="00D768EF">
        <w:rPr>
          <w:szCs w:val="22"/>
          <w:lang w:val="sr-Latn-ME"/>
        </w:rPr>
        <w:t xml:space="preserve"> </w:t>
      </w:r>
      <w:r w:rsidR="00010EFF" w:rsidRPr="00D768EF">
        <w:rPr>
          <w:color w:val="000000"/>
          <w:szCs w:val="22"/>
          <w:lang w:val="sr-Latn-ME"/>
        </w:rPr>
        <w:t>infliksimaba</w:t>
      </w:r>
      <w:r w:rsidR="00C175E4" w:rsidRPr="00D768EF">
        <w:rPr>
          <w:szCs w:val="22"/>
          <w:lang w:val="sr-Latn-ME"/>
        </w:rPr>
        <w:t>.</w:t>
      </w:r>
    </w:p>
    <w:p w14:paraId="606E192E" w14:textId="77777777" w:rsidR="00C175E4" w:rsidRPr="00D768EF" w:rsidRDefault="00C175E4" w:rsidP="00C175E4">
      <w:pPr>
        <w:autoSpaceDE w:val="0"/>
        <w:autoSpaceDN w:val="0"/>
        <w:adjustRightInd w:val="0"/>
        <w:rPr>
          <w:szCs w:val="22"/>
          <w:lang w:val="sr-Latn-ME"/>
        </w:rPr>
      </w:pPr>
    </w:p>
    <w:p w14:paraId="7AC8D891" w14:textId="0900BBA4" w:rsidR="00C175E4" w:rsidRPr="00D768EF" w:rsidRDefault="00C175E4" w:rsidP="00C175E4">
      <w:pPr>
        <w:autoSpaceDE w:val="0"/>
        <w:autoSpaceDN w:val="0"/>
        <w:adjustRightInd w:val="0"/>
        <w:rPr>
          <w:color w:val="000000"/>
          <w:szCs w:val="22"/>
          <w:lang w:val="sr-Latn-ME" w:eastAsia="sv-SE"/>
        </w:rPr>
      </w:pPr>
      <w:r w:rsidRPr="00D768EF">
        <w:rPr>
          <w:color w:val="000000"/>
          <w:szCs w:val="22"/>
          <w:lang w:val="sr-Latn-ME" w:eastAsia="sv-SE"/>
        </w:rPr>
        <w:t>Treba posebno voditi računa kada se razmatra mogućnost prim</w:t>
      </w:r>
      <w:r w:rsidR="00220982" w:rsidRPr="00D768EF">
        <w:rPr>
          <w:color w:val="000000"/>
          <w:szCs w:val="22"/>
          <w:lang w:val="sr-Latn-ME" w:eastAsia="sv-SE"/>
        </w:rPr>
        <w:t>j</w:t>
      </w:r>
      <w:r w:rsidRPr="00D768EF">
        <w:rPr>
          <w:color w:val="000000"/>
          <w:szCs w:val="22"/>
          <w:lang w:val="sr-Latn-ME" w:eastAsia="sv-SE"/>
        </w:rPr>
        <w:t xml:space="preserve">ene </w:t>
      </w:r>
      <w:r w:rsidR="00010EFF" w:rsidRPr="00D768EF">
        <w:rPr>
          <w:color w:val="000000"/>
          <w:szCs w:val="22"/>
          <w:lang w:val="sr-Latn-ME"/>
        </w:rPr>
        <w:t>infliksimaba</w:t>
      </w:r>
      <w:r w:rsidRPr="00D768EF">
        <w:rPr>
          <w:color w:val="000000"/>
          <w:szCs w:val="22"/>
          <w:lang w:val="sr-Latn-ME" w:eastAsia="sv-SE"/>
        </w:rPr>
        <w:t xml:space="preserve"> kod pacijenata sa hroničnim ili rekurentnim infekcijama, uključujući one koji istovremeno primaju imunosupresivnu terapiju. </w:t>
      </w:r>
      <w:r w:rsidRPr="00D768EF">
        <w:rPr>
          <w:color w:val="000000"/>
          <w:szCs w:val="22"/>
          <w:lang w:val="sr-Latn-ME"/>
        </w:rPr>
        <w:t xml:space="preserve">Pacijente treba upoznati sa potencijalnim </w:t>
      </w:r>
      <w:r w:rsidRPr="00D768EF">
        <w:rPr>
          <w:color w:val="000000"/>
          <w:szCs w:val="22"/>
          <w:lang w:val="sr-Latn-ME" w:eastAsia="sv-SE"/>
        </w:rPr>
        <w:t>faktorima rizika za razvoj infekcije i savetovati im njihovo izb</w:t>
      </w:r>
      <w:r w:rsidR="00220982" w:rsidRPr="00D768EF">
        <w:rPr>
          <w:color w:val="000000"/>
          <w:szCs w:val="22"/>
          <w:lang w:val="sr-Latn-ME" w:eastAsia="sv-SE"/>
        </w:rPr>
        <w:t>j</w:t>
      </w:r>
      <w:r w:rsidRPr="00D768EF">
        <w:rPr>
          <w:color w:val="000000"/>
          <w:szCs w:val="22"/>
          <w:lang w:val="sr-Latn-ME" w:eastAsia="sv-SE"/>
        </w:rPr>
        <w:t>egavanje na odgovarajući način.</w:t>
      </w:r>
    </w:p>
    <w:p w14:paraId="0629313C" w14:textId="77777777" w:rsidR="00C175E4" w:rsidRPr="00D768EF" w:rsidRDefault="00C175E4" w:rsidP="00C175E4">
      <w:pPr>
        <w:rPr>
          <w:szCs w:val="22"/>
          <w:lang w:val="sr-Latn-ME"/>
        </w:rPr>
      </w:pPr>
      <w:r w:rsidRPr="00D768EF">
        <w:rPr>
          <w:szCs w:val="22"/>
          <w:lang w:val="sr-Latn-ME"/>
        </w:rPr>
        <w:t xml:space="preserve"> </w:t>
      </w:r>
    </w:p>
    <w:p w14:paraId="75527654" w14:textId="7EEF3332" w:rsidR="00C175E4" w:rsidRPr="00D768EF" w:rsidRDefault="00C175E4" w:rsidP="00C175E4">
      <w:pPr>
        <w:autoSpaceDE w:val="0"/>
        <w:autoSpaceDN w:val="0"/>
        <w:adjustRightInd w:val="0"/>
        <w:rPr>
          <w:color w:val="000000"/>
          <w:szCs w:val="22"/>
          <w:lang w:val="sr-Latn-ME"/>
        </w:rPr>
      </w:pPr>
      <w:r w:rsidRPr="00D768EF">
        <w:rPr>
          <w:color w:val="000000"/>
          <w:szCs w:val="22"/>
          <w:lang w:val="sr-Latn-ME"/>
        </w:rPr>
        <w:t>Faktor nekroze tumora alfa (</w:t>
      </w:r>
      <w:bookmarkStart w:id="3" w:name="OLE_LINK5"/>
      <w:r w:rsidRPr="00D768EF">
        <w:rPr>
          <w:color w:val="000000"/>
          <w:szCs w:val="22"/>
          <w:lang w:val="sr-Latn-ME"/>
        </w:rPr>
        <w:t>TNF</w:t>
      </w:r>
      <w:r w:rsidRPr="00D768EF">
        <w:rPr>
          <w:color w:val="000000"/>
          <w:szCs w:val="22"/>
          <w:vertAlign w:val="subscript"/>
          <w:lang w:val="sr-Latn-ME"/>
        </w:rPr>
        <w:sym w:font="Symbol" w:char="F061"/>
      </w:r>
      <w:bookmarkEnd w:id="3"/>
      <w:r w:rsidRPr="00D768EF">
        <w:rPr>
          <w:color w:val="000000"/>
          <w:szCs w:val="22"/>
          <w:lang w:val="sr-Latn-ME"/>
        </w:rPr>
        <w:t>) posreduje u inflamaciji i modulira ćelijske imun</w:t>
      </w:r>
      <w:r w:rsidR="00B750A5" w:rsidRPr="00D768EF">
        <w:rPr>
          <w:color w:val="000000"/>
          <w:szCs w:val="22"/>
          <w:lang w:val="sr-Latn-ME"/>
        </w:rPr>
        <w:t>ske</w:t>
      </w:r>
      <w:r w:rsidRPr="00D768EF">
        <w:rPr>
          <w:color w:val="000000"/>
          <w:szCs w:val="22"/>
          <w:lang w:val="sr-Latn-ME"/>
        </w:rPr>
        <w:t xml:space="preserve"> odgovore. Eksperimentalni podaci pokazuju da je TNF</w:t>
      </w:r>
      <w:r w:rsidRPr="00D768EF">
        <w:rPr>
          <w:color w:val="000000"/>
          <w:szCs w:val="22"/>
          <w:vertAlign w:val="subscript"/>
          <w:lang w:val="sr-Latn-ME"/>
        </w:rPr>
        <w:sym w:font="Symbol" w:char="F061"/>
      </w:r>
      <w:r w:rsidRPr="00D768EF">
        <w:rPr>
          <w:color w:val="000000"/>
          <w:szCs w:val="22"/>
          <w:lang w:val="sr-Latn-ME"/>
        </w:rPr>
        <w:t xml:space="preserve"> ključan za uklanjanje intracelularnih infekcija. Kliničko iskustvo pokazuje da je odbrana domaćina od infekcije kompromitovana kod pojedinih pacijenata koji su primali infliksimab. </w:t>
      </w:r>
    </w:p>
    <w:p w14:paraId="779262CF" w14:textId="77777777" w:rsidR="00C175E4" w:rsidRPr="00D768EF" w:rsidRDefault="00C175E4" w:rsidP="00C175E4">
      <w:pPr>
        <w:autoSpaceDE w:val="0"/>
        <w:autoSpaceDN w:val="0"/>
        <w:adjustRightInd w:val="0"/>
        <w:rPr>
          <w:color w:val="000000"/>
          <w:szCs w:val="22"/>
          <w:lang w:val="sr-Latn-ME"/>
        </w:rPr>
      </w:pPr>
    </w:p>
    <w:p w14:paraId="45E5876D" w14:textId="5B5ED0B8" w:rsidR="00C175E4" w:rsidRPr="00D768EF" w:rsidRDefault="00C175E4" w:rsidP="00C175E4">
      <w:pPr>
        <w:autoSpaceDE w:val="0"/>
        <w:autoSpaceDN w:val="0"/>
        <w:adjustRightInd w:val="0"/>
        <w:rPr>
          <w:color w:val="000000"/>
          <w:szCs w:val="22"/>
          <w:lang w:val="sr-Latn-ME" w:eastAsia="sv-SE"/>
        </w:rPr>
      </w:pPr>
      <w:r w:rsidRPr="00D768EF">
        <w:rPr>
          <w:color w:val="000000"/>
          <w:szCs w:val="22"/>
          <w:lang w:val="sr-Latn-ME"/>
        </w:rPr>
        <w:t>Treba napomenuti da supresija TNF</w:t>
      </w:r>
      <w:r w:rsidRPr="00D768EF">
        <w:rPr>
          <w:color w:val="000000"/>
          <w:szCs w:val="22"/>
          <w:vertAlign w:val="subscript"/>
          <w:lang w:val="sr-Latn-ME"/>
        </w:rPr>
        <w:sym w:font="Symbol" w:char="F061"/>
      </w:r>
      <w:r w:rsidRPr="00D768EF">
        <w:rPr>
          <w:color w:val="000000"/>
          <w:szCs w:val="22"/>
          <w:lang w:val="sr-Latn-ME"/>
        </w:rPr>
        <w:t xml:space="preserve"> može da maskira simptome infekcije kao što je povišena </w:t>
      </w:r>
      <w:r w:rsidR="00B750A5" w:rsidRPr="00D768EF">
        <w:rPr>
          <w:color w:val="000000"/>
          <w:szCs w:val="22"/>
          <w:lang w:val="sr-Latn-ME"/>
        </w:rPr>
        <w:t>t</w:t>
      </w:r>
      <w:r w:rsidR="00853D98" w:rsidRPr="00D768EF">
        <w:rPr>
          <w:color w:val="000000"/>
          <w:szCs w:val="22"/>
          <w:lang w:val="sr-Latn-ME"/>
        </w:rPr>
        <w:t>j</w:t>
      </w:r>
      <w:r w:rsidR="00B750A5" w:rsidRPr="00D768EF">
        <w:rPr>
          <w:color w:val="000000"/>
          <w:szCs w:val="22"/>
          <w:lang w:val="sr-Latn-ME"/>
        </w:rPr>
        <w:t xml:space="preserve">elesna </w:t>
      </w:r>
      <w:r w:rsidRPr="00D768EF">
        <w:rPr>
          <w:color w:val="000000"/>
          <w:szCs w:val="22"/>
          <w:lang w:val="sr-Latn-ME"/>
        </w:rPr>
        <w:t>temperatura.</w:t>
      </w:r>
      <w:r w:rsidRPr="00D768EF">
        <w:rPr>
          <w:color w:val="000000"/>
          <w:szCs w:val="22"/>
          <w:lang w:val="sr-Latn-ME" w:eastAsia="sv-SE"/>
        </w:rPr>
        <w:t xml:space="preserve"> Rano prepoznavanje netipične kliničke slike teške infekcije kao i tipične kliničke slike retke i neuobičajene infekcije od ključne je važnosti </w:t>
      </w:r>
      <w:r w:rsidRPr="00D768EF">
        <w:rPr>
          <w:szCs w:val="22"/>
          <w:lang w:val="sr-Latn-ME"/>
        </w:rPr>
        <w:t>kako</w:t>
      </w:r>
      <w:r w:rsidRPr="00D768EF">
        <w:rPr>
          <w:color w:val="000000"/>
          <w:szCs w:val="22"/>
          <w:lang w:val="sr-Latn-ME" w:eastAsia="sv-SE"/>
        </w:rPr>
        <w:t xml:space="preserve"> bi se smanjilo kašnjenje u postavljanju dijagnoze i </w:t>
      </w:r>
      <w:r w:rsidR="00D57936" w:rsidRPr="00D768EF">
        <w:rPr>
          <w:color w:val="000000"/>
          <w:szCs w:val="22"/>
          <w:lang w:val="sr-Latn-ME" w:eastAsia="sv-SE"/>
        </w:rPr>
        <w:t>liječe</w:t>
      </w:r>
      <w:r w:rsidRPr="00D768EF">
        <w:rPr>
          <w:color w:val="000000"/>
          <w:szCs w:val="22"/>
          <w:lang w:val="sr-Latn-ME" w:eastAsia="sv-SE"/>
        </w:rPr>
        <w:t>nju.</w:t>
      </w:r>
    </w:p>
    <w:p w14:paraId="11892D8D" w14:textId="77777777" w:rsidR="00C175E4" w:rsidRPr="00D768EF" w:rsidRDefault="00C175E4" w:rsidP="00C175E4">
      <w:pPr>
        <w:rPr>
          <w:color w:val="000000"/>
          <w:szCs w:val="22"/>
          <w:lang w:val="sr-Latn-ME"/>
        </w:rPr>
      </w:pPr>
    </w:p>
    <w:p w14:paraId="56A5429A" w14:textId="77777777" w:rsidR="00C175E4" w:rsidRPr="00D768EF" w:rsidRDefault="00C175E4" w:rsidP="00C175E4">
      <w:pPr>
        <w:rPr>
          <w:szCs w:val="22"/>
          <w:lang w:val="sr-Latn-ME"/>
        </w:rPr>
      </w:pPr>
      <w:r w:rsidRPr="00D768EF">
        <w:rPr>
          <w:szCs w:val="22"/>
          <w:lang w:val="sr-Latn-ME"/>
        </w:rPr>
        <w:t xml:space="preserve">Pacijenti koji primaju TNF-blokatore su podložniji ozbiljnim infekcijama. </w:t>
      </w:r>
    </w:p>
    <w:p w14:paraId="1CF8F99F" w14:textId="77777777" w:rsidR="00010EFF" w:rsidRPr="00D768EF" w:rsidRDefault="00010EFF" w:rsidP="00C175E4">
      <w:pPr>
        <w:rPr>
          <w:szCs w:val="22"/>
          <w:lang w:val="sr-Latn-ME"/>
        </w:rPr>
      </w:pPr>
    </w:p>
    <w:p w14:paraId="168CFCEA" w14:textId="49D0EED3" w:rsidR="00C175E4" w:rsidRPr="00D768EF" w:rsidRDefault="00C175E4" w:rsidP="00C175E4">
      <w:pPr>
        <w:rPr>
          <w:szCs w:val="22"/>
          <w:lang w:val="sr-Latn-ME"/>
        </w:rPr>
      </w:pPr>
      <w:r w:rsidRPr="00D768EF">
        <w:rPr>
          <w:szCs w:val="22"/>
          <w:lang w:val="sr-Latn-ME" w:eastAsia="sv-SE"/>
        </w:rPr>
        <w:t xml:space="preserve">Tuberkuloza, bakterijske infekcije </w:t>
      </w:r>
      <w:r w:rsidRPr="00D768EF">
        <w:rPr>
          <w:szCs w:val="22"/>
          <w:lang w:val="sr-Latn-ME"/>
        </w:rPr>
        <w:t>uključujući sepsu i pneumoniju</w:t>
      </w:r>
      <w:r w:rsidRPr="00D768EF">
        <w:rPr>
          <w:szCs w:val="22"/>
          <w:lang w:val="sr-Latn-ME" w:eastAsia="sv-SE"/>
        </w:rPr>
        <w:t>, invazivne gljivične, virusne i druge oportunističke infekcije, prim</w:t>
      </w:r>
      <w:r w:rsidR="00C3214E" w:rsidRPr="00D768EF">
        <w:rPr>
          <w:szCs w:val="22"/>
          <w:lang w:val="sr-Latn-ME" w:eastAsia="sv-SE"/>
        </w:rPr>
        <w:t>ij</w:t>
      </w:r>
      <w:r w:rsidRPr="00D768EF">
        <w:rPr>
          <w:szCs w:val="22"/>
          <w:lang w:val="sr-Latn-ME" w:eastAsia="sv-SE"/>
        </w:rPr>
        <w:t xml:space="preserve">ećene su kod pacijenata </w:t>
      </w:r>
      <w:r w:rsidR="00D57936" w:rsidRPr="00D768EF">
        <w:rPr>
          <w:szCs w:val="22"/>
          <w:lang w:val="sr-Latn-ME" w:eastAsia="sv-SE"/>
        </w:rPr>
        <w:t>liječe</w:t>
      </w:r>
      <w:r w:rsidRPr="00D768EF">
        <w:rPr>
          <w:szCs w:val="22"/>
          <w:lang w:val="sr-Latn-ME" w:eastAsia="sv-SE"/>
        </w:rPr>
        <w:t>nih</w:t>
      </w:r>
      <w:r w:rsidRPr="00D768EF">
        <w:rPr>
          <w:szCs w:val="22"/>
          <w:lang w:val="sr-Latn-ME"/>
        </w:rPr>
        <w:t xml:space="preserve"> infliksimabom. Neke od ovih infekcija su imale smrtni ishod</w:t>
      </w:r>
      <w:r w:rsidR="00131D02" w:rsidRPr="00D768EF">
        <w:rPr>
          <w:szCs w:val="22"/>
          <w:lang w:val="sr-Latn-ME"/>
        </w:rPr>
        <w:t>.</w:t>
      </w:r>
      <w:r w:rsidRPr="00D768EF">
        <w:rPr>
          <w:szCs w:val="22"/>
          <w:lang w:val="sr-Latn-ME"/>
        </w:rPr>
        <w:t xml:space="preserve"> </w:t>
      </w:r>
      <w:r w:rsidR="00131D02" w:rsidRPr="00D768EF">
        <w:rPr>
          <w:szCs w:val="22"/>
          <w:lang w:val="sr-Latn-ME" w:eastAsia="sv-SE"/>
        </w:rPr>
        <w:t>N</w:t>
      </w:r>
      <w:r w:rsidRPr="00D768EF">
        <w:rPr>
          <w:szCs w:val="22"/>
          <w:lang w:val="sr-Latn-ME" w:eastAsia="sv-SE"/>
        </w:rPr>
        <w:t xml:space="preserve">ajčešće prijavljivane oportunističke infekcije sa stopom smrtnosti &gt;5% uključuju pneumocistozu, </w:t>
      </w:r>
      <w:r w:rsidRPr="00D768EF">
        <w:rPr>
          <w:iCs/>
          <w:szCs w:val="22"/>
          <w:lang w:val="sr-Latn-ME" w:eastAsia="sv-SE"/>
        </w:rPr>
        <w:t>kandidijazu</w:t>
      </w:r>
      <w:r w:rsidRPr="00D768EF">
        <w:rPr>
          <w:szCs w:val="22"/>
          <w:lang w:val="sr-Latn-ME" w:eastAsia="sv-SE"/>
        </w:rPr>
        <w:t>, listeriozu i aspergilozu</w:t>
      </w:r>
      <w:r w:rsidRPr="00D768EF">
        <w:rPr>
          <w:szCs w:val="22"/>
          <w:lang w:val="sr-Latn-ME"/>
        </w:rPr>
        <w:t xml:space="preserve">. </w:t>
      </w:r>
    </w:p>
    <w:p w14:paraId="39CF60AB" w14:textId="71D07FA1" w:rsidR="00010EFF" w:rsidRPr="00D768EF" w:rsidRDefault="00010EFF" w:rsidP="00C175E4">
      <w:pPr>
        <w:rPr>
          <w:szCs w:val="22"/>
          <w:lang w:val="sr-Latn-ME"/>
        </w:rPr>
      </w:pPr>
    </w:p>
    <w:p w14:paraId="63BC5AC8" w14:textId="7D48C1C2" w:rsidR="00C175E4" w:rsidRPr="00D768EF" w:rsidRDefault="00C175E4" w:rsidP="00C175E4">
      <w:pPr>
        <w:autoSpaceDE w:val="0"/>
        <w:autoSpaceDN w:val="0"/>
        <w:adjustRightInd w:val="0"/>
        <w:rPr>
          <w:szCs w:val="22"/>
          <w:lang w:val="sr-Latn-ME"/>
        </w:rPr>
      </w:pPr>
      <w:r w:rsidRPr="00D768EF">
        <w:rPr>
          <w:szCs w:val="22"/>
          <w:lang w:val="sr-Latn-ME"/>
        </w:rPr>
        <w:t xml:space="preserve">Pacijenti koji tokom </w:t>
      </w:r>
      <w:r w:rsidR="00D57936" w:rsidRPr="00D768EF">
        <w:rPr>
          <w:szCs w:val="22"/>
          <w:lang w:val="sr-Latn-ME"/>
        </w:rPr>
        <w:t>liječe</w:t>
      </w:r>
      <w:r w:rsidRPr="00D768EF">
        <w:rPr>
          <w:szCs w:val="22"/>
          <w:lang w:val="sr-Latn-ME"/>
        </w:rPr>
        <w:t xml:space="preserve">nja </w:t>
      </w:r>
      <w:r w:rsidR="00010EFF" w:rsidRPr="00D768EF">
        <w:rPr>
          <w:color w:val="000000"/>
          <w:szCs w:val="22"/>
          <w:lang w:val="sr-Latn-ME"/>
        </w:rPr>
        <w:t>infliksimabom</w:t>
      </w:r>
      <w:r w:rsidRPr="00D768EF">
        <w:rPr>
          <w:szCs w:val="22"/>
          <w:lang w:val="sr-Latn-ME"/>
        </w:rPr>
        <w:t xml:space="preserve"> razviju novu infekciju, moraju da budu pod strogim nadzorom i da budu podvrgnuti kompletnoj dijagnostičkoj evaluaciji. Prim</w:t>
      </w:r>
      <w:r w:rsidR="00220982" w:rsidRPr="00D768EF">
        <w:rPr>
          <w:szCs w:val="22"/>
          <w:lang w:val="sr-Latn-ME"/>
        </w:rPr>
        <w:t>j</w:t>
      </w:r>
      <w:r w:rsidRPr="00D768EF">
        <w:rPr>
          <w:szCs w:val="22"/>
          <w:lang w:val="sr-Latn-ME"/>
        </w:rPr>
        <w:t xml:space="preserve">enu </w:t>
      </w:r>
      <w:r w:rsidR="00010EFF" w:rsidRPr="00D768EF">
        <w:rPr>
          <w:color w:val="000000"/>
          <w:szCs w:val="22"/>
          <w:lang w:val="sr-Latn-ME"/>
        </w:rPr>
        <w:t>infliksimaba</w:t>
      </w:r>
      <w:r w:rsidRPr="00D768EF">
        <w:rPr>
          <w:szCs w:val="22"/>
          <w:lang w:val="sr-Latn-ME"/>
        </w:rPr>
        <w:t xml:space="preserve"> treba prekinuti ukoliko pacijent razvije novu ozbiljnu infekciju ili sepsu, i potrebno je započeti odgovarajuću antibakterijsku ili anti-gljivičnu terapiju sve dok infekcija ne bude pod kontrolom. </w:t>
      </w:r>
    </w:p>
    <w:p w14:paraId="4BF3A29E" w14:textId="77777777" w:rsidR="00C175E4" w:rsidRPr="00D768EF" w:rsidRDefault="00C175E4" w:rsidP="00C175E4">
      <w:pPr>
        <w:rPr>
          <w:color w:val="000000"/>
          <w:szCs w:val="22"/>
          <w:lang w:val="sr-Latn-ME" w:eastAsia="sv-SE"/>
        </w:rPr>
      </w:pPr>
    </w:p>
    <w:p w14:paraId="5CB259D1" w14:textId="77777777" w:rsidR="00C175E4" w:rsidRPr="00D768EF" w:rsidRDefault="00C175E4" w:rsidP="00C175E4">
      <w:pPr>
        <w:rPr>
          <w:i/>
          <w:szCs w:val="22"/>
          <w:u w:val="single"/>
          <w:lang w:val="sr-Latn-ME"/>
        </w:rPr>
      </w:pPr>
      <w:r w:rsidRPr="00D768EF">
        <w:rPr>
          <w:i/>
          <w:szCs w:val="22"/>
          <w:u w:val="single"/>
          <w:lang w:val="sr-Latn-ME"/>
        </w:rPr>
        <w:t>Tuberkuloza</w:t>
      </w:r>
    </w:p>
    <w:p w14:paraId="412C9FA3" w14:textId="42F7F58F" w:rsidR="00C175E4" w:rsidRPr="00D768EF" w:rsidRDefault="00131D02" w:rsidP="00C175E4">
      <w:pPr>
        <w:pStyle w:val="Default"/>
        <w:jc w:val="both"/>
        <w:rPr>
          <w:sz w:val="22"/>
          <w:szCs w:val="22"/>
          <w:lang w:val="sr-Latn-ME"/>
        </w:rPr>
      </w:pPr>
      <w:r w:rsidRPr="00D768EF">
        <w:rPr>
          <w:sz w:val="22"/>
          <w:szCs w:val="22"/>
          <w:lang w:val="sr-Latn-ME"/>
        </w:rPr>
        <w:t>P</w:t>
      </w:r>
      <w:r w:rsidR="00C175E4" w:rsidRPr="00D768EF">
        <w:rPr>
          <w:sz w:val="22"/>
          <w:szCs w:val="22"/>
          <w:lang w:val="sr-Latn-ME"/>
        </w:rPr>
        <w:t>rijavljeni su slučajevi aktivne tuberkuloze</w:t>
      </w:r>
      <w:r w:rsidRPr="00D768EF">
        <w:rPr>
          <w:sz w:val="22"/>
          <w:szCs w:val="22"/>
          <w:lang w:val="sr-Latn-ME"/>
        </w:rPr>
        <w:t xml:space="preserve"> kod pacijenata liječenih infiksimabom</w:t>
      </w:r>
      <w:r w:rsidR="00C175E4" w:rsidRPr="00D768EF">
        <w:rPr>
          <w:sz w:val="22"/>
          <w:szCs w:val="22"/>
          <w:lang w:val="sr-Latn-ME"/>
        </w:rPr>
        <w:t xml:space="preserve">. Treba napomenuti da je u većini ovih slučajeva ustanovljena ekstrapulmonalna tuberkuloza, koja se javila ili kao lokalna ili kao diseminovana bolest. </w:t>
      </w:r>
    </w:p>
    <w:p w14:paraId="67F4FB97" w14:textId="77777777" w:rsidR="00C175E4" w:rsidRPr="00D768EF" w:rsidRDefault="00C175E4" w:rsidP="00C175E4">
      <w:pPr>
        <w:rPr>
          <w:color w:val="000000"/>
          <w:szCs w:val="22"/>
          <w:lang w:val="sr-Latn-ME" w:eastAsia="sv-SE"/>
        </w:rPr>
      </w:pPr>
    </w:p>
    <w:p w14:paraId="3C64C5B8" w14:textId="3D945873" w:rsidR="00C175E4" w:rsidRPr="00D768EF" w:rsidRDefault="00C175E4" w:rsidP="00C175E4">
      <w:pPr>
        <w:rPr>
          <w:snapToGrid w:val="0"/>
          <w:color w:val="000000"/>
          <w:szCs w:val="22"/>
          <w:lang w:val="sr-Latn-ME"/>
        </w:rPr>
      </w:pPr>
      <w:r w:rsidRPr="00D768EF">
        <w:rPr>
          <w:color w:val="000000"/>
          <w:szCs w:val="22"/>
          <w:lang w:val="sr-Latn-ME"/>
        </w:rPr>
        <w:t>Pr</w:t>
      </w:r>
      <w:r w:rsidR="00220982" w:rsidRPr="00D768EF">
        <w:rPr>
          <w:color w:val="000000"/>
          <w:szCs w:val="22"/>
          <w:lang w:val="sr-Latn-ME"/>
        </w:rPr>
        <w:t>ij</w:t>
      </w:r>
      <w:r w:rsidRPr="00D768EF">
        <w:rPr>
          <w:color w:val="000000"/>
          <w:szCs w:val="22"/>
          <w:lang w:val="sr-Latn-ME"/>
        </w:rPr>
        <w:t xml:space="preserve">e početka </w:t>
      </w:r>
      <w:r w:rsidR="00D57936" w:rsidRPr="00D768EF">
        <w:rPr>
          <w:color w:val="000000"/>
          <w:szCs w:val="22"/>
          <w:lang w:val="sr-Latn-ME"/>
        </w:rPr>
        <w:t>liječe</w:t>
      </w:r>
      <w:r w:rsidRPr="00D768EF">
        <w:rPr>
          <w:color w:val="000000"/>
          <w:szCs w:val="22"/>
          <w:lang w:val="sr-Latn-ME"/>
        </w:rPr>
        <w:t xml:space="preserve">nja </w:t>
      </w:r>
      <w:r w:rsidR="00010EFF" w:rsidRPr="00D768EF">
        <w:rPr>
          <w:color w:val="000000"/>
          <w:szCs w:val="22"/>
          <w:lang w:val="sr-Latn-ME"/>
        </w:rPr>
        <w:t>infliksimabom</w:t>
      </w:r>
      <w:r w:rsidRPr="00D768EF">
        <w:rPr>
          <w:color w:val="000000"/>
          <w:szCs w:val="22"/>
          <w:lang w:val="sr-Latn-ME"/>
        </w:rPr>
        <w:t>, neophodno je izvršiti prov</w:t>
      </w:r>
      <w:r w:rsidR="00220982" w:rsidRPr="00D768EF">
        <w:rPr>
          <w:color w:val="000000"/>
          <w:szCs w:val="22"/>
          <w:lang w:val="sr-Latn-ME"/>
        </w:rPr>
        <w:t>j</w:t>
      </w:r>
      <w:r w:rsidRPr="00D768EF">
        <w:rPr>
          <w:color w:val="000000"/>
          <w:szCs w:val="22"/>
          <w:lang w:val="sr-Latn-ME"/>
        </w:rPr>
        <w:t>eru svih pacijenata na aktivnu i neaktivnu (″latentnu″) tuberkulozu. Ta proc</w:t>
      </w:r>
      <w:r w:rsidR="00220982" w:rsidRPr="00D768EF">
        <w:rPr>
          <w:color w:val="000000"/>
          <w:szCs w:val="22"/>
          <w:lang w:val="sr-Latn-ME"/>
        </w:rPr>
        <w:t>j</w:t>
      </w:r>
      <w:r w:rsidRPr="00D768EF">
        <w:rPr>
          <w:color w:val="000000"/>
          <w:szCs w:val="22"/>
          <w:lang w:val="sr-Latn-ME"/>
        </w:rPr>
        <w:t xml:space="preserve">ena treba da uključi detaljnu anamnezu sa podacima o oboljevanju od tuberkuloze ili mogućem prethodnom kontaktu sa tuberkulozom i prethodnoj i/ili sadašnjoj imunosupresivnoj terapiji. Kod svih pacijenata treba izvršiti odgovarajuće analize, </w:t>
      </w:r>
      <w:r w:rsidR="00C463C8" w:rsidRPr="00D768EF">
        <w:rPr>
          <w:color w:val="000000"/>
          <w:szCs w:val="22"/>
          <w:lang w:val="sr-Latn-ME"/>
        </w:rPr>
        <w:t>npr</w:t>
      </w:r>
      <w:r w:rsidRPr="00D768EF">
        <w:rPr>
          <w:color w:val="000000"/>
          <w:szCs w:val="22"/>
          <w:lang w:val="sr-Latn-ME"/>
        </w:rPr>
        <w:t>. kožni tuberkulinski test</w:t>
      </w:r>
      <w:r w:rsidR="00C463C8" w:rsidRPr="00D768EF">
        <w:rPr>
          <w:color w:val="000000"/>
          <w:szCs w:val="22"/>
          <w:lang w:val="sr-Latn-ME"/>
        </w:rPr>
        <w:t>,</w:t>
      </w:r>
      <w:r w:rsidRPr="00D768EF">
        <w:rPr>
          <w:color w:val="000000"/>
          <w:szCs w:val="22"/>
          <w:lang w:val="sr-Latn-ME"/>
        </w:rPr>
        <w:t xml:space="preserve"> rendgenski snimak pluća </w:t>
      </w:r>
      <w:r w:rsidR="00C463C8" w:rsidRPr="00D768EF">
        <w:rPr>
          <w:color w:val="000000"/>
          <w:szCs w:val="22"/>
          <w:lang w:val="sr-Latn-ME"/>
        </w:rPr>
        <w:t xml:space="preserve">i/ili test oslobađanja interferona gama </w:t>
      </w:r>
      <w:r w:rsidRPr="00D768EF">
        <w:rPr>
          <w:color w:val="000000"/>
          <w:szCs w:val="22"/>
          <w:lang w:val="sr-Latn-ME"/>
        </w:rPr>
        <w:t>(mogu se prim</w:t>
      </w:r>
      <w:r w:rsidR="00220982" w:rsidRPr="00D768EF">
        <w:rPr>
          <w:color w:val="000000"/>
          <w:szCs w:val="22"/>
          <w:lang w:val="sr-Latn-ME"/>
        </w:rPr>
        <w:t>ij</w:t>
      </w:r>
      <w:r w:rsidRPr="00D768EF">
        <w:rPr>
          <w:color w:val="000000"/>
          <w:szCs w:val="22"/>
          <w:lang w:val="sr-Latn-ME"/>
        </w:rPr>
        <w:t xml:space="preserve">eniti lokalne preporuke). Preporučuje se da se vodi </w:t>
      </w:r>
      <w:r w:rsidR="00131D02" w:rsidRPr="00D768EF">
        <w:rPr>
          <w:color w:val="000000"/>
          <w:szCs w:val="22"/>
          <w:lang w:val="sr-Latn-ME"/>
        </w:rPr>
        <w:t>evidencija</w:t>
      </w:r>
      <w:r w:rsidRPr="00D768EF">
        <w:rPr>
          <w:color w:val="000000"/>
          <w:szCs w:val="22"/>
          <w:lang w:val="sr-Latn-ME"/>
        </w:rPr>
        <w:t xml:space="preserve"> o sprovođenju tih analiza </w:t>
      </w:r>
      <w:r w:rsidRPr="00D768EF">
        <w:rPr>
          <w:snapToGrid w:val="0"/>
          <w:color w:val="000000"/>
          <w:szCs w:val="22"/>
          <w:lang w:val="sr-Latn-ME"/>
        </w:rPr>
        <w:t>na Kartici</w:t>
      </w:r>
      <w:r w:rsidR="001C7EE4" w:rsidRPr="00D768EF">
        <w:rPr>
          <w:snapToGrid w:val="0"/>
          <w:color w:val="000000"/>
          <w:szCs w:val="22"/>
          <w:lang w:val="sr-Latn-ME"/>
        </w:rPr>
        <w:t xml:space="preserve"> - pods</w:t>
      </w:r>
      <w:r w:rsidR="00220982" w:rsidRPr="00D768EF">
        <w:rPr>
          <w:snapToGrid w:val="0"/>
          <w:color w:val="000000"/>
          <w:szCs w:val="22"/>
          <w:lang w:val="sr-Latn-ME"/>
        </w:rPr>
        <w:t>j</w:t>
      </w:r>
      <w:r w:rsidR="001C7EE4" w:rsidRPr="00D768EF">
        <w:rPr>
          <w:snapToGrid w:val="0"/>
          <w:color w:val="000000"/>
          <w:szCs w:val="22"/>
          <w:lang w:val="sr-Latn-ME"/>
        </w:rPr>
        <w:t>etniku</w:t>
      </w:r>
      <w:r w:rsidRPr="00D768EF">
        <w:rPr>
          <w:snapToGrid w:val="0"/>
          <w:color w:val="000000"/>
          <w:szCs w:val="22"/>
          <w:lang w:val="sr-Latn-ME"/>
        </w:rPr>
        <w:t xml:space="preserve"> za pacijenta</w:t>
      </w:r>
      <w:r w:rsidRPr="00D768EF">
        <w:rPr>
          <w:color w:val="000000"/>
          <w:szCs w:val="22"/>
          <w:lang w:val="sr-Latn-ME"/>
        </w:rPr>
        <w:t>. L</w:t>
      </w:r>
      <w:r w:rsidR="00220982" w:rsidRPr="00D768EF">
        <w:rPr>
          <w:color w:val="000000"/>
          <w:szCs w:val="22"/>
          <w:lang w:val="sr-Latn-ME"/>
        </w:rPr>
        <w:t>j</w:t>
      </w:r>
      <w:r w:rsidRPr="00D768EF">
        <w:rPr>
          <w:color w:val="000000"/>
          <w:szCs w:val="22"/>
          <w:lang w:val="sr-Latn-ME"/>
        </w:rPr>
        <w:t>ekare koji propisuju l</w:t>
      </w:r>
      <w:r w:rsidR="00220982" w:rsidRPr="00D768EF">
        <w:rPr>
          <w:color w:val="000000"/>
          <w:szCs w:val="22"/>
          <w:lang w:val="sr-Latn-ME"/>
        </w:rPr>
        <w:t>ij</w:t>
      </w:r>
      <w:r w:rsidRPr="00D768EF">
        <w:rPr>
          <w:color w:val="000000"/>
          <w:szCs w:val="22"/>
          <w:lang w:val="sr-Latn-ME"/>
        </w:rPr>
        <w:t>ek potrebno je pods</w:t>
      </w:r>
      <w:r w:rsidR="00220982" w:rsidRPr="00D768EF">
        <w:rPr>
          <w:color w:val="000000"/>
          <w:szCs w:val="22"/>
          <w:lang w:val="sr-Latn-ME"/>
        </w:rPr>
        <w:t>j</w:t>
      </w:r>
      <w:r w:rsidRPr="00D768EF">
        <w:rPr>
          <w:color w:val="000000"/>
          <w:szCs w:val="22"/>
          <w:lang w:val="sr-Latn-ME"/>
        </w:rPr>
        <w:t>etiti na rizik od lažno negativnih rezultata tuberkulinskih testova, naročito kod pacijenata koji su teško bolesni ili imunokompromitovani</w:t>
      </w:r>
      <w:r w:rsidRPr="00D768EF">
        <w:rPr>
          <w:snapToGrid w:val="0"/>
          <w:color w:val="000000"/>
          <w:szCs w:val="22"/>
          <w:lang w:val="sr-Latn-ME"/>
        </w:rPr>
        <w:t xml:space="preserve">. </w:t>
      </w:r>
    </w:p>
    <w:p w14:paraId="0101F2F9" w14:textId="77777777" w:rsidR="00C175E4" w:rsidRPr="00D768EF" w:rsidRDefault="00C175E4" w:rsidP="00C175E4">
      <w:pPr>
        <w:rPr>
          <w:snapToGrid w:val="0"/>
          <w:color w:val="000000"/>
          <w:szCs w:val="22"/>
          <w:lang w:val="sr-Latn-ME"/>
        </w:rPr>
      </w:pPr>
    </w:p>
    <w:p w14:paraId="42D2E6BD" w14:textId="1E72DC2A" w:rsidR="00C175E4" w:rsidRPr="00D768EF" w:rsidRDefault="00C175E4" w:rsidP="00C175E4">
      <w:pPr>
        <w:rPr>
          <w:snapToGrid w:val="0"/>
          <w:color w:val="000000"/>
          <w:szCs w:val="22"/>
          <w:lang w:val="sr-Latn-ME"/>
        </w:rPr>
      </w:pPr>
      <w:r w:rsidRPr="00D768EF">
        <w:rPr>
          <w:snapToGrid w:val="0"/>
          <w:color w:val="000000"/>
          <w:szCs w:val="22"/>
          <w:lang w:val="sr-Latn-ME"/>
        </w:rPr>
        <w:t>Ukoliko se dijagnostikuje aktivna tuberkuloza, ne sm</w:t>
      </w:r>
      <w:r w:rsidR="00220982" w:rsidRPr="00D768EF">
        <w:rPr>
          <w:snapToGrid w:val="0"/>
          <w:color w:val="000000"/>
          <w:szCs w:val="22"/>
          <w:lang w:val="sr-Latn-ME"/>
        </w:rPr>
        <w:t>ij</w:t>
      </w:r>
      <w:r w:rsidRPr="00D768EF">
        <w:rPr>
          <w:snapToGrid w:val="0"/>
          <w:color w:val="000000"/>
          <w:szCs w:val="22"/>
          <w:lang w:val="sr-Latn-ME"/>
        </w:rPr>
        <w:t xml:space="preserve">e se </w:t>
      </w:r>
      <w:r w:rsidR="00131D02" w:rsidRPr="00D768EF">
        <w:rPr>
          <w:snapToGrid w:val="0"/>
          <w:color w:val="000000"/>
          <w:szCs w:val="22"/>
          <w:lang w:val="sr-Latn-ME"/>
        </w:rPr>
        <w:t>za</w:t>
      </w:r>
      <w:r w:rsidRPr="00D768EF">
        <w:rPr>
          <w:snapToGrid w:val="0"/>
          <w:color w:val="000000"/>
          <w:szCs w:val="22"/>
          <w:lang w:val="sr-Latn-ME"/>
        </w:rPr>
        <w:t xml:space="preserve">počinjati </w:t>
      </w:r>
      <w:r w:rsidR="00D57936" w:rsidRPr="00D768EF">
        <w:rPr>
          <w:snapToGrid w:val="0"/>
          <w:color w:val="000000"/>
          <w:szCs w:val="22"/>
          <w:lang w:val="sr-Latn-ME"/>
        </w:rPr>
        <w:t>liječe</w:t>
      </w:r>
      <w:r w:rsidRPr="00D768EF">
        <w:rPr>
          <w:snapToGrid w:val="0"/>
          <w:color w:val="000000"/>
          <w:szCs w:val="22"/>
          <w:lang w:val="sr-Latn-ME"/>
        </w:rPr>
        <w:t xml:space="preserve">nje </w:t>
      </w:r>
      <w:r w:rsidR="00010EFF" w:rsidRPr="00D768EF">
        <w:rPr>
          <w:color w:val="000000"/>
          <w:szCs w:val="22"/>
          <w:lang w:val="sr-Latn-ME"/>
        </w:rPr>
        <w:t>infliksimabom</w:t>
      </w:r>
      <w:r w:rsidRPr="00D768EF">
        <w:rPr>
          <w:snapToGrid w:val="0"/>
          <w:color w:val="000000"/>
          <w:szCs w:val="22"/>
          <w:lang w:val="sr-Latn-ME"/>
        </w:rPr>
        <w:t xml:space="preserve"> (</w:t>
      </w:r>
      <w:r w:rsidR="00282A1E" w:rsidRPr="00D768EF">
        <w:rPr>
          <w:snapToGrid w:val="0"/>
          <w:color w:val="000000"/>
          <w:szCs w:val="22"/>
          <w:lang w:val="sr-Latn-ME"/>
        </w:rPr>
        <w:t>vidjeti</w:t>
      </w:r>
      <w:r w:rsidRPr="00D768EF">
        <w:rPr>
          <w:snapToGrid w:val="0"/>
          <w:color w:val="000000"/>
          <w:szCs w:val="22"/>
          <w:lang w:val="sr-Latn-ME"/>
        </w:rPr>
        <w:t xml:space="preserve"> </w:t>
      </w:r>
      <w:r w:rsidR="00454E9F" w:rsidRPr="00D768EF">
        <w:rPr>
          <w:snapToGrid w:val="0"/>
          <w:color w:val="000000"/>
          <w:szCs w:val="22"/>
          <w:lang w:val="sr-Latn-ME"/>
        </w:rPr>
        <w:t>dio</w:t>
      </w:r>
      <w:r w:rsidRPr="00D768EF">
        <w:rPr>
          <w:snapToGrid w:val="0"/>
          <w:color w:val="000000"/>
          <w:szCs w:val="22"/>
          <w:lang w:val="sr-Latn-ME"/>
        </w:rPr>
        <w:t xml:space="preserve"> 4.3).</w:t>
      </w:r>
    </w:p>
    <w:p w14:paraId="2FEAC7EA" w14:textId="77777777" w:rsidR="00C175E4" w:rsidRPr="00D768EF" w:rsidRDefault="00C175E4" w:rsidP="00C175E4">
      <w:pPr>
        <w:rPr>
          <w:color w:val="000000"/>
          <w:szCs w:val="22"/>
          <w:lang w:val="sr-Latn-ME"/>
        </w:rPr>
      </w:pPr>
    </w:p>
    <w:p w14:paraId="5D04267C" w14:textId="60637A9A" w:rsidR="00C175E4" w:rsidRPr="00D768EF" w:rsidRDefault="00C175E4" w:rsidP="00C175E4">
      <w:pPr>
        <w:rPr>
          <w:color w:val="000000"/>
          <w:szCs w:val="22"/>
          <w:lang w:val="sr-Latn-ME"/>
        </w:rPr>
      </w:pPr>
      <w:r w:rsidRPr="00D768EF">
        <w:rPr>
          <w:color w:val="000000"/>
          <w:szCs w:val="22"/>
          <w:lang w:val="sr-Latn-ME"/>
        </w:rPr>
        <w:t>Ukoliko se sumnja na latentnu tuberkulozu, treba konsultovati l</w:t>
      </w:r>
      <w:r w:rsidR="00220982" w:rsidRPr="00D768EF">
        <w:rPr>
          <w:color w:val="000000"/>
          <w:szCs w:val="22"/>
          <w:lang w:val="sr-Latn-ME"/>
        </w:rPr>
        <w:t>j</w:t>
      </w:r>
      <w:r w:rsidRPr="00D768EF">
        <w:rPr>
          <w:color w:val="000000"/>
          <w:szCs w:val="22"/>
          <w:lang w:val="sr-Latn-ME"/>
        </w:rPr>
        <w:t xml:space="preserve">ekara koji je stručan za </w:t>
      </w:r>
      <w:r w:rsidR="00D57936" w:rsidRPr="00D768EF">
        <w:rPr>
          <w:color w:val="000000"/>
          <w:szCs w:val="22"/>
          <w:lang w:val="sr-Latn-ME"/>
        </w:rPr>
        <w:t>liječe</w:t>
      </w:r>
      <w:r w:rsidRPr="00D768EF">
        <w:rPr>
          <w:color w:val="000000"/>
          <w:szCs w:val="22"/>
          <w:lang w:val="sr-Latn-ME"/>
        </w:rPr>
        <w:t>nje tuberkuloze. U svim dol</w:t>
      </w:r>
      <w:r w:rsidR="00220982" w:rsidRPr="00D768EF">
        <w:rPr>
          <w:color w:val="000000"/>
          <w:szCs w:val="22"/>
          <w:lang w:val="sr-Latn-ME"/>
        </w:rPr>
        <w:t>j</w:t>
      </w:r>
      <w:r w:rsidRPr="00D768EF">
        <w:rPr>
          <w:color w:val="000000"/>
          <w:szCs w:val="22"/>
          <w:lang w:val="sr-Latn-ME"/>
        </w:rPr>
        <w:t xml:space="preserve">e opisanim situacijama, treba veoma pažljivo razmotriti odnos korist/rizik </w:t>
      </w:r>
      <w:r w:rsidR="00D57936" w:rsidRPr="00D768EF">
        <w:rPr>
          <w:snapToGrid w:val="0"/>
          <w:color w:val="000000"/>
          <w:szCs w:val="22"/>
          <w:lang w:val="sr-Latn-ME"/>
        </w:rPr>
        <w:t>liječe</w:t>
      </w:r>
      <w:r w:rsidRPr="00D768EF">
        <w:rPr>
          <w:snapToGrid w:val="0"/>
          <w:color w:val="000000"/>
          <w:szCs w:val="22"/>
          <w:lang w:val="sr-Latn-ME"/>
        </w:rPr>
        <w:t xml:space="preserve">nja </w:t>
      </w:r>
      <w:r w:rsidR="00010EFF" w:rsidRPr="00D768EF">
        <w:rPr>
          <w:color w:val="000000"/>
          <w:szCs w:val="22"/>
          <w:lang w:val="sr-Latn-ME"/>
        </w:rPr>
        <w:t>infliksimabom</w:t>
      </w:r>
      <w:r w:rsidRPr="00D768EF">
        <w:rPr>
          <w:color w:val="000000"/>
          <w:szCs w:val="22"/>
          <w:lang w:val="sr-Latn-ME"/>
        </w:rPr>
        <w:t>.</w:t>
      </w:r>
    </w:p>
    <w:p w14:paraId="03455205" w14:textId="77777777" w:rsidR="00C175E4" w:rsidRPr="00D768EF" w:rsidRDefault="00C175E4" w:rsidP="00C175E4">
      <w:pPr>
        <w:rPr>
          <w:color w:val="000000"/>
          <w:szCs w:val="22"/>
          <w:lang w:val="sr-Latn-ME"/>
        </w:rPr>
      </w:pPr>
    </w:p>
    <w:p w14:paraId="15683DAB" w14:textId="70087BC7" w:rsidR="00C175E4" w:rsidRPr="00D768EF" w:rsidRDefault="00C175E4" w:rsidP="00C175E4">
      <w:pPr>
        <w:rPr>
          <w:szCs w:val="22"/>
          <w:lang w:val="sr-Latn-ME"/>
        </w:rPr>
      </w:pPr>
      <w:r w:rsidRPr="00D768EF">
        <w:rPr>
          <w:snapToGrid w:val="0"/>
          <w:color w:val="000000"/>
          <w:szCs w:val="22"/>
          <w:lang w:val="sr-Latn-ME"/>
        </w:rPr>
        <w:t xml:space="preserve">Ukoliko se dijagnostikuje </w:t>
      </w:r>
      <w:r w:rsidRPr="00D768EF">
        <w:rPr>
          <w:szCs w:val="22"/>
          <w:lang w:val="sr-Latn-ME"/>
        </w:rPr>
        <w:t xml:space="preserve">neaktivna </w:t>
      </w:r>
      <w:r w:rsidRPr="00D768EF">
        <w:rPr>
          <w:color w:val="000000"/>
          <w:szCs w:val="22"/>
          <w:lang w:val="sr-Latn-ME"/>
        </w:rPr>
        <w:t xml:space="preserve">(″latentna″) </w:t>
      </w:r>
      <w:r w:rsidRPr="00D768EF">
        <w:rPr>
          <w:szCs w:val="22"/>
          <w:lang w:val="sr-Latn-ME"/>
        </w:rPr>
        <w:t>tuberkuloza, pr</w:t>
      </w:r>
      <w:r w:rsidR="00EB3683" w:rsidRPr="00D768EF">
        <w:rPr>
          <w:szCs w:val="22"/>
          <w:lang w:val="sr-Latn-ME"/>
        </w:rPr>
        <w:t>ij</w:t>
      </w:r>
      <w:r w:rsidRPr="00D768EF">
        <w:rPr>
          <w:szCs w:val="22"/>
          <w:lang w:val="sr-Latn-ME"/>
        </w:rPr>
        <w:t xml:space="preserve">e uvođenja </w:t>
      </w:r>
      <w:r w:rsidR="00010EFF" w:rsidRPr="00D768EF">
        <w:rPr>
          <w:color w:val="000000"/>
          <w:szCs w:val="22"/>
          <w:lang w:val="sr-Latn-ME"/>
        </w:rPr>
        <w:t>infliksimaba</w:t>
      </w:r>
      <w:r w:rsidR="00010EFF" w:rsidRPr="00D768EF">
        <w:rPr>
          <w:szCs w:val="22"/>
          <w:lang w:val="sr-Latn-ME"/>
        </w:rPr>
        <w:t xml:space="preserve"> </w:t>
      </w:r>
      <w:r w:rsidRPr="00D768EF">
        <w:rPr>
          <w:szCs w:val="22"/>
          <w:lang w:val="sr-Latn-ME"/>
        </w:rPr>
        <w:t xml:space="preserve">mora se započeti </w:t>
      </w:r>
      <w:r w:rsidR="00D57936" w:rsidRPr="00D768EF">
        <w:rPr>
          <w:szCs w:val="22"/>
          <w:lang w:val="sr-Latn-ME"/>
        </w:rPr>
        <w:t>liječe</w:t>
      </w:r>
      <w:r w:rsidRPr="00D768EF">
        <w:rPr>
          <w:szCs w:val="22"/>
          <w:lang w:val="sr-Latn-ME"/>
        </w:rPr>
        <w:t xml:space="preserve">nje latentne tuberkuloze antituberkuloznom terapijom u skladu sa lokalnim preporukama. </w:t>
      </w:r>
    </w:p>
    <w:p w14:paraId="5B129746" w14:textId="77777777" w:rsidR="00C175E4" w:rsidRPr="00D768EF" w:rsidRDefault="00C175E4" w:rsidP="00C175E4">
      <w:pPr>
        <w:rPr>
          <w:color w:val="000000"/>
          <w:szCs w:val="22"/>
          <w:lang w:val="sr-Latn-ME"/>
        </w:rPr>
      </w:pPr>
    </w:p>
    <w:p w14:paraId="73423437" w14:textId="33E336BB" w:rsidR="00C175E4" w:rsidRPr="00D768EF" w:rsidRDefault="00C175E4" w:rsidP="00C175E4">
      <w:pPr>
        <w:rPr>
          <w:color w:val="000000"/>
          <w:szCs w:val="22"/>
          <w:lang w:val="sr-Latn-ME"/>
        </w:rPr>
      </w:pPr>
      <w:r w:rsidRPr="00D768EF">
        <w:rPr>
          <w:color w:val="000000"/>
          <w:szCs w:val="22"/>
          <w:lang w:val="sr-Latn-ME"/>
        </w:rPr>
        <w:t>Kod pacijenata koji imaju brojne ili značajne faktore rizika za tuberkulozu, a imaju negativan rezultat testa na latentnu tuberkulozu, treba razmotriti prim</w:t>
      </w:r>
      <w:r w:rsidR="00220982" w:rsidRPr="00D768EF">
        <w:rPr>
          <w:color w:val="000000"/>
          <w:szCs w:val="22"/>
          <w:lang w:val="sr-Latn-ME"/>
        </w:rPr>
        <w:t>j</w:t>
      </w:r>
      <w:r w:rsidRPr="00D768EF">
        <w:rPr>
          <w:color w:val="000000"/>
          <w:szCs w:val="22"/>
          <w:lang w:val="sr-Latn-ME"/>
        </w:rPr>
        <w:t xml:space="preserve">enu antituberkulozne terapije </w:t>
      </w:r>
      <w:r w:rsidRPr="00D768EF">
        <w:rPr>
          <w:szCs w:val="22"/>
          <w:lang w:val="sr-Latn-ME"/>
        </w:rPr>
        <w:t>pr</w:t>
      </w:r>
      <w:r w:rsidR="00220982" w:rsidRPr="00D768EF">
        <w:rPr>
          <w:szCs w:val="22"/>
          <w:lang w:val="sr-Latn-ME"/>
        </w:rPr>
        <w:t>ij</w:t>
      </w:r>
      <w:r w:rsidRPr="00D768EF">
        <w:rPr>
          <w:szCs w:val="22"/>
          <w:lang w:val="sr-Latn-ME"/>
        </w:rPr>
        <w:t xml:space="preserve">e početka </w:t>
      </w:r>
      <w:r w:rsidR="00D57936" w:rsidRPr="00D768EF">
        <w:rPr>
          <w:szCs w:val="22"/>
          <w:lang w:val="sr-Latn-ME"/>
        </w:rPr>
        <w:t>liječe</w:t>
      </w:r>
      <w:r w:rsidRPr="00D768EF">
        <w:rPr>
          <w:szCs w:val="22"/>
          <w:lang w:val="sr-Latn-ME"/>
        </w:rPr>
        <w:t xml:space="preserve">nja </w:t>
      </w:r>
      <w:r w:rsidR="00010EFF" w:rsidRPr="00D768EF">
        <w:rPr>
          <w:color w:val="000000"/>
          <w:szCs w:val="22"/>
          <w:lang w:val="sr-Latn-ME"/>
        </w:rPr>
        <w:t>infliksimabom</w:t>
      </w:r>
      <w:r w:rsidRPr="00D768EF">
        <w:rPr>
          <w:color w:val="000000"/>
          <w:szCs w:val="22"/>
          <w:lang w:val="sr-Latn-ME"/>
        </w:rPr>
        <w:t xml:space="preserve">. </w:t>
      </w:r>
    </w:p>
    <w:p w14:paraId="4DDA0F60" w14:textId="77777777" w:rsidR="00C175E4" w:rsidRPr="00D768EF" w:rsidRDefault="00C175E4" w:rsidP="00C175E4">
      <w:pPr>
        <w:rPr>
          <w:color w:val="000000"/>
          <w:szCs w:val="22"/>
          <w:lang w:val="sr-Latn-ME"/>
        </w:rPr>
      </w:pPr>
    </w:p>
    <w:p w14:paraId="418CB735" w14:textId="42680C31" w:rsidR="00C175E4" w:rsidRPr="00D768EF" w:rsidRDefault="00C175E4" w:rsidP="00C175E4">
      <w:pPr>
        <w:rPr>
          <w:color w:val="000000"/>
          <w:szCs w:val="22"/>
          <w:lang w:val="sr-Latn-ME"/>
        </w:rPr>
      </w:pPr>
      <w:r w:rsidRPr="00D768EF">
        <w:rPr>
          <w:color w:val="000000"/>
          <w:szCs w:val="22"/>
          <w:lang w:val="sr-Latn-ME"/>
        </w:rPr>
        <w:t>Takođe treba razmotriti prim</w:t>
      </w:r>
      <w:r w:rsidR="00220982" w:rsidRPr="00D768EF">
        <w:rPr>
          <w:color w:val="000000"/>
          <w:szCs w:val="22"/>
          <w:lang w:val="sr-Latn-ME"/>
        </w:rPr>
        <w:t>j</w:t>
      </w:r>
      <w:r w:rsidRPr="00D768EF">
        <w:rPr>
          <w:color w:val="000000"/>
          <w:szCs w:val="22"/>
          <w:lang w:val="sr-Latn-ME"/>
        </w:rPr>
        <w:t xml:space="preserve">enu antituberkulozne terapije </w:t>
      </w:r>
      <w:r w:rsidRPr="00D768EF">
        <w:rPr>
          <w:szCs w:val="22"/>
          <w:lang w:val="sr-Latn-ME"/>
        </w:rPr>
        <w:t>pr</w:t>
      </w:r>
      <w:r w:rsidR="00220982" w:rsidRPr="00D768EF">
        <w:rPr>
          <w:szCs w:val="22"/>
          <w:lang w:val="sr-Latn-ME"/>
        </w:rPr>
        <w:t>ij</w:t>
      </w:r>
      <w:r w:rsidRPr="00D768EF">
        <w:rPr>
          <w:szCs w:val="22"/>
          <w:lang w:val="sr-Latn-ME"/>
        </w:rPr>
        <w:t xml:space="preserve">e početka </w:t>
      </w:r>
      <w:r w:rsidR="00D57936" w:rsidRPr="00D768EF">
        <w:rPr>
          <w:snapToGrid w:val="0"/>
          <w:color w:val="000000"/>
          <w:szCs w:val="22"/>
          <w:lang w:val="sr-Latn-ME"/>
        </w:rPr>
        <w:t>liječe</w:t>
      </w:r>
      <w:r w:rsidRPr="00D768EF">
        <w:rPr>
          <w:snapToGrid w:val="0"/>
          <w:color w:val="000000"/>
          <w:szCs w:val="22"/>
          <w:lang w:val="sr-Latn-ME"/>
        </w:rPr>
        <w:t xml:space="preserve">nja </w:t>
      </w:r>
      <w:r w:rsidR="00010EFF" w:rsidRPr="00D768EF">
        <w:rPr>
          <w:color w:val="000000"/>
          <w:szCs w:val="22"/>
          <w:lang w:val="sr-Latn-ME"/>
        </w:rPr>
        <w:t>infliksimabom</w:t>
      </w:r>
      <w:r w:rsidRPr="00D768EF">
        <w:rPr>
          <w:color w:val="000000"/>
          <w:szCs w:val="22"/>
          <w:lang w:val="sr-Latn-ME"/>
        </w:rPr>
        <w:t xml:space="preserve"> kod pacijenata sa istorijom latentne ili aktivne tuberkuloze, a kod kojih se ne može potvrditi da su bili </w:t>
      </w:r>
      <w:r w:rsidR="00D57936" w:rsidRPr="00D768EF">
        <w:rPr>
          <w:color w:val="000000"/>
          <w:szCs w:val="22"/>
          <w:lang w:val="sr-Latn-ME"/>
        </w:rPr>
        <w:t>liječe</w:t>
      </w:r>
      <w:r w:rsidRPr="00D768EF">
        <w:rPr>
          <w:color w:val="000000"/>
          <w:szCs w:val="22"/>
          <w:lang w:val="sr-Latn-ME"/>
        </w:rPr>
        <w:t>ni na odgovarajući način.</w:t>
      </w:r>
    </w:p>
    <w:p w14:paraId="4E5D4438" w14:textId="77777777" w:rsidR="00C175E4" w:rsidRPr="00D768EF" w:rsidRDefault="00C175E4" w:rsidP="00C175E4">
      <w:pPr>
        <w:rPr>
          <w:color w:val="000000"/>
          <w:szCs w:val="22"/>
          <w:lang w:val="sr-Latn-ME"/>
        </w:rPr>
      </w:pPr>
    </w:p>
    <w:p w14:paraId="6B0EFB9F" w14:textId="583AAAAA" w:rsidR="00C175E4" w:rsidRPr="00D768EF" w:rsidRDefault="00C175E4" w:rsidP="00C175E4">
      <w:pPr>
        <w:rPr>
          <w:color w:val="000000"/>
          <w:szCs w:val="22"/>
          <w:lang w:val="sr-Latn-ME"/>
        </w:rPr>
      </w:pPr>
      <w:r w:rsidRPr="00D768EF">
        <w:rPr>
          <w:color w:val="000000"/>
          <w:szCs w:val="22"/>
          <w:lang w:val="sr-Latn-ME"/>
        </w:rPr>
        <w:t xml:space="preserve">Neki slučajevi tuberkuloze su bili prijavljeni kod pacijenata </w:t>
      </w:r>
      <w:r w:rsidR="00D57936" w:rsidRPr="00D768EF">
        <w:rPr>
          <w:color w:val="000000"/>
          <w:szCs w:val="22"/>
          <w:lang w:val="sr-Latn-ME"/>
        </w:rPr>
        <w:t>liječe</w:t>
      </w:r>
      <w:r w:rsidRPr="00D768EF">
        <w:rPr>
          <w:color w:val="000000"/>
          <w:szCs w:val="22"/>
          <w:lang w:val="sr-Latn-ME"/>
        </w:rPr>
        <w:t xml:space="preserve">nih infliksimabom u toku i posle </w:t>
      </w:r>
      <w:r w:rsidR="00D57936" w:rsidRPr="00D768EF">
        <w:rPr>
          <w:color w:val="000000"/>
          <w:szCs w:val="22"/>
          <w:lang w:val="sr-Latn-ME"/>
        </w:rPr>
        <w:t>liječe</w:t>
      </w:r>
      <w:r w:rsidRPr="00D768EF">
        <w:rPr>
          <w:color w:val="000000"/>
          <w:szCs w:val="22"/>
          <w:lang w:val="sr-Latn-ME"/>
        </w:rPr>
        <w:t>nja latentne tuberkuloze.</w:t>
      </w:r>
    </w:p>
    <w:p w14:paraId="38D7F674" w14:textId="77777777" w:rsidR="00C175E4" w:rsidRPr="00D768EF" w:rsidRDefault="00C175E4" w:rsidP="00C175E4">
      <w:pPr>
        <w:rPr>
          <w:color w:val="000000"/>
          <w:szCs w:val="22"/>
          <w:lang w:val="sr-Latn-ME"/>
        </w:rPr>
      </w:pPr>
    </w:p>
    <w:p w14:paraId="50168500" w14:textId="32BC0BF9" w:rsidR="00C175E4" w:rsidRPr="00D768EF" w:rsidRDefault="00C175E4" w:rsidP="00C175E4">
      <w:pPr>
        <w:rPr>
          <w:color w:val="000000"/>
          <w:szCs w:val="22"/>
          <w:lang w:val="sr-Latn-ME"/>
        </w:rPr>
      </w:pPr>
      <w:r w:rsidRPr="00D768EF">
        <w:rPr>
          <w:color w:val="000000"/>
          <w:szCs w:val="22"/>
          <w:lang w:val="sr-Latn-ME"/>
        </w:rPr>
        <w:t>Svi pacijenti bi trebalo da budu obav</w:t>
      </w:r>
      <w:r w:rsidR="004252CF" w:rsidRPr="00D768EF">
        <w:rPr>
          <w:color w:val="000000"/>
          <w:szCs w:val="22"/>
          <w:lang w:val="sr-Latn-ME"/>
        </w:rPr>
        <w:t>ij</w:t>
      </w:r>
      <w:r w:rsidRPr="00D768EF">
        <w:rPr>
          <w:color w:val="000000"/>
          <w:szCs w:val="22"/>
          <w:lang w:val="sr-Latn-ME"/>
        </w:rPr>
        <w:t>ešteni da zatraže l</w:t>
      </w:r>
      <w:r w:rsidR="004252CF" w:rsidRPr="00D768EF">
        <w:rPr>
          <w:color w:val="000000"/>
          <w:szCs w:val="22"/>
          <w:lang w:val="sr-Latn-ME"/>
        </w:rPr>
        <w:t>j</w:t>
      </w:r>
      <w:r w:rsidRPr="00D768EF">
        <w:rPr>
          <w:color w:val="000000"/>
          <w:szCs w:val="22"/>
          <w:lang w:val="sr-Latn-ME"/>
        </w:rPr>
        <w:t xml:space="preserve">ekarsku pomoć ukoliko se tokom ili posle </w:t>
      </w:r>
      <w:r w:rsidR="00D57936" w:rsidRPr="00D768EF">
        <w:rPr>
          <w:snapToGrid w:val="0"/>
          <w:color w:val="000000"/>
          <w:szCs w:val="22"/>
          <w:lang w:val="sr-Latn-ME"/>
        </w:rPr>
        <w:t>liječe</w:t>
      </w:r>
      <w:r w:rsidRPr="00D768EF">
        <w:rPr>
          <w:snapToGrid w:val="0"/>
          <w:color w:val="000000"/>
          <w:szCs w:val="22"/>
          <w:lang w:val="sr-Latn-ME"/>
        </w:rPr>
        <w:t xml:space="preserve">nja </w:t>
      </w:r>
      <w:r w:rsidR="00010EFF" w:rsidRPr="00D768EF">
        <w:rPr>
          <w:color w:val="000000"/>
          <w:szCs w:val="22"/>
          <w:lang w:val="sr-Latn-ME"/>
        </w:rPr>
        <w:t>infliksimabom</w:t>
      </w:r>
      <w:r w:rsidRPr="00D768EF">
        <w:rPr>
          <w:color w:val="000000"/>
          <w:szCs w:val="22"/>
          <w:lang w:val="sr-Latn-ME"/>
        </w:rPr>
        <w:t xml:space="preserve"> pojave znaci/simptomi koji bi mogli ukazivati na tuberkulozu (npr. uporan kašalj, gubitak težine, subfebrilnost). </w:t>
      </w:r>
    </w:p>
    <w:p w14:paraId="0AF92812" w14:textId="77777777" w:rsidR="00C175E4" w:rsidRPr="00D768EF" w:rsidRDefault="00C175E4" w:rsidP="00C175E4">
      <w:pPr>
        <w:rPr>
          <w:i/>
          <w:color w:val="000000"/>
          <w:szCs w:val="22"/>
          <w:lang w:val="sr-Latn-ME"/>
        </w:rPr>
      </w:pPr>
    </w:p>
    <w:p w14:paraId="1382F091" w14:textId="77777777" w:rsidR="00C175E4" w:rsidRPr="00D768EF" w:rsidRDefault="00C175E4" w:rsidP="00C175E4">
      <w:pPr>
        <w:rPr>
          <w:color w:val="000000"/>
          <w:szCs w:val="22"/>
          <w:u w:val="single"/>
          <w:lang w:val="sr-Latn-ME"/>
        </w:rPr>
      </w:pPr>
      <w:r w:rsidRPr="00D768EF">
        <w:rPr>
          <w:i/>
          <w:color w:val="000000"/>
          <w:szCs w:val="22"/>
          <w:u w:val="single"/>
          <w:lang w:val="sr-Latn-ME"/>
        </w:rPr>
        <w:t>Invazivne gljivične infekcije</w:t>
      </w:r>
    </w:p>
    <w:p w14:paraId="21539CBB" w14:textId="0D457760" w:rsidR="00C175E4" w:rsidRPr="00D768EF" w:rsidRDefault="00C175E4" w:rsidP="00C175E4">
      <w:pPr>
        <w:tabs>
          <w:tab w:val="clear" w:pos="284"/>
        </w:tabs>
        <w:autoSpaceDE w:val="0"/>
        <w:autoSpaceDN w:val="0"/>
        <w:adjustRightInd w:val="0"/>
        <w:rPr>
          <w:szCs w:val="22"/>
          <w:lang w:val="sr-Latn-ME"/>
        </w:rPr>
      </w:pPr>
      <w:r w:rsidRPr="00D768EF">
        <w:rPr>
          <w:szCs w:val="22"/>
          <w:lang w:val="sr-Latn-ME"/>
        </w:rPr>
        <w:t xml:space="preserve">Kod pacijenata </w:t>
      </w:r>
      <w:r w:rsidR="00D57936" w:rsidRPr="00D768EF">
        <w:rPr>
          <w:szCs w:val="22"/>
          <w:lang w:val="sr-Latn-ME"/>
        </w:rPr>
        <w:t>liječe</w:t>
      </w:r>
      <w:r w:rsidRPr="00D768EF">
        <w:rPr>
          <w:szCs w:val="22"/>
          <w:lang w:val="sr-Latn-ME"/>
        </w:rPr>
        <w:t xml:space="preserve">nih </w:t>
      </w:r>
      <w:r w:rsidR="00010EFF" w:rsidRPr="00D768EF">
        <w:rPr>
          <w:color w:val="000000"/>
          <w:szCs w:val="22"/>
          <w:lang w:val="sr-Latn-ME"/>
        </w:rPr>
        <w:t>infliksimabom</w:t>
      </w:r>
      <w:r w:rsidRPr="00D768EF">
        <w:rPr>
          <w:szCs w:val="22"/>
          <w:lang w:val="sr-Latn-ME"/>
        </w:rPr>
        <w:t xml:space="preserve"> kod kojih se razvije ozbiljna sistemska bolest, treba posumnjati na neku invazivnu gljivičnu infekciju, kao što je aspergiloza, kandidijaza, pneumocistoza, histoplazmoza, kokcidioidomikoza ili blastomikoza. Pri ispitivanju takvih pacijenata potrebno je u ranoj fazi posav</w:t>
      </w:r>
      <w:r w:rsidR="004252CF" w:rsidRPr="00D768EF">
        <w:rPr>
          <w:szCs w:val="22"/>
          <w:lang w:val="sr-Latn-ME"/>
        </w:rPr>
        <w:t>j</w:t>
      </w:r>
      <w:r w:rsidRPr="00D768EF">
        <w:rPr>
          <w:szCs w:val="22"/>
          <w:lang w:val="sr-Latn-ME"/>
        </w:rPr>
        <w:t>etovati se sa l</w:t>
      </w:r>
      <w:r w:rsidR="004252CF" w:rsidRPr="00D768EF">
        <w:rPr>
          <w:szCs w:val="22"/>
          <w:lang w:val="sr-Latn-ME"/>
        </w:rPr>
        <w:t>j</w:t>
      </w:r>
      <w:r w:rsidRPr="00D768EF">
        <w:rPr>
          <w:szCs w:val="22"/>
          <w:lang w:val="sr-Latn-ME"/>
        </w:rPr>
        <w:t xml:space="preserve">ekarom koji je stručnjak u dijagnostikovanju i </w:t>
      </w:r>
      <w:r w:rsidR="00D57936" w:rsidRPr="00D768EF">
        <w:rPr>
          <w:szCs w:val="22"/>
          <w:lang w:val="sr-Latn-ME"/>
        </w:rPr>
        <w:t>liječe</w:t>
      </w:r>
      <w:r w:rsidRPr="00D768EF">
        <w:rPr>
          <w:szCs w:val="22"/>
          <w:lang w:val="sr-Latn-ME"/>
        </w:rPr>
        <w:t xml:space="preserve">nju invazivnih gljivičnih infekcija. </w:t>
      </w:r>
    </w:p>
    <w:p w14:paraId="1FB0724D" w14:textId="77777777" w:rsidR="00C175E4" w:rsidRPr="00D768EF" w:rsidRDefault="00C175E4" w:rsidP="00C175E4">
      <w:pPr>
        <w:tabs>
          <w:tab w:val="clear" w:pos="284"/>
        </w:tabs>
        <w:autoSpaceDE w:val="0"/>
        <w:autoSpaceDN w:val="0"/>
        <w:adjustRightInd w:val="0"/>
        <w:rPr>
          <w:szCs w:val="22"/>
          <w:lang w:val="sr-Latn-ME"/>
        </w:rPr>
      </w:pPr>
    </w:p>
    <w:p w14:paraId="4F1DA892" w14:textId="5539EFF2" w:rsidR="00C175E4" w:rsidRPr="00D768EF" w:rsidRDefault="00C175E4" w:rsidP="00C175E4">
      <w:pPr>
        <w:tabs>
          <w:tab w:val="clear" w:pos="284"/>
        </w:tabs>
        <w:autoSpaceDE w:val="0"/>
        <w:autoSpaceDN w:val="0"/>
        <w:adjustRightInd w:val="0"/>
        <w:rPr>
          <w:szCs w:val="22"/>
          <w:lang w:val="sr-Latn-ME"/>
        </w:rPr>
      </w:pPr>
      <w:r w:rsidRPr="00D768EF">
        <w:rPr>
          <w:szCs w:val="22"/>
          <w:lang w:val="sr-Latn-ME"/>
        </w:rPr>
        <w:t>Invazivne gljivične infekcije manifestuju se pr</w:t>
      </w:r>
      <w:r w:rsidR="004252CF" w:rsidRPr="00D768EF">
        <w:rPr>
          <w:szCs w:val="22"/>
          <w:lang w:val="sr-Latn-ME"/>
        </w:rPr>
        <w:t>ij</w:t>
      </w:r>
      <w:r w:rsidRPr="00D768EF">
        <w:rPr>
          <w:szCs w:val="22"/>
          <w:lang w:val="sr-Latn-ME"/>
        </w:rPr>
        <w:t xml:space="preserve">e kao diseminovane nego lokalizovane bolesti, a testovi na antigene i </w:t>
      </w:r>
      <w:r w:rsidR="00220982" w:rsidRPr="00D768EF">
        <w:rPr>
          <w:szCs w:val="22"/>
          <w:lang w:val="sr-Latn-ME"/>
        </w:rPr>
        <w:t>antitijel</w:t>
      </w:r>
      <w:r w:rsidRPr="00D768EF">
        <w:rPr>
          <w:szCs w:val="22"/>
          <w:lang w:val="sr-Latn-ME"/>
        </w:rPr>
        <w:t>a mogu biti negativni kod nekih pacijenata uprkos postojanju aktivne infekcije. Uzimajući u obzir rizike invazivne gljivične infekcije kao i rizike antimikotičke terapije, treba razmotriti prim</w:t>
      </w:r>
      <w:r w:rsidR="004252CF" w:rsidRPr="00D768EF">
        <w:rPr>
          <w:szCs w:val="22"/>
          <w:lang w:val="sr-Latn-ME"/>
        </w:rPr>
        <w:t>j</w:t>
      </w:r>
      <w:r w:rsidRPr="00D768EF">
        <w:rPr>
          <w:szCs w:val="22"/>
          <w:lang w:val="sr-Latn-ME"/>
        </w:rPr>
        <w:t>enu odgovarajuće empirijske antimikotičke terapije tokom dijagnostičkog postupka.</w:t>
      </w:r>
    </w:p>
    <w:p w14:paraId="3FD8D682" w14:textId="77777777" w:rsidR="00C175E4" w:rsidRPr="00D768EF" w:rsidRDefault="00C175E4" w:rsidP="00C175E4">
      <w:pPr>
        <w:rPr>
          <w:szCs w:val="22"/>
          <w:lang w:val="sr-Latn-ME"/>
        </w:rPr>
      </w:pPr>
    </w:p>
    <w:p w14:paraId="7CAA2186" w14:textId="637CE4B7" w:rsidR="00C175E4" w:rsidRPr="00D768EF" w:rsidRDefault="00C175E4" w:rsidP="00C175E4">
      <w:pPr>
        <w:tabs>
          <w:tab w:val="clear" w:pos="284"/>
        </w:tabs>
        <w:autoSpaceDE w:val="0"/>
        <w:autoSpaceDN w:val="0"/>
        <w:adjustRightInd w:val="0"/>
        <w:rPr>
          <w:szCs w:val="22"/>
          <w:lang w:val="sr-Latn-ME"/>
        </w:rPr>
      </w:pPr>
      <w:r w:rsidRPr="00D768EF">
        <w:rPr>
          <w:szCs w:val="22"/>
          <w:lang w:val="sr-Latn-ME"/>
        </w:rPr>
        <w:lastRenderedPageBreak/>
        <w:t>Pr</w:t>
      </w:r>
      <w:r w:rsidR="004252CF" w:rsidRPr="00D768EF">
        <w:rPr>
          <w:szCs w:val="22"/>
          <w:lang w:val="sr-Latn-ME"/>
        </w:rPr>
        <w:t>ij</w:t>
      </w:r>
      <w:r w:rsidRPr="00D768EF">
        <w:rPr>
          <w:szCs w:val="22"/>
          <w:lang w:val="sr-Latn-ME"/>
        </w:rPr>
        <w:t xml:space="preserve">e uvođenja </w:t>
      </w:r>
      <w:r w:rsidR="00010EFF" w:rsidRPr="00D768EF">
        <w:rPr>
          <w:color w:val="000000"/>
          <w:szCs w:val="22"/>
          <w:lang w:val="sr-Latn-ME"/>
        </w:rPr>
        <w:t>infliksimaba</w:t>
      </w:r>
      <w:r w:rsidRPr="00D768EF">
        <w:rPr>
          <w:szCs w:val="22"/>
          <w:lang w:val="sr-Latn-ME"/>
        </w:rPr>
        <w:t xml:space="preserve"> treba pažljivo proc</w:t>
      </w:r>
      <w:r w:rsidR="004252CF" w:rsidRPr="00D768EF">
        <w:rPr>
          <w:szCs w:val="22"/>
          <w:lang w:val="sr-Latn-ME"/>
        </w:rPr>
        <w:t>ij</w:t>
      </w:r>
      <w:r w:rsidRPr="00D768EF">
        <w:rPr>
          <w:szCs w:val="22"/>
          <w:lang w:val="sr-Latn-ME"/>
        </w:rPr>
        <w:t xml:space="preserve">eniti koristi i rizike </w:t>
      </w:r>
      <w:r w:rsidR="00D57936" w:rsidRPr="00D768EF">
        <w:rPr>
          <w:szCs w:val="22"/>
          <w:lang w:val="sr-Latn-ME"/>
        </w:rPr>
        <w:t>liječe</w:t>
      </w:r>
      <w:r w:rsidRPr="00D768EF">
        <w:rPr>
          <w:szCs w:val="22"/>
          <w:lang w:val="sr-Latn-ME"/>
        </w:rPr>
        <w:t>nja ovim l</w:t>
      </w:r>
      <w:r w:rsidR="004252CF" w:rsidRPr="00D768EF">
        <w:rPr>
          <w:szCs w:val="22"/>
          <w:lang w:val="sr-Latn-ME"/>
        </w:rPr>
        <w:t>ij</w:t>
      </w:r>
      <w:r w:rsidRPr="00D768EF">
        <w:rPr>
          <w:szCs w:val="22"/>
          <w:lang w:val="sr-Latn-ME"/>
        </w:rPr>
        <w:t>ekom kod pacijenata koji su boravili ili putovali u područja za koja su karakteristične endemske invazivne gljivične infekcije kao što su histoplazmoza, kokcidiomikoza ili blastomikoza.</w:t>
      </w:r>
    </w:p>
    <w:p w14:paraId="25D50BE4" w14:textId="77777777" w:rsidR="00C175E4" w:rsidRPr="00D768EF" w:rsidRDefault="00C175E4" w:rsidP="00C175E4">
      <w:pPr>
        <w:rPr>
          <w:rFonts w:eastAsia="TimesNewRoman"/>
          <w:color w:val="1D1B11"/>
          <w:szCs w:val="22"/>
          <w:lang w:val="sr-Latn-ME"/>
        </w:rPr>
      </w:pPr>
    </w:p>
    <w:p w14:paraId="7935E731" w14:textId="77777777" w:rsidR="00C175E4" w:rsidRPr="00D768EF" w:rsidRDefault="00C175E4" w:rsidP="00C175E4">
      <w:pPr>
        <w:rPr>
          <w:i/>
          <w:color w:val="000000"/>
          <w:szCs w:val="22"/>
          <w:lang w:val="sr-Latn-ME"/>
        </w:rPr>
      </w:pPr>
      <w:r w:rsidRPr="00D768EF">
        <w:rPr>
          <w:i/>
          <w:color w:val="000000"/>
          <w:szCs w:val="22"/>
          <w:lang w:val="sr-Latn-ME"/>
        </w:rPr>
        <w:t>Fistulozna forma Kronove bolesti</w:t>
      </w:r>
    </w:p>
    <w:p w14:paraId="23F339F0" w14:textId="76F17066" w:rsidR="00C175E4" w:rsidRPr="00D768EF" w:rsidRDefault="00C175E4" w:rsidP="00C175E4">
      <w:pPr>
        <w:rPr>
          <w:color w:val="000000"/>
          <w:szCs w:val="22"/>
          <w:lang w:val="sr-Latn-ME"/>
        </w:rPr>
      </w:pPr>
      <w:r w:rsidRPr="00D768EF">
        <w:rPr>
          <w:color w:val="000000"/>
          <w:szCs w:val="22"/>
          <w:lang w:val="sr-Latn-ME"/>
        </w:rPr>
        <w:t>Pacijenti sa fistuloznom formom Kronove bolesti sa akutnim, gnojnim fistulama ne sm</w:t>
      </w:r>
      <w:r w:rsidR="004252CF" w:rsidRPr="00D768EF">
        <w:rPr>
          <w:color w:val="000000"/>
          <w:szCs w:val="22"/>
          <w:lang w:val="sr-Latn-ME"/>
        </w:rPr>
        <w:t>i</w:t>
      </w:r>
      <w:r w:rsidRPr="00D768EF">
        <w:rPr>
          <w:color w:val="000000"/>
          <w:szCs w:val="22"/>
          <w:lang w:val="sr-Latn-ME"/>
        </w:rPr>
        <w:t xml:space="preserve">ju započeti terapiju </w:t>
      </w:r>
      <w:r w:rsidR="00010EFF" w:rsidRPr="00D768EF">
        <w:rPr>
          <w:color w:val="000000"/>
          <w:szCs w:val="22"/>
          <w:lang w:val="sr-Latn-ME"/>
        </w:rPr>
        <w:t>infliksimabom</w:t>
      </w:r>
      <w:r w:rsidRPr="00D768EF">
        <w:rPr>
          <w:color w:val="000000"/>
          <w:szCs w:val="22"/>
          <w:lang w:val="sr-Latn-ME"/>
        </w:rPr>
        <w:t xml:space="preserve"> sve dok se ne otkloni izvor moguće infekcije, posebno apscesa (</w:t>
      </w:r>
      <w:r w:rsidR="00282A1E" w:rsidRPr="00D768EF">
        <w:rPr>
          <w:color w:val="000000"/>
          <w:szCs w:val="22"/>
          <w:lang w:val="sr-Latn-ME"/>
        </w:rPr>
        <w:t>vidjeti</w:t>
      </w:r>
      <w:r w:rsidRPr="00D768EF">
        <w:rPr>
          <w:color w:val="000000"/>
          <w:szCs w:val="22"/>
          <w:lang w:val="sr-Latn-ME"/>
        </w:rPr>
        <w:t xml:space="preserve"> </w:t>
      </w:r>
      <w:r w:rsidR="00454E9F" w:rsidRPr="00D768EF">
        <w:rPr>
          <w:color w:val="000000"/>
          <w:szCs w:val="22"/>
          <w:lang w:val="sr-Latn-ME"/>
        </w:rPr>
        <w:t>dio</w:t>
      </w:r>
      <w:r w:rsidRPr="00D768EF">
        <w:rPr>
          <w:color w:val="000000"/>
          <w:szCs w:val="22"/>
          <w:lang w:val="sr-Latn-ME"/>
        </w:rPr>
        <w:t xml:space="preserve"> 4.3).</w:t>
      </w:r>
    </w:p>
    <w:p w14:paraId="45027ED5" w14:textId="77777777" w:rsidR="00C175E4" w:rsidRPr="00D768EF" w:rsidRDefault="00C175E4" w:rsidP="00C175E4">
      <w:pPr>
        <w:rPr>
          <w:color w:val="000000"/>
          <w:szCs w:val="22"/>
          <w:lang w:val="sr-Latn-ME"/>
        </w:rPr>
      </w:pPr>
    </w:p>
    <w:p w14:paraId="0BC898A2" w14:textId="77777777" w:rsidR="00C175E4" w:rsidRPr="00D768EF" w:rsidRDefault="00C175E4" w:rsidP="00C175E4">
      <w:pPr>
        <w:rPr>
          <w:szCs w:val="22"/>
          <w:u w:val="single"/>
          <w:lang w:val="sr-Latn-ME"/>
        </w:rPr>
      </w:pPr>
      <w:r w:rsidRPr="00D768EF">
        <w:rPr>
          <w:szCs w:val="22"/>
          <w:u w:val="single"/>
          <w:lang w:val="sr-Latn-ME"/>
        </w:rPr>
        <w:t>Reaktivacija hepatitisa B (HBV)</w:t>
      </w:r>
    </w:p>
    <w:p w14:paraId="29943DDE" w14:textId="10A23DB1" w:rsidR="00C175E4" w:rsidRPr="00D768EF" w:rsidRDefault="00C175E4" w:rsidP="00C175E4">
      <w:pPr>
        <w:rPr>
          <w:color w:val="000000"/>
          <w:szCs w:val="22"/>
          <w:lang w:val="sr-Latn-ME"/>
        </w:rPr>
      </w:pPr>
      <w:r w:rsidRPr="00D768EF">
        <w:rPr>
          <w:color w:val="000000"/>
          <w:szCs w:val="22"/>
          <w:lang w:val="sr-Latn-ME"/>
        </w:rPr>
        <w:t xml:space="preserve">Reaktivacija hepatitisa B javila se kod pacijenata koji su primali TNF-antagoniste uključujući infliksimab, a hronični su nosioci tog virusa. U pojedinim slučajevima došlo je do smrtnog ishoda. </w:t>
      </w:r>
    </w:p>
    <w:p w14:paraId="37163E46" w14:textId="77777777" w:rsidR="00C175E4" w:rsidRPr="00D768EF" w:rsidRDefault="00C175E4" w:rsidP="00C175E4">
      <w:pPr>
        <w:rPr>
          <w:color w:val="000000"/>
          <w:szCs w:val="22"/>
          <w:lang w:val="sr-Latn-ME"/>
        </w:rPr>
      </w:pPr>
    </w:p>
    <w:p w14:paraId="6B5FC7FD" w14:textId="356D612E" w:rsidR="00C175E4" w:rsidRPr="00D768EF" w:rsidRDefault="00C175E4" w:rsidP="00C175E4">
      <w:pPr>
        <w:tabs>
          <w:tab w:val="clear" w:pos="284"/>
        </w:tabs>
        <w:autoSpaceDE w:val="0"/>
        <w:autoSpaceDN w:val="0"/>
        <w:adjustRightInd w:val="0"/>
        <w:rPr>
          <w:color w:val="000000"/>
          <w:szCs w:val="22"/>
          <w:lang w:val="sr-Latn-ME"/>
        </w:rPr>
      </w:pPr>
      <w:r w:rsidRPr="00D768EF">
        <w:rPr>
          <w:szCs w:val="22"/>
          <w:lang w:val="sr-Latn-ME"/>
        </w:rPr>
        <w:t>Pacijente treba testirati na HBV infekciju pr</w:t>
      </w:r>
      <w:r w:rsidR="004252CF" w:rsidRPr="00D768EF">
        <w:rPr>
          <w:szCs w:val="22"/>
          <w:lang w:val="sr-Latn-ME"/>
        </w:rPr>
        <w:t>ij</w:t>
      </w:r>
      <w:r w:rsidRPr="00D768EF">
        <w:rPr>
          <w:szCs w:val="22"/>
          <w:lang w:val="sr-Latn-ME"/>
        </w:rPr>
        <w:t xml:space="preserve">e početka </w:t>
      </w:r>
      <w:r w:rsidR="00D57936" w:rsidRPr="00D768EF">
        <w:rPr>
          <w:snapToGrid w:val="0"/>
          <w:color w:val="000000"/>
          <w:szCs w:val="22"/>
          <w:lang w:val="sr-Latn-ME"/>
        </w:rPr>
        <w:t>liječe</w:t>
      </w:r>
      <w:r w:rsidRPr="00D768EF">
        <w:rPr>
          <w:snapToGrid w:val="0"/>
          <w:color w:val="000000"/>
          <w:szCs w:val="22"/>
          <w:lang w:val="sr-Latn-ME"/>
        </w:rPr>
        <w:t xml:space="preserve">nja </w:t>
      </w:r>
      <w:r w:rsidR="00010EFF" w:rsidRPr="00D768EF">
        <w:rPr>
          <w:color w:val="000000"/>
          <w:szCs w:val="22"/>
          <w:lang w:val="sr-Latn-ME"/>
        </w:rPr>
        <w:t>infliksimabom</w:t>
      </w:r>
      <w:r w:rsidRPr="00D768EF">
        <w:rPr>
          <w:szCs w:val="22"/>
          <w:lang w:val="sr-Latn-ME"/>
        </w:rPr>
        <w:t>. Kod pacijenata kod kojih je rezultat na testu na HBV infekciju pozitivan, preporučuju se konsultacije sa l</w:t>
      </w:r>
      <w:r w:rsidR="004252CF" w:rsidRPr="00D768EF">
        <w:rPr>
          <w:szCs w:val="22"/>
          <w:lang w:val="sr-Latn-ME"/>
        </w:rPr>
        <w:t>j</w:t>
      </w:r>
      <w:r w:rsidRPr="00D768EF">
        <w:rPr>
          <w:szCs w:val="22"/>
          <w:lang w:val="sr-Latn-ME"/>
        </w:rPr>
        <w:t xml:space="preserve">ekarom koji je stručan za </w:t>
      </w:r>
      <w:r w:rsidR="00D57936" w:rsidRPr="00D768EF">
        <w:rPr>
          <w:szCs w:val="22"/>
          <w:lang w:val="sr-Latn-ME"/>
        </w:rPr>
        <w:t>liječe</w:t>
      </w:r>
      <w:r w:rsidRPr="00D768EF">
        <w:rPr>
          <w:szCs w:val="22"/>
          <w:lang w:val="sr-Latn-ME"/>
        </w:rPr>
        <w:t>nje hepatitisa B.</w:t>
      </w:r>
      <w:r w:rsidRPr="00D768EF">
        <w:rPr>
          <w:color w:val="000000"/>
          <w:szCs w:val="22"/>
          <w:lang w:val="sr-Latn-ME"/>
        </w:rPr>
        <w:t xml:space="preserve"> Nosioce virusa hepatitisa B koji zaht</w:t>
      </w:r>
      <w:r w:rsidR="00CF5D59">
        <w:rPr>
          <w:color w:val="000000"/>
          <w:szCs w:val="22"/>
          <w:lang w:val="sr-Latn-ME"/>
        </w:rPr>
        <w:t>ij</w:t>
      </w:r>
      <w:r w:rsidRPr="00D768EF">
        <w:rPr>
          <w:color w:val="000000"/>
          <w:szCs w:val="22"/>
          <w:lang w:val="sr-Latn-ME"/>
        </w:rPr>
        <w:t>evaju</w:t>
      </w:r>
      <w:r w:rsidRPr="00D768EF">
        <w:rPr>
          <w:snapToGrid w:val="0"/>
          <w:color w:val="000000"/>
          <w:szCs w:val="22"/>
          <w:lang w:val="sr-Latn-ME"/>
        </w:rPr>
        <w:t xml:space="preserve"> </w:t>
      </w:r>
      <w:r w:rsidR="00D57936" w:rsidRPr="00D768EF">
        <w:rPr>
          <w:snapToGrid w:val="0"/>
          <w:color w:val="000000"/>
          <w:szCs w:val="22"/>
          <w:lang w:val="sr-Latn-ME"/>
        </w:rPr>
        <w:t>liječe</w:t>
      </w:r>
      <w:r w:rsidRPr="00D768EF">
        <w:rPr>
          <w:snapToGrid w:val="0"/>
          <w:color w:val="000000"/>
          <w:szCs w:val="22"/>
          <w:lang w:val="sr-Latn-ME"/>
        </w:rPr>
        <w:t xml:space="preserve">nje </w:t>
      </w:r>
      <w:r w:rsidR="003A3A5E" w:rsidRPr="00D768EF">
        <w:rPr>
          <w:color w:val="000000"/>
          <w:szCs w:val="22"/>
          <w:lang w:val="sr-Latn-ME"/>
        </w:rPr>
        <w:t>infliksimabom</w:t>
      </w:r>
      <w:r w:rsidRPr="00D768EF">
        <w:rPr>
          <w:color w:val="000000"/>
          <w:szCs w:val="22"/>
          <w:lang w:val="sr-Latn-ME"/>
        </w:rPr>
        <w:t xml:space="preserve"> treba pažljivo nadzirati za vr</w:t>
      </w:r>
      <w:r w:rsidR="004252CF" w:rsidRPr="00D768EF">
        <w:rPr>
          <w:color w:val="000000"/>
          <w:szCs w:val="22"/>
          <w:lang w:val="sr-Latn-ME"/>
        </w:rPr>
        <w:t>ij</w:t>
      </w:r>
      <w:r w:rsidRPr="00D768EF">
        <w:rPr>
          <w:color w:val="000000"/>
          <w:szCs w:val="22"/>
          <w:lang w:val="sr-Latn-ME"/>
        </w:rPr>
        <w:t>eme i nekoliko m</w:t>
      </w:r>
      <w:r w:rsidR="004252CF" w:rsidRPr="00D768EF">
        <w:rPr>
          <w:color w:val="000000"/>
          <w:szCs w:val="22"/>
          <w:lang w:val="sr-Latn-ME"/>
        </w:rPr>
        <w:t>j</w:t>
      </w:r>
      <w:r w:rsidRPr="00D768EF">
        <w:rPr>
          <w:color w:val="000000"/>
          <w:szCs w:val="22"/>
          <w:lang w:val="sr-Latn-ME"/>
        </w:rPr>
        <w:t>eseci posl</w:t>
      </w:r>
      <w:r w:rsidR="00CF5D59">
        <w:rPr>
          <w:color w:val="000000"/>
          <w:szCs w:val="22"/>
          <w:lang w:val="sr-Latn-ME"/>
        </w:rPr>
        <w:t>ij</w:t>
      </w:r>
      <w:r w:rsidRPr="00D768EF">
        <w:rPr>
          <w:color w:val="000000"/>
          <w:szCs w:val="22"/>
          <w:lang w:val="sr-Latn-ME"/>
        </w:rPr>
        <w:t xml:space="preserve">e završetka </w:t>
      </w:r>
      <w:r w:rsidR="00D57936" w:rsidRPr="00D768EF">
        <w:rPr>
          <w:color w:val="000000"/>
          <w:szCs w:val="22"/>
          <w:lang w:val="sr-Latn-ME"/>
        </w:rPr>
        <w:t>liječe</w:t>
      </w:r>
      <w:r w:rsidRPr="00D768EF">
        <w:rPr>
          <w:color w:val="000000"/>
          <w:szCs w:val="22"/>
          <w:lang w:val="sr-Latn-ME"/>
        </w:rPr>
        <w:t xml:space="preserve">nja kako bi se uočili mogući znaci i simptomi aktivne HBV </w:t>
      </w:r>
      <w:r w:rsidRPr="00D768EF">
        <w:rPr>
          <w:szCs w:val="22"/>
          <w:lang w:val="sr-Latn-ME"/>
        </w:rPr>
        <w:t>infekcije.</w:t>
      </w:r>
      <w:r w:rsidRPr="00D768EF">
        <w:rPr>
          <w:color w:val="000000"/>
          <w:szCs w:val="22"/>
          <w:lang w:val="sr-Latn-ME"/>
        </w:rPr>
        <w:t xml:space="preserve"> </w:t>
      </w:r>
      <w:r w:rsidRPr="00D768EF">
        <w:rPr>
          <w:szCs w:val="22"/>
          <w:lang w:val="sr-Latn-ME"/>
        </w:rPr>
        <w:t>Nema odgovarajućih podataka o pacijentima nosiocima HBV-a koji su uz TNF-antagonist primali i antivirusne l</w:t>
      </w:r>
      <w:r w:rsidR="004252CF" w:rsidRPr="00D768EF">
        <w:rPr>
          <w:szCs w:val="22"/>
          <w:lang w:val="sr-Latn-ME"/>
        </w:rPr>
        <w:t>j</w:t>
      </w:r>
      <w:r w:rsidRPr="00D768EF">
        <w:rPr>
          <w:szCs w:val="22"/>
          <w:lang w:val="sr-Latn-ME"/>
        </w:rPr>
        <w:t xml:space="preserve">ekove radi sprečavanja reaktivacije hepatitisa B. </w:t>
      </w:r>
      <w:r w:rsidRPr="00D768EF">
        <w:rPr>
          <w:color w:val="000000"/>
          <w:szCs w:val="22"/>
          <w:lang w:val="sr-Latn-ME"/>
        </w:rPr>
        <w:t xml:space="preserve">Kod pacijenata kod kojih je došlo do HBV reaktivacije, terapiju </w:t>
      </w:r>
      <w:r w:rsidR="003A3A5E" w:rsidRPr="00D768EF">
        <w:rPr>
          <w:color w:val="000000"/>
          <w:szCs w:val="22"/>
          <w:lang w:val="sr-Latn-ME"/>
        </w:rPr>
        <w:t>infliksimabom</w:t>
      </w:r>
      <w:r w:rsidRPr="00D768EF">
        <w:rPr>
          <w:color w:val="000000"/>
          <w:szCs w:val="22"/>
          <w:lang w:val="sr-Latn-ME"/>
        </w:rPr>
        <w:t xml:space="preserve"> treba prekinuti i treba početi odgovarajuće antivirusno </w:t>
      </w:r>
      <w:r w:rsidR="00D57936" w:rsidRPr="00D768EF">
        <w:rPr>
          <w:color w:val="000000"/>
          <w:szCs w:val="22"/>
          <w:lang w:val="sr-Latn-ME"/>
        </w:rPr>
        <w:t>liječe</w:t>
      </w:r>
      <w:r w:rsidRPr="00D768EF">
        <w:rPr>
          <w:color w:val="000000"/>
          <w:szCs w:val="22"/>
          <w:lang w:val="sr-Latn-ME"/>
        </w:rPr>
        <w:t>nje uz odgovarajuću suportivnu terapiju.</w:t>
      </w:r>
    </w:p>
    <w:p w14:paraId="54881677" w14:textId="77777777" w:rsidR="00C175E4" w:rsidRPr="00D768EF" w:rsidRDefault="00C175E4" w:rsidP="00C175E4">
      <w:pPr>
        <w:rPr>
          <w:rFonts w:eastAsia="TimesNewRoman"/>
          <w:color w:val="1D1B11"/>
          <w:szCs w:val="22"/>
          <w:lang w:val="sr-Latn-ME"/>
        </w:rPr>
      </w:pPr>
    </w:p>
    <w:p w14:paraId="03D2C041" w14:textId="77777777" w:rsidR="00C175E4" w:rsidRPr="00D768EF" w:rsidRDefault="00C175E4" w:rsidP="00C175E4">
      <w:pPr>
        <w:rPr>
          <w:color w:val="000000"/>
          <w:szCs w:val="22"/>
          <w:u w:val="single"/>
          <w:lang w:val="sr-Latn-ME"/>
        </w:rPr>
      </w:pPr>
      <w:r w:rsidRPr="00D768EF">
        <w:rPr>
          <w:color w:val="000000"/>
          <w:szCs w:val="22"/>
          <w:u w:val="single"/>
          <w:lang w:val="sr-Latn-ME"/>
        </w:rPr>
        <w:t>Hepatobilijarni događaji</w:t>
      </w:r>
    </w:p>
    <w:p w14:paraId="47263C1A" w14:textId="016BEC9C" w:rsidR="00C175E4" w:rsidRPr="00D768EF" w:rsidRDefault="00C175E4" w:rsidP="00C175E4">
      <w:pPr>
        <w:rPr>
          <w:color w:val="000000"/>
          <w:szCs w:val="22"/>
          <w:lang w:val="sr-Latn-ME"/>
        </w:rPr>
      </w:pPr>
      <w:r w:rsidRPr="00D768EF">
        <w:rPr>
          <w:color w:val="000000"/>
          <w:szCs w:val="22"/>
          <w:lang w:val="sr-Latn-ME"/>
        </w:rPr>
        <w:t>Posl</w:t>
      </w:r>
      <w:r w:rsidR="00CF5D59">
        <w:rPr>
          <w:color w:val="000000"/>
          <w:szCs w:val="22"/>
          <w:lang w:val="sr-Latn-ME"/>
        </w:rPr>
        <w:t>ij</w:t>
      </w:r>
      <w:r w:rsidRPr="00D768EF">
        <w:rPr>
          <w:color w:val="000000"/>
          <w:szCs w:val="22"/>
          <w:lang w:val="sr-Latn-ME"/>
        </w:rPr>
        <w:t>e stavljanja infliksimaba u promet, prim</w:t>
      </w:r>
      <w:r w:rsidR="004252CF" w:rsidRPr="00D768EF">
        <w:rPr>
          <w:color w:val="000000"/>
          <w:szCs w:val="22"/>
          <w:lang w:val="sr-Latn-ME"/>
        </w:rPr>
        <w:t>ij</w:t>
      </w:r>
      <w:r w:rsidRPr="00D768EF">
        <w:rPr>
          <w:color w:val="000000"/>
          <w:szCs w:val="22"/>
          <w:lang w:val="sr-Latn-ME"/>
        </w:rPr>
        <w:t>ećeni su slučajevi žutice i neinfektivnog hepatitisa, koji je ponekad imao karakteristike autoimunog hepatitisa. Zab</w:t>
      </w:r>
      <w:r w:rsidR="004252CF" w:rsidRPr="00D768EF">
        <w:rPr>
          <w:color w:val="000000"/>
          <w:szCs w:val="22"/>
          <w:lang w:val="sr-Latn-ME"/>
        </w:rPr>
        <w:t>i</w:t>
      </w:r>
      <w:r w:rsidRPr="00D768EF">
        <w:rPr>
          <w:color w:val="000000"/>
          <w:szCs w:val="22"/>
          <w:lang w:val="sr-Latn-ME"/>
        </w:rPr>
        <w:t>l</w:t>
      </w:r>
      <w:r w:rsidR="004252CF" w:rsidRPr="00D768EF">
        <w:rPr>
          <w:color w:val="000000"/>
          <w:szCs w:val="22"/>
          <w:lang w:val="sr-Latn-ME"/>
        </w:rPr>
        <w:t>j</w:t>
      </w:r>
      <w:r w:rsidRPr="00D768EF">
        <w:rPr>
          <w:color w:val="000000"/>
          <w:szCs w:val="22"/>
          <w:lang w:val="sr-Latn-ME"/>
        </w:rPr>
        <w:t xml:space="preserve">eženi su i izolovani slučajevi insuficijencije jetre koji su rezultirali transplantacijom jetre ili smrtnim ishodom. Pacijente sa simptomima ili znacima poremećaja funkcije jetre treba pregledati i utvrditi da li postoji oštećenje jetre. </w:t>
      </w:r>
      <w:r w:rsidRPr="00D768EF">
        <w:rPr>
          <w:szCs w:val="22"/>
          <w:lang w:val="sr-Latn-ME"/>
        </w:rPr>
        <w:t xml:space="preserve">Ako se razvije žutica i/ili je koncentracija ALT ≥ 5 puta viša od gornje granice normale, terapiju </w:t>
      </w:r>
      <w:r w:rsidR="00204273" w:rsidRPr="00D768EF">
        <w:rPr>
          <w:color w:val="000000"/>
          <w:szCs w:val="22"/>
          <w:lang w:val="sr-Latn-ME"/>
        </w:rPr>
        <w:t>infliksimabom</w:t>
      </w:r>
      <w:r w:rsidRPr="00D768EF">
        <w:rPr>
          <w:szCs w:val="22"/>
          <w:lang w:val="sr-Latn-ME"/>
        </w:rPr>
        <w:t xml:space="preserve"> treba prekinuti i uraditi detaljna ispitivanja da bi se utvrdio razlog poremećaja</w:t>
      </w:r>
      <w:r w:rsidRPr="00D768EF">
        <w:rPr>
          <w:color w:val="000000"/>
          <w:szCs w:val="22"/>
          <w:lang w:val="sr-Latn-ME"/>
        </w:rPr>
        <w:t xml:space="preserve">. </w:t>
      </w:r>
    </w:p>
    <w:p w14:paraId="20DC9E05" w14:textId="77777777" w:rsidR="00C175E4" w:rsidRPr="00D768EF" w:rsidRDefault="00C175E4" w:rsidP="00C175E4">
      <w:pPr>
        <w:rPr>
          <w:color w:val="000000"/>
          <w:szCs w:val="22"/>
          <w:lang w:val="sr-Latn-ME"/>
        </w:rPr>
      </w:pPr>
    </w:p>
    <w:p w14:paraId="4AA6E0DC" w14:textId="77777777" w:rsidR="00C175E4" w:rsidRPr="00D768EF" w:rsidRDefault="00C175E4" w:rsidP="00C175E4">
      <w:pPr>
        <w:rPr>
          <w:color w:val="000000"/>
          <w:szCs w:val="22"/>
          <w:u w:val="single"/>
          <w:lang w:val="sr-Latn-ME"/>
        </w:rPr>
      </w:pPr>
      <w:r w:rsidRPr="00D768EF">
        <w:rPr>
          <w:color w:val="000000"/>
          <w:szCs w:val="22"/>
          <w:u w:val="single"/>
          <w:lang w:val="sr-Latn-ME"/>
        </w:rPr>
        <w:t xml:space="preserve">Istovremena </w:t>
      </w:r>
      <w:r w:rsidR="00D57936" w:rsidRPr="00D768EF">
        <w:rPr>
          <w:color w:val="000000"/>
          <w:szCs w:val="22"/>
          <w:u w:val="single"/>
          <w:lang w:val="sr-Latn-ME"/>
        </w:rPr>
        <w:t>primjena</w:t>
      </w:r>
      <w:r w:rsidRPr="00D768EF">
        <w:rPr>
          <w:color w:val="000000"/>
          <w:szCs w:val="22"/>
          <w:u w:val="single"/>
          <w:lang w:val="sr-Latn-ME"/>
        </w:rPr>
        <w:t xml:space="preserve"> inhibitora TNF-alfa i anakinre</w:t>
      </w:r>
    </w:p>
    <w:p w14:paraId="7F0D36DA" w14:textId="4B7F5000" w:rsidR="00C175E4" w:rsidRPr="00D768EF" w:rsidRDefault="00C175E4" w:rsidP="00C175E4">
      <w:pPr>
        <w:rPr>
          <w:color w:val="000000"/>
          <w:szCs w:val="22"/>
          <w:lang w:val="sr-Latn-ME"/>
        </w:rPr>
      </w:pPr>
      <w:r w:rsidRPr="00D768EF">
        <w:rPr>
          <w:color w:val="000000"/>
          <w:szCs w:val="22"/>
          <w:lang w:val="sr-Latn-ME"/>
        </w:rPr>
        <w:t xml:space="preserve">Ozbiljne infekcije </w:t>
      </w:r>
      <w:r w:rsidRPr="00D768EF">
        <w:rPr>
          <w:szCs w:val="22"/>
          <w:lang w:val="sr-Latn-ME"/>
        </w:rPr>
        <w:t xml:space="preserve">i neutropenija </w:t>
      </w:r>
      <w:r w:rsidRPr="00D768EF">
        <w:rPr>
          <w:color w:val="000000"/>
          <w:szCs w:val="22"/>
          <w:lang w:val="sr-Latn-ME"/>
        </w:rPr>
        <w:t>prim</w:t>
      </w:r>
      <w:r w:rsidR="004252CF" w:rsidRPr="00D768EF">
        <w:rPr>
          <w:color w:val="000000"/>
          <w:szCs w:val="22"/>
          <w:lang w:val="sr-Latn-ME"/>
        </w:rPr>
        <w:t>ij</w:t>
      </w:r>
      <w:r w:rsidRPr="00D768EF">
        <w:rPr>
          <w:color w:val="000000"/>
          <w:szCs w:val="22"/>
          <w:lang w:val="sr-Latn-ME"/>
        </w:rPr>
        <w:t>ećeni su u kliničkim ispitivanjima sa istovremenom upotrebom anakinre i drugog blokatora TNF</w:t>
      </w:r>
      <w:r w:rsidRPr="00D768EF">
        <w:rPr>
          <w:color w:val="000000"/>
          <w:szCs w:val="22"/>
          <w:vertAlign w:val="subscript"/>
          <w:lang w:val="sr-Latn-ME"/>
        </w:rPr>
        <w:sym w:font="Symbol" w:char="F061"/>
      </w:r>
      <w:r w:rsidRPr="00D768EF">
        <w:rPr>
          <w:color w:val="000000"/>
          <w:szCs w:val="22"/>
          <w:lang w:val="sr-Latn-ME"/>
        </w:rPr>
        <w:t>, etanercepta, bez dodatnog kliničkog poboljšanja u odnosu na prim</w:t>
      </w:r>
      <w:r w:rsidR="004252CF" w:rsidRPr="00D768EF">
        <w:rPr>
          <w:color w:val="000000"/>
          <w:szCs w:val="22"/>
          <w:lang w:val="sr-Latn-ME"/>
        </w:rPr>
        <w:t>j</w:t>
      </w:r>
      <w:r w:rsidRPr="00D768EF">
        <w:rPr>
          <w:color w:val="000000"/>
          <w:szCs w:val="22"/>
          <w:lang w:val="sr-Latn-ME"/>
        </w:rPr>
        <w:t>enu samog etanercepta. Zbog prirode neželjenih reakcija koje su uočene prilikom istovremene prim</w:t>
      </w:r>
      <w:r w:rsidR="004252CF" w:rsidRPr="00D768EF">
        <w:rPr>
          <w:color w:val="000000"/>
          <w:szCs w:val="22"/>
          <w:lang w:val="sr-Latn-ME"/>
        </w:rPr>
        <w:t>j</w:t>
      </w:r>
      <w:r w:rsidRPr="00D768EF">
        <w:rPr>
          <w:color w:val="000000"/>
          <w:szCs w:val="22"/>
          <w:lang w:val="sr-Latn-ME"/>
        </w:rPr>
        <w:t>ene etanercepta i anakinre, slična toksičnost mogla bi se javiti i kod istovremene prim</w:t>
      </w:r>
      <w:r w:rsidR="004252CF" w:rsidRPr="00D768EF">
        <w:rPr>
          <w:color w:val="000000"/>
          <w:szCs w:val="22"/>
          <w:lang w:val="sr-Latn-ME"/>
        </w:rPr>
        <w:t>j</w:t>
      </w:r>
      <w:r w:rsidRPr="00D768EF">
        <w:rPr>
          <w:color w:val="000000"/>
          <w:szCs w:val="22"/>
          <w:lang w:val="sr-Latn-ME"/>
        </w:rPr>
        <w:t>ene anakinre i nekog drugog blokatora TNF</w:t>
      </w:r>
      <w:r w:rsidRPr="00D768EF">
        <w:rPr>
          <w:color w:val="000000"/>
          <w:szCs w:val="22"/>
          <w:vertAlign w:val="subscript"/>
          <w:lang w:val="sr-Latn-ME"/>
        </w:rPr>
        <w:sym w:font="Symbol" w:char="F061"/>
      </w:r>
      <w:r w:rsidRPr="00D768EF">
        <w:rPr>
          <w:color w:val="000000"/>
          <w:szCs w:val="22"/>
          <w:lang w:val="sr-Latn-ME"/>
        </w:rPr>
        <w:t xml:space="preserve">. Iz tog razloga, ne preporučuje se kombinovana </w:t>
      </w:r>
      <w:r w:rsidR="00D57936" w:rsidRPr="00D768EF">
        <w:rPr>
          <w:color w:val="000000"/>
          <w:szCs w:val="22"/>
          <w:lang w:val="sr-Latn-ME"/>
        </w:rPr>
        <w:t>primjena</w:t>
      </w:r>
      <w:r w:rsidRPr="00D768EF">
        <w:rPr>
          <w:color w:val="000000"/>
          <w:szCs w:val="22"/>
          <w:lang w:val="sr-Latn-ME"/>
        </w:rPr>
        <w:t xml:space="preserve"> </w:t>
      </w:r>
      <w:r w:rsidR="00204273" w:rsidRPr="00D768EF">
        <w:rPr>
          <w:color w:val="000000"/>
          <w:szCs w:val="22"/>
          <w:lang w:val="sr-Latn-ME"/>
        </w:rPr>
        <w:t>infliksimaba</w:t>
      </w:r>
      <w:r w:rsidRPr="00D768EF">
        <w:rPr>
          <w:color w:val="000000"/>
          <w:szCs w:val="22"/>
          <w:lang w:val="sr-Latn-ME"/>
        </w:rPr>
        <w:t xml:space="preserve"> i anakinre.</w:t>
      </w:r>
    </w:p>
    <w:p w14:paraId="38FE4EB8" w14:textId="77777777" w:rsidR="00C175E4" w:rsidRPr="00D768EF" w:rsidRDefault="00C175E4" w:rsidP="00C175E4">
      <w:pPr>
        <w:rPr>
          <w:color w:val="000000"/>
          <w:szCs w:val="22"/>
          <w:lang w:val="sr-Latn-ME"/>
        </w:rPr>
      </w:pPr>
    </w:p>
    <w:p w14:paraId="0F1EB6B3" w14:textId="77777777" w:rsidR="00C175E4" w:rsidRPr="00D768EF" w:rsidRDefault="00C175E4" w:rsidP="00C175E4">
      <w:pPr>
        <w:rPr>
          <w:color w:val="000000"/>
          <w:szCs w:val="22"/>
          <w:u w:val="single"/>
          <w:lang w:val="sr-Latn-ME"/>
        </w:rPr>
      </w:pPr>
      <w:r w:rsidRPr="00D768EF">
        <w:rPr>
          <w:color w:val="000000"/>
          <w:szCs w:val="22"/>
          <w:u w:val="single"/>
          <w:lang w:val="sr-Latn-ME"/>
        </w:rPr>
        <w:t xml:space="preserve">Istovremena </w:t>
      </w:r>
      <w:r w:rsidR="00D57936" w:rsidRPr="00D768EF">
        <w:rPr>
          <w:color w:val="000000"/>
          <w:szCs w:val="22"/>
          <w:u w:val="single"/>
          <w:lang w:val="sr-Latn-ME"/>
        </w:rPr>
        <w:t>primjena</w:t>
      </w:r>
      <w:r w:rsidRPr="00D768EF">
        <w:rPr>
          <w:color w:val="000000"/>
          <w:szCs w:val="22"/>
          <w:u w:val="single"/>
          <w:lang w:val="sr-Latn-ME"/>
        </w:rPr>
        <w:t xml:space="preserve"> inhibitora TNF-alfa i abatacepta</w:t>
      </w:r>
    </w:p>
    <w:p w14:paraId="285399F1" w14:textId="0456C3E2" w:rsidR="00C175E4" w:rsidRPr="00D768EF" w:rsidRDefault="00C175E4" w:rsidP="00C175E4">
      <w:pPr>
        <w:rPr>
          <w:szCs w:val="22"/>
          <w:lang w:val="sr-Latn-ME"/>
        </w:rPr>
      </w:pPr>
      <w:r w:rsidRPr="00D768EF">
        <w:rPr>
          <w:szCs w:val="22"/>
          <w:lang w:val="sr-Latn-ME"/>
        </w:rPr>
        <w:t xml:space="preserve">U kliničkim ispitivanjima istovremena </w:t>
      </w:r>
      <w:r w:rsidR="00D57936" w:rsidRPr="00D768EF">
        <w:rPr>
          <w:szCs w:val="22"/>
          <w:lang w:val="sr-Latn-ME"/>
        </w:rPr>
        <w:t>primjena</w:t>
      </w:r>
      <w:r w:rsidRPr="00D768EF">
        <w:rPr>
          <w:szCs w:val="22"/>
          <w:lang w:val="sr-Latn-ME"/>
        </w:rPr>
        <w:t xml:space="preserve"> TNF-antagonista i abatacepta bila je povezana sa povećanim rizikom od infekcija, uključujući i ozbiljne infekcije, u poređenju sa prim</w:t>
      </w:r>
      <w:r w:rsidR="0049241F" w:rsidRPr="00D768EF">
        <w:rPr>
          <w:szCs w:val="22"/>
          <w:lang w:val="sr-Latn-ME"/>
        </w:rPr>
        <w:t>j</w:t>
      </w:r>
      <w:r w:rsidRPr="00D768EF">
        <w:rPr>
          <w:szCs w:val="22"/>
          <w:lang w:val="sr-Latn-ME"/>
        </w:rPr>
        <w:t xml:space="preserve">enom samo TNF-antagonista, a pritom nije došlo do povećanja kliničke koristi. </w:t>
      </w:r>
      <w:r w:rsidRPr="00D768EF">
        <w:rPr>
          <w:color w:val="000000"/>
          <w:szCs w:val="22"/>
          <w:lang w:val="sr-Latn-ME"/>
        </w:rPr>
        <w:t xml:space="preserve">Ne preporučuje se kombinovana </w:t>
      </w:r>
      <w:r w:rsidR="00D57936" w:rsidRPr="00D768EF">
        <w:rPr>
          <w:color w:val="000000"/>
          <w:szCs w:val="22"/>
          <w:lang w:val="sr-Latn-ME"/>
        </w:rPr>
        <w:t>primjena</w:t>
      </w:r>
      <w:r w:rsidRPr="00D768EF">
        <w:rPr>
          <w:color w:val="000000"/>
          <w:szCs w:val="22"/>
          <w:lang w:val="sr-Latn-ME"/>
        </w:rPr>
        <w:t xml:space="preserve"> </w:t>
      </w:r>
      <w:r w:rsidR="00204273" w:rsidRPr="00D768EF">
        <w:rPr>
          <w:color w:val="000000"/>
          <w:szCs w:val="22"/>
          <w:lang w:val="sr-Latn-ME"/>
        </w:rPr>
        <w:t>infliksimaba</w:t>
      </w:r>
      <w:r w:rsidRPr="00D768EF">
        <w:rPr>
          <w:color w:val="000000"/>
          <w:szCs w:val="22"/>
          <w:lang w:val="sr-Latn-ME"/>
        </w:rPr>
        <w:t xml:space="preserve"> i </w:t>
      </w:r>
      <w:r w:rsidRPr="00D768EF">
        <w:rPr>
          <w:szCs w:val="22"/>
          <w:lang w:val="sr-Latn-ME"/>
        </w:rPr>
        <w:t>abatacepta.</w:t>
      </w:r>
    </w:p>
    <w:p w14:paraId="2A456CC6" w14:textId="77777777" w:rsidR="00C175E4" w:rsidRPr="00D768EF" w:rsidRDefault="00C175E4" w:rsidP="00C175E4">
      <w:pPr>
        <w:rPr>
          <w:szCs w:val="22"/>
          <w:lang w:val="sr-Latn-ME"/>
        </w:rPr>
      </w:pPr>
    </w:p>
    <w:p w14:paraId="446AA093" w14:textId="0FA56FB3" w:rsidR="00C175E4" w:rsidRPr="00D768EF" w:rsidRDefault="00C175E4" w:rsidP="00C175E4">
      <w:pPr>
        <w:rPr>
          <w:szCs w:val="22"/>
          <w:u w:val="single"/>
          <w:lang w:val="sr-Latn-ME"/>
        </w:rPr>
      </w:pPr>
      <w:r w:rsidRPr="00D768EF">
        <w:rPr>
          <w:szCs w:val="22"/>
          <w:u w:val="single"/>
          <w:lang w:val="sr-Latn-ME"/>
        </w:rPr>
        <w:t xml:space="preserve">Istovremena </w:t>
      </w:r>
      <w:r w:rsidR="00D57936" w:rsidRPr="00D768EF">
        <w:rPr>
          <w:szCs w:val="22"/>
          <w:u w:val="single"/>
          <w:lang w:val="sr-Latn-ME"/>
        </w:rPr>
        <w:t>primjena</w:t>
      </w:r>
      <w:r w:rsidRPr="00D768EF">
        <w:rPr>
          <w:szCs w:val="22"/>
          <w:u w:val="single"/>
          <w:lang w:val="sr-Latn-ME"/>
        </w:rPr>
        <w:t xml:space="preserve"> sa ostalim biološkim </w:t>
      </w:r>
      <w:r w:rsidR="00D57936" w:rsidRPr="00D768EF">
        <w:rPr>
          <w:szCs w:val="22"/>
          <w:u w:val="single"/>
          <w:lang w:val="sr-Latn-ME"/>
        </w:rPr>
        <w:t>ljekovi</w:t>
      </w:r>
      <w:r w:rsidRPr="00D768EF">
        <w:rPr>
          <w:szCs w:val="22"/>
          <w:u w:val="single"/>
          <w:lang w:val="sr-Latn-ME"/>
        </w:rPr>
        <w:t>ma</w:t>
      </w:r>
    </w:p>
    <w:p w14:paraId="499F0D88" w14:textId="58D54A22" w:rsidR="00C175E4" w:rsidRPr="00D768EF" w:rsidRDefault="00C175E4" w:rsidP="00C175E4">
      <w:pPr>
        <w:rPr>
          <w:color w:val="000000"/>
          <w:szCs w:val="22"/>
          <w:lang w:val="sr-Latn-ME"/>
        </w:rPr>
      </w:pPr>
      <w:r w:rsidRPr="00D768EF">
        <w:rPr>
          <w:szCs w:val="22"/>
          <w:lang w:val="sr-Latn-ME"/>
        </w:rPr>
        <w:t xml:space="preserve">Nema dovoljno podataka o istovremenoj upotrebi infliksimaba sa ostalim biološkim </w:t>
      </w:r>
      <w:r w:rsidR="00D57936" w:rsidRPr="00D768EF">
        <w:rPr>
          <w:szCs w:val="22"/>
          <w:lang w:val="sr-Latn-ME"/>
        </w:rPr>
        <w:t>ljekovi</w:t>
      </w:r>
      <w:r w:rsidRPr="00D768EF">
        <w:rPr>
          <w:szCs w:val="22"/>
          <w:lang w:val="sr-Latn-ME"/>
        </w:rPr>
        <w:t xml:space="preserve">ma koji se koriste u </w:t>
      </w:r>
      <w:r w:rsidR="00D57936" w:rsidRPr="00D768EF">
        <w:rPr>
          <w:szCs w:val="22"/>
          <w:lang w:val="sr-Latn-ME"/>
        </w:rPr>
        <w:t>liječe</w:t>
      </w:r>
      <w:r w:rsidRPr="00D768EF">
        <w:rPr>
          <w:szCs w:val="22"/>
          <w:lang w:val="sr-Latn-ME"/>
        </w:rPr>
        <w:t xml:space="preserve">nju istih stanja kao i infliksimab. Istovremena upotreba infliksimaba sa ovim biološkim </w:t>
      </w:r>
      <w:r w:rsidR="00D57936" w:rsidRPr="00D768EF">
        <w:rPr>
          <w:szCs w:val="22"/>
          <w:lang w:val="sr-Latn-ME"/>
        </w:rPr>
        <w:t>ljekovi</w:t>
      </w:r>
      <w:r w:rsidRPr="00D768EF">
        <w:rPr>
          <w:szCs w:val="22"/>
          <w:lang w:val="sr-Latn-ME"/>
        </w:rPr>
        <w:t>ma se ne preporučuje zbog mogućeg povećanog rizika od infekcije i drugih mogućih farmakoloških interakcija.</w:t>
      </w:r>
    </w:p>
    <w:p w14:paraId="75D6E3FC" w14:textId="77777777" w:rsidR="00C175E4" w:rsidRPr="00D768EF" w:rsidRDefault="00C175E4" w:rsidP="00C175E4">
      <w:pPr>
        <w:rPr>
          <w:rFonts w:eastAsia="TimesNewRoman"/>
          <w:color w:val="1D1B11"/>
          <w:szCs w:val="22"/>
          <w:lang w:val="sr-Latn-ME"/>
        </w:rPr>
      </w:pPr>
    </w:p>
    <w:p w14:paraId="4FF5229F" w14:textId="0698993F" w:rsidR="00C175E4" w:rsidRPr="00D768EF" w:rsidRDefault="00C175E4" w:rsidP="00C175E4">
      <w:pPr>
        <w:pStyle w:val="Header"/>
        <w:tabs>
          <w:tab w:val="left" w:pos="284"/>
        </w:tabs>
        <w:rPr>
          <w:szCs w:val="22"/>
          <w:u w:val="single"/>
          <w:lang w:val="sr-Latn-ME"/>
        </w:rPr>
      </w:pPr>
      <w:r w:rsidRPr="00D768EF">
        <w:rPr>
          <w:szCs w:val="22"/>
          <w:u w:val="single"/>
          <w:lang w:val="sr-Latn-ME"/>
        </w:rPr>
        <w:t>Prelazak sa terapije jednim biološkim antireumatskim l</w:t>
      </w:r>
      <w:r w:rsidR="0049241F" w:rsidRPr="00D768EF">
        <w:rPr>
          <w:szCs w:val="22"/>
          <w:u w:val="single"/>
          <w:lang w:val="sr-Latn-ME"/>
        </w:rPr>
        <w:t>ij</w:t>
      </w:r>
      <w:r w:rsidRPr="00D768EF">
        <w:rPr>
          <w:szCs w:val="22"/>
          <w:u w:val="single"/>
          <w:lang w:val="sr-Latn-ME"/>
        </w:rPr>
        <w:t>ekom koji modifikuje tok bolesti (DMARD) na terapiju drugim l</w:t>
      </w:r>
      <w:r w:rsidR="0049241F" w:rsidRPr="00D768EF">
        <w:rPr>
          <w:szCs w:val="22"/>
          <w:u w:val="single"/>
          <w:lang w:val="sr-Latn-ME"/>
        </w:rPr>
        <w:t>ij</w:t>
      </w:r>
      <w:r w:rsidRPr="00D768EF">
        <w:rPr>
          <w:szCs w:val="22"/>
          <w:u w:val="single"/>
          <w:lang w:val="sr-Latn-ME"/>
        </w:rPr>
        <w:t>ekom</w:t>
      </w:r>
    </w:p>
    <w:p w14:paraId="0A711CB4" w14:textId="164BE79B" w:rsidR="00C175E4" w:rsidRPr="00D768EF" w:rsidRDefault="00C175E4" w:rsidP="00C175E4">
      <w:pPr>
        <w:rPr>
          <w:rFonts w:eastAsia="TimesNewRoman"/>
          <w:color w:val="1D1B11"/>
          <w:szCs w:val="22"/>
          <w:lang w:val="sr-Latn-ME"/>
        </w:rPr>
      </w:pPr>
      <w:r w:rsidRPr="00D768EF">
        <w:rPr>
          <w:szCs w:val="22"/>
          <w:lang w:val="sr-Latn-ME" w:bidi="gu-IN"/>
        </w:rPr>
        <w:t>Potreban je oprez i kontinuirani nadzor pacijenata prilikom prelaska sa jednog biološkog l</w:t>
      </w:r>
      <w:r w:rsidR="0049241F" w:rsidRPr="00D768EF">
        <w:rPr>
          <w:szCs w:val="22"/>
          <w:lang w:val="sr-Latn-ME" w:bidi="gu-IN"/>
        </w:rPr>
        <w:t>ij</w:t>
      </w:r>
      <w:r w:rsidRPr="00D768EF">
        <w:rPr>
          <w:szCs w:val="22"/>
          <w:lang w:val="sr-Latn-ME" w:bidi="gu-IN"/>
        </w:rPr>
        <w:t xml:space="preserve">eka na drugi, jer preklapanje bioloških aktivnosti može dodatno povećati rizik od neželjenih </w:t>
      </w:r>
      <w:r w:rsidR="00204273" w:rsidRPr="00D768EF">
        <w:rPr>
          <w:szCs w:val="22"/>
          <w:lang w:val="sr-Latn-ME" w:bidi="gu-IN"/>
        </w:rPr>
        <w:t>reakcija</w:t>
      </w:r>
      <w:r w:rsidRPr="00D768EF">
        <w:rPr>
          <w:szCs w:val="22"/>
          <w:lang w:val="sr-Latn-ME" w:bidi="gu-IN"/>
        </w:rPr>
        <w:t>, uključujući infekciju.</w:t>
      </w:r>
    </w:p>
    <w:p w14:paraId="3066E9F4" w14:textId="77777777" w:rsidR="004C329D" w:rsidRPr="00D768EF" w:rsidRDefault="004C329D" w:rsidP="004C329D">
      <w:pPr>
        <w:pStyle w:val="Header"/>
        <w:tabs>
          <w:tab w:val="left" w:pos="284"/>
        </w:tabs>
        <w:rPr>
          <w:szCs w:val="22"/>
          <w:u w:val="single"/>
          <w:lang w:val="sr-Latn-ME"/>
        </w:rPr>
      </w:pPr>
      <w:r w:rsidRPr="00D768EF">
        <w:rPr>
          <w:szCs w:val="22"/>
          <w:u w:val="single"/>
          <w:lang w:val="sr-Latn-ME"/>
        </w:rPr>
        <w:lastRenderedPageBreak/>
        <w:t>Vakcinacija</w:t>
      </w:r>
    </w:p>
    <w:p w14:paraId="7729F0D5" w14:textId="77777777" w:rsidR="00FB11D6" w:rsidRPr="00D768EF" w:rsidRDefault="00FB11D6" w:rsidP="00FB11D6">
      <w:pPr>
        <w:pStyle w:val="Header"/>
        <w:rPr>
          <w:szCs w:val="22"/>
          <w:lang w:val="sr-Latn-ME"/>
        </w:rPr>
      </w:pPr>
      <w:r w:rsidRPr="00D768EF">
        <w:rPr>
          <w:szCs w:val="22"/>
          <w:lang w:val="sr-Latn-ME"/>
        </w:rPr>
        <w:t>Pr</w:t>
      </w:r>
      <w:r w:rsidR="0049241F" w:rsidRPr="00D768EF">
        <w:rPr>
          <w:szCs w:val="22"/>
          <w:lang w:val="sr-Latn-ME"/>
        </w:rPr>
        <w:t>ij</w:t>
      </w:r>
      <w:r w:rsidRPr="00D768EF">
        <w:rPr>
          <w:szCs w:val="22"/>
          <w:lang w:val="sr-Latn-ME"/>
        </w:rPr>
        <w:t xml:space="preserve">e započinjanja terapije </w:t>
      </w:r>
      <w:r w:rsidR="00D57936" w:rsidRPr="00D768EF">
        <w:rPr>
          <w:szCs w:val="22"/>
          <w:lang w:val="sr-Latn-ME"/>
        </w:rPr>
        <w:t>lijekom Inflectra</w:t>
      </w:r>
      <w:r w:rsidR="00422823" w:rsidRPr="00D768EF">
        <w:rPr>
          <w:szCs w:val="22"/>
          <w:lang w:val="sr-Latn-ME"/>
        </w:rPr>
        <w:t xml:space="preserve"> </w:t>
      </w:r>
      <w:r w:rsidRPr="00D768EF">
        <w:rPr>
          <w:szCs w:val="22"/>
          <w:lang w:val="sr-Latn-ME"/>
        </w:rPr>
        <w:t xml:space="preserve">preporučuje </w:t>
      </w:r>
      <w:r w:rsidR="00422823" w:rsidRPr="00D768EF">
        <w:rPr>
          <w:szCs w:val="22"/>
          <w:lang w:val="sr-Latn-ME"/>
        </w:rPr>
        <w:t xml:space="preserve">se </w:t>
      </w:r>
      <w:r w:rsidRPr="00D768EF">
        <w:rPr>
          <w:szCs w:val="22"/>
          <w:lang w:val="sr-Latn-ME"/>
        </w:rPr>
        <w:t>imunizacija svih pacijenata</w:t>
      </w:r>
      <w:r w:rsidR="004C329D" w:rsidRPr="00D768EF">
        <w:rPr>
          <w:color w:val="000000"/>
          <w:szCs w:val="22"/>
          <w:lang w:val="sr-Latn-ME"/>
        </w:rPr>
        <w:t>, ukoliko je moguće,</w:t>
      </w:r>
      <w:r w:rsidRPr="00D768EF">
        <w:rPr>
          <w:szCs w:val="22"/>
          <w:lang w:val="sr-Latn-ME"/>
        </w:rPr>
        <w:t xml:space="preserve"> u skladu sa važećim programom imunizacije. </w:t>
      </w:r>
      <w:r w:rsidR="00D63136" w:rsidRPr="00D768EF">
        <w:rPr>
          <w:szCs w:val="22"/>
          <w:lang w:val="sr-Latn-ME"/>
        </w:rPr>
        <w:t>Pacijenti na terapiji infliksimabom mogu istovremeno primat</w:t>
      </w:r>
      <w:r w:rsidR="00422823" w:rsidRPr="00D768EF">
        <w:rPr>
          <w:szCs w:val="22"/>
          <w:lang w:val="sr-Latn-ME"/>
        </w:rPr>
        <w:t>i</w:t>
      </w:r>
      <w:r w:rsidR="00D63136" w:rsidRPr="00D768EF">
        <w:rPr>
          <w:szCs w:val="22"/>
          <w:lang w:val="sr-Latn-ME"/>
        </w:rPr>
        <w:t xml:space="preserve"> </w:t>
      </w:r>
      <w:r w:rsidR="00422823" w:rsidRPr="00D768EF">
        <w:rPr>
          <w:szCs w:val="22"/>
          <w:lang w:val="sr-Latn-ME"/>
        </w:rPr>
        <w:t>vak</w:t>
      </w:r>
      <w:r w:rsidR="00D63136" w:rsidRPr="00D768EF">
        <w:rPr>
          <w:szCs w:val="22"/>
          <w:lang w:val="sr-Latn-ME"/>
        </w:rPr>
        <w:t>cine, izuzev živih vakcina (</w:t>
      </w:r>
      <w:r w:rsidR="00282A1E" w:rsidRPr="00D768EF">
        <w:rPr>
          <w:szCs w:val="22"/>
          <w:lang w:val="sr-Latn-ME"/>
        </w:rPr>
        <w:t>vidjeti</w:t>
      </w:r>
      <w:r w:rsidR="00D63136" w:rsidRPr="00D768EF">
        <w:rPr>
          <w:szCs w:val="22"/>
          <w:lang w:val="sr-Latn-ME"/>
        </w:rPr>
        <w:t xml:space="preserve"> </w:t>
      </w:r>
      <w:r w:rsidR="00282A1E" w:rsidRPr="00D768EF">
        <w:rPr>
          <w:szCs w:val="22"/>
          <w:lang w:val="sr-Latn-ME"/>
        </w:rPr>
        <w:t>djelove</w:t>
      </w:r>
      <w:r w:rsidR="00D63136" w:rsidRPr="00D768EF">
        <w:rPr>
          <w:szCs w:val="22"/>
          <w:lang w:val="sr-Latn-ME"/>
        </w:rPr>
        <w:t xml:space="preserve"> 4.5 i 4.6)</w:t>
      </w:r>
      <w:r w:rsidRPr="00D768EF">
        <w:rPr>
          <w:szCs w:val="22"/>
          <w:lang w:val="sr-Latn-ME"/>
        </w:rPr>
        <w:t>.</w:t>
      </w:r>
    </w:p>
    <w:p w14:paraId="1F090841" w14:textId="77777777" w:rsidR="00FB11D6" w:rsidRPr="00D768EF" w:rsidRDefault="00FB11D6" w:rsidP="00FB11D6">
      <w:pPr>
        <w:pStyle w:val="Header"/>
        <w:rPr>
          <w:szCs w:val="22"/>
          <w:lang w:val="sr-Latn-ME"/>
        </w:rPr>
      </w:pPr>
    </w:p>
    <w:p w14:paraId="388E563E" w14:textId="2E2BBD76" w:rsidR="00422823" w:rsidRPr="00D768EF" w:rsidRDefault="00422823" w:rsidP="00FB11D6">
      <w:pPr>
        <w:pStyle w:val="Header"/>
        <w:rPr>
          <w:lang w:val="sr-Latn-ME"/>
        </w:rPr>
      </w:pPr>
      <w:r w:rsidRPr="00D768EF">
        <w:rPr>
          <w:szCs w:val="22"/>
          <w:lang w:val="sr-Latn-ME"/>
        </w:rPr>
        <w:t>U podgrupi od 90 pacijenata</w:t>
      </w:r>
      <w:r w:rsidRPr="00D768EF">
        <w:rPr>
          <w:szCs w:val="22"/>
          <w:lang w:val="sr-Latn-ME" w:eastAsia="sv-SE"/>
        </w:rPr>
        <w:t xml:space="preserve"> sa reumatoidnim artritisom u ASPIRE studiji, </w:t>
      </w:r>
      <w:r w:rsidR="00E02006" w:rsidRPr="00D768EF">
        <w:rPr>
          <w:szCs w:val="22"/>
          <w:lang w:val="sr-Latn-ME" w:eastAsia="sv-SE"/>
        </w:rPr>
        <w:t xml:space="preserve">kod </w:t>
      </w:r>
      <w:r w:rsidRPr="00D768EF">
        <w:rPr>
          <w:szCs w:val="22"/>
          <w:lang w:val="sr-Latn-ME" w:eastAsia="sv-SE"/>
        </w:rPr>
        <w:t>slič</w:t>
      </w:r>
      <w:r w:rsidR="00E02006" w:rsidRPr="00D768EF">
        <w:rPr>
          <w:szCs w:val="22"/>
          <w:lang w:val="sr-Latn-ME" w:eastAsia="sv-SE"/>
        </w:rPr>
        <w:t>nog</w:t>
      </w:r>
      <w:r w:rsidR="00E21A39" w:rsidRPr="00D768EF">
        <w:rPr>
          <w:szCs w:val="22"/>
          <w:lang w:val="sr-Latn-ME" w:eastAsia="sv-SE"/>
        </w:rPr>
        <w:t xml:space="preserve"> ud</w:t>
      </w:r>
      <w:r w:rsidR="0049241F" w:rsidRPr="00D768EF">
        <w:rPr>
          <w:szCs w:val="22"/>
          <w:lang w:val="sr-Latn-ME" w:eastAsia="sv-SE"/>
        </w:rPr>
        <w:t>j</w:t>
      </w:r>
      <w:r w:rsidR="00E21A39" w:rsidRPr="00D768EF">
        <w:rPr>
          <w:szCs w:val="22"/>
          <w:lang w:val="sr-Latn-ME" w:eastAsia="sv-SE"/>
        </w:rPr>
        <w:t>e</w:t>
      </w:r>
      <w:r w:rsidR="00E02006" w:rsidRPr="00D768EF">
        <w:rPr>
          <w:szCs w:val="22"/>
          <w:lang w:val="sr-Latn-ME" w:eastAsia="sv-SE"/>
        </w:rPr>
        <w:t>la</w:t>
      </w:r>
      <w:r w:rsidR="00E21A39" w:rsidRPr="00D768EF">
        <w:rPr>
          <w:szCs w:val="22"/>
          <w:lang w:val="sr-Latn-ME" w:eastAsia="sv-SE"/>
        </w:rPr>
        <w:t xml:space="preserve"> </w:t>
      </w:r>
      <w:r w:rsidR="007C530B" w:rsidRPr="00D768EF">
        <w:rPr>
          <w:szCs w:val="22"/>
          <w:lang w:val="sr-Latn-ME" w:eastAsia="sv-SE"/>
        </w:rPr>
        <w:t>pacijenata</w:t>
      </w:r>
      <w:r w:rsidR="00E02006" w:rsidRPr="00D768EF">
        <w:rPr>
          <w:szCs w:val="22"/>
          <w:lang w:val="sr-Latn-ME" w:eastAsia="sv-SE"/>
        </w:rPr>
        <w:t xml:space="preserve"> u svakoj od terapijskih grupa (metotreksat plus: placebo [n = 17], infliksimab 3 mg/kg [n = 27] ili infliksimab 6 mg/kg [n = 46]) postignuto je efektivno dvostruko povećanje titra na polivalentnu pneumokoknu vakcinu, što ukazuje da infliksimab </w:t>
      </w:r>
      <w:r w:rsidR="00AF5EBB" w:rsidRPr="00D768EF">
        <w:rPr>
          <w:szCs w:val="22"/>
          <w:lang w:val="sr-Latn-ME" w:eastAsia="sv-SE"/>
        </w:rPr>
        <w:t>nije uticao</w:t>
      </w:r>
      <w:r w:rsidR="00E02006" w:rsidRPr="00D768EF">
        <w:rPr>
          <w:szCs w:val="22"/>
          <w:lang w:val="sr-Latn-ME" w:eastAsia="sv-SE"/>
        </w:rPr>
        <w:t xml:space="preserve"> na humoraln</w:t>
      </w:r>
      <w:r w:rsidR="00AF5EBB" w:rsidRPr="00D768EF">
        <w:rPr>
          <w:szCs w:val="22"/>
          <w:lang w:val="sr-Latn-ME" w:eastAsia="sv-SE"/>
        </w:rPr>
        <w:t>e</w:t>
      </w:r>
      <w:r w:rsidR="00E02006" w:rsidRPr="00D768EF">
        <w:rPr>
          <w:szCs w:val="22"/>
          <w:lang w:val="sr-Latn-ME" w:eastAsia="sv-SE"/>
        </w:rPr>
        <w:t xml:space="preserve"> imun</w:t>
      </w:r>
      <w:r w:rsidR="00AF5EBB" w:rsidRPr="00D768EF">
        <w:rPr>
          <w:szCs w:val="22"/>
          <w:lang w:val="sr-Latn-ME" w:eastAsia="sv-SE"/>
        </w:rPr>
        <w:t>ske</w:t>
      </w:r>
      <w:r w:rsidR="00E02006" w:rsidRPr="00D768EF">
        <w:rPr>
          <w:szCs w:val="22"/>
          <w:lang w:val="sr-Latn-ME" w:eastAsia="sv-SE"/>
        </w:rPr>
        <w:t xml:space="preserve"> odgovor</w:t>
      </w:r>
      <w:r w:rsidR="00AF5EBB" w:rsidRPr="00D768EF">
        <w:rPr>
          <w:szCs w:val="22"/>
          <w:lang w:val="sr-Latn-ME" w:eastAsia="sv-SE"/>
        </w:rPr>
        <w:t>e</w:t>
      </w:r>
      <w:r w:rsidR="00E66B5E" w:rsidRPr="00D768EF">
        <w:rPr>
          <w:szCs w:val="22"/>
          <w:lang w:val="sr-Latn-ME" w:eastAsia="sv-SE"/>
        </w:rPr>
        <w:t xml:space="preserve"> nezavisn</w:t>
      </w:r>
      <w:r w:rsidR="00AF5EBB" w:rsidRPr="00D768EF">
        <w:rPr>
          <w:szCs w:val="22"/>
          <w:lang w:val="sr-Latn-ME" w:eastAsia="sv-SE"/>
        </w:rPr>
        <w:t>e</w:t>
      </w:r>
      <w:r w:rsidR="00E66B5E" w:rsidRPr="00D768EF">
        <w:rPr>
          <w:szCs w:val="22"/>
          <w:lang w:val="sr-Latn-ME" w:eastAsia="sv-SE"/>
        </w:rPr>
        <w:t xml:space="preserve"> od T-ćelija</w:t>
      </w:r>
      <w:r w:rsidR="00E02006" w:rsidRPr="00D768EF">
        <w:rPr>
          <w:szCs w:val="22"/>
          <w:lang w:val="sr-Latn-ME" w:eastAsia="sv-SE"/>
        </w:rPr>
        <w:t>.</w:t>
      </w:r>
      <w:r w:rsidR="00DD3FA8" w:rsidRPr="00D768EF">
        <w:rPr>
          <w:szCs w:val="22"/>
          <w:lang w:val="sr-Latn-ME" w:eastAsia="sv-SE"/>
        </w:rPr>
        <w:t xml:space="preserve"> Međutim, studije objavljene u literaturi </w:t>
      </w:r>
      <w:r w:rsidR="00AF5EBB" w:rsidRPr="00D768EF">
        <w:rPr>
          <w:szCs w:val="22"/>
          <w:lang w:val="sr-Latn-ME" w:eastAsia="sv-SE"/>
        </w:rPr>
        <w:t>kod</w:t>
      </w:r>
      <w:r w:rsidR="00DD3FA8" w:rsidRPr="00D768EF">
        <w:rPr>
          <w:szCs w:val="22"/>
          <w:lang w:val="sr-Latn-ME" w:eastAsia="sv-SE"/>
        </w:rPr>
        <w:t xml:space="preserve"> različit</w:t>
      </w:r>
      <w:r w:rsidR="00AF5EBB" w:rsidRPr="00D768EF">
        <w:rPr>
          <w:szCs w:val="22"/>
          <w:lang w:val="sr-Latn-ME" w:eastAsia="sv-SE"/>
        </w:rPr>
        <w:t>ih</w:t>
      </w:r>
      <w:r w:rsidR="00DD3FA8" w:rsidRPr="00D768EF">
        <w:rPr>
          <w:szCs w:val="22"/>
          <w:lang w:val="sr-Latn-ME" w:eastAsia="sv-SE"/>
        </w:rPr>
        <w:t xml:space="preserve"> indikacij</w:t>
      </w:r>
      <w:r w:rsidR="00AF5EBB" w:rsidRPr="00D768EF">
        <w:rPr>
          <w:szCs w:val="22"/>
          <w:lang w:val="sr-Latn-ME" w:eastAsia="sv-SE"/>
        </w:rPr>
        <w:t>a</w:t>
      </w:r>
      <w:r w:rsidR="00DD3FA8" w:rsidRPr="00D768EF">
        <w:rPr>
          <w:szCs w:val="22"/>
          <w:lang w:val="sr-Latn-ME" w:eastAsia="sv-SE"/>
        </w:rPr>
        <w:t xml:space="preserve"> (npr. reumatoidni artritis, psorijaza, Kronova bolest) ukazuju na to da</w:t>
      </w:r>
      <w:r w:rsidR="00AF5EBB" w:rsidRPr="00D768EF">
        <w:rPr>
          <w:szCs w:val="22"/>
          <w:lang w:val="sr-Latn-ME" w:eastAsia="sv-SE"/>
        </w:rPr>
        <w:t xml:space="preserve"> nežive vakcine</w:t>
      </w:r>
      <w:r w:rsidR="00DD3FA8" w:rsidRPr="00D768EF">
        <w:rPr>
          <w:szCs w:val="22"/>
          <w:lang w:val="sr-Latn-ME" w:eastAsia="sv-SE"/>
        </w:rPr>
        <w:t xml:space="preserve"> </w:t>
      </w:r>
      <w:r w:rsidR="00D57936" w:rsidRPr="00D768EF">
        <w:rPr>
          <w:szCs w:val="22"/>
          <w:lang w:val="sr-Latn-ME" w:eastAsia="sv-SE"/>
        </w:rPr>
        <w:t>primje</w:t>
      </w:r>
      <w:r w:rsidR="00AF5EBB" w:rsidRPr="00D768EF">
        <w:rPr>
          <w:szCs w:val="22"/>
          <w:lang w:val="sr-Latn-ME" w:eastAsia="sv-SE"/>
        </w:rPr>
        <w:t>njene</w:t>
      </w:r>
      <w:r w:rsidR="00DD3FA8" w:rsidRPr="00D768EF">
        <w:rPr>
          <w:szCs w:val="22"/>
          <w:lang w:val="sr-Latn-ME" w:eastAsia="sv-SE"/>
        </w:rPr>
        <w:t xml:space="preserve">  tokom</w:t>
      </w:r>
      <w:r w:rsidR="00AF5EBB" w:rsidRPr="00D768EF">
        <w:rPr>
          <w:szCs w:val="22"/>
          <w:lang w:val="sr-Latn-ME" w:eastAsia="sv-SE"/>
        </w:rPr>
        <w:t xml:space="preserve"> terapije</w:t>
      </w:r>
      <w:r w:rsidR="00DD3FA8" w:rsidRPr="00D768EF">
        <w:rPr>
          <w:szCs w:val="22"/>
          <w:lang w:val="sr-Latn-ME" w:eastAsia="sv-SE"/>
        </w:rPr>
        <w:t xml:space="preserve"> </w:t>
      </w:r>
      <w:r w:rsidR="00DD3FA8" w:rsidRPr="00D768EF">
        <w:rPr>
          <w:color w:val="000000"/>
          <w:szCs w:val="22"/>
          <w:lang w:val="sr-Latn-ME"/>
        </w:rPr>
        <w:t xml:space="preserve">anti-TNF </w:t>
      </w:r>
      <w:r w:rsidR="00AF5EBB" w:rsidRPr="00D768EF">
        <w:rPr>
          <w:color w:val="000000"/>
          <w:szCs w:val="22"/>
          <w:lang w:val="sr-Latn-ME"/>
        </w:rPr>
        <w:t>l</w:t>
      </w:r>
      <w:r w:rsidR="000155D7" w:rsidRPr="00D768EF">
        <w:rPr>
          <w:color w:val="000000"/>
          <w:szCs w:val="22"/>
          <w:lang w:val="sr-Latn-ME"/>
        </w:rPr>
        <w:t>j</w:t>
      </w:r>
      <w:r w:rsidR="00AF5EBB" w:rsidRPr="00D768EF">
        <w:rPr>
          <w:color w:val="000000"/>
          <w:szCs w:val="22"/>
          <w:lang w:val="sr-Latn-ME"/>
        </w:rPr>
        <w:t>ekovima</w:t>
      </w:r>
      <w:r w:rsidR="00DD3FA8" w:rsidRPr="00D768EF">
        <w:rPr>
          <w:color w:val="000000"/>
          <w:szCs w:val="22"/>
          <w:lang w:val="sr-Latn-ME"/>
        </w:rPr>
        <w:t>, uključujući</w:t>
      </w:r>
      <w:r w:rsidR="00DD3FA8" w:rsidRPr="00D768EF">
        <w:rPr>
          <w:szCs w:val="22"/>
          <w:lang w:val="sr-Latn-ME" w:eastAsia="sv-SE"/>
        </w:rPr>
        <w:t xml:space="preserve"> infliksimab, </w:t>
      </w:r>
      <w:r w:rsidR="00E66B5E" w:rsidRPr="00D768EF">
        <w:rPr>
          <w:szCs w:val="22"/>
          <w:lang w:val="sr-Latn-ME" w:eastAsia="sv-SE"/>
        </w:rPr>
        <w:t>može dovesti do oslabljenog imun</w:t>
      </w:r>
      <w:r w:rsidR="00AF5EBB" w:rsidRPr="00D768EF">
        <w:rPr>
          <w:szCs w:val="22"/>
          <w:lang w:val="sr-Latn-ME" w:eastAsia="sv-SE"/>
        </w:rPr>
        <w:t>skog</w:t>
      </w:r>
      <w:r w:rsidR="00E66B5E" w:rsidRPr="00D768EF">
        <w:rPr>
          <w:szCs w:val="22"/>
          <w:lang w:val="sr-Latn-ME" w:eastAsia="sv-SE"/>
        </w:rPr>
        <w:t xml:space="preserve"> odgovora</w:t>
      </w:r>
      <w:r w:rsidR="00AF5EBB" w:rsidRPr="00D768EF">
        <w:rPr>
          <w:szCs w:val="22"/>
          <w:lang w:val="sr-Latn-ME" w:eastAsia="sv-SE"/>
        </w:rPr>
        <w:t>,</w:t>
      </w:r>
      <w:r w:rsidR="00E66B5E" w:rsidRPr="00D768EF">
        <w:rPr>
          <w:szCs w:val="22"/>
          <w:lang w:val="sr-Latn-ME" w:eastAsia="sv-SE"/>
        </w:rPr>
        <w:t xml:space="preserve"> u </w:t>
      </w:r>
      <w:r w:rsidR="00AF5EBB" w:rsidRPr="00D768EF">
        <w:rPr>
          <w:szCs w:val="22"/>
          <w:lang w:val="sr-Latn-ME" w:eastAsia="sv-SE"/>
        </w:rPr>
        <w:t>odnosu na</w:t>
      </w:r>
      <w:r w:rsidR="00E66B5E" w:rsidRPr="00D768EF">
        <w:rPr>
          <w:szCs w:val="22"/>
          <w:lang w:val="sr-Latn-ME" w:eastAsia="sv-SE"/>
        </w:rPr>
        <w:t xml:space="preserve"> pacijent</w:t>
      </w:r>
      <w:r w:rsidR="00AF5EBB" w:rsidRPr="00D768EF">
        <w:rPr>
          <w:szCs w:val="22"/>
          <w:lang w:val="sr-Latn-ME" w:eastAsia="sv-SE"/>
        </w:rPr>
        <w:t>e</w:t>
      </w:r>
      <w:r w:rsidR="00E66B5E" w:rsidRPr="00D768EF">
        <w:rPr>
          <w:szCs w:val="22"/>
          <w:lang w:val="sr-Latn-ME" w:eastAsia="sv-SE"/>
        </w:rPr>
        <w:t xml:space="preserve"> koji ne primaju</w:t>
      </w:r>
      <w:r w:rsidR="00FA283D" w:rsidRPr="00D768EF">
        <w:rPr>
          <w:szCs w:val="22"/>
          <w:lang w:val="sr-Latn-ME" w:eastAsia="sv-SE"/>
        </w:rPr>
        <w:t xml:space="preserve"> </w:t>
      </w:r>
      <w:r w:rsidR="00E66B5E" w:rsidRPr="00D768EF">
        <w:rPr>
          <w:lang w:val="sr-Latn-ME"/>
        </w:rPr>
        <w:t>anti-TNF terapiju.</w:t>
      </w:r>
    </w:p>
    <w:p w14:paraId="478F5DF1" w14:textId="77777777" w:rsidR="00565091" w:rsidRPr="00D768EF" w:rsidRDefault="00565091" w:rsidP="00FB11D6">
      <w:pPr>
        <w:pStyle w:val="Header"/>
        <w:rPr>
          <w:szCs w:val="22"/>
          <w:lang w:val="sr-Latn-ME" w:eastAsia="sv-SE"/>
        </w:rPr>
      </w:pPr>
    </w:p>
    <w:p w14:paraId="6213C316" w14:textId="643013F1" w:rsidR="00C175E4" w:rsidRPr="00D768EF" w:rsidRDefault="00AF5EBB" w:rsidP="00C175E4">
      <w:pPr>
        <w:pStyle w:val="Header"/>
        <w:tabs>
          <w:tab w:val="left" w:pos="284"/>
        </w:tabs>
        <w:rPr>
          <w:szCs w:val="22"/>
          <w:u w:val="single"/>
          <w:lang w:val="sr-Latn-ME"/>
        </w:rPr>
      </w:pPr>
      <w:r w:rsidRPr="00D768EF">
        <w:rPr>
          <w:szCs w:val="22"/>
          <w:u w:val="single"/>
          <w:lang w:val="sr-Latn-ME"/>
        </w:rPr>
        <w:t>Vakcinacija ž</w:t>
      </w:r>
      <w:r w:rsidR="00C175E4" w:rsidRPr="00D768EF">
        <w:rPr>
          <w:szCs w:val="22"/>
          <w:u w:val="single"/>
          <w:lang w:val="sr-Latn-ME"/>
        </w:rPr>
        <w:t>iv</w:t>
      </w:r>
      <w:r w:rsidRPr="00D768EF">
        <w:rPr>
          <w:szCs w:val="22"/>
          <w:u w:val="single"/>
          <w:lang w:val="sr-Latn-ME"/>
        </w:rPr>
        <w:t>im</w:t>
      </w:r>
      <w:r w:rsidR="00C175E4" w:rsidRPr="00D768EF">
        <w:rPr>
          <w:szCs w:val="22"/>
          <w:u w:val="single"/>
          <w:lang w:val="sr-Latn-ME"/>
        </w:rPr>
        <w:t xml:space="preserve"> vakcin</w:t>
      </w:r>
      <w:r w:rsidRPr="00D768EF">
        <w:rPr>
          <w:szCs w:val="22"/>
          <w:u w:val="single"/>
          <w:lang w:val="sr-Latn-ME"/>
        </w:rPr>
        <w:t>ama</w:t>
      </w:r>
      <w:r w:rsidR="00C175E4" w:rsidRPr="00D768EF">
        <w:rPr>
          <w:szCs w:val="22"/>
          <w:u w:val="single"/>
          <w:lang w:val="sr-Latn-ME"/>
        </w:rPr>
        <w:t xml:space="preserve">/ </w:t>
      </w:r>
      <w:r w:rsidRPr="00D768EF">
        <w:rPr>
          <w:szCs w:val="22"/>
          <w:u w:val="single"/>
          <w:lang w:val="sr-Latn-ME"/>
        </w:rPr>
        <w:t>prim</w:t>
      </w:r>
      <w:r w:rsidR="00853D98" w:rsidRPr="00D768EF">
        <w:rPr>
          <w:szCs w:val="22"/>
          <w:u w:val="single"/>
          <w:lang w:val="sr-Latn-ME"/>
        </w:rPr>
        <w:t>j</w:t>
      </w:r>
      <w:r w:rsidRPr="00D768EF">
        <w:rPr>
          <w:szCs w:val="22"/>
          <w:u w:val="single"/>
          <w:lang w:val="sr-Latn-ME"/>
        </w:rPr>
        <w:t>ena</w:t>
      </w:r>
      <w:r w:rsidR="00C175E4" w:rsidRPr="00D768EF">
        <w:rPr>
          <w:szCs w:val="22"/>
          <w:u w:val="single"/>
          <w:lang w:val="sr-Latn-ME"/>
        </w:rPr>
        <w:t xml:space="preserve"> infektivni</w:t>
      </w:r>
      <w:r w:rsidRPr="00D768EF">
        <w:rPr>
          <w:szCs w:val="22"/>
          <w:u w:val="single"/>
          <w:lang w:val="sr-Latn-ME"/>
        </w:rPr>
        <w:t>h</w:t>
      </w:r>
      <w:r w:rsidR="00C175E4" w:rsidRPr="00D768EF">
        <w:rPr>
          <w:szCs w:val="22"/>
          <w:u w:val="single"/>
          <w:lang w:val="sr-Latn-ME"/>
        </w:rPr>
        <w:t xml:space="preserve"> agen</w:t>
      </w:r>
      <w:r w:rsidRPr="00D768EF">
        <w:rPr>
          <w:szCs w:val="22"/>
          <w:u w:val="single"/>
          <w:lang w:val="sr-Latn-ME"/>
        </w:rPr>
        <w:t>asa</w:t>
      </w:r>
      <w:r w:rsidR="00C175E4" w:rsidRPr="00D768EF">
        <w:rPr>
          <w:szCs w:val="22"/>
          <w:u w:val="single"/>
          <w:lang w:val="sr-Latn-ME"/>
        </w:rPr>
        <w:t xml:space="preserve"> </w:t>
      </w:r>
      <w:r w:rsidRPr="00D768EF">
        <w:rPr>
          <w:szCs w:val="22"/>
          <w:u w:val="single"/>
          <w:lang w:val="sr-Latn-ME"/>
        </w:rPr>
        <w:t>u terapijske svrhe</w:t>
      </w:r>
    </w:p>
    <w:p w14:paraId="2B300959" w14:textId="530861A7" w:rsidR="00C175E4" w:rsidRPr="00D768EF" w:rsidRDefault="00AF5EBB" w:rsidP="00C175E4">
      <w:pPr>
        <w:tabs>
          <w:tab w:val="clear" w:pos="284"/>
        </w:tabs>
        <w:autoSpaceDE w:val="0"/>
        <w:autoSpaceDN w:val="0"/>
        <w:adjustRightInd w:val="0"/>
        <w:rPr>
          <w:color w:val="000000"/>
          <w:szCs w:val="22"/>
          <w:lang w:val="sr-Latn-ME"/>
        </w:rPr>
      </w:pPr>
      <w:r w:rsidRPr="00D768EF">
        <w:rPr>
          <w:color w:val="000000"/>
          <w:szCs w:val="22"/>
          <w:lang w:val="sr-Latn-ME"/>
        </w:rPr>
        <w:t xml:space="preserve">Kod pacijenata koji primaju anti-TNF terapiju, malo </w:t>
      </w:r>
      <w:r w:rsidR="00C175E4" w:rsidRPr="00D768EF">
        <w:rPr>
          <w:color w:val="000000"/>
          <w:szCs w:val="22"/>
          <w:lang w:val="sr-Latn-ME"/>
        </w:rPr>
        <w:t>poda</w:t>
      </w:r>
      <w:r w:rsidRPr="00D768EF">
        <w:rPr>
          <w:color w:val="000000"/>
          <w:szCs w:val="22"/>
          <w:lang w:val="sr-Latn-ME"/>
        </w:rPr>
        <w:t>taka je dostupno u</w:t>
      </w:r>
      <w:r w:rsidR="00C175E4" w:rsidRPr="00D768EF">
        <w:rPr>
          <w:color w:val="000000"/>
          <w:szCs w:val="22"/>
          <w:lang w:val="sr-Latn-ME"/>
        </w:rPr>
        <w:t xml:space="preserve"> vezi </w:t>
      </w:r>
      <w:r w:rsidRPr="00D768EF">
        <w:rPr>
          <w:color w:val="000000"/>
          <w:szCs w:val="22"/>
          <w:lang w:val="sr-Latn-ME"/>
        </w:rPr>
        <w:t>sa</w:t>
      </w:r>
      <w:r w:rsidR="00C175E4" w:rsidRPr="00D768EF">
        <w:rPr>
          <w:color w:val="000000"/>
          <w:szCs w:val="22"/>
          <w:lang w:val="sr-Latn-ME"/>
        </w:rPr>
        <w:t xml:space="preserve"> odgovor</w:t>
      </w:r>
      <w:r w:rsidRPr="00D768EF">
        <w:rPr>
          <w:color w:val="000000"/>
          <w:szCs w:val="22"/>
          <w:lang w:val="sr-Latn-ME"/>
        </w:rPr>
        <w:t>om</w:t>
      </w:r>
      <w:r w:rsidR="00C175E4" w:rsidRPr="00D768EF">
        <w:rPr>
          <w:color w:val="000000"/>
          <w:szCs w:val="22"/>
          <w:lang w:val="sr-Latn-ME"/>
        </w:rPr>
        <w:t xml:space="preserve"> na vakcinaciju živim vakcinama ili </w:t>
      </w:r>
      <w:r w:rsidRPr="00D768EF">
        <w:rPr>
          <w:color w:val="000000"/>
          <w:szCs w:val="22"/>
          <w:lang w:val="sr-Latn-ME"/>
        </w:rPr>
        <w:t>na</w:t>
      </w:r>
      <w:r w:rsidR="00C175E4" w:rsidRPr="00D768EF">
        <w:rPr>
          <w:color w:val="000000"/>
          <w:szCs w:val="22"/>
          <w:lang w:val="sr-Latn-ME"/>
        </w:rPr>
        <w:t xml:space="preserve"> sekundarn</w:t>
      </w:r>
      <w:r w:rsidRPr="00D768EF">
        <w:rPr>
          <w:color w:val="000000"/>
          <w:szCs w:val="22"/>
          <w:lang w:val="sr-Latn-ME"/>
        </w:rPr>
        <w:t>u</w:t>
      </w:r>
      <w:r w:rsidR="00C175E4" w:rsidRPr="00D768EF">
        <w:rPr>
          <w:color w:val="000000"/>
          <w:szCs w:val="22"/>
          <w:lang w:val="sr-Latn-ME"/>
        </w:rPr>
        <w:t xml:space="preserve"> </w:t>
      </w:r>
      <w:r w:rsidRPr="00D768EF">
        <w:rPr>
          <w:color w:val="000000"/>
          <w:szCs w:val="22"/>
          <w:lang w:val="sr-Latn-ME"/>
        </w:rPr>
        <w:t>transmisiju</w:t>
      </w:r>
      <w:r w:rsidR="00C175E4" w:rsidRPr="00D768EF">
        <w:rPr>
          <w:color w:val="000000"/>
          <w:szCs w:val="22"/>
          <w:lang w:val="sr-Latn-ME"/>
        </w:rPr>
        <w:t xml:space="preserve"> infekcije živim vakcinama. </w:t>
      </w:r>
      <w:r w:rsidR="00D57936" w:rsidRPr="00D768EF">
        <w:rPr>
          <w:szCs w:val="22"/>
          <w:lang w:val="sr-Latn-ME"/>
        </w:rPr>
        <w:t>Primjena</w:t>
      </w:r>
      <w:r w:rsidR="00C175E4" w:rsidRPr="00D768EF">
        <w:rPr>
          <w:szCs w:val="22"/>
          <w:lang w:val="sr-Latn-ME"/>
        </w:rPr>
        <w:t xml:space="preserve"> živih vakcina mo</w:t>
      </w:r>
      <w:r w:rsidRPr="00D768EF">
        <w:rPr>
          <w:szCs w:val="22"/>
          <w:lang w:val="sr-Latn-ME"/>
        </w:rPr>
        <w:t>že</w:t>
      </w:r>
      <w:r w:rsidR="00C175E4" w:rsidRPr="00D768EF">
        <w:rPr>
          <w:szCs w:val="22"/>
          <w:lang w:val="sr-Latn-ME"/>
        </w:rPr>
        <w:t xml:space="preserve"> dove</w:t>
      </w:r>
      <w:r w:rsidRPr="00D768EF">
        <w:rPr>
          <w:szCs w:val="22"/>
          <w:lang w:val="sr-Latn-ME"/>
        </w:rPr>
        <w:t>sti</w:t>
      </w:r>
      <w:r w:rsidR="00C175E4" w:rsidRPr="00D768EF">
        <w:rPr>
          <w:szCs w:val="22"/>
          <w:lang w:val="sr-Latn-ME"/>
        </w:rPr>
        <w:t xml:space="preserve"> do</w:t>
      </w:r>
      <w:r w:rsidRPr="00D768EF">
        <w:rPr>
          <w:szCs w:val="22"/>
          <w:lang w:val="sr-Latn-ME"/>
        </w:rPr>
        <w:t xml:space="preserve"> pojave </w:t>
      </w:r>
      <w:r w:rsidR="00C175E4" w:rsidRPr="00D768EF">
        <w:rPr>
          <w:szCs w:val="22"/>
          <w:lang w:val="sr-Latn-ME"/>
        </w:rPr>
        <w:t xml:space="preserve">kliničkih infekcija, uključujući diseminovane infekcije. </w:t>
      </w:r>
      <w:r w:rsidR="00C175E4" w:rsidRPr="00D768EF">
        <w:rPr>
          <w:color w:val="000000"/>
          <w:szCs w:val="22"/>
          <w:lang w:val="sr-Latn-ME"/>
        </w:rPr>
        <w:t xml:space="preserve">Ne preporučuje se istovremeno davanje živih vakcina i </w:t>
      </w:r>
      <w:r w:rsidR="00204273" w:rsidRPr="00D768EF">
        <w:rPr>
          <w:color w:val="000000"/>
          <w:szCs w:val="22"/>
          <w:lang w:val="sr-Latn-ME"/>
        </w:rPr>
        <w:t>infliksimaba</w:t>
      </w:r>
      <w:r w:rsidR="00C175E4" w:rsidRPr="00D768EF">
        <w:rPr>
          <w:color w:val="000000"/>
          <w:szCs w:val="22"/>
          <w:lang w:val="sr-Latn-ME"/>
        </w:rPr>
        <w:t>.</w:t>
      </w:r>
    </w:p>
    <w:p w14:paraId="6CE35373" w14:textId="1E9542AC" w:rsidR="00C175E4" w:rsidRPr="006F2A29" w:rsidRDefault="00C175E4" w:rsidP="00C175E4">
      <w:pPr>
        <w:tabs>
          <w:tab w:val="clear" w:pos="284"/>
        </w:tabs>
        <w:autoSpaceDE w:val="0"/>
        <w:autoSpaceDN w:val="0"/>
        <w:adjustRightInd w:val="0"/>
        <w:rPr>
          <w:color w:val="000000"/>
          <w:szCs w:val="22"/>
          <w:u w:val="single"/>
          <w:lang w:val="sr-Latn-ME"/>
        </w:rPr>
      </w:pPr>
    </w:p>
    <w:p w14:paraId="5F2B7B00" w14:textId="4EB6AB30" w:rsidR="00D768EF" w:rsidRPr="006F2A29" w:rsidRDefault="00D768EF" w:rsidP="00C175E4">
      <w:pPr>
        <w:tabs>
          <w:tab w:val="clear" w:pos="284"/>
        </w:tabs>
        <w:autoSpaceDE w:val="0"/>
        <w:autoSpaceDN w:val="0"/>
        <w:adjustRightInd w:val="0"/>
        <w:rPr>
          <w:color w:val="000000"/>
          <w:szCs w:val="22"/>
          <w:u w:val="single"/>
          <w:lang w:val="sr-Latn-ME"/>
        </w:rPr>
      </w:pPr>
      <w:r w:rsidRPr="006F2A29">
        <w:rPr>
          <w:color w:val="000000"/>
          <w:szCs w:val="22"/>
          <w:u w:val="single"/>
          <w:lang w:val="sr-Latn-ME"/>
        </w:rPr>
        <w:t xml:space="preserve">Izloženost lijeku </w:t>
      </w:r>
      <w:r w:rsidRPr="006F2A29">
        <w:rPr>
          <w:i/>
          <w:iCs/>
          <w:color w:val="000000"/>
          <w:szCs w:val="22"/>
          <w:u w:val="single"/>
          <w:lang w:val="sr-Latn-ME"/>
        </w:rPr>
        <w:t>in utero</w:t>
      </w:r>
    </w:p>
    <w:p w14:paraId="680564DA" w14:textId="0E51DF1A" w:rsidR="00C175E4" w:rsidRPr="006F2A29" w:rsidRDefault="00C175E4" w:rsidP="006F2A29">
      <w:pPr>
        <w:rPr>
          <w:lang w:val="sr-Latn-ME"/>
        </w:rPr>
      </w:pPr>
      <w:r w:rsidRPr="00D768EF">
        <w:rPr>
          <w:color w:val="000000"/>
          <w:szCs w:val="22"/>
          <w:lang w:val="sr-Latn-ME"/>
        </w:rPr>
        <w:t xml:space="preserve">Kod novorođenčadi izloženih </w:t>
      </w:r>
      <w:r w:rsidRPr="00D768EF">
        <w:rPr>
          <w:i/>
          <w:color w:val="000000"/>
          <w:szCs w:val="22"/>
          <w:lang w:val="sr-Latn-ME"/>
        </w:rPr>
        <w:t>in utero</w:t>
      </w:r>
      <w:r w:rsidRPr="00D768EF">
        <w:rPr>
          <w:color w:val="000000"/>
          <w:szCs w:val="22"/>
          <w:lang w:val="sr-Latn-ME"/>
        </w:rPr>
        <w:t xml:space="preserve"> infliksimabu, prijavljeni su smrtni ishodi usled diseminovane </w:t>
      </w:r>
      <w:r w:rsidRPr="00D768EF">
        <w:rPr>
          <w:i/>
          <w:color w:val="000000"/>
          <w:szCs w:val="22"/>
          <w:lang w:val="sr-Latn-ME"/>
        </w:rPr>
        <w:t>Bacillus Calmette Guérin</w:t>
      </w:r>
      <w:r w:rsidRPr="00D768EF">
        <w:rPr>
          <w:color w:val="000000"/>
          <w:szCs w:val="22"/>
          <w:lang w:val="sr-Latn-ME"/>
        </w:rPr>
        <w:t xml:space="preserve"> (BCG) infekcije </w:t>
      </w:r>
      <w:r w:rsidR="00AF5EBB" w:rsidRPr="00D768EF">
        <w:rPr>
          <w:color w:val="000000"/>
          <w:szCs w:val="22"/>
          <w:lang w:val="sr-Latn-ME"/>
        </w:rPr>
        <w:t>kod prim</w:t>
      </w:r>
      <w:r w:rsidR="00853D98" w:rsidRPr="00D768EF">
        <w:rPr>
          <w:color w:val="000000"/>
          <w:szCs w:val="22"/>
          <w:lang w:val="sr-Latn-ME"/>
        </w:rPr>
        <w:t>j</w:t>
      </w:r>
      <w:r w:rsidR="00AF5EBB" w:rsidRPr="00D768EF">
        <w:rPr>
          <w:color w:val="000000"/>
          <w:szCs w:val="22"/>
          <w:lang w:val="sr-Latn-ME"/>
        </w:rPr>
        <w:t>ene</w:t>
      </w:r>
      <w:r w:rsidRPr="00D768EF">
        <w:rPr>
          <w:color w:val="000000"/>
          <w:szCs w:val="22"/>
          <w:lang w:val="sr-Latn-ME"/>
        </w:rPr>
        <w:t xml:space="preserve"> BCG vakcina</w:t>
      </w:r>
      <w:r w:rsidR="00AF5EBB" w:rsidRPr="00D768EF">
        <w:rPr>
          <w:color w:val="000000"/>
          <w:szCs w:val="22"/>
          <w:lang w:val="sr-Latn-ME"/>
        </w:rPr>
        <w:t xml:space="preserve"> nakon rođenja</w:t>
      </w:r>
      <w:r w:rsidRPr="00D768EF">
        <w:rPr>
          <w:color w:val="000000"/>
          <w:szCs w:val="22"/>
          <w:lang w:val="sr-Latn-ME"/>
        </w:rPr>
        <w:t xml:space="preserve">. </w:t>
      </w:r>
      <w:r w:rsidR="00AF5EBB" w:rsidRPr="00D768EF">
        <w:rPr>
          <w:color w:val="000000"/>
          <w:szCs w:val="22"/>
          <w:lang w:val="sr-Latn-ME"/>
        </w:rPr>
        <w:t xml:space="preserve">Preporučuje se da se sačeka </w:t>
      </w:r>
      <w:r w:rsidR="006F2A29">
        <w:rPr>
          <w:color w:val="000000"/>
          <w:szCs w:val="22"/>
          <w:lang w:val="sr-Latn-ME"/>
        </w:rPr>
        <w:t>dvanaest</w:t>
      </w:r>
      <w:r w:rsidR="006F2A29" w:rsidRPr="00D768EF">
        <w:rPr>
          <w:color w:val="000000"/>
          <w:szCs w:val="22"/>
          <w:lang w:val="sr-Latn-ME"/>
        </w:rPr>
        <w:t xml:space="preserve"> </w:t>
      </w:r>
      <w:r w:rsidR="00AF5EBB" w:rsidRPr="00D768EF">
        <w:rPr>
          <w:color w:val="000000"/>
          <w:szCs w:val="22"/>
          <w:lang w:val="sr-Latn-ME"/>
        </w:rPr>
        <w:t xml:space="preserve">mjeseci od </w:t>
      </w:r>
      <w:r w:rsidR="00AF5EBB" w:rsidRPr="006F2A29">
        <w:rPr>
          <w:color w:val="000000"/>
          <w:szCs w:val="22"/>
          <w:lang w:val="sr-Latn-ME"/>
        </w:rPr>
        <w:t>rođenja do prim</w:t>
      </w:r>
      <w:r w:rsidR="00853D98" w:rsidRPr="006F2A29">
        <w:rPr>
          <w:color w:val="000000"/>
          <w:szCs w:val="22"/>
          <w:lang w:val="sr-Latn-ME"/>
        </w:rPr>
        <w:t>j</w:t>
      </w:r>
      <w:r w:rsidR="00AF5EBB" w:rsidRPr="006F2A29">
        <w:rPr>
          <w:color w:val="000000"/>
          <w:szCs w:val="22"/>
          <w:lang w:val="sr-Latn-ME"/>
        </w:rPr>
        <w:t xml:space="preserve">ene </w:t>
      </w:r>
      <w:r w:rsidRPr="006F2A29">
        <w:rPr>
          <w:color w:val="000000"/>
          <w:szCs w:val="22"/>
          <w:lang w:val="sr-Latn-ME"/>
        </w:rPr>
        <w:t xml:space="preserve"> živih vakcina</w:t>
      </w:r>
      <w:r w:rsidR="00AF5EBB" w:rsidRPr="006F2A29">
        <w:rPr>
          <w:color w:val="000000"/>
          <w:szCs w:val="22"/>
          <w:lang w:val="sr-Latn-ME"/>
        </w:rPr>
        <w:t xml:space="preserve"> kod</w:t>
      </w:r>
      <w:r w:rsidRPr="006F2A29">
        <w:rPr>
          <w:color w:val="000000"/>
          <w:szCs w:val="22"/>
          <w:lang w:val="sr-Latn-ME"/>
        </w:rPr>
        <w:t xml:space="preserve"> novorođenčadi </w:t>
      </w:r>
      <w:r w:rsidR="00AF5EBB" w:rsidRPr="006F2A29">
        <w:rPr>
          <w:color w:val="000000"/>
          <w:szCs w:val="22"/>
          <w:lang w:val="sr-Latn-ME"/>
        </w:rPr>
        <w:t xml:space="preserve">koja su </w:t>
      </w:r>
      <w:r w:rsidRPr="006F2A29">
        <w:rPr>
          <w:color w:val="000000"/>
          <w:szCs w:val="22"/>
          <w:lang w:val="sr-Latn-ME"/>
        </w:rPr>
        <w:t xml:space="preserve"> </w:t>
      </w:r>
      <w:r w:rsidRPr="006F2A29">
        <w:rPr>
          <w:i/>
          <w:color w:val="000000"/>
          <w:szCs w:val="22"/>
          <w:lang w:val="sr-Latn-ME"/>
        </w:rPr>
        <w:t>in utero</w:t>
      </w:r>
      <w:r w:rsidRPr="006F2A29">
        <w:rPr>
          <w:color w:val="000000"/>
          <w:szCs w:val="22"/>
          <w:lang w:val="sr-Latn-ME"/>
        </w:rPr>
        <w:t xml:space="preserve"> </w:t>
      </w:r>
      <w:r w:rsidR="00AF5EBB" w:rsidRPr="006F2A29">
        <w:rPr>
          <w:color w:val="000000"/>
          <w:szCs w:val="22"/>
          <w:lang w:val="sr-Latn-ME"/>
        </w:rPr>
        <w:t xml:space="preserve">bila izložena </w:t>
      </w:r>
      <w:r w:rsidRPr="006F2A29">
        <w:rPr>
          <w:color w:val="000000"/>
          <w:szCs w:val="22"/>
          <w:lang w:val="sr-Latn-ME"/>
        </w:rPr>
        <w:t>infliksimabu</w:t>
      </w:r>
      <w:r w:rsidR="00D768EF" w:rsidRPr="006F2A29">
        <w:rPr>
          <w:color w:val="000000"/>
          <w:szCs w:val="22"/>
          <w:lang w:val="sr-Latn-ME"/>
        </w:rPr>
        <w:t xml:space="preserve">. </w:t>
      </w:r>
      <w:r w:rsidR="00D768EF" w:rsidRPr="006F2A29">
        <w:rPr>
          <w:lang w:val="sr-Latn-ME"/>
        </w:rPr>
        <w:t xml:space="preserve">Ukoliko se nivoi infliksimaba u serumu </w:t>
      </w:r>
      <w:r w:rsidR="00994895" w:rsidRPr="006F2A29">
        <w:rPr>
          <w:lang w:val="sr-Latn-ME"/>
        </w:rPr>
        <w:t xml:space="preserve">novorođenčeta </w:t>
      </w:r>
      <w:r w:rsidR="00D768EF" w:rsidRPr="006F2A29">
        <w:rPr>
          <w:lang w:val="sr-Latn-ME"/>
        </w:rPr>
        <w:t>ne mogu odrediti ili ukoliko je infliksimab bio primjenjivan samo tokom prvog trimestra trudnoće, možda bi mogla da se razmotri primjena živ</w:t>
      </w:r>
      <w:r w:rsidR="00994895" w:rsidRPr="006F2A29">
        <w:rPr>
          <w:lang w:val="sr-Latn-ME"/>
        </w:rPr>
        <w:t>e</w:t>
      </w:r>
      <w:r w:rsidR="00D768EF" w:rsidRPr="006F2A29">
        <w:rPr>
          <w:lang w:val="sr-Latn-ME"/>
        </w:rPr>
        <w:t xml:space="preserve"> vakcin</w:t>
      </w:r>
      <w:r w:rsidR="00994895" w:rsidRPr="006F2A29">
        <w:rPr>
          <w:lang w:val="sr-Latn-ME"/>
        </w:rPr>
        <w:t>e</w:t>
      </w:r>
      <w:r w:rsidR="00D768EF" w:rsidRPr="006F2A29">
        <w:rPr>
          <w:lang w:val="sr-Latn-ME"/>
        </w:rPr>
        <w:t xml:space="preserve"> nešto ranije ukoliko za konkretno novorođenče postoji nesumnjiva klinička korist (vidjeti dio</w:t>
      </w:r>
      <w:r w:rsidR="003644A7" w:rsidRPr="006F2A29">
        <w:rPr>
          <w:lang w:val="sr-Latn-ME"/>
        </w:rPr>
        <w:t> </w:t>
      </w:r>
      <w:r w:rsidR="00D768EF" w:rsidRPr="006F2A29">
        <w:rPr>
          <w:lang w:val="sr-Latn-ME"/>
        </w:rPr>
        <w:t>4.6).</w:t>
      </w:r>
    </w:p>
    <w:p w14:paraId="31FAE5A0" w14:textId="66524060" w:rsidR="00C175E4" w:rsidRPr="006F2A29" w:rsidRDefault="00C175E4" w:rsidP="00C175E4">
      <w:pPr>
        <w:tabs>
          <w:tab w:val="clear" w:pos="284"/>
        </w:tabs>
        <w:autoSpaceDE w:val="0"/>
        <w:autoSpaceDN w:val="0"/>
        <w:adjustRightInd w:val="0"/>
        <w:rPr>
          <w:color w:val="000000"/>
          <w:szCs w:val="22"/>
          <w:lang w:val="sr-Latn-ME"/>
        </w:rPr>
      </w:pPr>
    </w:p>
    <w:p w14:paraId="11029A10" w14:textId="086EAB5A" w:rsidR="00D768EF" w:rsidRPr="00EE2CAE" w:rsidRDefault="00D768EF" w:rsidP="00D768EF">
      <w:pPr>
        <w:keepNext/>
        <w:rPr>
          <w:noProof/>
          <w:u w:val="single"/>
          <w:lang w:val="sr-Latn-ME"/>
        </w:rPr>
      </w:pPr>
      <w:r w:rsidRPr="006F2A29">
        <w:rPr>
          <w:noProof/>
          <w:u w:val="single"/>
        </w:rPr>
        <w:t>Izlo</w:t>
      </w:r>
      <w:r w:rsidRPr="00EE2CAE">
        <w:rPr>
          <w:noProof/>
          <w:u w:val="single"/>
          <w:lang w:val="sr-Latn-ME"/>
        </w:rPr>
        <w:t>ž</w:t>
      </w:r>
      <w:r w:rsidRPr="006F2A29">
        <w:rPr>
          <w:noProof/>
          <w:u w:val="single"/>
        </w:rPr>
        <w:t>enost</w:t>
      </w:r>
      <w:r w:rsidRPr="00EE2CAE">
        <w:rPr>
          <w:noProof/>
          <w:u w:val="single"/>
          <w:lang w:val="sr-Latn-ME"/>
        </w:rPr>
        <w:t xml:space="preserve"> </w:t>
      </w:r>
      <w:r w:rsidRPr="006F2A29">
        <w:rPr>
          <w:noProof/>
          <w:u w:val="single"/>
        </w:rPr>
        <w:t>lijeku</w:t>
      </w:r>
      <w:r w:rsidRPr="00EE2CAE">
        <w:rPr>
          <w:noProof/>
          <w:u w:val="single"/>
          <w:lang w:val="sr-Latn-ME"/>
        </w:rPr>
        <w:t xml:space="preserve"> </w:t>
      </w:r>
      <w:r w:rsidRPr="006F2A29">
        <w:rPr>
          <w:noProof/>
          <w:u w:val="single"/>
        </w:rPr>
        <w:t>putem</w:t>
      </w:r>
      <w:r w:rsidRPr="00EE2CAE">
        <w:rPr>
          <w:noProof/>
          <w:u w:val="single"/>
          <w:lang w:val="sr-Latn-ME"/>
        </w:rPr>
        <w:t xml:space="preserve"> </w:t>
      </w:r>
      <w:r w:rsidRPr="006F2A29">
        <w:rPr>
          <w:noProof/>
          <w:u w:val="single"/>
        </w:rPr>
        <w:t>maj</w:t>
      </w:r>
      <w:r w:rsidRPr="00EE2CAE">
        <w:rPr>
          <w:noProof/>
          <w:u w:val="single"/>
          <w:lang w:val="sr-Latn-ME"/>
        </w:rPr>
        <w:t>č</w:t>
      </w:r>
      <w:r w:rsidRPr="006F2A29">
        <w:rPr>
          <w:noProof/>
          <w:u w:val="single"/>
        </w:rPr>
        <w:t>inog</w:t>
      </w:r>
      <w:r w:rsidRPr="00EE2CAE">
        <w:rPr>
          <w:noProof/>
          <w:u w:val="single"/>
          <w:lang w:val="sr-Latn-ME"/>
        </w:rPr>
        <w:t xml:space="preserve"> </w:t>
      </w:r>
      <w:r w:rsidRPr="006F2A29">
        <w:rPr>
          <w:noProof/>
          <w:u w:val="single"/>
        </w:rPr>
        <w:t>mlijeka</w:t>
      </w:r>
    </w:p>
    <w:p w14:paraId="2BDD1B1A" w14:textId="1FD0AD2D" w:rsidR="00D768EF" w:rsidRPr="00EE2CAE" w:rsidRDefault="00D768EF" w:rsidP="00D768EF">
      <w:pPr>
        <w:keepNext/>
        <w:rPr>
          <w:noProof/>
          <w:lang w:val="sr-Latn-ME"/>
        </w:rPr>
      </w:pPr>
      <w:r w:rsidRPr="006F2A29">
        <w:rPr>
          <w:noProof/>
        </w:rPr>
        <w:t>Ne</w:t>
      </w:r>
      <w:r w:rsidRPr="00EE2CAE">
        <w:rPr>
          <w:noProof/>
          <w:lang w:val="sr-Latn-ME"/>
        </w:rPr>
        <w:t xml:space="preserve"> </w:t>
      </w:r>
      <w:r w:rsidRPr="006F2A29">
        <w:rPr>
          <w:noProof/>
        </w:rPr>
        <w:t>preporu</w:t>
      </w:r>
      <w:r w:rsidRPr="00EE2CAE">
        <w:rPr>
          <w:noProof/>
          <w:lang w:val="sr-Latn-ME"/>
        </w:rPr>
        <w:t>č</w:t>
      </w:r>
      <w:r w:rsidRPr="006F2A29">
        <w:rPr>
          <w:noProof/>
        </w:rPr>
        <w:t>uje</w:t>
      </w:r>
      <w:r w:rsidRPr="00EE2CAE">
        <w:rPr>
          <w:noProof/>
          <w:lang w:val="sr-Latn-ME"/>
        </w:rPr>
        <w:t xml:space="preserve"> </w:t>
      </w:r>
      <w:r w:rsidRPr="006F2A29">
        <w:rPr>
          <w:noProof/>
        </w:rPr>
        <w:t>se</w:t>
      </w:r>
      <w:r w:rsidRPr="00EE2CAE">
        <w:rPr>
          <w:noProof/>
          <w:lang w:val="sr-Latn-ME"/>
        </w:rPr>
        <w:t xml:space="preserve"> </w:t>
      </w:r>
      <w:r w:rsidRPr="006F2A29">
        <w:rPr>
          <w:noProof/>
        </w:rPr>
        <w:t>primjena</w:t>
      </w:r>
      <w:r w:rsidRPr="00EE2CAE">
        <w:rPr>
          <w:noProof/>
          <w:lang w:val="sr-Latn-ME"/>
        </w:rPr>
        <w:t xml:space="preserve"> ž</w:t>
      </w:r>
      <w:r w:rsidRPr="006F2A29">
        <w:rPr>
          <w:noProof/>
        </w:rPr>
        <w:t>ive</w:t>
      </w:r>
      <w:r w:rsidRPr="00EE2CAE">
        <w:rPr>
          <w:noProof/>
          <w:lang w:val="sr-Latn-ME"/>
        </w:rPr>
        <w:t xml:space="preserve"> </w:t>
      </w:r>
      <w:r w:rsidRPr="006F2A29">
        <w:rPr>
          <w:noProof/>
        </w:rPr>
        <w:t>vakcine</w:t>
      </w:r>
      <w:r w:rsidRPr="00EE2CAE">
        <w:rPr>
          <w:noProof/>
          <w:lang w:val="sr-Latn-ME"/>
        </w:rPr>
        <w:t xml:space="preserve"> </w:t>
      </w:r>
      <w:r w:rsidRPr="006F2A29">
        <w:rPr>
          <w:noProof/>
        </w:rPr>
        <w:t>kod</w:t>
      </w:r>
      <w:r w:rsidRPr="00EE2CAE">
        <w:rPr>
          <w:noProof/>
          <w:lang w:val="sr-Latn-ME"/>
        </w:rPr>
        <w:t xml:space="preserve"> </w:t>
      </w:r>
      <w:r w:rsidRPr="006F2A29">
        <w:rPr>
          <w:noProof/>
        </w:rPr>
        <w:t>dojenog</w:t>
      </w:r>
      <w:r w:rsidRPr="00EE2CAE">
        <w:rPr>
          <w:noProof/>
          <w:lang w:val="sr-Latn-ME"/>
        </w:rPr>
        <w:t xml:space="preserve"> </w:t>
      </w:r>
      <w:r w:rsidRPr="006F2A29">
        <w:rPr>
          <w:noProof/>
        </w:rPr>
        <w:t>novoro</w:t>
      </w:r>
      <w:r w:rsidRPr="00EE2CAE">
        <w:rPr>
          <w:noProof/>
          <w:lang w:val="sr-Latn-ME"/>
        </w:rPr>
        <w:t>đ</w:t>
      </w:r>
      <w:r w:rsidRPr="006F2A29">
        <w:rPr>
          <w:noProof/>
        </w:rPr>
        <w:t>en</w:t>
      </w:r>
      <w:r w:rsidRPr="00EE2CAE">
        <w:rPr>
          <w:noProof/>
          <w:lang w:val="sr-Latn-ME"/>
        </w:rPr>
        <w:t>č</w:t>
      </w:r>
      <w:r w:rsidRPr="006F2A29">
        <w:rPr>
          <w:noProof/>
        </w:rPr>
        <w:t>eta</w:t>
      </w:r>
      <w:r w:rsidRPr="00EE2CAE">
        <w:rPr>
          <w:noProof/>
          <w:lang w:val="sr-Latn-ME"/>
        </w:rPr>
        <w:t xml:space="preserve"> </w:t>
      </w:r>
      <w:r w:rsidRPr="006F2A29">
        <w:rPr>
          <w:noProof/>
        </w:rPr>
        <w:t>dok</w:t>
      </w:r>
      <w:r w:rsidRPr="00EE2CAE">
        <w:rPr>
          <w:noProof/>
          <w:lang w:val="sr-Latn-ME"/>
        </w:rPr>
        <w:t xml:space="preserve"> </w:t>
      </w:r>
      <w:r w:rsidRPr="006F2A29">
        <w:rPr>
          <w:noProof/>
        </w:rPr>
        <w:t>majka</w:t>
      </w:r>
      <w:r w:rsidRPr="00EE2CAE">
        <w:rPr>
          <w:noProof/>
          <w:lang w:val="sr-Latn-ME"/>
        </w:rPr>
        <w:t xml:space="preserve"> </w:t>
      </w:r>
      <w:r w:rsidRPr="006F2A29">
        <w:rPr>
          <w:noProof/>
        </w:rPr>
        <w:t>prima</w:t>
      </w:r>
      <w:r w:rsidRPr="00EE2CAE">
        <w:rPr>
          <w:noProof/>
          <w:lang w:val="sr-Latn-ME"/>
        </w:rPr>
        <w:t xml:space="preserve"> </w:t>
      </w:r>
      <w:r w:rsidRPr="006F2A29">
        <w:rPr>
          <w:noProof/>
        </w:rPr>
        <w:t>infliksimab</w:t>
      </w:r>
      <w:r w:rsidRPr="00EE2CAE">
        <w:rPr>
          <w:noProof/>
          <w:lang w:val="sr-Latn-ME"/>
        </w:rPr>
        <w:t xml:space="preserve">, </w:t>
      </w:r>
      <w:r w:rsidRPr="006F2A29">
        <w:rPr>
          <w:noProof/>
        </w:rPr>
        <w:t>sem</w:t>
      </w:r>
      <w:r w:rsidRPr="00EE2CAE">
        <w:rPr>
          <w:noProof/>
          <w:lang w:val="sr-Latn-ME"/>
        </w:rPr>
        <w:t xml:space="preserve"> </w:t>
      </w:r>
      <w:r w:rsidRPr="006F2A29">
        <w:rPr>
          <w:noProof/>
        </w:rPr>
        <w:t>ukoliko</w:t>
      </w:r>
      <w:r w:rsidRPr="00EE2CAE">
        <w:rPr>
          <w:noProof/>
          <w:lang w:val="sr-Latn-ME"/>
        </w:rPr>
        <w:t xml:space="preserve"> </w:t>
      </w:r>
      <w:r w:rsidRPr="006F2A29">
        <w:rPr>
          <w:noProof/>
        </w:rPr>
        <w:t>se</w:t>
      </w:r>
      <w:r w:rsidRPr="00EE2CAE">
        <w:rPr>
          <w:noProof/>
          <w:lang w:val="sr-Latn-ME"/>
        </w:rPr>
        <w:t xml:space="preserve"> </w:t>
      </w:r>
      <w:r w:rsidRPr="006F2A29">
        <w:rPr>
          <w:noProof/>
        </w:rPr>
        <w:t>nivoi</w:t>
      </w:r>
      <w:r w:rsidRPr="00EE2CAE">
        <w:rPr>
          <w:noProof/>
          <w:lang w:val="sr-Latn-ME"/>
        </w:rPr>
        <w:t xml:space="preserve"> </w:t>
      </w:r>
      <w:r w:rsidRPr="006F2A29">
        <w:rPr>
          <w:noProof/>
        </w:rPr>
        <w:t>infliksimaba</w:t>
      </w:r>
      <w:r w:rsidRPr="00EE2CAE">
        <w:rPr>
          <w:noProof/>
          <w:lang w:val="sr-Latn-ME"/>
        </w:rPr>
        <w:t xml:space="preserve"> </w:t>
      </w:r>
      <w:r w:rsidRPr="006F2A29">
        <w:rPr>
          <w:noProof/>
        </w:rPr>
        <w:t>u</w:t>
      </w:r>
      <w:r w:rsidRPr="00EE2CAE">
        <w:rPr>
          <w:noProof/>
          <w:lang w:val="sr-Latn-ME"/>
        </w:rPr>
        <w:t xml:space="preserve"> </w:t>
      </w:r>
      <w:r w:rsidRPr="006F2A29">
        <w:rPr>
          <w:noProof/>
        </w:rPr>
        <w:t>serumu</w:t>
      </w:r>
      <w:r w:rsidRPr="00EE2CAE">
        <w:rPr>
          <w:noProof/>
          <w:lang w:val="sr-Latn-ME"/>
        </w:rPr>
        <w:t xml:space="preserve"> </w:t>
      </w:r>
      <w:r w:rsidRPr="006F2A29">
        <w:rPr>
          <w:noProof/>
        </w:rPr>
        <w:t>novoro</w:t>
      </w:r>
      <w:r w:rsidRPr="00EE2CAE">
        <w:rPr>
          <w:noProof/>
          <w:lang w:val="sr-Latn-ME"/>
        </w:rPr>
        <w:t>đ</w:t>
      </w:r>
      <w:r w:rsidRPr="006F2A29">
        <w:rPr>
          <w:noProof/>
        </w:rPr>
        <w:t>en</w:t>
      </w:r>
      <w:r w:rsidRPr="00EE2CAE">
        <w:rPr>
          <w:noProof/>
          <w:lang w:val="sr-Latn-ME"/>
        </w:rPr>
        <w:t>č</w:t>
      </w:r>
      <w:r w:rsidRPr="006F2A29">
        <w:rPr>
          <w:noProof/>
        </w:rPr>
        <w:t>eta</w:t>
      </w:r>
      <w:r w:rsidRPr="00EE2CAE">
        <w:rPr>
          <w:noProof/>
          <w:lang w:val="sr-Latn-ME"/>
        </w:rPr>
        <w:t xml:space="preserve"> </w:t>
      </w:r>
      <w:r w:rsidRPr="006F2A29">
        <w:rPr>
          <w:noProof/>
        </w:rPr>
        <w:t>ne</w:t>
      </w:r>
      <w:r w:rsidRPr="00EE2CAE">
        <w:rPr>
          <w:noProof/>
          <w:lang w:val="sr-Latn-ME"/>
        </w:rPr>
        <w:t xml:space="preserve"> </w:t>
      </w:r>
      <w:r w:rsidRPr="006F2A29">
        <w:rPr>
          <w:noProof/>
        </w:rPr>
        <w:t>mogu</w:t>
      </w:r>
      <w:r w:rsidRPr="00EE2CAE">
        <w:rPr>
          <w:noProof/>
          <w:lang w:val="sr-Latn-ME"/>
        </w:rPr>
        <w:t xml:space="preserve"> </w:t>
      </w:r>
      <w:r w:rsidRPr="006F2A29">
        <w:rPr>
          <w:noProof/>
        </w:rPr>
        <w:t>odrediti</w:t>
      </w:r>
      <w:r w:rsidRPr="00EE2CAE">
        <w:rPr>
          <w:noProof/>
          <w:lang w:val="sr-Latn-ME"/>
        </w:rPr>
        <w:t xml:space="preserve"> (</w:t>
      </w:r>
      <w:r w:rsidRPr="006F2A29">
        <w:rPr>
          <w:noProof/>
        </w:rPr>
        <w:t>vidjeti</w:t>
      </w:r>
      <w:r w:rsidRPr="00EE2CAE">
        <w:rPr>
          <w:noProof/>
          <w:lang w:val="sr-Latn-ME"/>
        </w:rPr>
        <w:t xml:space="preserve"> </w:t>
      </w:r>
      <w:r w:rsidRPr="006F2A29">
        <w:rPr>
          <w:noProof/>
        </w:rPr>
        <w:t>dio</w:t>
      </w:r>
      <w:r w:rsidR="003644A7" w:rsidRPr="006F2A29">
        <w:rPr>
          <w:noProof/>
        </w:rPr>
        <w:t> </w:t>
      </w:r>
      <w:r w:rsidRPr="00EE2CAE">
        <w:rPr>
          <w:noProof/>
          <w:lang w:val="sr-Latn-ME"/>
        </w:rPr>
        <w:t>4.6).</w:t>
      </w:r>
    </w:p>
    <w:p w14:paraId="5C656C44" w14:textId="77777777" w:rsidR="00D768EF" w:rsidRPr="00EE2CAE" w:rsidRDefault="00D768EF" w:rsidP="00D768EF">
      <w:pPr>
        <w:rPr>
          <w:noProof/>
          <w:lang w:val="sr-Latn-ME"/>
        </w:rPr>
      </w:pPr>
    </w:p>
    <w:p w14:paraId="7C7C8A93" w14:textId="549ED7AB" w:rsidR="00D768EF" w:rsidRPr="00EE2CAE" w:rsidRDefault="00D768EF" w:rsidP="00D768EF">
      <w:pPr>
        <w:rPr>
          <w:u w:val="single"/>
          <w:lang w:val="sr-Latn-ME"/>
        </w:rPr>
      </w:pPr>
      <w:r w:rsidRPr="006F2A29">
        <w:rPr>
          <w:noProof/>
          <w:u w:val="single"/>
        </w:rPr>
        <w:t>Terapijski</w:t>
      </w:r>
      <w:r w:rsidRPr="00EE2CAE">
        <w:rPr>
          <w:noProof/>
          <w:u w:val="single"/>
          <w:lang w:val="sr-Latn-ME"/>
        </w:rPr>
        <w:t xml:space="preserve"> </w:t>
      </w:r>
      <w:r w:rsidRPr="006F2A29">
        <w:rPr>
          <w:noProof/>
          <w:u w:val="single"/>
        </w:rPr>
        <w:t>infektivni</w:t>
      </w:r>
      <w:r w:rsidRPr="00EE2CAE">
        <w:rPr>
          <w:noProof/>
          <w:u w:val="single"/>
          <w:lang w:val="sr-Latn-ME"/>
        </w:rPr>
        <w:t xml:space="preserve"> </w:t>
      </w:r>
      <w:r w:rsidRPr="006F2A29">
        <w:rPr>
          <w:noProof/>
          <w:u w:val="single"/>
        </w:rPr>
        <w:t>agensi</w:t>
      </w:r>
    </w:p>
    <w:p w14:paraId="0147EA38" w14:textId="7439A4CD" w:rsidR="00C175E4" w:rsidRPr="00D768EF" w:rsidRDefault="00D57936" w:rsidP="00C175E4">
      <w:pPr>
        <w:tabs>
          <w:tab w:val="clear" w:pos="284"/>
        </w:tabs>
        <w:autoSpaceDE w:val="0"/>
        <w:autoSpaceDN w:val="0"/>
        <w:adjustRightInd w:val="0"/>
        <w:rPr>
          <w:color w:val="000000"/>
          <w:szCs w:val="22"/>
          <w:lang w:val="sr-Latn-ME"/>
        </w:rPr>
      </w:pPr>
      <w:r w:rsidRPr="00D768EF">
        <w:rPr>
          <w:szCs w:val="22"/>
          <w:lang w:val="sr-Latn-ME"/>
        </w:rPr>
        <w:t>Primjena</w:t>
      </w:r>
      <w:r w:rsidR="00C175E4" w:rsidRPr="00D768EF">
        <w:rPr>
          <w:szCs w:val="22"/>
          <w:lang w:val="sr-Latn-ME"/>
        </w:rPr>
        <w:t xml:space="preserve"> terapijskih infektivnih agenasa, poput </w:t>
      </w:r>
      <w:r w:rsidR="00AF5EBB" w:rsidRPr="00D768EF">
        <w:rPr>
          <w:szCs w:val="22"/>
          <w:lang w:val="sr-Latn-ME"/>
        </w:rPr>
        <w:t xml:space="preserve">primjene </w:t>
      </w:r>
      <w:r w:rsidR="00C175E4" w:rsidRPr="00D768EF">
        <w:rPr>
          <w:szCs w:val="22"/>
          <w:lang w:val="sr-Latn-ME"/>
        </w:rPr>
        <w:t>živih atenuiranih bakterija, u druge svrhe (npr. intravezikaln</w:t>
      </w:r>
      <w:r w:rsidR="00A3536C" w:rsidRPr="00D768EF">
        <w:rPr>
          <w:szCs w:val="22"/>
          <w:lang w:val="sr-Latn-ME"/>
        </w:rPr>
        <w:t>e</w:t>
      </w:r>
      <w:r w:rsidR="00C175E4" w:rsidRPr="00D768EF">
        <w:rPr>
          <w:szCs w:val="22"/>
          <w:lang w:val="sr-Latn-ME"/>
        </w:rPr>
        <w:t xml:space="preserve"> instilacij</w:t>
      </w:r>
      <w:r w:rsidR="00A3536C" w:rsidRPr="00D768EF">
        <w:rPr>
          <w:szCs w:val="22"/>
          <w:lang w:val="sr-Latn-ME"/>
        </w:rPr>
        <w:t>e</w:t>
      </w:r>
      <w:r w:rsidR="00C175E4" w:rsidRPr="00D768EF">
        <w:rPr>
          <w:szCs w:val="22"/>
          <w:lang w:val="sr-Latn-ME"/>
        </w:rPr>
        <w:t xml:space="preserve"> BCG</w:t>
      </w:r>
      <w:r w:rsidR="00A3536C" w:rsidRPr="00D768EF">
        <w:rPr>
          <w:szCs w:val="22"/>
          <w:lang w:val="sr-Latn-ME"/>
        </w:rPr>
        <w:t xml:space="preserve"> vakcine</w:t>
      </w:r>
      <w:r w:rsidR="00C175E4" w:rsidRPr="00D768EF">
        <w:rPr>
          <w:szCs w:val="22"/>
          <w:lang w:val="sr-Latn-ME"/>
        </w:rPr>
        <w:t xml:space="preserve"> za </w:t>
      </w:r>
      <w:r w:rsidRPr="00D768EF">
        <w:rPr>
          <w:szCs w:val="22"/>
          <w:lang w:val="sr-Latn-ME"/>
        </w:rPr>
        <w:t>liječe</w:t>
      </w:r>
      <w:r w:rsidR="00C175E4" w:rsidRPr="00D768EF">
        <w:rPr>
          <w:szCs w:val="22"/>
          <w:lang w:val="sr-Latn-ME"/>
        </w:rPr>
        <w:t>nje raka</w:t>
      </w:r>
      <w:r w:rsidR="00A3536C" w:rsidRPr="00D768EF">
        <w:rPr>
          <w:szCs w:val="22"/>
          <w:lang w:val="sr-Latn-ME"/>
        </w:rPr>
        <w:t xml:space="preserve"> mokraćne bešike</w:t>
      </w:r>
      <w:r w:rsidR="00C175E4" w:rsidRPr="00D768EF">
        <w:rPr>
          <w:szCs w:val="22"/>
          <w:lang w:val="sr-Latn-ME"/>
        </w:rPr>
        <w:t xml:space="preserve">) mogla bi da dovede do kliničkih infekcija, uključujući diseminovane infekcije. Ne preporučuje se istovremena </w:t>
      </w:r>
      <w:r w:rsidRPr="00D768EF">
        <w:rPr>
          <w:szCs w:val="22"/>
          <w:lang w:val="sr-Latn-ME"/>
        </w:rPr>
        <w:t>primjena</w:t>
      </w:r>
      <w:r w:rsidR="00C175E4" w:rsidRPr="00D768EF">
        <w:rPr>
          <w:szCs w:val="22"/>
          <w:lang w:val="sr-Latn-ME"/>
        </w:rPr>
        <w:t xml:space="preserve"> infektivnih agenasa</w:t>
      </w:r>
      <w:r w:rsidR="00A3536C" w:rsidRPr="00D768EF">
        <w:rPr>
          <w:szCs w:val="22"/>
          <w:lang w:val="sr-Latn-ME"/>
        </w:rPr>
        <w:t xml:space="preserve"> u terapijske svrhe</w:t>
      </w:r>
      <w:r w:rsidR="00C175E4" w:rsidRPr="00D768EF">
        <w:rPr>
          <w:szCs w:val="22"/>
          <w:lang w:val="sr-Latn-ME"/>
        </w:rPr>
        <w:t xml:space="preserve"> sa </w:t>
      </w:r>
      <w:r w:rsidR="00204273" w:rsidRPr="00D768EF">
        <w:rPr>
          <w:color w:val="000000"/>
          <w:szCs w:val="22"/>
          <w:lang w:val="sr-Latn-ME"/>
        </w:rPr>
        <w:t>infliksimabom</w:t>
      </w:r>
      <w:r w:rsidR="00C175E4" w:rsidRPr="00D768EF">
        <w:rPr>
          <w:szCs w:val="22"/>
          <w:lang w:val="sr-Latn-ME"/>
        </w:rPr>
        <w:t>.</w:t>
      </w:r>
    </w:p>
    <w:p w14:paraId="3EF11792" w14:textId="77777777" w:rsidR="00C175E4" w:rsidRPr="00D768EF" w:rsidRDefault="00C175E4" w:rsidP="00C175E4">
      <w:pPr>
        <w:rPr>
          <w:color w:val="000000"/>
          <w:szCs w:val="22"/>
          <w:lang w:val="sr-Latn-ME"/>
        </w:rPr>
      </w:pPr>
    </w:p>
    <w:p w14:paraId="422222D8" w14:textId="77777777" w:rsidR="00C175E4" w:rsidRPr="00D768EF" w:rsidRDefault="00C175E4" w:rsidP="00C175E4">
      <w:pPr>
        <w:rPr>
          <w:color w:val="000000"/>
          <w:szCs w:val="22"/>
          <w:u w:val="single"/>
          <w:lang w:val="sr-Latn-ME"/>
        </w:rPr>
      </w:pPr>
      <w:r w:rsidRPr="00D768EF">
        <w:rPr>
          <w:color w:val="000000"/>
          <w:szCs w:val="22"/>
          <w:u w:val="single"/>
          <w:lang w:val="sr-Latn-ME"/>
        </w:rPr>
        <w:t>Autoimuni procesi</w:t>
      </w:r>
    </w:p>
    <w:p w14:paraId="329F7F80" w14:textId="790A4212" w:rsidR="00C175E4" w:rsidRPr="00D768EF" w:rsidRDefault="00C175E4" w:rsidP="00C175E4">
      <w:pPr>
        <w:rPr>
          <w:color w:val="000000"/>
          <w:szCs w:val="22"/>
          <w:lang w:val="sr-Latn-ME"/>
        </w:rPr>
      </w:pPr>
      <w:r w:rsidRPr="00D768EF">
        <w:rPr>
          <w:color w:val="000000"/>
          <w:szCs w:val="22"/>
          <w:lang w:val="sr-Latn-ME"/>
        </w:rPr>
        <w:t>Relativna deficijencija TNF</w:t>
      </w:r>
      <w:r w:rsidRPr="00D768EF">
        <w:rPr>
          <w:color w:val="000000"/>
          <w:szCs w:val="22"/>
          <w:vertAlign w:val="subscript"/>
          <w:lang w:val="sr-Latn-ME"/>
        </w:rPr>
        <w:sym w:font="Symbol" w:char="F061"/>
      </w:r>
      <w:r w:rsidRPr="00D768EF">
        <w:rPr>
          <w:color w:val="000000"/>
          <w:szCs w:val="22"/>
          <w:lang w:val="sr-Latn-ME"/>
        </w:rPr>
        <w:t xml:space="preserve"> koja je rezultat anti-TNF terapije može pokrenuti autoimuni proces. Ukoliko se kod pacijenta posl</w:t>
      </w:r>
      <w:r w:rsidR="00CF5D59">
        <w:rPr>
          <w:color w:val="000000"/>
          <w:szCs w:val="22"/>
          <w:lang w:val="sr-Latn-ME"/>
        </w:rPr>
        <w:t>ij</w:t>
      </w:r>
      <w:r w:rsidRPr="00D768EF">
        <w:rPr>
          <w:color w:val="000000"/>
          <w:szCs w:val="22"/>
          <w:lang w:val="sr-Latn-ME"/>
        </w:rPr>
        <w:t xml:space="preserve">e </w:t>
      </w:r>
      <w:r w:rsidR="00D57936" w:rsidRPr="00D768EF">
        <w:rPr>
          <w:color w:val="000000"/>
          <w:szCs w:val="22"/>
          <w:lang w:val="sr-Latn-ME"/>
        </w:rPr>
        <w:t>liječe</w:t>
      </w:r>
      <w:r w:rsidRPr="00D768EF">
        <w:rPr>
          <w:color w:val="000000"/>
          <w:szCs w:val="22"/>
          <w:lang w:val="sr-Latn-ME"/>
        </w:rPr>
        <w:t xml:space="preserve">nja </w:t>
      </w:r>
      <w:r w:rsidR="00204273" w:rsidRPr="00D768EF">
        <w:rPr>
          <w:color w:val="000000"/>
          <w:szCs w:val="22"/>
          <w:lang w:val="sr-Latn-ME"/>
        </w:rPr>
        <w:t>infliksimabom</w:t>
      </w:r>
      <w:r w:rsidRPr="00D768EF">
        <w:rPr>
          <w:color w:val="000000"/>
          <w:szCs w:val="22"/>
          <w:lang w:val="sr-Latn-ME"/>
        </w:rPr>
        <w:t xml:space="preserve"> razviju simptomi koji ukazuju na sindrom sličan lupusu i ukoliko pacijent ima pozitivan nalaz </w:t>
      </w:r>
      <w:r w:rsidR="00220982" w:rsidRPr="00D768EF">
        <w:rPr>
          <w:color w:val="000000"/>
          <w:szCs w:val="22"/>
          <w:lang w:val="sr-Latn-ME"/>
        </w:rPr>
        <w:t>antitijel</w:t>
      </w:r>
      <w:r w:rsidRPr="00D768EF">
        <w:rPr>
          <w:color w:val="000000"/>
          <w:szCs w:val="22"/>
          <w:lang w:val="sr-Latn-ME"/>
        </w:rPr>
        <w:t>a na DNK sa dvostrukim lancem, ne sm</w:t>
      </w:r>
      <w:r w:rsidR="0021611E" w:rsidRPr="00D768EF">
        <w:rPr>
          <w:color w:val="000000"/>
          <w:szCs w:val="22"/>
          <w:lang w:val="sr-Latn-ME"/>
        </w:rPr>
        <w:t>ij</w:t>
      </w:r>
      <w:r w:rsidRPr="00D768EF">
        <w:rPr>
          <w:color w:val="000000"/>
          <w:szCs w:val="22"/>
          <w:lang w:val="sr-Latn-ME"/>
        </w:rPr>
        <w:t xml:space="preserve">e se nastaviti </w:t>
      </w:r>
      <w:r w:rsidR="00D57936" w:rsidRPr="00D768EF">
        <w:rPr>
          <w:color w:val="000000"/>
          <w:szCs w:val="22"/>
          <w:lang w:val="sr-Latn-ME"/>
        </w:rPr>
        <w:t>liječe</w:t>
      </w:r>
      <w:r w:rsidRPr="00D768EF">
        <w:rPr>
          <w:color w:val="000000"/>
          <w:szCs w:val="22"/>
          <w:lang w:val="sr-Latn-ME"/>
        </w:rPr>
        <w:t xml:space="preserve">nje </w:t>
      </w:r>
      <w:r w:rsidR="00204273" w:rsidRPr="00D768EF">
        <w:rPr>
          <w:color w:val="000000"/>
          <w:szCs w:val="22"/>
          <w:lang w:val="sr-Latn-ME"/>
        </w:rPr>
        <w:t>infliksimabom</w:t>
      </w:r>
      <w:r w:rsidRPr="00D768EF">
        <w:rPr>
          <w:color w:val="000000"/>
          <w:szCs w:val="22"/>
          <w:lang w:val="sr-Latn-ME"/>
        </w:rPr>
        <w:t xml:space="preserve"> (</w:t>
      </w:r>
      <w:r w:rsidR="00282A1E" w:rsidRPr="00D768EF">
        <w:rPr>
          <w:color w:val="000000"/>
          <w:szCs w:val="22"/>
          <w:lang w:val="sr-Latn-ME"/>
        </w:rPr>
        <w:t>vidjeti</w:t>
      </w:r>
      <w:r w:rsidRPr="00D768EF">
        <w:rPr>
          <w:color w:val="000000"/>
          <w:szCs w:val="22"/>
          <w:lang w:val="sr-Latn-ME"/>
        </w:rPr>
        <w:t xml:space="preserve"> </w:t>
      </w:r>
      <w:r w:rsidR="00454E9F" w:rsidRPr="00D768EF">
        <w:rPr>
          <w:color w:val="000000"/>
          <w:szCs w:val="22"/>
          <w:lang w:val="sr-Latn-ME"/>
        </w:rPr>
        <w:t>dio</w:t>
      </w:r>
      <w:r w:rsidRPr="00D768EF">
        <w:rPr>
          <w:color w:val="000000"/>
          <w:szCs w:val="22"/>
          <w:lang w:val="sr-Latn-ME"/>
        </w:rPr>
        <w:t xml:space="preserve"> 4.8).</w:t>
      </w:r>
    </w:p>
    <w:p w14:paraId="2BEB32D5" w14:textId="77777777" w:rsidR="00C175E4" w:rsidRPr="00D768EF" w:rsidRDefault="00C175E4" w:rsidP="00C175E4">
      <w:pPr>
        <w:rPr>
          <w:color w:val="000000"/>
          <w:szCs w:val="22"/>
          <w:lang w:val="sr-Latn-ME"/>
        </w:rPr>
      </w:pPr>
    </w:p>
    <w:p w14:paraId="7909ED57" w14:textId="77777777" w:rsidR="00C175E4" w:rsidRPr="00D768EF" w:rsidRDefault="00C175E4" w:rsidP="00C175E4">
      <w:pPr>
        <w:rPr>
          <w:color w:val="000000"/>
          <w:szCs w:val="22"/>
          <w:u w:val="single"/>
          <w:lang w:val="sr-Latn-ME"/>
        </w:rPr>
      </w:pPr>
      <w:r w:rsidRPr="00D768EF">
        <w:rPr>
          <w:color w:val="000000"/>
          <w:szCs w:val="22"/>
          <w:u w:val="single"/>
          <w:lang w:val="sr-Latn-ME"/>
        </w:rPr>
        <w:t xml:space="preserve">Neurološki događaji </w:t>
      </w:r>
    </w:p>
    <w:p w14:paraId="0CE32C41" w14:textId="0CE76EEC" w:rsidR="00C175E4" w:rsidRPr="00D768EF" w:rsidRDefault="00D57936" w:rsidP="00C175E4">
      <w:pPr>
        <w:rPr>
          <w:color w:val="000000"/>
          <w:szCs w:val="22"/>
          <w:lang w:val="sr-Latn-ME"/>
        </w:rPr>
      </w:pPr>
      <w:r w:rsidRPr="00D768EF">
        <w:rPr>
          <w:color w:val="000000"/>
          <w:szCs w:val="22"/>
          <w:lang w:val="sr-Latn-ME"/>
        </w:rPr>
        <w:t>Primjena</w:t>
      </w:r>
      <w:r w:rsidR="00C175E4" w:rsidRPr="00D768EF">
        <w:rPr>
          <w:color w:val="000000"/>
          <w:szCs w:val="22"/>
          <w:lang w:val="sr-Latn-ME"/>
        </w:rPr>
        <w:t xml:space="preserve"> l</w:t>
      </w:r>
      <w:r w:rsidR="0021611E" w:rsidRPr="00D768EF">
        <w:rPr>
          <w:color w:val="000000"/>
          <w:szCs w:val="22"/>
          <w:lang w:val="sr-Latn-ME"/>
        </w:rPr>
        <w:t>j</w:t>
      </w:r>
      <w:r w:rsidR="00C175E4" w:rsidRPr="00D768EF">
        <w:rPr>
          <w:color w:val="000000"/>
          <w:szCs w:val="22"/>
          <w:lang w:val="sr-Latn-ME"/>
        </w:rPr>
        <w:t xml:space="preserve">ekova koji inhibiraju TNF, uključujući infliksimab, povezana je sa slučajevima nastanka novih ili pogoršanja postojećih kliničkih simptoma i/ili radioloških nalaza demijelinizirajućih bolesti centralnog nervnog sistema, uključujući multiplu sklerozu, i demijelinizirajućih poremećaja perifernog nervnog sistema, uključujući Guillain-Bareov sindrom. Kod pacijenata sa već postojećim ili novonastalim demijelinizirajućim poremećajima, treba pažljivo razmotriti koristi i rizike anti-TNF </w:t>
      </w:r>
      <w:r w:rsidRPr="00D768EF">
        <w:rPr>
          <w:color w:val="000000"/>
          <w:szCs w:val="22"/>
          <w:lang w:val="sr-Latn-ME"/>
        </w:rPr>
        <w:t>liječe</w:t>
      </w:r>
      <w:r w:rsidR="00C175E4" w:rsidRPr="00D768EF">
        <w:rPr>
          <w:color w:val="000000"/>
          <w:szCs w:val="22"/>
          <w:lang w:val="sr-Latn-ME"/>
        </w:rPr>
        <w:t>nja pr</w:t>
      </w:r>
      <w:r w:rsidR="0021611E" w:rsidRPr="00D768EF">
        <w:rPr>
          <w:color w:val="000000"/>
          <w:szCs w:val="22"/>
          <w:lang w:val="sr-Latn-ME"/>
        </w:rPr>
        <w:t>ij</w:t>
      </w:r>
      <w:r w:rsidR="00C175E4" w:rsidRPr="00D768EF">
        <w:rPr>
          <w:color w:val="000000"/>
          <w:szCs w:val="22"/>
          <w:lang w:val="sr-Latn-ME"/>
        </w:rPr>
        <w:t xml:space="preserve">e početka </w:t>
      </w:r>
      <w:r w:rsidRPr="00D768EF">
        <w:rPr>
          <w:color w:val="000000"/>
          <w:szCs w:val="22"/>
          <w:lang w:val="sr-Latn-ME"/>
        </w:rPr>
        <w:t>liječe</w:t>
      </w:r>
      <w:r w:rsidR="00C175E4" w:rsidRPr="00D768EF">
        <w:rPr>
          <w:color w:val="000000"/>
          <w:szCs w:val="22"/>
          <w:lang w:val="sr-Latn-ME"/>
        </w:rPr>
        <w:t xml:space="preserve">nja </w:t>
      </w:r>
      <w:r w:rsidR="00204273" w:rsidRPr="00D768EF">
        <w:rPr>
          <w:color w:val="000000"/>
          <w:szCs w:val="22"/>
          <w:lang w:val="sr-Latn-ME"/>
        </w:rPr>
        <w:t>infliksimabom</w:t>
      </w:r>
      <w:r w:rsidR="00C175E4" w:rsidRPr="00D768EF">
        <w:rPr>
          <w:color w:val="000000"/>
          <w:szCs w:val="22"/>
          <w:lang w:val="sr-Latn-ME"/>
        </w:rPr>
        <w:t xml:space="preserve">. </w:t>
      </w:r>
      <w:r w:rsidR="00C175E4" w:rsidRPr="00D768EF">
        <w:rPr>
          <w:iCs/>
          <w:szCs w:val="22"/>
          <w:lang w:val="sr-Latn-ME"/>
        </w:rPr>
        <w:t xml:space="preserve">Ukoliko se razviju ovi poremećaji, treba razmotriti prekid </w:t>
      </w:r>
      <w:r w:rsidR="00C175E4" w:rsidRPr="00D768EF">
        <w:rPr>
          <w:color w:val="000000"/>
          <w:szCs w:val="22"/>
          <w:lang w:val="sr-Latn-ME"/>
        </w:rPr>
        <w:t>prim</w:t>
      </w:r>
      <w:r w:rsidR="0021611E" w:rsidRPr="00D768EF">
        <w:rPr>
          <w:color w:val="000000"/>
          <w:szCs w:val="22"/>
          <w:lang w:val="sr-Latn-ME"/>
        </w:rPr>
        <w:t>j</w:t>
      </w:r>
      <w:r w:rsidR="00C175E4" w:rsidRPr="00D768EF">
        <w:rPr>
          <w:color w:val="000000"/>
          <w:szCs w:val="22"/>
          <w:lang w:val="sr-Latn-ME"/>
        </w:rPr>
        <w:t xml:space="preserve">ene </w:t>
      </w:r>
      <w:r w:rsidR="00204273" w:rsidRPr="00D768EF">
        <w:rPr>
          <w:color w:val="000000"/>
          <w:szCs w:val="22"/>
          <w:lang w:val="sr-Latn-ME"/>
        </w:rPr>
        <w:t>infliksimaba</w:t>
      </w:r>
      <w:r w:rsidR="00C175E4" w:rsidRPr="00D768EF">
        <w:rPr>
          <w:iCs/>
          <w:szCs w:val="22"/>
          <w:lang w:val="sr-Latn-ME"/>
        </w:rPr>
        <w:t>.</w:t>
      </w:r>
    </w:p>
    <w:p w14:paraId="022560A8" w14:textId="77777777" w:rsidR="00C175E4" w:rsidRPr="00D768EF" w:rsidRDefault="00C175E4" w:rsidP="00C175E4">
      <w:pPr>
        <w:rPr>
          <w:color w:val="000000"/>
          <w:szCs w:val="22"/>
          <w:lang w:val="sr-Latn-ME"/>
        </w:rPr>
      </w:pPr>
    </w:p>
    <w:p w14:paraId="6EF9B27E" w14:textId="77777777" w:rsidR="00C175E4" w:rsidRPr="00D768EF" w:rsidRDefault="00C175E4" w:rsidP="00C175E4">
      <w:pPr>
        <w:rPr>
          <w:color w:val="000000"/>
          <w:szCs w:val="22"/>
          <w:u w:val="single"/>
          <w:lang w:val="sr-Latn-ME"/>
        </w:rPr>
      </w:pPr>
      <w:r w:rsidRPr="00D768EF">
        <w:rPr>
          <w:color w:val="000000"/>
          <w:szCs w:val="22"/>
          <w:u w:val="single"/>
          <w:lang w:val="sr-Latn-ME"/>
        </w:rPr>
        <w:lastRenderedPageBreak/>
        <w:t xml:space="preserve">Maligniteti i limfoproliferativne bolesti </w:t>
      </w:r>
    </w:p>
    <w:p w14:paraId="7C418515" w14:textId="6782D400" w:rsidR="00C175E4" w:rsidRPr="00D768EF" w:rsidRDefault="00C175E4" w:rsidP="00C175E4">
      <w:pPr>
        <w:autoSpaceDE w:val="0"/>
        <w:autoSpaceDN w:val="0"/>
        <w:adjustRightInd w:val="0"/>
        <w:rPr>
          <w:color w:val="000000"/>
          <w:szCs w:val="22"/>
          <w:lang w:val="sr-Latn-ME"/>
        </w:rPr>
      </w:pPr>
      <w:r w:rsidRPr="00D768EF">
        <w:rPr>
          <w:color w:val="000000"/>
          <w:szCs w:val="22"/>
          <w:lang w:val="sr-Latn-ME"/>
        </w:rPr>
        <w:t>U kontrolisanim d</w:t>
      </w:r>
      <w:r w:rsidR="0021611E" w:rsidRPr="00D768EF">
        <w:rPr>
          <w:color w:val="000000"/>
          <w:szCs w:val="22"/>
          <w:lang w:val="sr-Latn-ME"/>
        </w:rPr>
        <w:t>j</w:t>
      </w:r>
      <w:r w:rsidRPr="00D768EF">
        <w:rPr>
          <w:color w:val="000000"/>
          <w:szCs w:val="22"/>
          <w:lang w:val="sr-Latn-ME"/>
        </w:rPr>
        <w:t>elovima kliničkih ispitivanja blokatora TNF</w:t>
      </w:r>
      <w:r w:rsidR="00A3536C" w:rsidRPr="00D768EF">
        <w:rPr>
          <w:color w:val="000000"/>
          <w:szCs w:val="22"/>
          <w:lang w:val="sr-Latn-ME"/>
        </w:rPr>
        <w:t>,</w:t>
      </w:r>
      <w:r w:rsidRPr="00D768EF">
        <w:rPr>
          <w:color w:val="000000"/>
          <w:szCs w:val="22"/>
          <w:lang w:val="sr-Latn-ME"/>
        </w:rPr>
        <w:t xml:space="preserve"> prim</w:t>
      </w:r>
      <w:r w:rsidR="00C3214E" w:rsidRPr="00D768EF">
        <w:rPr>
          <w:color w:val="000000"/>
          <w:szCs w:val="22"/>
          <w:lang w:val="sr-Latn-ME"/>
        </w:rPr>
        <w:t>ij</w:t>
      </w:r>
      <w:r w:rsidRPr="00D768EF">
        <w:rPr>
          <w:color w:val="000000"/>
          <w:szCs w:val="22"/>
          <w:lang w:val="sr-Latn-ME"/>
        </w:rPr>
        <w:t xml:space="preserve">ećen je veći broj slučajeva maligniteta, uključujući limfome, među pacijentima koji su primali blokatore TNF-a u poređenju sa kontrolnom grupom pacijenata. </w:t>
      </w:r>
      <w:r w:rsidRPr="00D768EF">
        <w:rPr>
          <w:bCs/>
          <w:color w:val="000000"/>
          <w:szCs w:val="22"/>
          <w:lang w:val="sr-Latn-ME"/>
        </w:rPr>
        <w:t>U toku kliničkih ispitivanja infliksimaba u svim odobrenim indikacijama, incidenca limfoma kod pacijenata koji su primali infliksimab bila je veća od očekivane u opštoj populaciji, ali je pojava limfoma bila r</w:t>
      </w:r>
      <w:r w:rsidR="0021611E" w:rsidRPr="00D768EF">
        <w:rPr>
          <w:bCs/>
          <w:color w:val="000000"/>
          <w:szCs w:val="22"/>
          <w:lang w:val="sr-Latn-ME"/>
        </w:rPr>
        <w:t>ij</w:t>
      </w:r>
      <w:r w:rsidRPr="00D768EF">
        <w:rPr>
          <w:bCs/>
          <w:color w:val="000000"/>
          <w:szCs w:val="22"/>
          <w:lang w:val="sr-Latn-ME"/>
        </w:rPr>
        <w:t xml:space="preserve">etka. </w:t>
      </w:r>
      <w:r w:rsidRPr="00D768EF">
        <w:rPr>
          <w:iCs/>
          <w:szCs w:val="22"/>
          <w:lang w:val="sr-Latn-ME" w:eastAsia="zh-CN"/>
        </w:rPr>
        <w:t>U postmarketinškom periodu</w:t>
      </w:r>
      <w:r w:rsidR="00A3536C" w:rsidRPr="00D768EF">
        <w:rPr>
          <w:iCs/>
          <w:szCs w:val="22"/>
          <w:lang w:val="sr-Latn-ME" w:eastAsia="zh-CN"/>
        </w:rPr>
        <w:t>,</w:t>
      </w:r>
      <w:r w:rsidRPr="00D768EF">
        <w:rPr>
          <w:iCs/>
          <w:szCs w:val="22"/>
          <w:lang w:val="sr-Latn-ME" w:eastAsia="zh-CN"/>
        </w:rPr>
        <w:t xml:space="preserve"> prijavljeni su slučajevi leukemije</w:t>
      </w:r>
      <w:r w:rsidR="00A3536C" w:rsidRPr="00D768EF">
        <w:rPr>
          <w:iCs/>
          <w:szCs w:val="22"/>
          <w:lang w:val="sr-Latn-ME" w:eastAsia="zh-CN"/>
        </w:rPr>
        <w:t xml:space="preserve"> kod pacijenata koji su primali antagoniste TNF</w:t>
      </w:r>
      <w:r w:rsidRPr="00D768EF">
        <w:rPr>
          <w:iCs/>
          <w:szCs w:val="22"/>
          <w:lang w:val="sr-Latn-ME" w:eastAsia="zh-CN"/>
        </w:rPr>
        <w:t xml:space="preserve">. </w:t>
      </w:r>
      <w:r w:rsidR="00A3536C" w:rsidRPr="00D768EF">
        <w:rPr>
          <w:color w:val="000000"/>
          <w:szCs w:val="22"/>
          <w:lang w:val="sr-Latn-ME"/>
        </w:rPr>
        <w:t>Postoji povećan</w:t>
      </w:r>
      <w:r w:rsidRPr="00D768EF">
        <w:rPr>
          <w:color w:val="000000"/>
          <w:szCs w:val="22"/>
          <w:lang w:val="sr-Latn-ME"/>
        </w:rPr>
        <w:t xml:space="preserve"> rizik </w:t>
      </w:r>
      <w:r w:rsidR="00A3536C" w:rsidRPr="00D768EF">
        <w:rPr>
          <w:color w:val="000000"/>
          <w:szCs w:val="22"/>
          <w:lang w:val="sr-Latn-ME"/>
        </w:rPr>
        <w:t>od</w:t>
      </w:r>
      <w:r w:rsidRPr="00D768EF">
        <w:rPr>
          <w:color w:val="000000"/>
          <w:szCs w:val="22"/>
          <w:lang w:val="sr-Latn-ME"/>
        </w:rPr>
        <w:t xml:space="preserve"> pojav</w:t>
      </w:r>
      <w:r w:rsidR="00A3536C" w:rsidRPr="00D768EF">
        <w:rPr>
          <w:color w:val="000000"/>
          <w:szCs w:val="22"/>
          <w:lang w:val="sr-Latn-ME"/>
        </w:rPr>
        <w:t>e</w:t>
      </w:r>
      <w:r w:rsidRPr="00D768EF">
        <w:rPr>
          <w:color w:val="000000"/>
          <w:szCs w:val="22"/>
          <w:lang w:val="sr-Latn-ME"/>
        </w:rPr>
        <w:t xml:space="preserve"> </w:t>
      </w:r>
      <w:r w:rsidRPr="00D768EF">
        <w:rPr>
          <w:bCs/>
          <w:color w:val="000000"/>
          <w:szCs w:val="22"/>
          <w:lang w:val="sr-Latn-ME"/>
        </w:rPr>
        <w:t xml:space="preserve">limfoma i </w:t>
      </w:r>
      <w:r w:rsidRPr="00D768EF">
        <w:rPr>
          <w:iCs/>
          <w:szCs w:val="22"/>
          <w:lang w:val="sr-Latn-ME" w:eastAsia="zh-CN"/>
        </w:rPr>
        <w:t xml:space="preserve">leukemije </w:t>
      </w:r>
      <w:r w:rsidRPr="00D768EF">
        <w:rPr>
          <w:color w:val="000000"/>
          <w:szCs w:val="22"/>
          <w:lang w:val="sr-Latn-ME"/>
        </w:rPr>
        <w:t>kod pacijenata sa reumatoidnim artritisom koji imaju dugotrajno, vrlo aktivno inflamatorno oboljenje, što otežava proc</w:t>
      </w:r>
      <w:r w:rsidR="0021611E" w:rsidRPr="00D768EF">
        <w:rPr>
          <w:color w:val="000000"/>
          <w:szCs w:val="22"/>
          <w:lang w:val="sr-Latn-ME"/>
        </w:rPr>
        <w:t>j</w:t>
      </w:r>
      <w:r w:rsidRPr="00D768EF">
        <w:rPr>
          <w:color w:val="000000"/>
          <w:szCs w:val="22"/>
          <w:lang w:val="sr-Latn-ME"/>
        </w:rPr>
        <w:t>enu rizika.</w:t>
      </w:r>
    </w:p>
    <w:p w14:paraId="789B6A64" w14:textId="093F75C7" w:rsidR="00C175E4" w:rsidRPr="00D768EF" w:rsidRDefault="00C175E4" w:rsidP="00C175E4">
      <w:pPr>
        <w:rPr>
          <w:color w:val="000000"/>
          <w:szCs w:val="22"/>
          <w:lang w:val="sr-Latn-ME"/>
        </w:rPr>
      </w:pPr>
    </w:p>
    <w:p w14:paraId="7D4D7097" w14:textId="210BF55E" w:rsidR="00C175E4" w:rsidRPr="00D768EF" w:rsidRDefault="00C175E4" w:rsidP="00C175E4">
      <w:pPr>
        <w:rPr>
          <w:color w:val="000000"/>
          <w:szCs w:val="22"/>
          <w:lang w:val="sr-Latn-ME"/>
        </w:rPr>
      </w:pPr>
      <w:r w:rsidRPr="00D768EF">
        <w:rPr>
          <w:color w:val="000000"/>
          <w:szCs w:val="22"/>
          <w:lang w:val="sr-Latn-ME"/>
        </w:rPr>
        <w:t>U eksplorativnoj kliničkoj studiji u kojoj se oc</w:t>
      </w:r>
      <w:r w:rsidR="0021611E" w:rsidRPr="00D768EF">
        <w:rPr>
          <w:color w:val="000000"/>
          <w:szCs w:val="22"/>
          <w:lang w:val="sr-Latn-ME"/>
        </w:rPr>
        <w:t>j</w:t>
      </w:r>
      <w:r w:rsidRPr="00D768EF">
        <w:rPr>
          <w:color w:val="000000"/>
          <w:szCs w:val="22"/>
          <w:lang w:val="sr-Latn-ME"/>
        </w:rPr>
        <w:t xml:space="preserve">enjivala </w:t>
      </w:r>
      <w:r w:rsidR="00D57936" w:rsidRPr="00D768EF">
        <w:rPr>
          <w:color w:val="000000"/>
          <w:szCs w:val="22"/>
          <w:lang w:val="sr-Latn-ME"/>
        </w:rPr>
        <w:t>primjena</w:t>
      </w:r>
      <w:r w:rsidRPr="00D768EF">
        <w:rPr>
          <w:color w:val="000000"/>
          <w:szCs w:val="22"/>
          <w:lang w:val="sr-Latn-ME"/>
        </w:rPr>
        <w:t xml:space="preserve"> infliksimaba kod pacijenata sa um</w:t>
      </w:r>
      <w:r w:rsidR="0021611E" w:rsidRPr="00D768EF">
        <w:rPr>
          <w:color w:val="000000"/>
          <w:szCs w:val="22"/>
          <w:lang w:val="sr-Latn-ME"/>
        </w:rPr>
        <w:t>j</w:t>
      </w:r>
      <w:r w:rsidRPr="00D768EF">
        <w:rPr>
          <w:color w:val="000000"/>
          <w:szCs w:val="22"/>
          <w:lang w:val="sr-Latn-ME"/>
        </w:rPr>
        <w:t xml:space="preserve">erenom do teškom hroničnom opstruktivnom bolešću pluća (COPD), prijavljeno je više slučajeva maligniteta kod pacijenata koji su primali infliksimab u poređenju sa kontrolnom grupom. Svi pacijenti su bili teški pušači. Kod pacijenata sa povećanim rizikom od maligniteta jer su teški pušači, mogućnost </w:t>
      </w:r>
      <w:r w:rsidR="00D57936" w:rsidRPr="00D768EF">
        <w:rPr>
          <w:color w:val="000000"/>
          <w:szCs w:val="22"/>
          <w:lang w:val="sr-Latn-ME"/>
        </w:rPr>
        <w:t>liječe</w:t>
      </w:r>
      <w:r w:rsidRPr="00D768EF">
        <w:rPr>
          <w:color w:val="000000"/>
          <w:szCs w:val="22"/>
          <w:lang w:val="sr-Latn-ME"/>
        </w:rPr>
        <w:t xml:space="preserve">nja </w:t>
      </w:r>
      <w:r w:rsidR="00A3536C" w:rsidRPr="00D768EF">
        <w:rPr>
          <w:color w:val="000000"/>
          <w:szCs w:val="22"/>
          <w:lang w:val="sr-Latn-ME"/>
        </w:rPr>
        <w:t>infliksimabom</w:t>
      </w:r>
      <w:r w:rsidRPr="00D768EF">
        <w:rPr>
          <w:color w:val="000000"/>
          <w:szCs w:val="22"/>
          <w:lang w:val="sr-Latn-ME"/>
        </w:rPr>
        <w:t xml:space="preserve"> treba razmotriti uz oprez.</w:t>
      </w:r>
    </w:p>
    <w:p w14:paraId="1EE55136" w14:textId="77777777" w:rsidR="00C175E4" w:rsidRPr="00D768EF" w:rsidRDefault="00C175E4" w:rsidP="00C175E4">
      <w:pPr>
        <w:rPr>
          <w:color w:val="000000"/>
          <w:szCs w:val="22"/>
          <w:lang w:val="sr-Latn-ME"/>
        </w:rPr>
      </w:pPr>
    </w:p>
    <w:p w14:paraId="5E693DF0" w14:textId="03B4575B" w:rsidR="00C175E4" w:rsidRPr="00D768EF" w:rsidRDefault="00C175E4" w:rsidP="00C175E4">
      <w:pPr>
        <w:rPr>
          <w:color w:val="000000"/>
          <w:szCs w:val="22"/>
          <w:lang w:val="sr-Latn-ME"/>
        </w:rPr>
      </w:pPr>
      <w:r w:rsidRPr="00D768EF">
        <w:rPr>
          <w:color w:val="000000"/>
          <w:szCs w:val="22"/>
          <w:lang w:val="sr-Latn-ME"/>
        </w:rPr>
        <w:t xml:space="preserve">Na osnovu postojećih saznanja, ne može se isključiti rizik od pojave limfoma ili drugih vrsta maligniteta kod pacijenata koji su primali blokatore </w:t>
      </w:r>
      <w:r w:rsidR="00A3536C" w:rsidRPr="00D768EF">
        <w:rPr>
          <w:color w:val="000000"/>
          <w:szCs w:val="22"/>
          <w:lang w:val="sr-Latn-ME"/>
        </w:rPr>
        <w:t xml:space="preserve">TNF </w:t>
      </w:r>
      <w:r w:rsidRPr="00D768EF">
        <w:rPr>
          <w:color w:val="000000"/>
          <w:szCs w:val="22"/>
          <w:lang w:val="sr-Latn-ME"/>
        </w:rPr>
        <w:t>(</w:t>
      </w:r>
      <w:r w:rsidR="00282A1E" w:rsidRPr="00D768EF">
        <w:rPr>
          <w:color w:val="000000"/>
          <w:szCs w:val="22"/>
          <w:lang w:val="sr-Latn-ME"/>
        </w:rPr>
        <w:t>vidjeti</w:t>
      </w:r>
      <w:r w:rsidRPr="00D768EF">
        <w:rPr>
          <w:color w:val="000000"/>
          <w:szCs w:val="22"/>
          <w:lang w:val="sr-Latn-ME"/>
        </w:rPr>
        <w:t xml:space="preserve"> </w:t>
      </w:r>
      <w:r w:rsidR="00454E9F" w:rsidRPr="00D768EF">
        <w:rPr>
          <w:color w:val="000000"/>
          <w:szCs w:val="22"/>
          <w:lang w:val="sr-Latn-ME"/>
        </w:rPr>
        <w:t>dio</w:t>
      </w:r>
      <w:r w:rsidRPr="00D768EF">
        <w:rPr>
          <w:color w:val="000000"/>
          <w:szCs w:val="22"/>
          <w:lang w:val="sr-Latn-ME"/>
        </w:rPr>
        <w:t xml:space="preserve"> 4.8). Potreban je oprez kada se razmatra </w:t>
      </w:r>
      <w:r w:rsidR="00D57936" w:rsidRPr="00D768EF">
        <w:rPr>
          <w:color w:val="000000"/>
          <w:szCs w:val="22"/>
          <w:lang w:val="sr-Latn-ME"/>
        </w:rPr>
        <w:t>liječe</w:t>
      </w:r>
      <w:r w:rsidRPr="00D768EF">
        <w:rPr>
          <w:color w:val="000000"/>
          <w:szCs w:val="22"/>
          <w:lang w:val="sr-Latn-ME"/>
        </w:rPr>
        <w:t xml:space="preserve">nje </w:t>
      </w:r>
      <w:r w:rsidR="00A3536C" w:rsidRPr="00D768EF">
        <w:rPr>
          <w:color w:val="000000"/>
          <w:szCs w:val="22"/>
          <w:lang w:val="sr-Latn-ME"/>
        </w:rPr>
        <w:t xml:space="preserve">blokatorima </w:t>
      </w:r>
      <w:r w:rsidRPr="00D768EF">
        <w:rPr>
          <w:color w:val="000000"/>
          <w:szCs w:val="22"/>
          <w:lang w:val="sr-Latn-ME"/>
        </w:rPr>
        <w:t xml:space="preserve">TNF kod pacijenata koji su bolovali od maligne bolesti odnosno kada se razmatra nastavak </w:t>
      </w:r>
      <w:r w:rsidR="00D57936" w:rsidRPr="00D768EF">
        <w:rPr>
          <w:color w:val="000000"/>
          <w:szCs w:val="22"/>
          <w:lang w:val="sr-Latn-ME"/>
        </w:rPr>
        <w:t>liječe</w:t>
      </w:r>
      <w:r w:rsidRPr="00D768EF">
        <w:rPr>
          <w:color w:val="000000"/>
          <w:szCs w:val="22"/>
          <w:lang w:val="sr-Latn-ME"/>
        </w:rPr>
        <w:t>nja pacijenata kod kojih se razvila maligna bolest.</w:t>
      </w:r>
    </w:p>
    <w:p w14:paraId="0679F84F" w14:textId="77777777" w:rsidR="00C175E4" w:rsidRPr="00D768EF" w:rsidRDefault="00C175E4" w:rsidP="00C175E4">
      <w:pPr>
        <w:rPr>
          <w:color w:val="000000"/>
          <w:szCs w:val="22"/>
          <w:lang w:val="sr-Latn-ME"/>
        </w:rPr>
      </w:pPr>
    </w:p>
    <w:p w14:paraId="10379331" w14:textId="6CF1052E" w:rsidR="00C175E4" w:rsidRPr="00D768EF" w:rsidRDefault="00C175E4" w:rsidP="00C175E4">
      <w:pPr>
        <w:rPr>
          <w:color w:val="000000"/>
          <w:szCs w:val="22"/>
          <w:lang w:val="sr-Latn-ME"/>
        </w:rPr>
      </w:pPr>
      <w:r w:rsidRPr="00D768EF">
        <w:rPr>
          <w:color w:val="000000"/>
          <w:szCs w:val="22"/>
          <w:lang w:val="sr-Latn-ME"/>
        </w:rPr>
        <w:t xml:space="preserve">Takođe treba biti oprezan kod pacijenata sa psorijazom koji su primali ekstenzivnu imunosupresivnu terapiju ili su dugo </w:t>
      </w:r>
      <w:r w:rsidR="00D57936" w:rsidRPr="00D768EF">
        <w:rPr>
          <w:color w:val="000000"/>
          <w:szCs w:val="22"/>
          <w:lang w:val="sr-Latn-ME"/>
        </w:rPr>
        <w:t>liječe</w:t>
      </w:r>
      <w:r w:rsidRPr="00D768EF">
        <w:rPr>
          <w:color w:val="000000"/>
          <w:szCs w:val="22"/>
          <w:lang w:val="sr-Latn-ME"/>
        </w:rPr>
        <w:t>ni PUVA terapijom.</w:t>
      </w:r>
    </w:p>
    <w:p w14:paraId="3F1683E3" w14:textId="77777777" w:rsidR="00C175E4" w:rsidRPr="00D768EF" w:rsidRDefault="00C175E4" w:rsidP="00C175E4">
      <w:pPr>
        <w:tabs>
          <w:tab w:val="clear" w:pos="284"/>
        </w:tabs>
        <w:autoSpaceDE w:val="0"/>
        <w:autoSpaceDN w:val="0"/>
        <w:adjustRightInd w:val="0"/>
        <w:rPr>
          <w:color w:val="000000"/>
          <w:szCs w:val="22"/>
          <w:lang w:val="sr-Latn-ME"/>
        </w:rPr>
      </w:pPr>
    </w:p>
    <w:p w14:paraId="5DCE6112" w14:textId="5D46EFAE" w:rsidR="00C175E4" w:rsidRPr="00D768EF" w:rsidRDefault="00C175E4" w:rsidP="00C175E4">
      <w:pPr>
        <w:autoSpaceDE w:val="0"/>
        <w:autoSpaceDN w:val="0"/>
        <w:adjustRightInd w:val="0"/>
        <w:rPr>
          <w:szCs w:val="22"/>
          <w:lang w:val="sr-Latn-ME"/>
        </w:rPr>
      </w:pPr>
      <w:r w:rsidRPr="00D768EF">
        <w:rPr>
          <w:color w:val="000000"/>
          <w:szCs w:val="22"/>
          <w:lang w:val="sr-Latn-ME"/>
        </w:rPr>
        <w:t>Maligne bolesti</w:t>
      </w:r>
      <w:r w:rsidRPr="00D768EF">
        <w:rPr>
          <w:iCs/>
          <w:szCs w:val="22"/>
          <w:lang w:val="sr-Latn-ME" w:eastAsia="zh-CN"/>
        </w:rPr>
        <w:t xml:space="preserve">, neke sa smrtnim ishodom, prijavljene su kod </w:t>
      </w:r>
      <w:r w:rsidR="00220982" w:rsidRPr="00D768EF">
        <w:rPr>
          <w:iCs/>
          <w:szCs w:val="22"/>
          <w:lang w:val="sr-Latn-ME" w:eastAsia="zh-CN"/>
        </w:rPr>
        <w:t>djece</w:t>
      </w:r>
      <w:r w:rsidRPr="00D768EF">
        <w:rPr>
          <w:iCs/>
          <w:szCs w:val="22"/>
          <w:lang w:val="sr-Latn-ME" w:eastAsia="zh-CN"/>
        </w:rPr>
        <w:t>, adolescenata i mladih odraslih osoba (do 22 godine starosti) koji su primali blokatore TNF-a (početak terapije ≤ 18 godina starosti), uključujući infliksimab, posl</w:t>
      </w:r>
      <w:r w:rsidR="00CF5D59">
        <w:rPr>
          <w:iCs/>
          <w:szCs w:val="22"/>
          <w:lang w:val="sr-Latn-ME" w:eastAsia="zh-CN"/>
        </w:rPr>
        <w:t>ij</w:t>
      </w:r>
      <w:r w:rsidRPr="00D768EF">
        <w:rPr>
          <w:iCs/>
          <w:szCs w:val="22"/>
          <w:lang w:val="sr-Latn-ME" w:eastAsia="zh-CN"/>
        </w:rPr>
        <w:t>e stavljanja tih l</w:t>
      </w:r>
      <w:r w:rsidR="001D19B7" w:rsidRPr="00D768EF">
        <w:rPr>
          <w:iCs/>
          <w:szCs w:val="22"/>
          <w:lang w:val="sr-Latn-ME" w:eastAsia="zh-CN"/>
        </w:rPr>
        <w:t>j</w:t>
      </w:r>
      <w:r w:rsidRPr="00D768EF">
        <w:rPr>
          <w:iCs/>
          <w:szCs w:val="22"/>
          <w:lang w:val="sr-Latn-ME" w:eastAsia="zh-CN"/>
        </w:rPr>
        <w:t>ekova u promet. Otprilike u polovini slučajeva bili su limfomi. Ostali slučajevi predstavljaju mnoštvo različitih maligniteta i uključuju r</w:t>
      </w:r>
      <w:r w:rsidR="001D19B7" w:rsidRPr="00D768EF">
        <w:rPr>
          <w:iCs/>
          <w:szCs w:val="22"/>
          <w:lang w:val="sr-Latn-ME" w:eastAsia="zh-CN"/>
        </w:rPr>
        <w:t>ij</w:t>
      </w:r>
      <w:r w:rsidRPr="00D768EF">
        <w:rPr>
          <w:iCs/>
          <w:szCs w:val="22"/>
          <w:lang w:val="sr-Latn-ME" w:eastAsia="zh-CN"/>
        </w:rPr>
        <w:t>etke malignitete koji su obično povezani sa imunosupresijom. Rizik od razvoja maligniteta kod pacijenata koji su primali blokatore TNF-a ne može se isključiti.</w:t>
      </w:r>
    </w:p>
    <w:p w14:paraId="516EE5ED" w14:textId="77777777" w:rsidR="00C175E4" w:rsidRPr="00D768EF" w:rsidRDefault="00C175E4" w:rsidP="00C175E4">
      <w:pPr>
        <w:rPr>
          <w:color w:val="000000"/>
          <w:szCs w:val="22"/>
          <w:lang w:val="sr-Latn-ME"/>
        </w:rPr>
      </w:pPr>
    </w:p>
    <w:p w14:paraId="26778EA4" w14:textId="6544A878" w:rsidR="00C175E4" w:rsidRPr="00D768EF" w:rsidRDefault="00C175E4" w:rsidP="00C175E4">
      <w:pPr>
        <w:rPr>
          <w:szCs w:val="22"/>
          <w:lang w:val="sr-Latn-ME"/>
        </w:rPr>
      </w:pPr>
      <w:r w:rsidRPr="00D768EF">
        <w:rPr>
          <w:iCs/>
          <w:szCs w:val="22"/>
          <w:lang w:val="sr-Latn-ME" w:eastAsia="sv-SE"/>
        </w:rPr>
        <w:t>Posl</w:t>
      </w:r>
      <w:r w:rsidR="00CF5D59">
        <w:rPr>
          <w:iCs/>
          <w:szCs w:val="22"/>
          <w:lang w:val="sr-Latn-ME" w:eastAsia="sv-SE"/>
        </w:rPr>
        <w:t>ij</w:t>
      </w:r>
      <w:r w:rsidRPr="00D768EF">
        <w:rPr>
          <w:iCs/>
          <w:szCs w:val="22"/>
          <w:lang w:val="sr-Latn-ME" w:eastAsia="sv-SE"/>
        </w:rPr>
        <w:t>e stavljanja l</w:t>
      </w:r>
      <w:r w:rsidR="001D19B7" w:rsidRPr="00D768EF">
        <w:rPr>
          <w:iCs/>
          <w:szCs w:val="22"/>
          <w:lang w:val="sr-Latn-ME" w:eastAsia="sv-SE"/>
        </w:rPr>
        <w:t>ij</w:t>
      </w:r>
      <w:r w:rsidRPr="00D768EF">
        <w:rPr>
          <w:iCs/>
          <w:szCs w:val="22"/>
          <w:lang w:val="sr-Latn-ME" w:eastAsia="sv-SE"/>
        </w:rPr>
        <w:t xml:space="preserve">eka u promet, prijavljeni su slučajevi hepatospleničnog T-ćelijskog limfoma kod pacijenata koji su </w:t>
      </w:r>
      <w:r w:rsidR="00D57936" w:rsidRPr="00D768EF">
        <w:rPr>
          <w:iCs/>
          <w:szCs w:val="22"/>
          <w:lang w:val="sr-Latn-ME" w:eastAsia="sv-SE"/>
        </w:rPr>
        <w:t>liječe</w:t>
      </w:r>
      <w:r w:rsidRPr="00D768EF">
        <w:rPr>
          <w:iCs/>
          <w:szCs w:val="22"/>
          <w:lang w:val="sr-Latn-ME" w:eastAsia="sv-SE"/>
        </w:rPr>
        <w:t>ni blokatorima</w:t>
      </w:r>
      <w:r w:rsidRPr="00D768EF">
        <w:rPr>
          <w:b/>
          <w:bCs/>
          <w:szCs w:val="22"/>
          <w:lang w:val="sr-Latn-ME"/>
        </w:rPr>
        <w:t xml:space="preserve"> </w:t>
      </w:r>
      <w:r w:rsidRPr="00D768EF">
        <w:rPr>
          <w:rStyle w:val="Strong"/>
          <w:b w:val="0"/>
          <w:bCs/>
          <w:szCs w:val="22"/>
          <w:lang w:val="sr-Latn-ME"/>
        </w:rPr>
        <w:t xml:space="preserve">TNF-a, </w:t>
      </w:r>
      <w:r w:rsidRPr="00D768EF">
        <w:rPr>
          <w:szCs w:val="22"/>
          <w:lang w:val="sr-Latn-ME"/>
        </w:rPr>
        <w:t>uključujući infliksimab. Ovaj r</w:t>
      </w:r>
      <w:r w:rsidR="001D19B7" w:rsidRPr="00D768EF">
        <w:rPr>
          <w:szCs w:val="22"/>
          <w:lang w:val="sr-Latn-ME"/>
        </w:rPr>
        <w:t>ij</w:t>
      </w:r>
      <w:r w:rsidRPr="00D768EF">
        <w:rPr>
          <w:szCs w:val="22"/>
          <w:lang w:val="sr-Latn-ME"/>
        </w:rPr>
        <w:t>edak oblik</w:t>
      </w:r>
      <w:r w:rsidRPr="00D768EF">
        <w:rPr>
          <w:iCs/>
          <w:szCs w:val="22"/>
          <w:lang w:val="sr-Latn-ME" w:eastAsia="sv-SE"/>
        </w:rPr>
        <w:t xml:space="preserve"> T-ćelijskog limfoma</w:t>
      </w:r>
      <w:r w:rsidRPr="00D768EF">
        <w:rPr>
          <w:szCs w:val="22"/>
          <w:lang w:val="sr-Latn-ME"/>
        </w:rPr>
        <w:t xml:space="preserve"> ima veoma agresivan tok i obično smrtni ishod. Skoro svi pacijenti su istovremeno ili neposredno pr</w:t>
      </w:r>
      <w:r w:rsidR="001D19B7" w:rsidRPr="00D768EF">
        <w:rPr>
          <w:szCs w:val="22"/>
          <w:lang w:val="sr-Latn-ME"/>
        </w:rPr>
        <w:t>ij</w:t>
      </w:r>
      <w:r w:rsidRPr="00D768EF">
        <w:rPr>
          <w:szCs w:val="22"/>
          <w:lang w:val="sr-Latn-ME"/>
        </w:rPr>
        <w:t>e terapije blokatorima TNF-a bili i na terapiji sa AZA ili 6-MP. Kod prim</w:t>
      </w:r>
      <w:r w:rsidR="001D19B7" w:rsidRPr="00D768EF">
        <w:rPr>
          <w:szCs w:val="22"/>
          <w:lang w:val="sr-Latn-ME"/>
        </w:rPr>
        <w:t>j</w:t>
      </w:r>
      <w:r w:rsidRPr="00D768EF">
        <w:rPr>
          <w:szCs w:val="22"/>
          <w:lang w:val="sr-Latn-ME"/>
        </w:rPr>
        <w:t>ene infliksimaba najveći d</w:t>
      </w:r>
      <w:r w:rsidR="001D19B7" w:rsidRPr="00D768EF">
        <w:rPr>
          <w:szCs w:val="22"/>
          <w:lang w:val="sr-Latn-ME"/>
        </w:rPr>
        <w:t>i</w:t>
      </w:r>
      <w:r w:rsidRPr="00D768EF">
        <w:rPr>
          <w:szCs w:val="22"/>
          <w:lang w:val="sr-Latn-ME"/>
        </w:rPr>
        <w:t>o ovakvih slučajeva se dogodio kod pacijenata sa</w:t>
      </w:r>
      <w:r w:rsidRPr="00D768EF">
        <w:rPr>
          <w:iCs/>
          <w:szCs w:val="22"/>
          <w:lang w:val="sr-Latn-ME" w:eastAsia="sv-SE"/>
        </w:rPr>
        <w:t xml:space="preserve"> Kronovom bolešću ili</w:t>
      </w:r>
      <w:r w:rsidRPr="00D768EF">
        <w:rPr>
          <w:szCs w:val="22"/>
          <w:lang w:val="sr-Latn-ME"/>
        </w:rPr>
        <w:t xml:space="preserve"> ulceroznim kolitisom i to većinom kod adolescenata ili mlađih odraslih muškaraca. </w:t>
      </w:r>
      <w:r w:rsidRPr="00D768EF">
        <w:rPr>
          <w:iCs/>
          <w:szCs w:val="22"/>
          <w:lang w:val="sr-Latn-ME" w:eastAsia="sv-SE"/>
        </w:rPr>
        <w:t>Treba pažljivo razmotriti potencijalni rizik prim</w:t>
      </w:r>
      <w:r w:rsidR="001D19B7" w:rsidRPr="00D768EF">
        <w:rPr>
          <w:iCs/>
          <w:szCs w:val="22"/>
          <w:lang w:val="sr-Latn-ME" w:eastAsia="sv-SE"/>
        </w:rPr>
        <w:t>j</w:t>
      </w:r>
      <w:r w:rsidRPr="00D768EF">
        <w:rPr>
          <w:iCs/>
          <w:szCs w:val="22"/>
          <w:lang w:val="sr-Latn-ME" w:eastAsia="sv-SE"/>
        </w:rPr>
        <w:t xml:space="preserve">ene kombinacije AZA ili 6-MP i infliksimaba. </w:t>
      </w:r>
      <w:r w:rsidRPr="00D768EF">
        <w:rPr>
          <w:szCs w:val="22"/>
          <w:lang w:val="sr-Latn-ME"/>
        </w:rPr>
        <w:t>N</w:t>
      </w:r>
      <w:r w:rsidRPr="00D768EF">
        <w:rPr>
          <w:iCs/>
          <w:szCs w:val="22"/>
          <w:lang w:val="sr-Latn-ME" w:eastAsia="sv-SE"/>
        </w:rPr>
        <w:t xml:space="preserve">e može se isključiti rizik od razvoja hepatospleničnog T-ćelijskog limfoma kod pacijenata koji se </w:t>
      </w:r>
      <w:r w:rsidR="00D57936" w:rsidRPr="00D768EF">
        <w:rPr>
          <w:iCs/>
          <w:szCs w:val="22"/>
          <w:lang w:val="sr-Latn-ME" w:eastAsia="sv-SE"/>
        </w:rPr>
        <w:t>liječe</w:t>
      </w:r>
      <w:r w:rsidRPr="00D768EF">
        <w:rPr>
          <w:iCs/>
          <w:szCs w:val="22"/>
          <w:lang w:val="sr-Latn-ME" w:eastAsia="sv-SE"/>
        </w:rPr>
        <w:t xml:space="preserve"> </w:t>
      </w:r>
      <w:r w:rsidR="00204273" w:rsidRPr="00D768EF">
        <w:rPr>
          <w:color w:val="000000"/>
          <w:szCs w:val="22"/>
          <w:lang w:val="sr-Latn-ME"/>
        </w:rPr>
        <w:t>infliksimabom</w:t>
      </w:r>
      <w:r w:rsidRPr="00D768EF">
        <w:rPr>
          <w:iCs/>
          <w:szCs w:val="22"/>
          <w:lang w:val="sr-Latn-ME" w:eastAsia="sv-SE"/>
        </w:rPr>
        <w:t xml:space="preserve"> (</w:t>
      </w:r>
      <w:r w:rsidR="00282A1E" w:rsidRPr="00D768EF">
        <w:rPr>
          <w:iCs/>
          <w:szCs w:val="22"/>
          <w:lang w:val="sr-Latn-ME" w:eastAsia="sv-SE"/>
        </w:rPr>
        <w:t>vidjeti</w:t>
      </w:r>
      <w:r w:rsidRPr="00D768EF">
        <w:rPr>
          <w:iCs/>
          <w:szCs w:val="22"/>
          <w:lang w:val="sr-Latn-ME" w:eastAsia="sv-SE"/>
        </w:rPr>
        <w:t xml:space="preserve"> </w:t>
      </w:r>
      <w:r w:rsidR="00454E9F" w:rsidRPr="00D768EF">
        <w:rPr>
          <w:iCs/>
          <w:szCs w:val="22"/>
          <w:lang w:val="sr-Latn-ME" w:eastAsia="sv-SE"/>
        </w:rPr>
        <w:t>dio</w:t>
      </w:r>
      <w:r w:rsidRPr="00D768EF">
        <w:rPr>
          <w:iCs/>
          <w:szCs w:val="22"/>
          <w:lang w:val="sr-Latn-ME" w:eastAsia="sv-SE"/>
        </w:rPr>
        <w:t xml:space="preserve"> 4.8).</w:t>
      </w:r>
    </w:p>
    <w:p w14:paraId="53A7DF60" w14:textId="77777777" w:rsidR="00C175E4" w:rsidRPr="00D768EF" w:rsidRDefault="00C175E4" w:rsidP="00C175E4">
      <w:pPr>
        <w:rPr>
          <w:color w:val="000000"/>
          <w:szCs w:val="22"/>
          <w:lang w:val="sr-Latn-ME"/>
        </w:rPr>
      </w:pPr>
    </w:p>
    <w:p w14:paraId="6A314FBF" w14:textId="3905E1E0" w:rsidR="00C175E4" w:rsidRPr="00D768EF" w:rsidRDefault="00C175E4" w:rsidP="00C175E4">
      <w:pPr>
        <w:rPr>
          <w:color w:val="000000"/>
          <w:szCs w:val="22"/>
          <w:lang w:val="sr-Latn-ME"/>
        </w:rPr>
      </w:pPr>
      <w:r w:rsidRPr="00D768EF">
        <w:rPr>
          <w:color w:val="000000"/>
          <w:szCs w:val="22"/>
          <w:lang w:val="sr-Latn-ME"/>
        </w:rPr>
        <w:t>Melanom i karcinom Merkelovih ćelija su prijavljeni kod pacijenata koji su primali blokatore TNF-a, uključujući infliksimab (</w:t>
      </w:r>
      <w:r w:rsidR="00282A1E" w:rsidRPr="00D768EF">
        <w:rPr>
          <w:color w:val="000000"/>
          <w:szCs w:val="22"/>
          <w:lang w:val="sr-Latn-ME"/>
        </w:rPr>
        <w:t>vidjeti</w:t>
      </w:r>
      <w:r w:rsidRPr="00D768EF">
        <w:rPr>
          <w:color w:val="000000"/>
          <w:szCs w:val="22"/>
          <w:lang w:val="sr-Latn-ME"/>
        </w:rPr>
        <w:t xml:space="preserve"> </w:t>
      </w:r>
      <w:r w:rsidR="00454E9F" w:rsidRPr="00D768EF">
        <w:rPr>
          <w:color w:val="000000"/>
          <w:szCs w:val="22"/>
          <w:lang w:val="sr-Latn-ME"/>
        </w:rPr>
        <w:t>dio</w:t>
      </w:r>
      <w:r w:rsidRPr="00D768EF">
        <w:rPr>
          <w:color w:val="000000"/>
          <w:szCs w:val="22"/>
          <w:lang w:val="sr-Latn-ME"/>
        </w:rPr>
        <w:t xml:space="preserve"> 4.8). Preporučuje se periodični pregled kože, posebno kod pacijenata koji imaju faktore rizika za rak kože.</w:t>
      </w:r>
    </w:p>
    <w:p w14:paraId="00CD457B" w14:textId="77777777" w:rsidR="00C175E4" w:rsidRPr="00D768EF" w:rsidRDefault="00C175E4" w:rsidP="00C175E4">
      <w:pPr>
        <w:rPr>
          <w:color w:val="000000"/>
          <w:szCs w:val="22"/>
          <w:lang w:val="sr-Latn-ME"/>
        </w:rPr>
      </w:pPr>
    </w:p>
    <w:p w14:paraId="5DEF3328" w14:textId="3D2FCE80" w:rsidR="00C175E4" w:rsidRPr="00D768EF" w:rsidRDefault="00C175E4" w:rsidP="00C175E4">
      <w:pPr>
        <w:rPr>
          <w:color w:val="000000"/>
          <w:szCs w:val="22"/>
          <w:lang w:val="sr-Latn-ME"/>
        </w:rPr>
      </w:pPr>
      <w:r w:rsidRPr="00D768EF">
        <w:rPr>
          <w:color w:val="000000"/>
          <w:szCs w:val="22"/>
          <w:lang w:val="sr-Latn-ME"/>
        </w:rPr>
        <w:t>Populaciona retrospektivna kohortna studija, korišćenjem podataka iz nacionalnih zdravstvenih registara Švedske, pokazala je povećanu incidencu raka grlića materice kod žena obol</w:t>
      </w:r>
      <w:r w:rsidR="001D19B7" w:rsidRPr="00D768EF">
        <w:rPr>
          <w:color w:val="000000"/>
          <w:szCs w:val="22"/>
          <w:lang w:val="sr-Latn-ME"/>
        </w:rPr>
        <w:t>j</w:t>
      </w:r>
      <w:r w:rsidRPr="00D768EF">
        <w:rPr>
          <w:color w:val="000000"/>
          <w:szCs w:val="22"/>
          <w:lang w:val="sr-Latn-ME"/>
        </w:rPr>
        <w:t xml:space="preserve">elih od reumatoidnog artritisa koje su </w:t>
      </w:r>
      <w:r w:rsidR="00D57936" w:rsidRPr="00D768EF">
        <w:rPr>
          <w:color w:val="000000"/>
          <w:szCs w:val="22"/>
          <w:lang w:val="sr-Latn-ME"/>
        </w:rPr>
        <w:t>liječe</w:t>
      </w:r>
      <w:r w:rsidRPr="00D768EF">
        <w:rPr>
          <w:color w:val="000000"/>
          <w:szCs w:val="22"/>
          <w:lang w:val="sr-Latn-ME"/>
        </w:rPr>
        <w:t>ne infliksimabom, u poređenju sa pacijentkinjama koje nisu primale biološke l</w:t>
      </w:r>
      <w:r w:rsidR="001D19B7" w:rsidRPr="00D768EF">
        <w:rPr>
          <w:color w:val="000000"/>
          <w:szCs w:val="22"/>
          <w:lang w:val="sr-Latn-ME"/>
        </w:rPr>
        <w:t>j</w:t>
      </w:r>
      <w:r w:rsidRPr="00D768EF">
        <w:rPr>
          <w:color w:val="000000"/>
          <w:szCs w:val="22"/>
          <w:lang w:val="sr-Latn-ME"/>
        </w:rPr>
        <w:t xml:space="preserve">ekove ili opštom populacijom, uključujući i one starije od 60 godina. Treba nastaviti sa periodičnim praćenjem žena </w:t>
      </w:r>
      <w:r w:rsidR="00D57936" w:rsidRPr="00D768EF">
        <w:rPr>
          <w:color w:val="000000"/>
          <w:szCs w:val="22"/>
          <w:lang w:val="sr-Latn-ME"/>
        </w:rPr>
        <w:t>liječe</w:t>
      </w:r>
      <w:r w:rsidRPr="00D768EF">
        <w:rPr>
          <w:color w:val="000000"/>
          <w:szCs w:val="22"/>
          <w:lang w:val="sr-Latn-ME"/>
        </w:rPr>
        <w:t xml:space="preserve">nih </w:t>
      </w:r>
      <w:r w:rsidR="00204273" w:rsidRPr="00D768EF">
        <w:rPr>
          <w:color w:val="000000"/>
          <w:szCs w:val="22"/>
          <w:lang w:val="sr-Latn-ME"/>
        </w:rPr>
        <w:t>infliksimabom</w:t>
      </w:r>
      <w:r w:rsidRPr="00D768EF">
        <w:rPr>
          <w:color w:val="000000"/>
          <w:szCs w:val="22"/>
          <w:lang w:val="sr-Latn-ME"/>
        </w:rPr>
        <w:t xml:space="preserve">, uključujući i one starije od 60 godina. </w:t>
      </w:r>
    </w:p>
    <w:p w14:paraId="3C8A7D91" w14:textId="77777777" w:rsidR="00C175E4" w:rsidRPr="00D768EF" w:rsidRDefault="00C175E4" w:rsidP="00C175E4">
      <w:pPr>
        <w:rPr>
          <w:color w:val="000000"/>
          <w:szCs w:val="22"/>
          <w:lang w:val="sr-Latn-ME"/>
        </w:rPr>
      </w:pPr>
    </w:p>
    <w:p w14:paraId="28000888" w14:textId="20B71BF0" w:rsidR="00C175E4" w:rsidRPr="00D768EF" w:rsidRDefault="00C175E4" w:rsidP="00C175E4">
      <w:pPr>
        <w:rPr>
          <w:color w:val="000000"/>
          <w:szCs w:val="22"/>
          <w:lang w:val="sr-Latn-ME"/>
        </w:rPr>
      </w:pPr>
      <w:r w:rsidRPr="00D768EF">
        <w:rPr>
          <w:color w:val="000000"/>
          <w:szCs w:val="22"/>
          <w:lang w:val="sr-Latn-ME"/>
        </w:rPr>
        <w:t>Sve pacijente sa</w:t>
      </w:r>
      <w:r w:rsidRPr="00D768EF">
        <w:rPr>
          <w:szCs w:val="22"/>
          <w:lang w:val="sr-Latn-ME"/>
        </w:rPr>
        <w:t xml:space="preserve"> ulceroznim kolitisom</w:t>
      </w:r>
      <w:r w:rsidRPr="00D768EF">
        <w:rPr>
          <w:color w:val="000000"/>
          <w:szCs w:val="22"/>
          <w:lang w:val="sr-Latn-ME"/>
        </w:rPr>
        <w:t xml:space="preserve"> kod kojih postoji povećan rizik od razvoja displazije ili karcinoma debelog cr</w:t>
      </w:r>
      <w:r w:rsidR="001D19B7" w:rsidRPr="00D768EF">
        <w:rPr>
          <w:color w:val="000000"/>
          <w:szCs w:val="22"/>
          <w:lang w:val="sr-Latn-ME"/>
        </w:rPr>
        <w:t>ij</w:t>
      </w:r>
      <w:r w:rsidRPr="00D768EF">
        <w:rPr>
          <w:color w:val="000000"/>
          <w:szCs w:val="22"/>
          <w:lang w:val="sr-Latn-ME"/>
        </w:rPr>
        <w:t>eva (na prim</w:t>
      </w:r>
      <w:r w:rsidR="001D19B7" w:rsidRPr="00D768EF">
        <w:rPr>
          <w:color w:val="000000"/>
          <w:szCs w:val="22"/>
          <w:lang w:val="sr-Latn-ME"/>
        </w:rPr>
        <w:t>j</w:t>
      </w:r>
      <w:r w:rsidRPr="00D768EF">
        <w:rPr>
          <w:color w:val="000000"/>
          <w:szCs w:val="22"/>
          <w:lang w:val="sr-Latn-ME"/>
        </w:rPr>
        <w:t>er, pacijenti sa dugotrajnim ulceroznim kolitisom ili primarnim skleroznim holangitisom) ili koji su ranije imali displaziju ili karcinom debelog cr</w:t>
      </w:r>
      <w:r w:rsidR="001D19B7" w:rsidRPr="00D768EF">
        <w:rPr>
          <w:color w:val="000000"/>
          <w:szCs w:val="22"/>
          <w:lang w:val="sr-Latn-ME"/>
        </w:rPr>
        <w:t>ij</w:t>
      </w:r>
      <w:r w:rsidRPr="00D768EF">
        <w:rPr>
          <w:color w:val="000000"/>
          <w:szCs w:val="22"/>
          <w:lang w:val="sr-Latn-ME"/>
        </w:rPr>
        <w:t xml:space="preserve">eva, </w:t>
      </w:r>
      <w:r w:rsidR="00A3536C" w:rsidRPr="00D768EF">
        <w:rPr>
          <w:color w:val="000000"/>
          <w:szCs w:val="22"/>
          <w:lang w:val="sr-Latn-ME"/>
        </w:rPr>
        <w:t xml:space="preserve">moraju obavljati kontolne </w:t>
      </w:r>
      <w:r w:rsidR="00A3536C" w:rsidRPr="00D768EF">
        <w:rPr>
          <w:color w:val="000000"/>
          <w:szCs w:val="22"/>
          <w:lang w:val="sr-Latn-ME"/>
        </w:rPr>
        <w:lastRenderedPageBreak/>
        <w:t>preglede</w:t>
      </w:r>
      <w:r w:rsidRPr="00D768EF">
        <w:rPr>
          <w:color w:val="000000"/>
          <w:szCs w:val="22"/>
          <w:lang w:val="sr-Latn-ME"/>
        </w:rPr>
        <w:t xml:space="preserve"> displazij</w:t>
      </w:r>
      <w:r w:rsidR="00A3536C" w:rsidRPr="00D768EF">
        <w:rPr>
          <w:color w:val="000000"/>
          <w:szCs w:val="22"/>
          <w:lang w:val="sr-Latn-ME"/>
        </w:rPr>
        <w:t>e</w:t>
      </w:r>
      <w:r w:rsidRPr="00D768EF">
        <w:rPr>
          <w:color w:val="000000"/>
          <w:szCs w:val="22"/>
          <w:lang w:val="sr-Latn-ME"/>
        </w:rPr>
        <w:t xml:space="preserve"> u redovnim intervalima pr</w:t>
      </w:r>
      <w:r w:rsidR="001D19B7" w:rsidRPr="00D768EF">
        <w:rPr>
          <w:color w:val="000000"/>
          <w:szCs w:val="22"/>
          <w:lang w:val="sr-Latn-ME"/>
        </w:rPr>
        <w:t>ij</w:t>
      </w:r>
      <w:r w:rsidRPr="00D768EF">
        <w:rPr>
          <w:color w:val="000000"/>
          <w:szCs w:val="22"/>
          <w:lang w:val="sr-Latn-ME"/>
        </w:rPr>
        <w:t>e početka terapije i tokom trajanja bolesti. Kontrolni pregledi treba da obuhvate kolonoskopiju i biopsij</w:t>
      </w:r>
      <w:r w:rsidR="00A3536C" w:rsidRPr="00D768EF">
        <w:rPr>
          <w:color w:val="000000"/>
          <w:szCs w:val="22"/>
          <w:lang w:val="sr-Latn-ME"/>
        </w:rPr>
        <w:t>e</w:t>
      </w:r>
      <w:r w:rsidRPr="00D768EF">
        <w:rPr>
          <w:color w:val="000000"/>
          <w:szCs w:val="22"/>
          <w:lang w:val="sr-Latn-ME"/>
        </w:rPr>
        <w:t xml:space="preserve"> u skladu sa lokalnim preporukama. </w:t>
      </w:r>
      <w:r w:rsidR="00A3536C" w:rsidRPr="00D768EF">
        <w:rPr>
          <w:color w:val="000000"/>
          <w:szCs w:val="22"/>
          <w:lang w:val="sr-Latn-ME"/>
        </w:rPr>
        <w:t>Na osnovu t</w:t>
      </w:r>
      <w:r w:rsidRPr="00D768EF">
        <w:rPr>
          <w:color w:val="000000"/>
          <w:szCs w:val="22"/>
          <w:lang w:val="sr-Latn-ME"/>
        </w:rPr>
        <w:t>renutno dostupni</w:t>
      </w:r>
      <w:r w:rsidR="00A3536C" w:rsidRPr="00D768EF">
        <w:rPr>
          <w:color w:val="000000"/>
          <w:szCs w:val="22"/>
          <w:lang w:val="sr-Latn-ME"/>
        </w:rPr>
        <w:t>h</w:t>
      </w:r>
      <w:r w:rsidRPr="00D768EF">
        <w:rPr>
          <w:color w:val="000000"/>
          <w:szCs w:val="22"/>
          <w:lang w:val="sr-Latn-ME"/>
        </w:rPr>
        <w:t xml:space="preserve"> poda</w:t>
      </w:r>
      <w:r w:rsidR="00A3536C" w:rsidRPr="00D768EF">
        <w:rPr>
          <w:color w:val="000000"/>
          <w:szCs w:val="22"/>
          <w:lang w:val="sr-Latn-ME"/>
        </w:rPr>
        <w:t>taka</w:t>
      </w:r>
      <w:r w:rsidR="00C463C8" w:rsidRPr="00D768EF">
        <w:rPr>
          <w:color w:val="000000"/>
          <w:szCs w:val="22"/>
          <w:lang w:val="sr-Latn-ME"/>
        </w:rPr>
        <w:t xml:space="preserve"> </w:t>
      </w:r>
      <w:r w:rsidR="00A3536C" w:rsidRPr="00D768EF">
        <w:rPr>
          <w:color w:val="000000"/>
          <w:szCs w:val="22"/>
          <w:lang w:val="sr-Latn-ME"/>
        </w:rPr>
        <w:t>nije poznato</w:t>
      </w:r>
      <w:r w:rsidRPr="00D768EF">
        <w:rPr>
          <w:color w:val="000000"/>
          <w:szCs w:val="22"/>
          <w:lang w:val="sr-Latn-ME"/>
        </w:rPr>
        <w:t xml:space="preserve"> da</w:t>
      </w:r>
      <w:r w:rsidR="00A3536C" w:rsidRPr="00D768EF">
        <w:rPr>
          <w:color w:val="000000"/>
          <w:szCs w:val="22"/>
          <w:lang w:val="sr-Latn-ME"/>
        </w:rPr>
        <w:t xml:space="preserve"> li</w:t>
      </w:r>
      <w:r w:rsidRPr="00D768EF">
        <w:rPr>
          <w:color w:val="000000"/>
          <w:szCs w:val="22"/>
          <w:lang w:val="sr-Latn-ME"/>
        </w:rPr>
        <w:t xml:space="preserve"> </w:t>
      </w:r>
      <w:r w:rsidR="00D57936" w:rsidRPr="00D768EF">
        <w:rPr>
          <w:color w:val="000000"/>
          <w:szCs w:val="22"/>
          <w:lang w:val="sr-Latn-ME"/>
        </w:rPr>
        <w:t>liječe</w:t>
      </w:r>
      <w:r w:rsidRPr="00D768EF">
        <w:rPr>
          <w:color w:val="000000"/>
          <w:szCs w:val="22"/>
          <w:lang w:val="sr-Latn-ME"/>
        </w:rPr>
        <w:t>nje infliksimabom utiče na rizik od razvoja displazije ili karcinoma debelog cr</w:t>
      </w:r>
      <w:r w:rsidR="001D19B7" w:rsidRPr="00D768EF">
        <w:rPr>
          <w:color w:val="000000"/>
          <w:szCs w:val="22"/>
          <w:lang w:val="sr-Latn-ME"/>
        </w:rPr>
        <w:t>ij</w:t>
      </w:r>
      <w:r w:rsidRPr="00D768EF">
        <w:rPr>
          <w:color w:val="000000"/>
          <w:szCs w:val="22"/>
          <w:lang w:val="sr-Latn-ME"/>
        </w:rPr>
        <w:t xml:space="preserve">eva. </w:t>
      </w:r>
    </w:p>
    <w:p w14:paraId="24540F9E" w14:textId="15D5D42A" w:rsidR="00C175E4" w:rsidRPr="00D768EF" w:rsidRDefault="00C175E4" w:rsidP="00C175E4">
      <w:pPr>
        <w:rPr>
          <w:color w:val="000000"/>
          <w:szCs w:val="22"/>
          <w:lang w:val="sr-Latn-ME"/>
        </w:rPr>
      </w:pPr>
      <w:r w:rsidRPr="00D768EF">
        <w:rPr>
          <w:szCs w:val="22"/>
          <w:lang w:val="sr-Latn-ME"/>
        </w:rPr>
        <w:br/>
      </w:r>
      <w:r w:rsidRPr="00D768EF">
        <w:rPr>
          <w:color w:val="000000"/>
          <w:szCs w:val="22"/>
          <w:lang w:val="sr-Latn-ME"/>
        </w:rPr>
        <w:t xml:space="preserve">Budući da kod pacijenata sa tek otkrivenom displazijom koji su </w:t>
      </w:r>
      <w:r w:rsidR="00D57936" w:rsidRPr="00D768EF">
        <w:rPr>
          <w:color w:val="000000"/>
          <w:szCs w:val="22"/>
          <w:lang w:val="sr-Latn-ME"/>
        </w:rPr>
        <w:t>liječe</w:t>
      </w:r>
      <w:r w:rsidRPr="00D768EF">
        <w:rPr>
          <w:color w:val="000000"/>
          <w:szCs w:val="22"/>
          <w:lang w:val="sr-Latn-ME"/>
        </w:rPr>
        <w:t xml:space="preserve">ni infliksimabom nije utvrđena mogućnost povećanog rizika od razvoja karcinoma, </w:t>
      </w:r>
      <w:r w:rsidR="00C463C8" w:rsidRPr="00D768EF">
        <w:rPr>
          <w:color w:val="000000"/>
          <w:szCs w:val="22"/>
          <w:lang w:val="sr-Latn-ME"/>
        </w:rPr>
        <w:t>ordinirajući l</w:t>
      </w:r>
      <w:r w:rsidR="001D19B7" w:rsidRPr="00D768EF">
        <w:rPr>
          <w:color w:val="000000"/>
          <w:szCs w:val="22"/>
          <w:lang w:val="sr-Latn-ME"/>
        </w:rPr>
        <w:t>j</w:t>
      </w:r>
      <w:r w:rsidR="00C463C8" w:rsidRPr="00D768EF">
        <w:rPr>
          <w:color w:val="000000"/>
          <w:szCs w:val="22"/>
          <w:lang w:val="sr-Latn-ME"/>
        </w:rPr>
        <w:t xml:space="preserve">ekar </w:t>
      </w:r>
      <w:r w:rsidRPr="00D768EF">
        <w:rPr>
          <w:color w:val="000000"/>
          <w:szCs w:val="22"/>
          <w:lang w:val="sr-Latn-ME"/>
        </w:rPr>
        <w:t>mora pažljivo proc</w:t>
      </w:r>
      <w:r w:rsidR="001D19B7" w:rsidRPr="00D768EF">
        <w:rPr>
          <w:color w:val="000000"/>
          <w:szCs w:val="22"/>
          <w:lang w:val="sr-Latn-ME"/>
        </w:rPr>
        <w:t>ij</w:t>
      </w:r>
      <w:r w:rsidRPr="00D768EF">
        <w:rPr>
          <w:color w:val="000000"/>
          <w:szCs w:val="22"/>
          <w:lang w:val="sr-Latn-ME"/>
        </w:rPr>
        <w:t xml:space="preserve">eniti rizik i koristi </w:t>
      </w:r>
      <w:r w:rsidR="00C463C8" w:rsidRPr="00D768EF">
        <w:rPr>
          <w:color w:val="000000"/>
          <w:szCs w:val="22"/>
          <w:lang w:val="sr-Latn-ME"/>
        </w:rPr>
        <w:t xml:space="preserve">od nastavka terapije </w:t>
      </w:r>
      <w:r w:rsidRPr="00D768EF">
        <w:rPr>
          <w:color w:val="000000"/>
          <w:szCs w:val="22"/>
          <w:lang w:val="sr-Latn-ME"/>
        </w:rPr>
        <w:t>za svakog pacijenta.</w:t>
      </w:r>
    </w:p>
    <w:p w14:paraId="47E7DB71" w14:textId="77777777" w:rsidR="00C175E4" w:rsidRPr="00D768EF" w:rsidRDefault="00C175E4" w:rsidP="00C175E4">
      <w:pPr>
        <w:rPr>
          <w:color w:val="000000"/>
          <w:szCs w:val="22"/>
          <w:lang w:val="sr-Latn-ME"/>
        </w:rPr>
      </w:pPr>
    </w:p>
    <w:p w14:paraId="24DA5CFD" w14:textId="77777777" w:rsidR="00C175E4" w:rsidRPr="00D768EF" w:rsidRDefault="00C175E4" w:rsidP="00C175E4">
      <w:pPr>
        <w:rPr>
          <w:bCs/>
          <w:color w:val="000000"/>
          <w:szCs w:val="22"/>
          <w:u w:val="single"/>
          <w:lang w:val="sr-Latn-ME"/>
        </w:rPr>
      </w:pPr>
      <w:r w:rsidRPr="00D768EF">
        <w:rPr>
          <w:bCs/>
          <w:color w:val="000000"/>
          <w:szCs w:val="22"/>
          <w:u w:val="single"/>
          <w:lang w:val="sr-Latn-ME"/>
        </w:rPr>
        <w:t xml:space="preserve">Srčana insuficijencija </w:t>
      </w:r>
    </w:p>
    <w:p w14:paraId="682E0EB4" w14:textId="3B0DA60C" w:rsidR="00C175E4" w:rsidRPr="00D768EF" w:rsidRDefault="00204273" w:rsidP="00C175E4">
      <w:pPr>
        <w:rPr>
          <w:color w:val="000000"/>
          <w:szCs w:val="22"/>
          <w:lang w:val="sr-Latn-ME"/>
        </w:rPr>
      </w:pPr>
      <w:r w:rsidRPr="00D768EF">
        <w:rPr>
          <w:color w:val="000000"/>
          <w:szCs w:val="22"/>
          <w:lang w:val="sr-Latn-ME"/>
        </w:rPr>
        <w:t>Infliksimab</w:t>
      </w:r>
      <w:r w:rsidR="00C175E4" w:rsidRPr="00D768EF">
        <w:rPr>
          <w:color w:val="000000"/>
          <w:szCs w:val="22"/>
          <w:lang w:val="sr-Latn-ME"/>
        </w:rPr>
        <w:t xml:space="preserve"> treba oprezno </w:t>
      </w:r>
      <w:r w:rsidR="00703D61" w:rsidRPr="00D768EF">
        <w:rPr>
          <w:color w:val="000000"/>
          <w:szCs w:val="22"/>
          <w:lang w:val="sr-Latn-ME"/>
        </w:rPr>
        <w:t xml:space="preserve">koristiti kod </w:t>
      </w:r>
      <w:r w:rsidR="00C175E4" w:rsidRPr="00D768EF">
        <w:rPr>
          <w:color w:val="000000"/>
          <w:szCs w:val="22"/>
          <w:lang w:val="sr-Latn-ME"/>
        </w:rPr>
        <w:t>pacijen</w:t>
      </w:r>
      <w:r w:rsidR="00703D61" w:rsidRPr="00D768EF">
        <w:rPr>
          <w:color w:val="000000"/>
          <w:szCs w:val="22"/>
          <w:lang w:val="sr-Latn-ME"/>
        </w:rPr>
        <w:t>ata</w:t>
      </w:r>
      <w:r w:rsidR="00C175E4" w:rsidRPr="00D768EF">
        <w:rPr>
          <w:color w:val="000000"/>
          <w:szCs w:val="22"/>
          <w:lang w:val="sr-Latn-ME"/>
        </w:rPr>
        <w:t xml:space="preserve"> sa blagom srčanom insuficijencijom (NYHA klasa I/II). Pacijenti treba da budu pod strogim nadzorom, a prim</w:t>
      </w:r>
      <w:r w:rsidR="001D19B7" w:rsidRPr="00D768EF">
        <w:rPr>
          <w:color w:val="000000"/>
          <w:szCs w:val="22"/>
          <w:lang w:val="sr-Latn-ME"/>
        </w:rPr>
        <w:t>j</w:t>
      </w:r>
      <w:r w:rsidR="00C175E4" w:rsidRPr="00D768EF">
        <w:rPr>
          <w:color w:val="000000"/>
          <w:szCs w:val="22"/>
          <w:lang w:val="sr-Latn-ME"/>
        </w:rPr>
        <w:t xml:space="preserve">enu </w:t>
      </w:r>
      <w:r w:rsidRPr="00D768EF">
        <w:rPr>
          <w:color w:val="000000"/>
          <w:szCs w:val="22"/>
          <w:lang w:val="sr-Latn-ME"/>
        </w:rPr>
        <w:t>infliksimaba</w:t>
      </w:r>
      <w:r w:rsidR="00C175E4" w:rsidRPr="00D768EF">
        <w:rPr>
          <w:color w:val="000000"/>
          <w:szCs w:val="22"/>
          <w:lang w:val="sr-Latn-ME"/>
        </w:rPr>
        <w:t xml:space="preserve"> treba obustaviti kod pacijenata kod kojih se razviju novi ili se pogoršaju postojeći simptomi srčane insuficijencije (</w:t>
      </w:r>
      <w:r w:rsidR="00282A1E" w:rsidRPr="00D768EF">
        <w:rPr>
          <w:color w:val="000000"/>
          <w:szCs w:val="22"/>
          <w:lang w:val="sr-Latn-ME"/>
        </w:rPr>
        <w:t>vidjeti</w:t>
      </w:r>
      <w:r w:rsidR="00C175E4" w:rsidRPr="00D768EF">
        <w:rPr>
          <w:color w:val="000000"/>
          <w:szCs w:val="22"/>
          <w:lang w:val="sr-Latn-ME"/>
        </w:rPr>
        <w:t xml:space="preserve"> </w:t>
      </w:r>
      <w:r w:rsidR="00282A1E" w:rsidRPr="00D768EF">
        <w:rPr>
          <w:color w:val="000000"/>
          <w:szCs w:val="22"/>
          <w:lang w:val="sr-Latn-ME"/>
        </w:rPr>
        <w:t>djelove</w:t>
      </w:r>
      <w:r w:rsidR="00C175E4" w:rsidRPr="00D768EF">
        <w:rPr>
          <w:color w:val="000000"/>
          <w:szCs w:val="22"/>
          <w:lang w:val="sr-Latn-ME"/>
        </w:rPr>
        <w:t xml:space="preserve"> 4.3 i 4.8). </w:t>
      </w:r>
    </w:p>
    <w:p w14:paraId="49F70374" w14:textId="77777777" w:rsidR="00C175E4" w:rsidRPr="00D768EF" w:rsidRDefault="00C175E4" w:rsidP="00C175E4">
      <w:pPr>
        <w:spacing w:line="260" w:lineRule="exact"/>
        <w:rPr>
          <w:bCs/>
          <w:szCs w:val="22"/>
          <w:u w:val="single"/>
          <w:lang w:val="sr-Latn-ME"/>
        </w:rPr>
      </w:pPr>
    </w:p>
    <w:p w14:paraId="244C60D8" w14:textId="77777777" w:rsidR="00C175E4" w:rsidRPr="00D768EF" w:rsidRDefault="00C175E4" w:rsidP="00C175E4">
      <w:pPr>
        <w:spacing w:line="260" w:lineRule="exact"/>
        <w:rPr>
          <w:bCs/>
          <w:szCs w:val="22"/>
          <w:u w:val="single"/>
          <w:lang w:val="sr-Latn-ME"/>
        </w:rPr>
      </w:pPr>
      <w:r w:rsidRPr="00D768EF">
        <w:rPr>
          <w:bCs/>
          <w:szCs w:val="22"/>
          <w:u w:val="single"/>
          <w:lang w:val="sr-Latn-ME"/>
        </w:rPr>
        <w:t>Hematološke reakcije</w:t>
      </w:r>
    </w:p>
    <w:p w14:paraId="212C00EF" w14:textId="67BD5548" w:rsidR="00C175E4" w:rsidRPr="00D768EF" w:rsidRDefault="00703D61" w:rsidP="00C175E4">
      <w:pPr>
        <w:rPr>
          <w:szCs w:val="22"/>
          <w:lang w:val="sr-Latn-ME"/>
        </w:rPr>
      </w:pPr>
      <w:r w:rsidRPr="00D768EF">
        <w:rPr>
          <w:bCs/>
          <w:szCs w:val="22"/>
          <w:lang w:val="sr-Latn-ME"/>
        </w:rPr>
        <w:t>P</w:t>
      </w:r>
      <w:r w:rsidR="00C175E4" w:rsidRPr="00D768EF">
        <w:rPr>
          <w:bCs/>
          <w:szCs w:val="22"/>
          <w:lang w:val="sr-Latn-ME"/>
        </w:rPr>
        <w:t>rijavljeni su slučajevi pancitopenije, leukopenije, neutropenije i trombocitopenije</w:t>
      </w:r>
      <w:r w:rsidRPr="00D768EF">
        <w:rPr>
          <w:bCs/>
          <w:szCs w:val="22"/>
          <w:lang w:val="sr-Latn-ME"/>
        </w:rPr>
        <w:t xml:space="preserve"> kod pacijenata koji primaju blokatore TNF-a, uključujući infliksimab</w:t>
      </w:r>
      <w:r w:rsidR="00C175E4" w:rsidRPr="00D768EF">
        <w:rPr>
          <w:bCs/>
          <w:szCs w:val="22"/>
          <w:lang w:val="sr-Latn-ME"/>
        </w:rPr>
        <w:t xml:space="preserve">. </w:t>
      </w:r>
      <w:r w:rsidR="00C175E4" w:rsidRPr="00D768EF">
        <w:rPr>
          <w:szCs w:val="22"/>
          <w:lang w:val="sr-Latn-ME"/>
        </w:rPr>
        <w:t>Svim pacijentima treba sav</w:t>
      </w:r>
      <w:r w:rsidR="001D19B7" w:rsidRPr="00D768EF">
        <w:rPr>
          <w:szCs w:val="22"/>
          <w:lang w:val="sr-Latn-ME"/>
        </w:rPr>
        <w:t>j</w:t>
      </w:r>
      <w:r w:rsidR="00C175E4" w:rsidRPr="00D768EF">
        <w:rPr>
          <w:szCs w:val="22"/>
          <w:lang w:val="sr-Latn-ME"/>
        </w:rPr>
        <w:t>etovati da odmah zatraže l</w:t>
      </w:r>
      <w:r w:rsidR="001D19B7" w:rsidRPr="00D768EF">
        <w:rPr>
          <w:szCs w:val="22"/>
          <w:lang w:val="sr-Latn-ME"/>
        </w:rPr>
        <w:t>j</w:t>
      </w:r>
      <w:r w:rsidR="00C175E4" w:rsidRPr="00D768EF">
        <w:rPr>
          <w:szCs w:val="22"/>
          <w:lang w:val="sr-Latn-ME"/>
        </w:rPr>
        <w:t xml:space="preserve">ekarsku pomoć ukoliko se jave znaci i simptomi koji ukazuju na krvnu diskraziju (npr. uporna povišena temperatura, modrice, krvarenje, bledilo). Kod pacijenata sa potvrđenim značajnim hematološkim poremećajima treba razmotriti prekid terapije </w:t>
      </w:r>
      <w:r w:rsidR="00204273" w:rsidRPr="00D768EF">
        <w:rPr>
          <w:color w:val="000000"/>
          <w:szCs w:val="22"/>
          <w:lang w:val="sr-Latn-ME"/>
        </w:rPr>
        <w:t>infliksimabom</w:t>
      </w:r>
      <w:r w:rsidR="00C175E4" w:rsidRPr="00D768EF">
        <w:rPr>
          <w:szCs w:val="22"/>
          <w:lang w:val="sr-Latn-ME"/>
        </w:rPr>
        <w:t>.</w:t>
      </w:r>
    </w:p>
    <w:p w14:paraId="302C88B9" w14:textId="77777777" w:rsidR="00C175E4" w:rsidRPr="00D768EF" w:rsidRDefault="00C175E4" w:rsidP="00C175E4">
      <w:pPr>
        <w:rPr>
          <w:szCs w:val="22"/>
          <w:lang w:val="sr-Latn-ME"/>
        </w:rPr>
      </w:pPr>
    </w:p>
    <w:p w14:paraId="3785E804" w14:textId="77777777" w:rsidR="00C175E4" w:rsidRPr="00D768EF" w:rsidRDefault="00C175E4" w:rsidP="00C175E4">
      <w:pPr>
        <w:rPr>
          <w:color w:val="000000"/>
          <w:szCs w:val="22"/>
          <w:u w:val="single"/>
          <w:lang w:val="sr-Latn-ME"/>
        </w:rPr>
      </w:pPr>
      <w:r w:rsidRPr="00D768EF">
        <w:rPr>
          <w:color w:val="000000"/>
          <w:szCs w:val="22"/>
          <w:u w:val="single"/>
          <w:lang w:val="sr-Latn-ME"/>
        </w:rPr>
        <w:t>Ostalo</w:t>
      </w:r>
    </w:p>
    <w:p w14:paraId="2722ADE2" w14:textId="01BE14D8" w:rsidR="00C175E4" w:rsidRPr="00D768EF" w:rsidRDefault="00703D61" w:rsidP="00C175E4">
      <w:pPr>
        <w:rPr>
          <w:color w:val="000000"/>
          <w:szCs w:val="22"/>
          <w:lang w:val="sr-Latn-ME"/>
        </w:rPr>
      </w:pPr>
      <w:r w:rsidRPr="00D768EF">
        <w:rPr>
          <w:color w:val="000000"/>
          <w:szCs w:val="22"/>
          <w:lang w:val="sr-Latn-ME"/>
        </w:rPr>
        <w:t>Postoji o</w:t>
      </w:r>
      <w:r w:rsidR="00C175E4" w:rsidRPr="00D768EF">
        <w:rPr>
          <w:color w:val="000000"/>
          <w:szCs w:val="22"/>
          <w:lang w:val="sr-Latn-ME"/>
        </w:rPr>
        <w:t>graničen</w:t>
      </w:r>
      <w:r w:rsidRPr="00D768EF">
        <w:rPr>
          <w:color w:val="000000"/>
          <w:szCs w:val="22"/>
          <w:lang w:val="sr-Latn-ME"/>
        </w:rPr>
        <w:t>o</w:t>
      </w:r>
      <w:r w:rsidR="00C175E4" w:rsidRPr="00D768EF">
        <w:rPr>
          <w:color w:val="000000"/>
          <w:szCs w:val="22"/>
          <w:lang w:val="sr-Latn-ME"/>
        </w:rPr>
        <w:t xml:space="preserve"> iskustv</w:t>
      </w:r>
      <w:r w:rsidRPr="00D768EF">
        <w:rPr>
          <w:color w:val="000000"/>
          <w:szCs w:val="22"/>
          <w:lang w:val="sr-Latn-ME"/>
        </w:rPr>
        <w:t>o</w:t>
      </w:r>
      <w:r w:rsidR="00C175E4" w:rsidRPr="00D768EF">
        <w:rPr>
          <w:color w:val="000000"/>
          <w:szCs w:val="22"/>
          <w:lang w:val="sr-Latn-ME"/>
        </w:rPr>
        <w:t xml:space="preserve"> </w:t>
      </w:r>
      <w:r w:rsidRPr="00D768EF">
        <w:rPr>
          <w:color w:val="000000"/>
          <w:szCs w:val="22"/>
          <w:lang w:val="sr-Latn-ME"/>
        </w:rPr>
        <w:t>vezano za</w:t>
      </w:r>
      <w:r w:rsidR="00C175E4" w:rsidRPr="00D768EF">
        <w:rPr>
          <w:color w:val="000000"/>
          <w:szCs w:val="22"/>
          <w:lang w:val="sr-Latn-ME"/>
        </w:rPr>
        <w:t xml:space="preserve"> </w:t>
      </w:r>
      <w:r w:rsidR="00282A1E" w:rsidRPr="00D768EF">
        <w:rPr>
          <w:color w:val="000000"/>
          <w:szCs w:val="22"/>
          <w:lang w:val="sr-Latn-ME"/>
        </w:rPr>
        <w:t>bezbjedn</w:t>
      </w:r>
      <w:r w:rsidR="00220982" w:rsidRPr="00D768EF">
        <w:rPr>
          <w:color w:val="000000"/>
          <w:szCs w:val="22"/>
          <w:lang w:val="sr-Latn-ME"/>
        </w:rPr>
        <w:t>o</w:t>
      </w:r>
      <w:r w:rsidR="00C175E4" w:rsidRPr="00D768EF">
        <w:rPr>
          <w:color w:val="000000"/>
          <w:szCs w:val="22"/>
          <w:lang w:val="sr-Latn-ME"/>
        </w:rPr>
        <w:t>st prim</w:t>
      </w:r>
      <w:r w:rsidR="001D19B7" w:rsidRPr="00D768EF">
        <w:rPr>
          <w:color w:val="000000"/>
          <w:szCs w:val="22"/>
          <w:lang w:val="sr-Latn-ME"/>
        </w:rPr>
        <w:t>j</w:t>
      </w:r>
      <w:r w:rsidR="00C175E4" w:rsidRPr="00D768EF">
        <w:rPr>
          <w:color w:val="000000"/>
          <w:szCs w:val="22"/>
          <w:lang w:val="sr-Latn-ME"/>
        </w:rPr>
        <w:t xml:space="preserve">ene infliksimaba kod pacijenata </w:t>
      </w:r>
      <w:r w:rsidRPr="00D768EF">
        <w:rPr>
          <w:color w:val="000000"/>
          <w:szCs w:val="22"/>
          <w:lang w:val="sr-Latn-ME"/>
        </w:rPr>
        <w:t>koji su imali</w:t>
      </w:r>
      <w:r w:rsidR="00C175E4" w:rsidRPr="00D768EF">
        <w:rPr>
          <w:color w:val="000000"/>
          <w:szCs w:val="22"/>
          <w:lang w:val="sr-Latn-ME"/>
        </w:rPr>
        <w:t xml:space="preserve"> hiruršk</w:t>
      </w:r>
      <w:r w:rsidRPr="00D768EF">
        <w:rPr>
          <w:color w:val="000000"/>
          <w:szCs w:val="22"/>
          <w:lang w:val="sr-Latn-ME"/>
        </w:rPr>
        <w:t>e</w:t>
      </w:r>
      <w:r w:rsidR="00C175E4" w:rsidRPr="00D768EF">
        <w:rPr>
          <w:color w:val="000000"/>
          <w:szCs w:val="22"/>
          <w:lang w:val="sr-Latn-ME"/>
        </w:rPr>
        <w:t xml:space="preserve"> intervencij</w:t>
      </w:r>
      <w:r w:rsidRPr="00D768EF">
        <w:rPr>
          <w:color w:val="000000"/>
          <w:szCs w:val="22"/>
          <w:lang w:val="sr-Latn-ME"/>
        </w:rPr>
        <w:t>e</w:t>
      </w:r>
      <w:r w:rsidR="00C175E4" w:rsidRPr="00D768EF">
        <w:rPr>
          <w:color w:val="000000"/>
          <w:szCs w:val="22"/>
          <w:lang w:val="sr-Latn-ME"/>
        </w:rPr>
        <w:t xml:space="preserve">, uključujući artroplastiku. Ukoliko se planira hiruška intervencija treba </w:t>
      </w:r>
      <w:r w:rsidRPr="00D768EF">
        <w:rPr>
          <w:color w:val="000000"/>
          <w:szCs w:val="22"/>
          <w:lang w:val="sr-Latn-ME"/>
        </w:rPr>
        <w:t>uzeti u obzir</w:t>
      </w:r>
      <w:r w:rsidR="00C175E4" w:rsidRPr="00D768EF">
        <w:rPr>
          <w:color w:val="000000"/>
          <w:szCs w:val="22"/>
          <w:lang w:val="sr-Latn-ME"/>
        </w:rPr>
        <w:t xml:space="preserve"> dugo poluvreme eliminacije infliksimaba. Pacijent koj</w:t>
      </w:r>
      <w:r w:rsidRPr="00D768EF">
        <w:rPr>
          <w:color w:val="000000"/>
          <w:szCs w:val="22"/>
          <w:lang w:val="sr-Latn-ME"/>
        </w:rPr>
        <w:t>i</w:t>
      </w:r>
      <w:r w:rsidR="00C175E4" w:rsidRPr="00D768EF">
        <w:rPr>
          <w:color w:val="000000"/>
          <w:szCs w:val="22"/>
          <w:lang w:val="sr-Latn-ME"/>
        </w:rPr>
        <w:t xml:space="preserve"> </w:t>
      </w:r>
      <w:r w:rsidRPr="00D768EF">
        <w:rPr>
          <w:color w:val="000000"/>
          <w:szCs w:val="22"/>
          <w:lang w:val="sr-Latn-ME"/>
        </w:rPr>
        <w:t>treba da se podvrgne hirurškoj intervenciji dok je na terapiji</w:t>
      </w:r>
      <w:r w:rsidR="00C175E4" w:rsidRPr="00D768EF">
        <w:rPr>
          <w:color w:val="000000"/>
          <w:szCs w:val="22"/>
          <w:lang w:val="sr-Latn-ME"/>
        </w:rPr>
        <w:t xml:space="preserve"> </w:t>
      </w:r>
      <w:r w:rsidR="00204273" w:rsidRPr="00D768EF">
        <w:rPr>
          <w:color w:val="000000"/>
          <w:szCs w:val="22"/>
          <w:lang w:val="sr-Latn-ME"/>
        </w:rPr>
        <w:t>infliksimabom</w:t>
      </w:r>
      <w:r w:rsidR="00C175E4" w:rsidRPr="00D768EF">
        <w:rPr>
          <w:color w:val="000000"/>
          <w:szCs w:val="22"/>
          <w:lang w:val="sr-Latn-ME"/>
        </w:rPr>
        <w:t xml:space="preserve">, </w:t>
      </w:r>
      <w:r w:rsidRPr="00D768EF">
        <w:rPr>
          <w:color w:val="000000"/>
          <w:szCs w:val="22"/>
          <w:lang w:val="sr-Latn-ME"/>
        </w:rPr>
        <w:t>neophodno je intenzivno pratiti zbog pojave mogućih</w:t>
      </w:r>
      <w:r w:rsidR="00C175E4" w:rsidRPr="00D768EF">
        <w:rPr>
          <w:color w:val="000000"/>
          <w:szCs w:val="22"/>
          <w:lang w:val="sr-Latn-ME"/>
        </w:rPr>
        <w:t xml:space="preserve"> infekcij</w:t>
      </w:r>
      <w:r w:rsidRPr="00D768EF">
        <w:rPr>
          <w:color w:val="000000"/>
          <w:szCs w:val="22"/>
          <w:lang w:val="sr-Latn-ME"/>
        </w:rPr>
        <w:t>a</w:t>
      </w:r>
      <w:r w:rsidR="00C175E4" w:rsidRPr="00D768EF">
        <w:rPr>
          <w:color w:val="000000"/>
          <w:szCs w:val="22"/>
          <w:lang w:val="sr-Latn-ME"/>
        </w:rPr>
        <w:t xml:space="preserve"> i </w:t>
      </w:r>
      <w:r w:rsidRPr="00D768EF">
        <w:rPr>
          <w:color w:val="000000"/>
          <w:szCs w:val="22"/>
          <w:lang w:val="sr-Latn-ME"/>
        </w:rPr>
        <w:t xml:space="preserve">ako je potrebno </w:t>
      </w:r>
      <w:r w:rsidR="00C175E4" w:rsidRPr="00D768EF">
        <w:rPr>
          <w:color w:val="000000"/>
          <w:szCs w:val="22"/>
          <w:lang w:val="sr-Latn-ME"/>
        </w:rPr>
        <w:t>preduze</w:t>
      </w:r>
      <w:r w:rsidRPr="00D768EF">
        <w:rPr>
          <w:color w:val="000000"/>
          <w:szCs w:val="22"/>
          <w:lang w:val="sr-Latn-ME"/>
        </w:rPr>
        <w:t>ti</w:t>
      </w:r>
      <w:r w:rsidR="00C175E4" w:rsidRPr="00D768EF">
        <w:rPr>
          <w:color w:val="000000"/>
          <w:szCs w:val="22"/>
          <w:lang w:val="sr-Latn-ME"/>
        </w:rPr>
        <w:t xml:space="preserve"> odgovarajuće m</w:t>
      </w:r>
      <w:r w:rsidR="001D19B7" w:rsidRPr="00D768EF">
        <w:rPr>
          <w:color w:val="000000"/>
          <w:szCs w:val="22"/>
          <w:lang w:val="sr-Latn-ME"/>
        </w:rPr>
        <w:t>j</w:t>
      </w:r>
      <w:r w:rsidR="00C175E4" w:rsidRPr="00D768EF">
        <w:rPr>
          <w:color w:val="000000"/>
          <w:szCs w:val="22"/>
          <w:lang w:val="sr-Latn-ME"/>
        </w:rPr>
        <w:t xml:space="preserve">ere. </w:t>
      </w:r>
    </w:p>
    <w:p w14:paraId="78757510" w14:textId="77777777" w:rsidR="00C175E4" w:rsidRPr="00D768EF" w:rsidRDefault="00C175E4" w:rsidP="00C175E4">
      <w:pPr>
        <w:rPr>
          <w:color w:val="000000"/>
          <w:szCs w:val="22"/>
          <w:lang w:val="sr-Latn-ME"/>
        </w:rPr>
      </w:pPr>
    </w:p>
    <w:p w14:paraId="4D18EF55" w14:textId="2CEDCDC1" w:rsidR="00C175E4" w:rsidRPr="00D768EF" w:rsidRDefault="00703D61" w:rsidP="00C175E4">
      <w:pPr>
        <w:rPr>
          <w:color w:val="000000"/>
          <w:szCs w:val="22"/>
          <w:lang w:val="sr-Latn-ME"/>
        </w:rPr>
      </w:pPr>
      <w:r w:rsidRPr="00D768EF">
        <w:rPr>
          <w:color w:val="000000"/>
          <w:szCs w:val="22"/>
          <w:lang w:val="sr-Latn-ME"/>
        </w:rPr>
        <w:t>Izostanak odgovora</w:t>
      </w:r>
      <w:r w:rsidR="00C175E4" w:rsidRPr="00D768EF">
        <w:rPr>
          <w:color w:val="000000"/>
          <w:szCs w:val="22"/>
          <w:lang w:val="sr-Latn-ME"/>
        </w:rPr>
        <w:t xml:space="preserve"> na terapiju Kronove bolesti</w:t>
      </w:r>
      <w:r w:rsidRPr="00D768EF">
        <w:rPr>
          <w:color w:val="000000"/>
          <w:szCs w:val="22"/>
          <w:lang w:val="sr-Latn-ME"/>
        </w:rPr>
        <w:t xml:space="preserve"> </w:t>
      </w:r>
      <w:r w:rsidR="00C175E4" w:rsidRPr="00D768EF">
        <w:rPr>
          <w:color w:val="000000"/>
          <w:szCs w:val="22"/>
          <w:lang w:val="sr-Latn-ME"/>
        </w:rPr>
        <w:t>može uka</w:t>
      </w:r>
      <w:r w:rsidRPr="00D768EF">
        <w:rPr>
          <w:color w:val="000000"/>
          <w:szCs w:val="22"/>
          <w:lang w:val="sr-Latn-ME"/>
        </w:rPr>
        <w:t>zivati</w:t>
      </w:r>
      <w:r w:rsidR="00C175E4" w:rsidRPr="00D768EF">
        <w:rPr>
          <w:color w:val="000000"/>
          <w:szCs w:val="22"/>
          <w:lang w:val="sr-Latn-ME"/>
        </w:rPr>
        <w:t xml:space="preserve"> na postojanje fiksne</w:t>
      </w:r>
      <w:r w:rsidR="00C175E4" w:rsidRPr="00D768EF">
        <w:rPr>
          <w:szCs w:val="22"/>
          <w:lang w:val="sr-Latn-ME"/>
        </w:rPr>
        <w:t xml:space="preserve"> </w:t>
      </w:r>
      <w:r w:rsidR="00C175E4" w:rsidRPr="00D768EF">
        <w:rPr>
          <w:color w:val="000000"/>
          <w:szCs w:val="22"/>
          <w:lang w:val="sr-Latn-ME"/>
        </w:rPr>
        <w:t>fibrozne strikture koja može da zaht</w:t>
      </w:r>
      <w:r w:rsidR="001D19B7" w:rsidRPr="00D768EF">
        <w:rPr>
          <w:color w:val="000000"/>
          <w:szCs w:val="22"/>
          <w:lang w:val="sr-Latn-ME"/>
        </w:rPr>
        <w:t>ij</w:t>
      </w:r>
      <w:r w:rsidR="00C175E4" w:rsidRPr="00D768EF">
        <w:rPr>
          <w:color w:val="000000"/>
          <w:szCs w:val="22"/>
          <w:lang w:val="sr-Latn-ME"/>
        </w:rPr>
        <w:t xml:space="preserve">eva hiruršku intervenciju. Ne postoje dokazi koji ukazuju da infliksimab pogoršava ili uzrokuje fibrotičke strikture. </w:t>
      </w:r>
    </w:p>
    <w:p w14:paraId="50A267EB" w14:textId="77777777" w:rsidR="00C175E4" w:rsidRPr="00D768EF" w:rsidRDefault="00C175E4" w:rsidP="00C175E4">
      <w:pPr>
        <w:rPr>
          <w:szCs w:val="22"/>
          <w:lang w:val="sr-Latn-ME"/>
        </w:rPr>
      </w:pPr>
    </w:p>
    <w:p w14:paraId="01798CA0" w14:textId="39FB342A" w:rsidR="00C175E4" w:rsidRPr="00D768EF" w:rsidRDefault="00622285" w:rsidP="00C175E4">
      <w:pPr>
        <w:pStyle w:val="Default"/>
        <w:jc w:val="both"/>
        <w:rPr>
          <w:b/>
          <w:bCs/>
          <w:color w:val="auto"/>
          <w:sz w:val="22"/>
          <w:szCs w:val="22"/>
          <w:u w:val="single"/>
          <w:lang w:val="sr-Latn-ME"/>
        </w:rPr>
      </w:pPr>
      <w:r w:rsidRPr="00D768EF">
        <w:rPr>
          <w:b/>
          <w:bCs/>
          <w:color w:val="auto"/>
          <w:sz w:val="22"/>
          <w:szCs w:val="22"/>
          <w:u w:val="single"/>
          <w:lang w:val="sr-Latn-ME"/>
        </w:rPr>
        <w:t xml:space="preserve">Posebne </w:t>
      </w:r>
      <w:r w:rsidR="00703D61" w:rsidRPr="00D768EF">
        <w:rPr>
          <w:b/>
          <w:bCs/>
          <w:color w:val="auto"/>
          <w:sz w:val="22"/>
          <w:szCs w:val="22"/>
          <w:u w:val="single"/>
          <w:lang w:val="sr-Latn-ME"/>
        </w:rPr>
        <w:t>grupe pacijenata</w:t>
      </w:r>
    </w:p>
    <w:p w14:paraId="2F1478F8" w14:textId="77777777" w:rsidR="00C175E4" w:rsidRPr="00D768EF" w:rsidRDefault="00C175E4" w:rsidP="00C175E4">
      <w:pPr>
        <w:pStyle w:val="Default"/>
        <w:jc w:val="both"/>
        <w:rPr>
          <w:color w:val="auto"/>
          <w:sz w:val="22"/>
          <w:szCs w:val="22"/>
          <w:lang w:val="sr-Latn-ME"/>
        </w:rPr>
      </w:pPr>
    </w:p>
    <w:p w14:paraId="3F718754" w14:textId="3B9E5324" w:rsidR="00C175E4" w:rsidRPr="00D768EF" w:rsidRDefault="00C175E4" w:rsidP="00C175E4">
      <w:pPr>
        <w:pStyle w:val="Default"/>
        <w:jc w:val="both"/>
        <w:rPr>
          <w:i/>
          <w:iCs/>
          <w:color w:val="auto"/>
          <w:sz w:val="22"/>
          <w:szCs w:val="22"/>
          <w:u w:val="single"/>
          <w:lang w:val="sr-Latn-ME"/>
        </w:rPr>
      </w:pPr>
      <w:r w:rsidRPr="00D768EF">
        <w:rPr>
          <w:i/>
          <w:iCs/>
          <w:color w:val="auto"/>
          <w:sz w:val="22"/>
          <w:szCs w:val="22"/>
          <w:u w:val="single"/>
          <w:lang w:val="sr-Latn-ME"/>
        </w:rPr>
        <w:t xml:space="preserve">Stariji pacijenti </w:t>
      </w:r>
    </w:p>
    <w:p w14:paraId="01618091" w14:textId="473F8058" w:rsidR="00C175E4" w:rsidRPr="00D768EF" w:rsidRDefault="00C175E4" w:rsidP="00C175E4">
      <w:pPr>
        <w:rPr>
          <w:szCs w:val="22"/>
          <w:lang w:val="sr-Latn-ME"/>
        </w:rPr>
      </w:pPr>
      <w:r w:rsidRPr="00D768EF">
        <w:rPr>
          <w:snapToGrid w:val="0"/>
          <w:szCs w:val="22"/>
          <w:lang w:val="sr-Latn-ME" w:eastAsia="sv-SE"/>
        </w:rPr>
        <w:t xml:space="preserve">Slučajevi teških infekcija kod pacijenata koji su primali infliksimab, a koji imaju 65 godina i više, bili su češći nego među pacijentima mlađim od 65 godina. </w:t>
      </w:r>
      <w:r w:rsidRPr="00D768EF">
        <w:rPr>
          <w:iCs/>
          <w:szCs w:val="22"/>
          <w:lang w:val="sr-Latn-ME"/>
        </w:rPr>
        <w:t>Pojedini slučajevi su imali smrtni ishod.</w:t>
      </w:r>
      <w:r w:rsidRPr="00D768EF">
        <w:rPr>
          <w:snapToGrid w:val="0"/>
          <w:szCs w:val="22"/>
          <w:lang w:val="sr-Latn-ME" w:eastAsia="sv-SE"/>
        </w:rPr>
        <w:t xml:space="preserve"> P</w:t>
      </w:r>
      <w:r w:rsidRPr="00D768EF">
        <w:rPr>
          <w:iCs/>
          <w:szCs w:val="22"/>
          <w:lang w:val="sr-Latn-ME"/>
        </w:rPr>
        <w:t xml:space="preserve">rilikom </w:t>
      </w:r>
      <w:r w:rsidR="00D57936" w:rsidRPr="00D768EF">
        <w:rPr>
          <w:iCs/>
          <w:szCs w:val="22"/>
          <w:lang w:val="sr-Latn-ME"/>
        </w:rPr>
        <w:t>liječe</w:t>
      </w:r>
      <w:r w:rsidRPr="00D768EF">
        <w:rPr>
          <w:iCs/>
          <w:szCs w:val="22"/>
          <w:lang w:val="sr-Latn-ME"/>
        </w:rPr>
        <w:t>nja starijih pacijenata posebnu pažnju treba posvetiti riziku od razvoja infekcije (</w:t>
      </w:r>
      <w:r w:rsidR="00282A1E" w:rsidRPr="00D768EF">
        <w:rPr>
          <w:iCs/>
          <w:szCs w:val="22"/>
          <w:lang w:val="sr-Latn-ME"/>
        </w:rPr>
        <w:t>vidjeti</w:t>
      </w:r>
      <w:r w:rsidRPr="00D768EF">
        <w:rPr>
          <w:iCs/>
          <w:szCs w:val="22"/>
          <w:lang w:val="sr-Latn-ME"/>
        </w:rPr>
        <w:t xml:space="preserve"> </w:t>
      </w:r>
      <w:r w:rsidR="00454E9F" w:rsidRPr="00D768EF">
        <w:rPr>
          <w:iCs/>
          <w:szCs w:val="22"/>
          <w:lang w:val="sr-Latn-ME"/>
        </w:rPr>
        <w:t>dio</w:t>
      </w:r>
      <w:r w:rsidRPr="00D768EF">
        <w:rPr>
          <w:iCs/>
          <w:szCs w:val="22"/>
          <w:lang w:val="sr-Latn-ME"/>
        </w:rPr>
        <w:t xml:space="preserve"> 4.8)</w:t>
      </w:r>
      <w:r w:rsidRPr="00D768EF">
        <w:rPr>
          <w:szCs w:val="22"/>
          <w:lang w:val="sr-Latn-ME"/>
        </w:rPr>
        <w:t>.</w:t>
      </w:r>
    </w:p>
    <w:p w14:paraId="148DEAC8" w14:textId="77777777" w:rsidR="00C175E4" w:rsidRPr="00D768EF" w:rsidRDefault="00C175E4" w:rsidP="00C175E4">
      <w:pPr>
        <w:rPr>
          <w:szCs w:val="22"/>
          <w:lang w:val="sr-Latn-ME"/>
        </w:rPr>
      </w:pPr>
    </w:p>
    <w:p w14:paraId="2374C5AA" w14:textId="77777777" w:rsidR="00C175E4" w:rsidRPr="00D768EF" w:rsidRDefault="00C175E4" w:rsidP="00307FEE">
      <w:pPr>
        <w:keepNext/>
        <w:rPr>
          <w:i/>
          <w:szCs w:val="22"/>
          <w:u w:val="single"/>
          <w:lang w:val="sr-Latn-ME"/>
        </w:rPr>
      </w:pPr>
      <w:r w:rsidRPr="00D768EF">
        <w:rPr>
          <w:i/>
          <w:szCs w:val="22"/>
          <w:u w:val="single"/>
          <w:lang w:val="sr-Latn-ME"/>
        </w:rPr>
        <w:t>Pedijatrijska populacija</w:t>
      </w:r>
    </w:p>
    <w:p w14:paraId="51CFC2EA" w14:textId="77777777" w:rsidR="00C175E4" w:rsidRPr="00D768EF" w:rsidRDefault="00C175E4" w:rsidP="00307FEE">
      <w:pPr>
        <w:keepNext/>
        <w:rPr>
          <w:i/>
          <w:szCs w:val="22"/>
          <w:lang w:val="sr-Latn-ME"/>
        </w:rPr>
      </w:pPr>
    </w:p>
    <w:p w14:paraId="2A757D63" w14:textId="77777777" w:rsidR="00C175E4" w:rsidRPr="00D768EF" w:rsidRDefault="00C175E4" w:rsidP="00307FEE">
      <w:pPr>
        <w:keepNext/>
        <w:rPr>
          <w:i/>
          <w:szCs w:val="22"/>
          <w:u w:val="single"/>
          <w:lang w:val="sr-Latn-ME"/>
        </w:rPr>
      </w:pPr>
      <w:r w:rsidRPr="00D768EF">
        <w:rPr>
          <w:i/>
          <w:szCs w:val="22"/>
          <w:u w:val="single"/>
          <w:lang w:val="sr-Latn-ME"/>
        </w:rPr>
        <w:t>Infekcije</w:t>
      </w:r>
    </w:p>
    <w:p w14:paraId="7858102F" w14:textId="6A2B9964" w:rsidR="00C175E4" w:rsidRPr="00D768EF" w:rsidRDefault="00C175E4" w:rsidP="00C175E4">
      <w:pPr>
        <w:autoSpaceDE w:val="0"/>
        <w:autoSpaceDN w:val="0"/>
        <w:adjustRightInd w:val="0"/>
        <w:rPr>
          <w:color w:val="000000"/>
          <w:szCs w:val="22"/>
          <w:lang w:val="sr-Latn-ME" w:eastAsia="sv-SE"/>
        </w:rPr>
      </w:pPr>
      <w:r w:rsidRPr="00D768EF">
        <w:rPr>
          <w:color w:val="000000"/>
          <w:szCs w:val="22"/>
          <w:lang w:val="sr-Latn-ME" w:eastAsia="sv-SE"/>
        </w:rPr>
        <w:t>U kliničkim ispitivanjima, slučajevi infekcija prijavljeni su češće kod pedijatrijskih pacijenata nego kod odraslih pacijenata (</w:t>
      </w:r>
      <w:r w:rsidR="00282A1E" w:rsidRPr="00D768EF">
        <w:rPr>
          <w:color w:val="000000"/>
          <w:szCs w:val="22"/>
          <w:lang w:val="sr-Latn-ME" w:eastAsia="sv-SE"/>
        </w:rPr>
        <w:t>vidjeti</w:t>
      </w:r>
      <w:r w:rsidRPr="00D768EF">
        <w:rPr>
          <w:color w:val="000000"/>
          <w:szCs w:val="22"/>
          <w:lang w:val="sr-Latn-ME" w:eastAsia="sv-SE"/>
        </w:rPr>
        <w:t xml:space="preserve"> </w:t>
      </w:r>
      <w:r w:rsidR="00454E9F" w:rsidRPr="00D768EF">
        <w:rPr>
          <w:color w:val="000000"/>
          <w:szCs w:val="22"/>
          <w:lang w:val="sr-Latn-ME" w:eastAsia="sv-SE"/>
        </w:rPr>
        <w:t>dio</w:t>
      </w:r>
      <w:r w:rsidRPr="00D768EF">
        <w:rPr>
          <w:color w:val="000000"/>
          <w:szCs w:val="22"/>
          <w:lang w:val="sr-Latn-ME" w:eastAsia="sv-SE"/>
        </w:rPr>
        <w:t xml:space="preserve"> 4.8).</w:t>
      </w:r>
    </w:p>
    <w:p w14:paraId="6571D761" w14:textId="77777777" w:rsidR="00C175E4" w:rsidRPr="00D768EF" w:rsidRDefault="00C175E4" w:rsidP="00C175E4">
      <w:pPr>
        <w:rPr>
          <w:i/>
          <w:szCs w:val="22"/>
          <w:lang w:val="sr-Latn-ME"/>
        </w:rPr>
      </w:pPr>
    </w:p>
    <w:p w14:paraId="5B608B43" w14:textId="644ECED1" w:rsidR="00C175E4" w:rsidRPr="00D768EF" w:rsidRDefault="00C175E4" w:rsidP="00C175E4">
      <w:pPr>
        <w:rPr>
          <w:i/>
          <w:szCs w:val="22"/>
          <w:u w:val="single"/>
          <w:lang w:val="sr-Latn-ME"/>
        </w:rPr>
      </w:pPr>
      <w:r w:rsidRPr="00D768EF">
        <w:rPr>
          <w:i/>
          <w:szCs w:val="22"/>
          <w:u w:val="single"/>
          <w:lang w:val="sr-Latn-ME"/>
        </w:rPr>
        <w:t>Vakcinacija</w:t>
      </w:r>
    </w:p>
    <w:p w14:paraId="21CB802E" w14:textId="0A45DC65" w:rsidR="00C175E4" w:rsidRPr="00D768EF" w:rsidRDefault="00C175E4" w:rsidP="004C329D">
      <w:pPr>
        <w:pStyle w:val="Header"/>
        <w:rPr>
          <w:color w:val="000000"/>
          <w:szCs w:val="22"/>
          <w:lang w:val="sr-Latn-ME"/>
        </w:rPr>
      </w:pPr>
      <w:r w:rsidRPr="00D768EF">
        <w:rPr>
          <w:color w:val="000000"/>
          <w:szCs w:val="22"/>
          <w:lang w:val="sr-Latn-ME"/>
        </w:rPr>
        <w:t>Pr</w:t>
      </w:r>
      <w:r w:rsidR="001D19B7" w:rsidRPr="00D768EF">
        <w:rPr>
          <w:color w:val="000000"/>
          <w:szCs w:val="22"/>
          <w:lang w:val="sr-Latn-ME"/>
        </w:rPr>
        <w:t>ij</w:t>
      </w:r>
      <w:r w:rsidRPr="00D768EF">
        <w:rPr>
          <w:color w:val="000000"/>
          <w:szCs w:val="22"/>
          <w:lang w:val="sr-Latn-ME"/>
        </w:rPr>
        <w:t xml:space="preserve">e početka terapije </w:t>
      </w:r>
      <w:r w:rsidR="00204273" w:rsidRPr="00D768EF">
        <w:rPr>
          <w:color w:val="000000"/>
          <w:szCs w:val="22"/>
          <w:lang w:val="sr-Latn-ME"/>
        </w:rPr>
        <w:t>infliksimabom</w:t>
      </w:r>
      <w:r w:rsidRPr="00D768EF">
        <w:rPr>
          <w:color w:val="000000"/>
          <w:szCs w:val="22"/>
          <w:lang w:val="sr-Latn-ME"/>
        </w:rPr>
        <w:t xml:space="preserve"> preporučuje se da se pedijatrijski pacijenti, ukoliko je moguće, vakcinišu u skladu sa trenutnim sm</w:t>
      </w:r>
      <w:r w:rsidR="001D19B7" w:rsidRPr="00D768EF">
        <w:rPr>
          <w:color w:val="000000"/>
          <w:szCs w:val="22"/>
          <w:lang w:val="sr-Latn-ME"/>
        </w:rPr>
        <w:t>j</w:t>
      </w:r>
      <w:r w:rsidRPr="00D768EF">
        <w:rPr>
          <w:color w:val="000000"/>
          <w:szCs w:val="22"/>
          <w:lang w:val="sr-Latn-ME"/>
        </w:rPr>
        <w:t>ernicama o vakcinaciji.</w:t>
      </w:r>
      <w:r w:rsidR="004C329D" w:rsidRPr="00D768EF">
        <w:rPr>
          <w:szCs w:val="22"/>
          <w:lang w:val="sr-Latn-ME"/>
        </w:rPr>
        <w:t xml:space="preserve"> Pedijatrijski pacijenti na terapiji infliksimabom mogu istovremeno primati vakcine, izuzev živih vakcina (</w:t>
      </w:r>
      <w:r w:rsidR="00282A1E" w:rsidRPr="00D768EF">
        <w:rPr>
          <w:szCs w:val="22"/>
          <w:lang w:val="sr-Latn-ME"/>
        </w:rPr>
        <w:t>vidjeti</w:t>
      </w:r>
      <w:r w:rsidR="004C329D" w:rsidRPr="00D768EF">
        <w:rPr>
          <w:szCs w:val="22"/>
          <w:lang w:val="sr-Latn-ME"/>
        </w:rPr>
        <w:t xml:space="preserve"> </w:t>
      </w:r>
      <w:r w:rsidR="00282A1E" w:rsidRPr="00D768EF">
        <w:rPr>
          <w:szCs w:val="22"/>
          <w:lang w:val="sr-Latn-ME"/>
        </w:rPr>
        <w:t>djelove</w:t>
      </w:r>
      <w:r w:rsidR="004C329D" w:rsidRPr="00D768EF">
        <w:rPr>
          <w:szCs w:val="22"/>
          <w:lang w:val="sr-Latn-ME"/>
        </w:rPr>
        <w:t xml:space="preserve"> 4.5 i 4.6).</w:t>
      </w:r>
    </w:p>
    <w:p w14:paraId="17011B56" w14:textId="77777777" w:rsidR="00C175E4" w:rsidRPr="00D768EF" w:rsidRDefault="00C175E4" w:rsidP="00C175E4">
      <w:pPr>
        <w:rPr>
          <w:color w:val="000000"/>
          <w:szCs w:val="22"/>
          <w:lang w:val="sr-Latn-ME"/>
        </w:rPr>
      </w:pPr>
    </w:p>
    <w:p w14:paraId="208275AE" w14:textId="77777777" w:rsidR="00C175E4" w:rsidRPr="00D768EF" w:rsidRDefault="00C175E4" w:rsidP="00C175E4">
      <w:pPr>
        <w:rPr>
          <w:i/>
          <w:color w:val="000000"/>
          <w:szCs w:val="22"/>
          <w:u w:val="single"/>
          <w:lang w:val="sr-Latn-ME"/>
        </w:rPr>
      </w:pPr>
      <w:r w:rsidRPr="00D768EF">
        <w:rPr>
          <w:i/>
          <w:color w:val="000000"/>
          <w:szCs w:val="22"/>
          <w:u w:val="single"/>
          <w:lang w:val="sr-Latn-ME"/>
        </w:rPr>
        <w:t>Maligniteti i limfoproliferativne bolesti</w:t>
      </w:r>
    </w:p>
    <w:p w14:paraId="47E959F8" w14:textId="036C6940" w:rsidR="00C175E4" w:rsidRPr="00D768EF" w:rsidRDefault="00C175E4" w:rsidP="00C175E4">
      <w:pPr>
        <w:autoSpaceDE w:val="0"/>
        <w:autoSpaceDN w:val="0"/>
        <w:adjustRightInd w:val="0"/>
        <w:rPr>
          <w:szCs w:val="22"/>
          <w:lang w:val="sr-Latn-ME"/>
        </w:rPr>
      </w:pPr>
      <w:r w:rsidRPr="00D768EF">
        <w:rPr>
          <w:color w:val="000000"/>
          <w:szCs w:val="22"/>
          <w:lang w:val="sr-Latn-ME"/>
        </w:rPr>
        <w:t>Kod</w:t>
      </w:r>
      <w:r w:rsidRPr="00D768EF">
        <w:rPr>
          <w:iCs/>
          <w:szCs w:val="22"/>
          <w:lang w:val="sr-Latn-ME" w:eastAsia="zh-CN"/>
        </w:rPr>
        <w:t xml:space="preserve"> </w:t>
      </w:r>
      <w:r w:rsidR="00220982" w:rsidRPr="00D768EF">
        <w:rPr>
          <w:iCs/>
          <w:szCs w:val="22"/>
          <w:lang w:val="sr-Latn-ME" w:eastAsia="zh-CN"/>
        </w:rPr>
        <w:t>djece</w:t>
      </w:r>
      <w:r w:rsidRPr="00D768EF">
        <w:rPr>
          <w:iCs/>
          <w:szCs w:val="22"/>
          <w:lang w:val="sr-Latn-ME" w:eastAsia="zh-CN"/>
        </w:rPr>
        <w:t xml:space="preserve">, adolescenata i mlađih odraslih osoba (do 22 godine starosti) koji su </w:t>
      </w:r>
      <w:r w:rsidR="00D57936" w:rsidRPr="00D768EF">
        <w:rPr>
          <w:iCs/>
          <w:szCs w:val="22"/>
          <w:lang w:val="sr-Latn-ME" w:eastAsia="zh-CN"/>
        </w:rPr>
        <w:t>liječe</w:t>
      </w:r>
      <w:r w:rsidRPr="00D768EF">
        <w:rPr>
          <w:iCs/>
          <w:szCs w:val="22"/>
          <w:lang w:val="sr-Latn-ME" w:eastAsia="zh-CN"/>
        </w:rPr>
        <w:t>ni blokatorima TNF-a (početak terapije ≤18 godina starosti), uključujući infliksimab, posl</w:t>
      </w:r>
      <w:r w:rsidR="00CF5D59">
        <w:rPr>
          <w:iCs/>
          <w:szCs w:val="22"/>
          <w:lang w:val="sr-Latn-ME" w:eastAsia="zh-CN"/>
        </w:rPr>
        <w:t>ij</w:t>
      </w:r>
      <w:r w:rsidRPr="00D768EF">
        <w:rPr>
          <w:iCs/>
          <w:szCs w:val="22"/>
          <w:lang w:val="sr-Latn-ME" w:eastAsia="zh-CN"/>
        </w:rPr>
        <w:t>e stavljanja tih l</w:t>
      </w:r>
      <w:r w:rsidR="001D19B7" w:rsidRPr="00D768EF">
        <w:rPr>
          <w:iCs/>
          <w:szCs w:val="22"/>
          <w:lang w:val="sr-Latn-ME" w:eastAsia="zh-CN"/>
        </w:rPr>
        <w:t>j</w:t>
      </w:r>
      <w:r w:rsidRPr="00D768EF">
        <w:rPr>
          <w:iCs/>
          <w:szCs w:val="22"/>
          <w:lang w:val="sr-Latn-ME" w:eastAsia="zh-CN"/>
        </w:rPr>
        <w:t xml:space="preserve">ekova u </w:t>
      </w:r>
      <w:r w:rsidRPr="00D768EF">
        <w:rPr>
          <w:iCs/>
          <w:szCs w:val="22"/>
          <w:lang w:val="sr-Latn-ME" w:eastAsia="zh-CN"/>
        </w:rPr>
        <w:lastRenderedPageBreak/>
        <w:t>promet prijavljene su maligne bolesti, od kojih su neki slučajevi bili sa smrtnim ishodom. Otprilike polovina tih slučajeva su bili limfomi. Ostali slučajevi predstavljaju mnoštvo različitih malignih bolesti i uključuju r</w:t>
      </w:r>
      <w:r w:rsidR="001D19B7" w:rsidRPr="00D768EF">
        <w:rPr>
          <w:iCs/>
          <w:szCs w:val="22"/>
          <w:lang w:val="sr-Latn-ME" w:eastAsia="zh-CN"/>
        </w:rPr>
        <w:t>ij</w:t>
      </w:r>
      <w:r w:rsidRPr="00D768EF">
        <w:rPr>
          <w:iCs/>
          <w:szCs w:val="22"/>
          <w:lang w:val="sr-Latn-ME" w:eastAsia="zh-CN"/>
        </w:rPr>
        <w:t xml:space="preserve">etke maligne bolesti obično povezane sa imunosupresijom. Kod </w:t>
      </w:r>
      <w:r w:rsidR="00220982" w:rsidRPr="00D768EF">
        <w:rPr>
          <w:iCs/>
          <w:szCs w:val="22"/>
          <w:lang w:val="sr-Latn-ME" w:eastAsia="zh-CN"/>
        </w:rPr>
        <w:t>djece</w:t>
      </w:r>
      <w:r w:rsidRPr="00D768EF">
        <w:rPr>
          <w:iCs/>
          <w:szCs w:val="22"/>
          <w:lang w:val="sr-Latn-ME" w:eastAsia="zh-CN"/>
        </w:rPr>
        <w:t xml:space="preserve"> i adolescenata koji su primali blokatore TNF-a ne može se isključiti rizik od razvoja malignih bolesti.</w:t>
      </w:r>
    </w:p>
    <w:p w14:paraId="5E2D5D0D" w14:textId="77777777" w:rsidR="00C175E4" w:rsidRPr="00D768EF" w:rsidRDefault="00C175E4" w:rsidP="00C175E4">
      <w:pPr>
        <w:rPr>
          <w:color w:val="000000"/>
          <w:szCs w:val="22"/>
          <w:lang w:val="sr-Latn-ME"/>
        </w:rPr>
      </w:pPr>
    </w:p>
    <w:p w14:paraId="0D57B363" w14:textId="32075BBE" w:rsidR="00C175E4" w:rsidRPr="00D768EF" w:rsidRDefault="00703D61" w:rsidP="00C175E4">
      <w:pPr>
        <w:rPr>
          <w:iCs/>
          <w:szCs w:val="22"/>
          <w:lang w:val="sr-Latn-ME" w:eastAsia="sv-SE"/>
        </w:rPr>
      </w:pPr>
      <w:r w:rsidRPr="00D768EF">
        <w:rPr>
          <w:iCs/>
          <w:szCs w:val="22"/>
          <w:lang w:val="sr-Latn-ME" w:eastAsia="sv-SE"/>
        </w:rPr>
        <w:t>Nakon puštanja</w:t>
      </w:r>
      <w:r w:rsidR="00C175E4" w:rsidRPr="00D768EF">
        <w:rPr>
          <w:iCs/>
          <w:szCs w:val="22"/>
          <w:lang w:val="sr-Latn-ME" w:eastAsia="sv-SE"/>
        </w:rPr>
        <w:t xml:space="preserve"> l</w:t>
      </w:r>
      <w:r w:rsidR="001D19B7" w:rsidRPr="00D768EF">
        <w:rPr>
          <w:iCs/>
          <w:szCs w:val="22"/>
          <w:lang w:val="sr-Latn-ME" w:eastAsia="sv-SE"/>
        </w:rPr>
        <w:t>ij</w:t>
      </w:r>
      <w:r w:rsidR="00C175E4" w:rsidRPr="00D768EF">
        <w:rPr>
          <w:iCs/>
          <w:szCs w:val="22"/>
          <w:lang w:val="sr-Latn-ME" w:eastAsia="sv-SE"/>
        </w:rPr>
        <w:t xml:space="preserve">eka u promet, prijavljeni su slučajevi hepatospleničnog T-ćelijskog limfoma kod pacijenata koji su </w:t>
      </w:r>
      <w:r w:rsidR="00D57936" w:rsidRPr="00D768EF">
        <w:rPr>
          <w:iCs/>
          <w:szCs w:val="22"/>
          <w:lang w:val="sr-Latn-ME" w:eastAsia="sv-SE"/>
        </w:rPr>
        <w:t>liječe</w:t>
      </w:r>
      <w:r w:rsidR="00C175E4" w:rsidRPr="00D768EF">
        <w:rPr>
          <w:iCs/>
          <w:szCs w:val="22"/>
          <w:lang w:val="sr-Latn-ME" w:eastAsia="sv-SE"/>
        </w:rPr>
        <w:t>ni blokatorima</w:t>
      </w:r>
      <w:r w:rsidR="00C175E4" w:rsidRPr="00D768EF">
        <w:rPr>
          <w:b/>
          <w:bCs/>
          <w:szCs w:val="22"/>
          <w:lang w:val="sr-Latn-ME"/>
        </w:rPr>
        <w:t xml:space="preserve"> </w:t>
      </w:r>
      <w:r w:rsidR="00C175E4" w:rsidRPr="00D768EF">
        <w:rPr>
          <w:rStyle w:val="Strong"/>
          <w:b w:val="0"/>
          <w:bCs/>
          <w:szCs w:val="22"/>
          <w:lang w:val="sr-Latn-ME"/>
        </w:rPr>
        <w:t xml:space="preserve">TNF-a, </w:t>
      </w:r>
      <w:r w:rsidR="00C175E4" w:rsidRPr="00D768EF">
        <w:rPr>
          <w:szCs w:val="22"/>
          <w:lang w:val="sr-Latn-ME"/>
        </w:rPr>
        <w:t>uključujući infliksimab. Ovaj r</w:t>
      </w:r>
      <w:r w:rsidR="001D19B7" w:rsidRPr="00D768EF">
        <w:rPr>
          <w:szCs w:val="22"/>
          <w:lang w:val="sr-Latn-ME"/>
        </w:rPr>
        <w:t>ij</w:t>
      </w:r>
      <w:r w:rsidR="00C175E4" w:rsidRPr="00D768EF">
        <w:rPr>
          <w:szCs w:val="22"/>
          <w:lang w:val="sr-Latn-ME"/>
        </w:rPr>
        <w:t>edak oblik</w:t>
      </w:r>
      <w:r w:rsidR="00C175E4" w:rsidRPr="00D768EF">
        <w:rPr>
          <w:iCs/>
          <w:szCs w:val="22"/>
          <w:lang w:val="sr-Latn-ME" w:eastAsia="sv-SE"/>
        </w:rPr>
        <w:t xml:space="preserve"> T-ćelijskog limfoma</w:t>
      </w:r>
      <w:r w:rsidR="00C175E4" w:rsidRPr="00D768EF">
        <w:rPr>
          <w:szCs w:val="22"/>
          <w:lang w:val="sr-Latn-ME"/>
        </w:rPr>
        <w:t xml:space="preserve"> ima veoma agresivan tok </w:t>
      </w:r>
      <w:r w:rsidRPr="00D768EF">
        <w:rPr>
          <w:szCs w:val="22"/>
          <w:lang w:val="sr-Latn-ME"/>
        </w:rPr>
        <w:t>bolesti,</w:t>
      </w:r>
      <w:r w:rsidR="00C175E4" w:rsidRPr="00D768EF">
        <w:rPr>
          <w:szCs w:val="22"/>
          <w:lang w:val="sr-Latn-ME"/>
        </w:rPr>
        <w:t xml:space="preserve"> obično </w:t>
      </w:r>
      <w:r w:rsidRPr="00D768EF">
        <w:rPr>
          <w:szCs w:val="22"/>
          <w:lang w:val="sr-Latn-ME"/>
        </w:rPr>
        <w:t xml:space="preserve">sa </w:t>
      </w:r>
      <w:r w:rsidR="00C175E4" w:rsidRPr="00D768EF">
        <w:rPr>
          <w:szCs w:val="22"/>
          <w:lang w:val="sr-Latn-ME"/>
        </w:rPr>
        <w:t>smrtni</w:t>
      </w:r>
      <w:r w:rsidRPr="00D768EF">
        <w:rPr>
          <w:szCs w:val="22"/>
          <w:lang w:val="sr-Latn-ME"/>
        </w:rPr>
        <w:t>m</w:t>
      </w:r>
      <w:r w:rsidR="00C175E4" w:rsidRPr="00D768EF">
        <w:rPr>
          <w:szCs w:val="22"/>
          <w:lang w:val="sr-Latn-ME"/>
        </w:rPr>
        <w:t xml:space="preserve"> ishod</w:t>
      </w:r>
      <w:r w:rsidRPr="00D768EF">
        <w:rPr>
          <w:szCs w:val="22"/>
          <w:lang w:val="sr-Latn-ME"/>
        </w:rPr>
        <w:t>om</w:t>
      </w:r>
      <w:r w:rsidR="00C175E4" w:rsidRPr="00D768EF">
        <w:rPr>
          <w:szCs w:val="22"/>
          <w:lang w:val="sr-Latn-ME"/>
        </w:rPr>
        <w:t xml:space="preserve">. </w:t>
      </w:r>
      <w:r w:rsidR="00CC0FB5" w:rsidRPr="00D768EF">
        <w:rPr>
          <w:szCs w:val="22"/>
          <w:lang w:val="sr-Latn-ME"/>
        </w:rPr>
        <w:t> Skoro svi pacijenti su u terapiji prim</w:t>
      </w:r>
      <w:r w:rsidR="00853D98" w:rsidRPr="00D768EF">
        <w:rPr>
          <w:szCs w:val="22"/>
          <w:lang w:val="sr-Latn-ME"/>
        </w:rPr>
        <w:t>j</w:t>
      </w:r>
      <w:r w:rsidR="00CC0FB5" w:rsidRPr="00D768EF">
        <w:rPr>
          <w:szCs w:val="22"/>
          <w:lang w:val="sr-Latn-ME"/>
        </w:rPr>
        <w:t>enjivali AZA ili 6-MP istovremeno ili neposredno prije</w:t>
      </w:r>
      <w:r w:rsidR="00CC0FB5" w:rsidRPr="00D768EF">
        <w:rPr>
          <w:iCs/>
          <w:szCs w:val="22"/>
          <w:lang w:val="sr-Latn-ME" w:eastAsia="sv-SE"/>
        </w:rPr>
        <w:t xml:space="preserve"> primjene blokator TNF-a. Velika većina</w:t>
      </w:r>
      <w:r w:rsidR="00C175E4" w:rsidRPr="00D768EF">
        <w:rPr>
          <w:szCs w:val="22"/>
          <w:lang w:val="sr-Latn-ME"/>
        </w:rPr>
        <w:t>ov</w:t>
      </w:r>
      <w:r w:rsidR="00CC0FB5" w:rsidRPr="00D768EF">
        <w:rPr>
          <w:szCs w:val="22"/>
          <w:lang w:val="sr-Latn-ME"/>
        </w:rPr>
        <w:t>ih</w:t>
      </w:r>
      <w:r w:rsidR="00C175E4" w:rsidRPr="00D768EF">
        <w:rPr>
          <w:szCs w:val="22"/>
          <w:lang w:val="sr-Latn-ME"/>
        </w:rPr>
        <w:t xml:space="preserve"> slučajev</w:t>
      </w:r>
      <w:r w:rsidR="00CC0FB5" w:rsidRPr="00D768EF">
        <w:rPr>
          <w:szCs w:val="22"/>
          <w:lang w:val="sr-Latn-ME"/>
        </w:rPr>
        <w:t>a</w:t>
      </w:r>
      <w:r w:rsidR="00C175E4" w:rsidRPr="00D768EF">
        <w:rPr>
          <w:szCs w:val="22"/>
          <w:lang w:val="sr-Latn-ME"/>
        </w:rPr>
        <w:t xml:space="preserve"> </w:t>
      </w:r>
      <w:r w:rsidR="00CC0FB5" w:rsidRPr="00D768EF">
        <w:rPr>
          <w:szCs w:val="22"/>
          <w:lang w:val="sr-Latn-ME"/>
        </w:rPr>
        <w:t xml:space="preserve">povezanih sa primjenom infliksimaba </w:t>
      </w:r>
      <w:r w:rsidR="00C175E4" w:rsidRPr="00D768EF">
        <w:rPr>
          <w:szCs w:val="22"/>
          <w:lang w:val="sr-Latn-ME"/>
        </w:rPr>
        <w:t>se dogodil</w:t>
      </w:r>
      <w:r w:rsidR="00CC0FB5" w:rsidRPr="00D768EF">
        <w:rPr>
          <w:szCs w:val="22"/>
          <w:lang w:val="sr-Latn-ME"/>
        </w:rPr>
        <w:t>a</w:t>
      </w:r>
      <w:r w:rsidR="00C175E4" w:rsidRPr="00D768EF">
        <w:rPr>
          <w:szCs w:val="22"/>
          <w:lang w:val="sr-Latn-ME"/>
        </w:rPr>
        <w:t xml:space="preserve"> kod pacijenata sa</w:t>
      </w:r>
      <w:r w:rsidR="00C175E4" w:rsidRPr="00D768EF">
        <w:rPr>
          <w:iCs/>
          <w:szCs w:val="22"/>
          <w:lang w:val="sr-Latn-ME" w:eastAsia="sv-SE"/>
        </w:rPr>
        <w:t xml:space="preserve"> Kronovom bolešću ili</w:t>
      </w:r>
      <w:r w:rsidR="00C175E4" w:rsidRPr="00D768EF">
        <w:rPr>
          <w:szCs w:val="22"/>
          <w:lang w:val="sr-Latn-ME"/>
        </w:rPr>
        <w:t xml:space="preserve"> ulceroznim kolitisom i većin</w:t>
      </w:r>
      <w:r w:rsidR="00CC0FB5" w:rsidRPr="00D768EF">
        <w:rPr>
          <w:szCs w:val="22"/>
          <w:lang w:val="sr-Latn-ME"/>
        </w:rPr>
        <w:t>a</w:t>
      </w:r>
      <w:r w:rsidR="00C175E4" w:rsidRPr="00D768EF">
        <w:rPr>
          <w:szCs w:val="22"/>
          <w:lang w:val="sr-Latn-ME"/>
        </w:rPr>
        <w:t xml:space="preserve"> </w:t>
      </w:r>
      <w:r w:rsidR="00CC0FB5" w:rsidRPr="00D768EF">
        <w:rPr>
          <w:szCs w:val="22"/>
          <w:lang w:val="sr-Latn-ME"/>
        </w:rPr>
        <w:t>ih je prijavljena među</w:t>
      </w:r>
      <w:r w:rsidR="00C175E4" w:rsidRPr="00D768EF">
        <w:rPr>
          <w:szCs w:val="22"/>
          <w:lang w:val="sr-Latn-ME"/>
        </w:rPr>
        <w:t xml:space="preserve"> adolescenat</w:t>
      </w:r>
      <w:r w:rsidR="00CC0FB5" w:rsidRPr="00D768EF">
        <w:rPr>
          <w:szCs w:val="22"/>
          <w:lang w:val="sr-Latn-ME"/>
        </w:rPr>
        <w:t>im</w:t>
      </w:r>
      <w:r w:rsidR="00C175E4" w:rsidRPr="00D768EF">
        <w:rPr>
          <w:szCs w:val="22"/>
          <w:lang w:val="sr-Latn-ME"/>
        </w:rPr>
        <w:t>a ili mlađi</w:t>
      </w:r>
      <w:r w:rsidR="00CC0FB5" w:rsidRPr="00D768EF">
        <w:rPr>
          <w:szCs w:val="22"/>
          <w:lang w:val="sr-Latn-ME"/>
        </w:rPr>
        <w:t>m</w:t>
      </w:r>
      <w:r w:rsidR="00C175E4" w:rsidRPr="00D768EF">
        <w:rPr>
          <w:szCs w:val="22"/>
          <w:lang w:val="sr-Latn-ME"/>
        </w:rPr>
        <w:t xml:space="preserve"> odrasli</w:t>
      </w:r>
      <w:r w:rsidR="00CC0FB5" w:rsidRPr="00D768EF">
        <w:rPr>
          <w:szCs w:val="22"/>
          <w:lang w:val="sr-Latn-ME"/>
        </w:rPr>
        <w:t>m</w:t>
      </w:r>
      <w:r w:rsidR="00C175E4" w:rsidRPr="00D768EF">
        <w:rPr>
          <w:szCs w:val="22"/>
          <w:lang w:val="sr-Latn-ME"/>
        </w:rPr>
        <w:t xml:space="preserve"> muškarac</w:t>
      </w:r>
      <w:r w:rsidR="00CC0FB5" w:rsidRPr="00D768EF">
        <w:rPr>
          <w:szCs w:val="22"/>
          <w:lang w:val="sr-Latn-ME"/>
        </w:rPr>
        <w:t>im</w:t>
      </w:r>
      <w:r w:rsidR="00C175E4" w:rsidRPr="00D768EF">
        <w:rPr>
          <w:szCs w:val="22"/>
          <w:lang w:val="sr-Latn-ME"/>
        </w:rPr>
        <w:t xml:space="preserve">a. </w:t>
      </w:r>
      <w:r w:rsidR="00C175E4" w:rsidRPr="00D768EF">
        <w:rPr>
          <w:iCs/>
          <w:szCs w:val="22"/>
          <w:lang w:val="sr-Latn-ME" w:eastAsia="sv-SE"/>
        </w:rPr>
        <w:t>Treba pažljivo razmotriti potencijalni rizik prim</w:t>
      </w:r>
      <w:r w:rsidR="001D19B7" w:rsidRPr="00D768EF">
        <w:rPr>
          <w:iCs/>
          <w:szCs w:val="22"/>
          <w:lang w:val="sr-Latn-ME" w:eastAsia="sv-SE"/>
        </w:rPr>
        <w:t>j</w:t>
      </w:r>
      <w:r w:rsidR="00C175E4" w:rsidRPr="00D768EF">
        <w:rPr>
          <w:iCs/>
          <w:szCs w:val="22"/>
          <w:lang w:val="sr-Latn-ME" w:eastAsia="sv-SE"/>
        </w:rPr>
        <w:t>ene kombinacije AZA ili 6-MP i l</w:t>
      </w:r>
      <w:r w:rsidR="00C3214E" w:rsidRPr="00D768EF">
        <w:rPr>
          <w:iCs/>
          <w:szCs w:val="22"/>
          <w:lang w:val="sr-Latn-ME" w:eastAsia="sv-SE"/>
        </w:rPr>
        <w:t>ij</w:t>
      </w:r>
      <w:r w:rsidR="00C175E4" w:rsidRPr="00D768EF">
        <w:rPr>
          <w:iCs/>
          <w:szCs w:val="22"/>
          <w:lang w:val="sr-Latn-ME" w:eastAsia="sv-SE"/>
        </w:rPr>
        <w:t xml:space="preserve">eka infliksimab. </w:t>
      </w:r>
      <w:r w:rsidR="00C175E4" w:rsidRPr="00D768EF">
        <w:rPr>
          <w:szCs w:val="22"/>
          <w:lang w:val="sr-Latn-ME"/>
        </w:rPr>
        <w:t>N</w:t>
      </w:r>
      <w:r w:rsidR="00C175E4" w:rsidRPr="00D768EF">
        <w:rPr>
          <w:iCs/>
          <w:szCs w:val="22"/>
          <w:lang w:val="sr-Latn-ME" w:eastAsia="sv-SE"/>
        </w:rPr>
        <w:t xml:space="preserve">e može se isključiti rizik od razvoja hepatospleničnog T-ćelijskog limfoma kod pacijenata koji se </w:t>
      </w:r>
      <w:r w:rsidR="00D57936" w:rsidRPr="00D768EF">
        <w:rPr>
          <w:iCs/>
          <w:szCs w:val="22"/>
          <w:lang w:val="sr-Latn-ME" w:eastAsia="sv-SE"/>
        </w:rPr>
        <w:t>liječe</w:t>
      </w:r>
      <w:r w:rsidR="00C175E4" w:rsidRPr="00D768EF">
        <w:rPr>
          <w:iCs/>
          <w:szCs w:val="22"/>
          <w:lang w:val="sr-Latn-ME" w:eastAsia="sv-SE"/>
        </w:rPr>
        <w:t xml:space="preserve"> </w:t>
      </w:r>
      <w:r w:rsidR="00204273" w:rsidRPr="00D768EF">
        <w:rPr>
          <w:color w:val="000000"/>
          <w:szCs w:val="22"/>
          <w:lang w:val="sr-Latn-ME"/>
        </w:rPr>
        <w:t>infliksimabom</w:t>
      </w:r>
      <w:r w:rsidR="00C175E4" w:rsidRPr="00D768EF">
        <w:rPr>
          <w:iCs/>
          <w:szCs w:val="22"/>
          <w:lang w:val="sr-Latn-ME" w:eastAsia="sv-SE"/>
        </w:rPr>
        <w:t xml:space="preserve"> (</w:t>
      </w:r>
      <w:r w:rsidR="00282A1E" w:rsidRPr="00D768EF">
        <w:rPr>
          <w:iCs/>
          <w:szCs w:val="22"/>
          <w:lang w:val="sr-Latn-ME" w:eastAsia="sv-SE"/>
        </w:rPr>
        <w:t>vidjeti</w:t>
      </w:r>
      <w:r w:rsidR="00C175E4" w:rsidRPr="00D768EF">
        <w:rPr>
          <w:iCs/>
          <w:szCs w:val="22"/>
          <w:lang w:val="sr-Latn-ME" w:eastAsia="sv-SE"/>
        </w:rPr>
        <w:t xml:space="preserve"> </w:t>
      </w:r>
      <w:r w:rsidR="00282A1E" w:rsidRPr="00D768EF">
        <w:rPr>
          <w:iCs/>
          <w:szCs w:val="22"/>
          <w:lang w:val="sr-Latn-ME" w:eastAsia="sv-SE"/>
        </w:rPr>
        <w:t>djelove</w:t>
      </w:r>
      <w:r w:rsidR="00C175E4" w:rsidRPr="00D768EF">
        <w:rPr>
          <w:iCs/>
          <w:szCs w:val="22"/>
          <w:lang w:val="sr-Latn-ME" w:eastAsia="sv-SE"/>
        </w:rPr>
        <w:t xml:space="preserve"> 4.2 i 4.8).</w:t>
      </w:r>
    </w:p>
    <w:p w14:paraId="78899382" w14:textId="77777777" w:rsidR="00C175E4" w:rsidRPr="00D768EF" w:rsidRDefault="00C175E4" w:rsidP="00C175E4">
      <w:pPr>
        <w:rPr>
          <w:szCs w:val="22"/>
          <w:lang w:val="sr-Latn-ME"/>
        </w:rPr>
      </w:pPr>
    </w:p>
    <w:p w14:paraId="50ECEB6B" w14:textId="77777777" w:rsidR="00204273" w:rsidRPr="00D768EF" w:rsidRDefault="00204273" w:rsidP="00C175E4">
      <w:pPr>
        <w:pStyle w:val="CommentText"/>
        <w:rPr>
          <w:sz w:val="22"/>
          <w:szCs w:val="22"/>
          <w:u w:val="single"/>
          <w:lang w:val="sr-Latn-ME"/>
        </w:rPr>
      </w:pPr>
      <w:r w:rsidRPr="00D768EF">
        <w:rPr>
          <w:sz w:val="22"/>
          <w:szCs w:val="22"/>
          <w:u w:val="single"/>
          <w:lang w:val="sr-Latn-ME"/>
        </w:rPr>
        <w:t>Sadržaj natrijuma</w:t>
      </w:r>
    </w:p>
    <w:p w14:paraId="2C105831" w14:textId="77777777" w:rsidR="00204273" w:rsidRPr="00D768EF" w:rsidRDefault="00204273" w:rsidP="00C175E4">
      <w:pPr>
        <w:pStyle w:val="CommentText"/>
        <w:rPr>
          <w:sz w:val="22"/>
          <w:szCs w:val="22"/>
          <w:lang w:val="sr-Latn-ME"/>
        </w:rPr>
      </w:pPr>
    </w:p>
    <w:p w14:paraId="3E6999F9" w14:textId="5F8A37B1" w:rsidR="00C175E4" w:rsidRPr="00DF4274" w:rsidRDefault="00D57936" w:rsidP="00C175E4">
      <w:pPr>
        <w:pStyle w:val="CommentText"/>
        <w:rPr>
          <w:sz w:val="22"/>
          <w:szCs w:val="22"/>
          <w:lang w:val="sr-Latn-ME"/>
        </w:rPr>
      </w:pPr>
      <w:r w:rsidRPr="00D768EF">
        <w:rPr>
          <w:sz w:val="22"/>
          <w:szCs w:val="22"/>
          <w:lang w:val="sr-Latn-ME"/>
        </w:rPr>
        <w:t>Lijek Inflectra</w:t>
      </w:r>
      <w:r w:rsidR="00204273" w:rsidRPr="00D768EF">
        <w:rPr>
          <w:sz w:val="22"/>
          <w:szCs w:val="22"/>
          <w:lang w:val="sr-Latn-ME"/>
        </w:rPr>
        <w:t xml:space="preserve"> </w:t>
      </w:r>
      <w:r w:rsidR="00C175E4" w:rsidRPr="00D768EF">
        <w:rPr>
          <w:sz w:val="22"/>
          <w:szCs w:val="22"/>
          <w:lang w:val="sr-Latn-ME"/>
        </w:rPr>
        <w:t xml:space="preserve">sadrži manje od 1 mmol (23 mg) </w:t>
      </w:r>
      <w:r w:rsidR="00CC0FB5" w:rsidRPr="00D768EF">
        <w:rPr>
          <w:sz w:val="22"/>
          <w:szCs w:val="22"/>
          <w:lang w:val="sr-Latn-ME"/>
        </w:rPr>
        <w:t xml:space="preserve">natrijuma </w:t>
      </w:r>
      <w:r w:rsidR="00C175E4" w:rsidRPr="00D768EF">
        <w:rPr>
          <w:sz w:val="22"/>
          <w:szCs w:val="22"/>
          <w:lang w:val="sr-Latn-ME"/>
        </w:rPr>
        <w:t>po dozi</w:t>
      </w:r>
      <w:r w:rsidR="00B1637B" w:rsidRPr="00D768EF">
        <w:rPr>
          <w:sz w:val="22"/>
          <w:szCs w:val="22"/>
          <w:lang w:val="sr-Latn-ME"/>
        </w:rPr>
        <w:t>,</w:t>
      </w:r>
      <w:r w:rsidR="00C175E4" w:rsidRPr="00D768EF">
        <w:rPr>
          <w:sz w:val="22"/>
          <w:szCs w:val="22"/>
          <w:lang w:val="sr-Latn-ME"/>
        </w:rPr>
        <w:t xml:space="preserve"> tj. suštinski je bez natrijuma.</w:t>
      </w:r>
      <w:r w:rsidR="00204273" w:rsidRPr="00D768EF">
        <w:rPr>
          <w:sz w:val="22"/>
          <w:szCs w:val="22"/>
          <w:lang w:val="sr-Latn-ME"/>
        </w:rPr>
        <w:t xml:space="preserve"> </w:t>
      </w:r>
      <w:r w:rsidRPr="00D768EF">
        <w:rPr>
          <w:sz w:val="22"/>
          <w:szCs w:val="22"/>
          <w:lang w:val="sr-Latn-ME"/>
        </w:rPr>
        <w:t>Lijek Inflectra</w:t>
      </w:r>
      <w:r w:rsidR="00204273" w:rsidRPr="00D768EF">
        <w:rPr>
          <w:sz w:val="22"/>
          <w:szCs w:val="22"/>
          <w:lang w:val="sr-Latn-ME"/>
        </w:rPr>
        <w:t xml:space="preserve"> se razblažuje 0,9% rastvorom natrijum</w:t>
      </w:r>
      <w:r w:rsidR="00CC0FB5" w:rsidRPr="00D768EF">
        <w:rPr>
          <w:sz w:val="22"/>
          <w:szCs w:val="22"/>
          <w:lang w:val="sr-Latn-ME"/>
        </w:rPr>
        <w:t>-</w:t>
      </w:r>
      <w:r w:rsidR="00204273" w:rsidRPr="00D768EF">
        <w:rPr>
          <w:sz w:val="22"/>
          <w:szCs w:val="22"/>
          <w:lang w:val="sr-Latn-ME"/>
        </w:rPr>
        <w:t>hlorida za infuziju</w:t>
      </w:r>
      <w:r w:rsidR="006B456A" w:rsidRPr="00D768EF">
        <w:rPr>
          <w:sz w:val="22"/>
          <w:szCs w:val="22"/>
          <w:lang w:val="sr-Latn-ME"/>
        </w:rPr>
        <w:t xml:space="preserve"> (9 mg/m</w:t>
      </w:r>
      <w:r w:rsidR="00CC0FB5" w:rsidRPr="00D768EF">
        <w:rPr>
          <w:sz w:val="22"/>
          <w:szCs w:val="22"/>
          <w:lang w:val="sr-Latn-ME"/>
        </w:rPr>
        <w:t>L</w:t>
      </w:r>
      <w:r w:rsidR="006B456A" w:rsidRPr="00D768EF">
        <w:rPr>
          <w:sz w:val="22"/>
          <w:szCs w:val="22"/>
          <w:lang w:val="sr-Latn-ME"/>
        </w:rPr>
        <w:t xml:space="preserve">). Ovo treba uzeti u obzir </w:t>
      </w:r>
      <w:r w:rsidR="00D36568" w:rsidRPr="00D768EF">
        <w:rPr>
          <w:bCs/>
          <w:sz w:val="22"/>
          <w:szCs w:val="22"/>
          <w:lang w:val="sr-Latn-ME"/>
        </w:rPr>
        <w:t>kod pacijenata</w:t>
      </w:r>
      <w:r w:rsidR="00D36568" w:rsidRPr="00D768EF">
        <w:rPr>
          <w:sz w:val="22"/>
          <w:lang w:val="sr-Latn-ME"/>
        </w:rPr>
        <w:t xml:space="preserve"> koji su na dijeti</w:t>
      </w:r>
      <w:r w:rsidR="00D36568" w:rsidRPr="00D768EF">
        <w:rPr>
          <w:bCs/>
          <w:sz w:val="22"/>
          <w:szCs w:val="22"/>
          <w:lang w:val="sr-Latn-ME"/>
        </w:rPr>
        <w:t xml:space="preserve"> u kojoj se kontroliše unos natrijuma (</w:t>
      </w:r>
      <w:r w:rsidR="00282A1E" w:rsidRPr="00D768EF">
        <w:rPr>
          <w:bCs/>
          <w:sz w:val="22"/>
          <w:szCs w:val="22"/>
          <w:lang w:val="sr-Latn-ME"/>
        </w:rPr>
        <w:t>vidjeti</w:t>
      </w:r>
      <w:r w:rsidR="00D36568" w:rsidRPr="00D768EF">
        <w:rPr>
          <w:bCs/>
          <w:sz w:val="22"/>
          <w:szCs w:val="22"/>
          <w:lang w:val="sr-Latn-ME"/>
        </w:rPr>
        <w:t xml:space="preserve"> </w:t>
      </w:r>
      <w:r w:rsidR="00454E9F" w:rsidRPr="00D768EF">
        <w:rPr>
          <w:bCs/>
          <w:sz w:val="22"/>
          <w:szCs w:val="22"/>
          <w:lang w:val="sr-Latn-ME"/>
        </w:rPr>
        <w:t>dio</w:t>
      </w:r>
      <w:r w:rsidR="00D36568" w:rsidRPr="00D768EF">
        <w:rPr>
          <w:bCs/>
          <w:sz w:val="22"/>
          <w:szCs w:val="22"/>
          <w:lang w:val="sr-Latn-ME"/>
        </w:rPr>
        <w:t xml:space="preserve"> 6.6)</w:t>
      </w:r>
      <w:r w:rsidR="00D36568" w:rsidRPr="00D768EF">
        <w:rPr>
          <w:sz w:val="22"/>
          <w:lang w:val="sr-Latn-ME"/>
        </w:rPr>
        <w:t>.</w:t>
      </w:r>
    </w:p>
    <w:p w14:paraId="7444B0FB" w14:textId="77777777" w:rsidR="00CE09F3" w:rsidRPr="00D768EF" w:rsidRDefault="00CE09F3" w:rsidP="00923865">
      <w:pPr>
        <w:rPr>
          <w:szCs w:val="22"/>
          <w:lang w:val="sr-Latn-ME"/>
        </w:rPr>
      </w:pPr>
    </w:p>
    <w:p w14:paraId="0A4690FC" w14:textId="753455D4" w:rsidR="00CE09F3" w:rsidRPr="00D768EF" w:rsidRDefault="00CE09F3" w:rsidP="00923865">
      <w:pPr>
        <w:rPr>
          <w:b/>
          <w:bCs/>
          <w:szCs w:val="22"/>
          <w:lang w:val="sr-Latn-ME"/>
        </w:rPr>
      </w:pPr>
      <w:r w:rsidRPr="00D768EF">
        <w:rPr>
          <w:b/>
          <w:bCs/>
          <w:szCs w:val="22"/>
          <w:lang w:val="sr-Latn-ME"/>
        </w:rPr>
        <w:t xml:space="preserve">4.5. Interakcije sa drugim </w:t>
      </w:r>
      <w:r w:rsidR="00D57936" w:rsidRPr="00D768EF">
        <w:rPr>
          <w:b/>
          <w:bCs/>
          <w:szCs w:val="22"/>
          <w:lang w:val="sr-Latn-ME"/>
        </w:rPr>
        <w:t>ljekovi</w:t>
      </w:r>
      <w:r w:rsidRPr="00D768EF">
        <w:rPr>
          <w:b/>
          <w:bCs/>
          <w:szCs w:val="22"/>
          <w:lang w:val="sr-Latn-ME"/>
        </w:rPr>
        <w:t>ma i druge vrste interakcija</w:t>
      </w:r>
    </w:p>
    <w:p w14:paraId="5034DA81" w14:textId="77777777" w:rsidR="00CE09F3" w:rsidRPr="00D768EF" w:rsidRDefault="00CE09F3" w:rsidP="00923865">
      <w:pPr>
        <w:rPr>
          <w:szCs w:val="22"/>
          <w:lang w:val="sr-Latn-ME"/>
        </w:rPr>
      </w:pPr>
    </w:p>
    <w:p w14:paraId="16AF613B" w14:textId="73CD9AC0" w:rsidR="00C175E4" w:rsidRPr="00D768EF" w:rsidRDefault="00C175E4" w:rsidP="00305384">
      <w:pPr>
        <w:pStyle w:val="Default"/>
        <w:rPr>
          <w:sz w:val="22"/>
          <w:szCs w:val="22"/>
          <w:lang w:val="sr-Latn-ME"/>
        </w:rPr>
      </w:pPr>
      <w:r w:rsidRPr="00D768EF">
        <w:rPr>
          <w:sz w:val="22"/>
          <w:szCs w:val="22"/>
          <w:lang w:val="sr-Latn-ME"/>
        </w:rPr>
        <w:t>Nisu sprovedena ispitivanja interakcija.</w:t>
      </w:r>
    </w:p>
    <w:p w14:paraId="6131CA28" w14:textId="77777777" w:rsidR="00C175E4" w:rsidRPr="00D768EF" w:rsidRDefault="00C175E4" w:rsidP="00C175E4">
      <w:pPr>
        <w:rPr>
          <w:snapToGrid w:val="0"/>
          <w:color w:val="000000"/>
          <w:szCs w:val="22"/>
          <w:lang w:val="sr-Latn-ME" w:eastAsia="sv-SE"/>
        </w:rPr>
      </w:pPr>
    </w:p>
    <w:p w14:paraId="4E254370" w14:textId="464B81FB" w:rsidR="00C175E4" w:rsidRPr="00D768EF" w:rsidRDefault="00C175E4" w:rsidP="00C175E4">
      <w:pPr>
        <w:rPr>
          <w:color w:val="000000"/>
          <w:szCs w:val="22"/>
          <w:lang w:val="sr-Latn-ME"/>
        </w:rPr>
      </w:pPr>
      <w:r w:rsidRPr="00D768EF">
        <w:rPr>
          <w:snapToGrid w:val="0"/>
          <w:color w:val="000000"/>
          <w:szCs w:val="22"/>
          <w:lang w:val="sr-Latn-ME" w:eastAsia="sv-SE"/>
        </w:rPr>
        <w:t xml:space="preserve">Ima naznaka da istovremena </w:t>
      </w:r>
      <w:r w:rsidR="00D57936" w:rsidRPr="00D768EF">
        <w:rPr>
          <w:snapToGrid w:val="0"/>
          <w:color w:val="000000"/>
          <w:szCs w:val="22"/>
          <w:lang w:val="sr-Latn-ME" w:eastAsia="sv-SE"/>
        </w:rPr>
        <w:t>primjena</w:t>
      </w:r>
      <w:r w:rsidRPr="00D768EF">
        <w:rPr>
          <w:color w:val="000000"/>
          <w:szCs w:val="22"/>
          <w:lang w:val="sr-Latn-ME"/>
        </w:rPr>
        <w:t xml:space="preserve"> metotreksata i drugih imunomodulatora kod pacijenata sa </w:t>
      </w:r>
      <w:r w:rsidRPr="00D768EF">
        <w:rPr>
          <w:snapToGrid w:val="0"/>
          <w:color w:val="000000"/>
          <w:szCs w:val="22"/>
          <w:lang w:val="sr-Latn-ME" w:eastAsia="sv-SE"/>
        </w:rPr>
        <w:t>reumatoidnim artritisom, psorijatičnim artritisom i Kronovom bolešću</w:t>
      </w:r>
      <w:r w:rsidRPr="00D768EF">
        <w:rPr>
          <w:color w:val="000000"/>
          <w:szCs w:val="22"/>
          <w:lang w:val="sr-Latn-ME"/>
        </w:rPr>
        <w:t xml:space="preserve"> smanjuje stvaranje </w:t>
      </w:r>
      <w:r w:rsidR="00220982" w:rsidRPr="00D768EF">
        <w:rPr>
          <w:color w:val="000000"/>
          <w:szCs w:val="22"/>
          <w:lang w:val="sr-Latn-ME"/>
        </w:rPr>
        <w:t>antitijel</w:t>
      </w:r>
      <w:r w:rsidRPr="00D768EF">
        <w:rPr>
          <w:color w:val="000000"/>
          <w:szCs w:val="22"/>
          <w:lang w:val="sr-Latn-ME"/>
        </w:rPr>
        <w:t xml:space="preserve">a na infliksimab i povećava koncentraciju infliksimaba u plazmi. Međutim, ti rezultati nisu pouzdani zbog ograničenja u metodama koje se koriste u analizi infliksimaba i </w:t>
      </w:r>
      <w:r w:rsidR="00220982" w:rsidRPr="00D768EF">
        <w:rPr>
          <w:color w:val="000000"/>
          <w:szCs w:val="22"/>
          <w:lang w:val="sr-Latn-ME"/>
        </w:rPr>
        <w:t>antitijel</w:t>
      </w:r>
      <w:r w:rsidRPr="00D768EF">
        <w:rPr>
          <w:color w:val="000000"/>
          <w:szCs w:val="22"/>
          <w:lang w:val="sr-Latn-ME"/>
        </w:rPr>
        <w:t xml:space="preserve">a na infliksimab u serumu. </w:t>
      </w:r>
    </w:p>
    <w:p w14:paraId="0698F08A" w14:textId="77777777" w:rsidR="00C175E4" w:rsidRPr="00D768EF" w:rsidRDefault="00C175E4" w:rsidP="00C175E4">
      <w:pPr>
        <w:rPr>
          <w:color w:val="000000"/>
          <w:szCs w:val="22"/>
          <w:lang w:val="sr-Latn-ME"/>
        </w:rPr>
      </w:pPr>
    </w:p>
    <w:p w14:paraId="3450913C" w14:textId="280E01CD" w:rsidR="00C175E4" w:rsidRPr="00D768EF" w:rsidRDefault="00C175E4" w:rsidP="00C175E4">
      <w:pPr>
        <w:rPr>
          <w:color w:val="000000"/>
          <w:szCs w:val="22"/>
          <w:lang w:val="sr-Latn-ME"/>
        </w:rPr>
      </w:pPr>
      <w:r w:rsidRPr="00D768EF">
        <w:rPr>
          <w:color w:val="000000"/>
          <w:szCs w:val="22"/>
          <w:lang w:val="sr-Latn-ME"/>
        </w:rPr>
        <w:t>Čini se da kortikosteriodi nemaju klinički značajan uticaj na farmakokinetiku infliksimaba.</w:t>
      </w:r>
    </w:p>
    <w:p w14:paraId="11E07FFE" w14:textId="77777777" w:rsidR="00C175E4" w:rsidRPr="00D768EF" w:rsidRDefault="00C175E4" w:rsidP="00C175E4">
      <w:pPr>
        <w:rPr>
          <w:color w:val="000000"/>
          <w:szCs w:val="22"/>
          <w:lang w:val="sr-Latn-ME"/>
        </w:rPr>
      </w:pPr>
    </w:p>
    <w:p w14:paraId="6C9AFAE7" w14:textId="5B79B7EC" w:rsidR="00C175E4" w:rsidRPr="00D768EF" w:rsidRDefault="00C175E4" w:rsidP="00C175E4">
      <w:pPr>
        <w:rPr>
          <w:color w:val="000000"/>
          <w:szCs w:val="22"/>
          <w:lang w:val="sr-Latn-ME"/>
        </w:rPr>
      </w:pPr>
      <w:r w:rsidRPr="00D768EF">
        <w:rPr>
          <w:color w:val="000000"/>
          <w:szCs w:val="22"/>
          <w:lang w:val="sr-Latn-ME"/>
        </w:rPr>
        <w:t xml:space="preserve">Ne preporučuje se </w:t>
      </w:r>
      <w:r w:rsidR="00D57936" w:rsidRPr="00D768EF">
        <w:rPr>
          <w:color w:val="000000"/>
          <w:szCs w:val="22"/>
          <w:lang w:val="sr-Latn-ME"/>
        </w:rPr>
        <w:t>primjena</w:t>
      </w:r>
      <w:r w:rsidRPr="00D768EF">
        <w:rPr>
          <w:color w:val="000000"/>
          <w:szCs w:val="22"/>
          <w:lang w:val="sr-Latn-ME"/>
        </w:rPr>
        <w:t xml:space="preserve"> </w:t>
      </w:r>
      <w:r w:rsidR="00D36568" w:rsidRPr="00D768EF">
        <w:rPr>
          <w:color w:val="000000"/>
          <w:szCs w:val="22"/>
          <w:lang w:val="sr-Latn-ME"/>
        </w:rPr>
        <w:t>infliksimaba</w:t>
      </w:r>
      <w:r w:rsidRPr="00D768EF">
        <w:rPr>
          <w:color w:val="000000"/>
          <w:szCs w:val="22"/>
          <w:lang w:val="sr-Latn-ME"/>
        </w:rPr>
        <w:t xml:space="preserve"> u kombinaciji sa drugim biološkim </w:t>
      </w:r>
      <w:r w:rsidR="00D57936" w:rsidRPr="00D768EF">
        <w:rPr>
          <w:color w:val="000000"/>
          <w:szCs w:val="22"/>
          <w:lang w:val="sr-Latn-ME"/>
        </w:rPr>
        <w:t>ljekovi</w:t>
      </w:r>
      <w:r w:rsidRPr="00D768EF">
        <w:rPr>
          <w:color w:val="000000"/>
          <w:szCs w:val="22"/>
          <w:lang w:val="sr-Latn-ME"/>
        </w:rPr>
        <w:t xml:space="preserve">ma koji se koriste za </w:t>
      </w:r>
      <w:r w:rsidR="00D57936" w:rsidRPr="00D768EF">
        <w:rPr>
          <w:color w:val="000000"/>
          <w:szCs w:val="22"/>
          <w:lang w:val="sr-Latn-ME"/>
        </w:rPr>
        <w:t>liječe</w:t>
      </w:r>
      <w:r w:rsidRPr="00D768EF">
        <w:rPr>
          <w:color w:val="000000"/>
          <w:szCs w:val="22"/>
          <w:lang w:val="sr-Latn-ME"/>
        </w:rPr>
        <w:t xml:space="preserve">nje istih stanja kao i </w:t>
      </w:r>
      <w:r w:rsidR="00D36568" w:rsidRPr="00D768EF">
        <w:rPr>
          <w:color w:val="000000"/>
          <w:szCs w:val="22"/>
          <w:lang w:val="sr-Latn-ME"/>
        </w:rPr>
        <w:t>infliksimab</w:t>
      </w:r>
      <w:r w:rsidRPr="00D768EF">
        <w:rPr>
          <w:color w:val="000000"/>
          <w:szCs w:val="22"/>
          <w:lang w:val="sr-Latn-ME"/>
        </w:rPr>
        <w:t>, uključujući anakinru i abatacept (</w:t>
      </w:r>
      <w:r w:rsidR="00282A1E" w:rsidRPr="00D768EF">
        <w:rPr>
          <w:color w:val="000000"/>
          <w:szCs w:val="22"/>
          <w:lang w:val="sr-Latn-ME"/>
        </w:rPr>
        <w:t>vidjeti</w:t>
      </w:r>
      <w:r w:rsidRPr="00D768EF">
        <w:rPr>
          <w:color w:val="000000"/>
          <w:szCs w:val="22"/>
          <w:lang w:val="sr-Latn-ME"/>
        </w:rPr>
        <w:t xml:space="preserve"> </w:t>
      </w:r>
      <w:r w:rsidR="00454E9F" w:rsidRPr="00D768EF">
        <w:rPr>
          <w:color w:val="000000"/>
          <w:szCs w:val="22"/>
          <w:lang w:val="sr-Latn-ME"/>
        </w:rPr>
        <w:t>dio</w:t>
      </w:r>
      <w:r w:rsidRPr="00D768EF">
        <w:rPr>
          <w:color w:val="000000"/>
          <w:szCs w:val="22"/>
          <w:lang w:val="sr-Latn-ME"/>
        </w:rPr>
        <w:t xml:space="preserve"> 4.4). </w:t>
      </w:r>
    </w:p>
    <w:p w14:paraId="109862A3" w14:textId="77777777" w:rsidR="00C175E4" w:rsidRPr="00D768EF" w:rsidRDefault="00C175E4" w:rsidP="00C175E4">
      <w:pPr>
        <w:rPr>
          <w:color w:val="000000"/>
          <w:szCs w:val="22"/>
          <w:lang w:val="sr-Latn-ME"/>
        </w:rPr>
      </w:pPr>
    </w:p>
    <w:p w14:paraId="37D86005" w14:textId="7E138C5D" w:rsidR="00994895" w:rsidRPr="006F2A29" w:rsidRDefault="00C175E4" w:rsidP="00994895">
      <w:pPr>
        <w:rPr>
          <w:lang w:val="sr-Latn-ME"/>
        </w:rPr>
      </w:pPr>
      <w:r w:rsidRPr="00D768EF">
        <w:rPr>
          <w:color w:val="000000"/>
          <w:szCs w:val="22"/>
          <w:lang w:val="sr-Latn-ME"/>
        </w:rPr>
        <w:t xml:space="preserve">Ne preporučuje se istovremena </w:t>
      </w:r>
      <w:r w:rsidR="00D57936" w:rsidRPr="00D768EF">
        <w:rPr>
          <w:color w:val="000000"/>
          <w:szCs w:val="22"/>
          <w:lang w:val="sr-Latn-ME"/>
        </w:rPr>
        <w:t>primjena</w:t>
      </w:r>
      <w:r w:rsidRPr="00D768EF">
        <w:rPr>
          <w:color w:val="000000"/>
          <w:szCs w:val="22"/>
          <w:lang w:val="sr-Latn-ME"/>
        </w:rPr>
        <w:t xml:space="preserve"> živih vakcina sa </w:t>
      </w:r>
      <w:r w:rsidR="00D36568" w:rsidRPr="00D768EF">
        <w:rPr>
          <w:color w:val="000000"/>
          <w:szCs w:val="22"/>
          <w:lang w:val="sr-Latn-ME"/>
        </w:rPr>
        <w:t>infliksimabom</w:t>
      </w:r>
      <w:r w:rsidRPr="00D768EF">
        <w:rPr>
          <w:color w:val="000000"/>
          <w:szCs w:val="22"/>
          <w:lang w:val="sr-Latn-ME"/>
        </w:rPr>
        <w:t xml:space="preserve">. Takođe se ne preporučuje </w:t>
      </w:r>
      <w:r w:rsidR="00714FE9" w:rsidRPr="00D768EF">
        <w:rPr>
          <w:color w:val="000000"/>
          <w:szCs w:val="22"/>
          <w:lang w:val="sr-Latn-ME"/>
        </w:rPr>
        <w:t>primjena</w:t>
      </w:r>
      <w:r w:rsidRPr="00D768EF">
        <w:rPr>
          <w:color w:val="000000"/>
          <w:szCs w:val="22"/>
          <w:lang w:val="sr-Latn-ME"/>
        </w:rPr>
        <w:t xml:space="preserve"> živih vakcina novorođenčadima </w:t>
      </w:r>
      <w:r w:rsidR="00714FE9" w:rsidRPr="00D768EF">
        <w:rPr>
          <w:color w:val="000000"/>
          <w:szCs w:val="22"/>
          <w:lang w:val="sr-Latn-ME"/>
        </w:rPr>
        <w:t>koja su</w:t>
      </w:r>
      <w:r w:rsidRPr="00D768EF">
        <w:rPr>
          <w:color w:val="000000"/>
          <w:szCs w:val="22"/>
          <w:lang w:val="sr-Latn-ME"/>
        </w:rPr>
        <w:t xml:space="preserve"> </w:t>
      </w:r>
      <w:r w:rsidRPr="00D768EF">
        <w:rPr>
          <w:i/>
          <w:color w:val="000000"/>
          <w:szCs w:val="22"/>
          <w:lang w:val="sr-Latn-ME"/>
        </w:rPr>
        <w:t>in utero</w:t>
      </w:r>
      <w:r w:rsidRPr="00D768EF">
        <w:rPr>
          <w:color w:val="000000"/>
          <w:szCs w:val="22"/>
          <w:lang w:val="sr-Latn-ME"/>
        </w:rPr>
        <w:t xml:space="preserve"> </w:t>
      </w:r>
      <w:r w:rsidR="00714FE9" w:rsidRPr="00D768EF">
        <w:rPr>
          <w:color w:val="000000"/>
          <w:szCs w:val="22"/>
          <w:lang w:val="sr-Latn-ME"/>
        </w:rPr>
        <w:t xml:space="preserve">bila izložena </w:t>
      </w:r>
      <w:r w:rsidRPr="00D768EF">
        <w:rPr>
          <w:color w:val="000000"/>
          <w:szCs w:val="22"/>
          <w:lang w:val="sr-Latn-ME"/>
        </w:rPr>
        <w:t xml:space="preserve">infliksimabu u periodu od </w:t>
      </w:r>
      <w:r w:rsidR="00994895">
        <w:rPr>
          <w:color w:val="000000"/>
          <w:szCs w:val="22"/>
          <w:lang w:val="sr-Latn-ME"/>
        </w:rPr>
        <w:t>12 </w:t>
      </w:r>
      <w:r w:rsidRPr="00D768EF">
        <w:rPr>
          <w:color w:val="000000"/>
          <w:szCs w:val="22"/>
          <w:lang w:val="sr-Latn-ME"/>
        </w:rPr>
        <w:t>m</w:t>
      </w:r>
      <w:r w:rsidR="00E15B31" w:rsidRPr="00D768EF">
        <w:rPr>
          <w:color w:val="000000"/>
          <w:szCs w:val="22"/>
          <w:lang w:val="sr-Latn-ME"/>
        </w:rPr>
        <w:t>j</w:t>
      </w:r>
      <w:r w:rsidRPr="00D768EF">
        <w:rPr>
          <w:color w:val="000000"/>
          <w:szCs w:val="22"/>
          <w:lang w:val="sr-Latn-ME"/>
        </w:rPr>
        <w:t>eseci nakon rođenja.</w:t>
      </w:r>
      <w:r w:rsidR="00994895">
        <w:rPr>
          <w:color w:val="000000"/>
          <w:szCs w:val="22"/>
          <w:lang w:val="sr-Latn-ME"/>
        </w:rPr>
        <w:t xml:space="preserve"> </w:t>
      </w:r>
      <w:r w:rsidR="00994895" w:rsidRPr="006F2A29">
        <w:rPr>
          <w:lang w:val="sr-Latn-ME"/>
        </w:rPr>
        <w:t>Ukoliko se nivoi infliksimaba u serumu novorođenčeta ne mogu odrediti ili ukoliko je infliksimab bio primjenjivan samo tokom prvog trimestra trudnoće, možda bi mogla da se razmotri primjena žive vakcine nešto ranije ukoliko za konkretno novorođenče postoji nesumnjiva klinička korist (vidjeti dio 4.4).</w:t>
      </w:r>
    </w:p>
    <w:p w14:paraId="02E871B8" w14:textId="77777777" w:rsidR="00994895" w:rsidRPr="006F2A29" w:rsidRDefault="00994895" w:rsidP="00994895">
      <w:pPr>
        <w:tabs>
          <w:tab w:val="clear" w:pos="284"/>
          <w:tab w:val="left" w:pos="720"/>
        </w:tabs>
        <w:autoSpaceDE w:val="0"/>
        <w:autoSpaceDN w:val="0"/>
        <w:adjustRightInd w:val="0"/>
        <w:rPr>
          <w:color w:val="000000"/>
          <w:szCs w:val="22"/>
          <w:lang w:val="sr-Latn-ME"/>
        </w:rPr>
      </w:pPr>
    </w:p>
    <w:p w14:paraId="4BA1BD64" w14:textId="4EFCCBFD" w:rsidR="00994895" w:rsidRPr="00EE2CAE" w:rsidRDefault="00994895" w:rsidP="00994895">
      <w:pPr>
        <w:keepNext/>
        <w:rPr>
          <w:noProof/>
          <w:lang w:val="sr-Latn-ME"/>
        </w:rPr>
      </w:pPr>
      <w:r w:rsidRPr="006F2A29">
        <w:rPr>
          <w:noProof/>
        </w:rPr>
        <w:t>Ne</w:t>
      </w:r>
      <w:r w:rsidRPr="00EE2CAE">
        <w:rPr>
          <w:noProof/>
          <w:lang w:val="sr-Latn-ME"/>
        </w:rPr>
        <w:t xml:space="preserve"> </w:t>
      </w:r>
      <w:r w:rsidRPr="006F2A29">
        <w:rPr>
          <w:noProof/>
        </w:rPr>
        <w:t>preporu</w:t>
      </w:r>
      <w:r w:rsidRPr="00EE2CAE">
        <w:rPr>
          <w:noProof/>
          <w:lang w:val="sr-Latn-ME"/>
        </w:rPr>
        <w:t>č</w:t>
      </w:r>
      <w:r w:rsidRPr="006F2A29">
        <w:rPr>
          <w:noProof/>
        </w:rPr>
        <w:t>uje</w:t>
      </w:r>
      <w:r w:rsidRPr="00EE2CAE">
        <w:rPr>
          <w:noProof/>
          <w:lang w:val="sr-Latn-ME"/>
        </w:rPr>
        <w:t xml:space="preserve"> </w:t>
      </w:r>
      <w:r w:rsidRPr="006F2A29">
        <w:rPr>
          <w:noProof/>
        </w:rPr>
        <w:t>se</w:t>
      </w:r>
      <w:r w:rsidRPr="00EE2CAE">
        <w:rPr>
          <w:noProof/>
          <w:lang w:val="sr-Latn-ME"/>
        </w:rPr>
        <w:t xml:space="preserve"> </w:t>
      </w:r>
      <w:r w:rsidRPr="006F2A29">
        <w:rPr>
          <w:noProof/>
        </w:rPr>
        <w:t>primjena</w:t>
      </w:r>
      <w:r w:rsidRPr="00EE2CAE">
        <w:rPr>
          <w:noProof/>
          <w:lang w:val="sr-Latn-ME"/>
        </w:rPr>
        <w:t xml:space="preserve"> ž</w:t>
      </w:r>
      <w:r w:rsidRPr="006F2A29">
        <w:rPr>
          <w:noProof/>
        </w:rPr>
        <w:t>ive</w:t>
      </w:r>
      <w:r w:rsidRPr="00EE2CAE">
        <w:rPr>
          <w:noProof/>
          <w:lang w:val="sr-Latn-ME"/>
        </w:rPr>
        <w:t xml:space="preserve"> </w:t>
      </w:r>
      <w:r w:rsidRPr="006F2A29">
        <w:rPr>
          <w:noProof/>
        </w:rPr>
        <w:t>vakcine</w:t>
      </w:r>
      <w:r w:rsidRPr="00EE2CAE">
        <w:rPr>
          <w:noProof/>
          <w:lang w:val="sr-Latn-ME"/>
        </w:rPr>
        <w:t xml:space="preserve"> </w:t>
      </w:r>
      <w:r w:rsidRPr="006F2A29">
        <w:rPr>
          <w:noProof/>
        </w:rPr>
        <w:t>kod</w:t>
      </w:r>
      <w:r w:rsidRPr="00EE2CAE">
        <w:rPr>
          <w:noProof/>
          <w:lang w:val="sr-Latn-ME"/>
        </w:rPr>
        <w:t xml:space="preserve"> </w:t>
      </w:r>
      <w:r w:rsidRPr="006F2A29">
        <w:rPr>
          <w:noProof/>
        </w:rPr>
        <w:t>dojenog</w:t>
      </w:r>
      <w:r w:rsidRPr="00EE2CAE">
        <w:rPr>
          <w:noProof/>
          <w:lang w:val="sr-Latn-ME"/>
        </w:rPr>
        <w:t xml:space="preserve"> </w:t>
      </w:r>
      <w:r w:rsidRPr="006F2A29">
        <w:rPr>
          <w:noProof/>
        </w:rPr>
        <w:t>novoro</w:t>
      </w:r>
      <w:r w:rsidRPr="00EE2CAE">
        <w:rPr>
          <w:noProof/>
          <w:lang w:val="sr-Latn-ME"/>
        </w:rPr>
        <w:t>đ</w:t>
      </w:r>
      <w:r w:rsidRPr="006F2A29">
        <w:rPr>
          <w:noProof/>
        </w:rPr>
        <w:t>en</w:t>
      </w:r>
      <w:r w:rsidRPr="00EE2CAE">
        <w:rPr>
          <w:noProof/>
          <w:lang w:val="sr-Latn-ME"/>
        </w:rPr>
        <w:t>č</w:t>
      </w:r>
      <w:r w:rsidRPr="006F2A29">
        <w:rPr>
          <w:noProof/>
        </w:rPr>
        <w:t>eta</w:t>
      </w:r>
      <w:r w:rsidRPr="00EE2CAE">
        <w:rPr>
          <w:noProof/>
          <w:lang w:val="sr-Latn-ME"/>
        </w:rPr>
        <w:t xml:space="preserve"> </w:t>
      </w:r>
      <w:r w:rsidRPr="006F2A29">
        <w:rPr>
          <w:noProof/>
        </w:rPr>
        <w:t>dok</w:t>
      </w:r>
      <w:r w:rsidRPr="00EE2CAE">
        <w:rPr>
          <w:noProof/>
          <w:lang w:val="sr-Latn-ME"/>
        </w:rPr>
        <w:t xml:space="preserve"> </w:t>
      </w:r>
      <w:r w:rsidRPr="006F2A29">
        <w:rPr>
          <w:noProof/>
        </w:rPr>
        <w:t>majka</w:t>
      </w:r>
      <w:r w:rsidRPr="00EE2CAE">
        <w:rPr>
          <w:noProof/>
          <w:lang w:val="sr-Latn-ME"/>
        </w:rPr>
        <w:t xml:space="preserve"> </w:t>
      </w:r>
      <w:r w:rsidRPr="006F2A29">
        <w:rPr>
          <w:noProof/>
        </w:rPr>
        <w:t>prima</w:t>
      </w:r>
      <w:r w:rsidRPr="00EE2CAE">
        <w:rPr>
          <w:noProof/>
          <w:lang w:val="sr-Latn-ME"/>
        </w:rPr>
        <w:t xml:space="preserve"> </w:t>
      </w:r>
      <w:r w:rsidRPr="006F2A29">
        <w:rPr>
          <w:noProof/>
        </w:rPr>
        <w:t>infliksimab</w:t>
      </w:r>
      <w:r w:rsidRPr="00EE2CAE">
        <w:rPr>
          <w:noProof/>
          <w:lang w:val="sr-Latn-ME"/>
        </w:rPr>
        <w:t xml:space="preserve">, </w:t>
      </w:r>
      <w:r w:rsidRPr="006F2A29">
        <w:rPr>
          <w:noProof/>
        </w:rPr>
        <w:t>sem</w:t>
      </w:r>
      <w:r w:rsidRPr="00EE2CAE">
        <w:rPr>
          <w:noProof/>
          <w:lang w:val="sr-Latn-ME"/>
        </w:rPr>
        <w:t xml:space="preserve"> </w:t>
      </w:r>
      <w:r w:rsidRPr="006F2A29">
        <w:rPr>
          <w:noProof/>
        </w:rPr>
        <w:t>ukoliko</w:t>
      </w:r>
      <w:r w:rsidRPr="00EE2CAE">
        <w:rPr>
          <w:noProof/>
          <w:lang w:val="sr-Latn-ME"/>
        </w:rPr>
        <w:t xml:space="preserve"> </w:t>
      </w:r>
      <w:r w:rsidRPr="006F2A29">
        <w:rPr>
          <w:noProof/>
        </w:rPr>
        <w:t>se</w:t>
      </w:r>
      <w:r w:rsidRPr="00EE2CAE">
        <w:rPr>
          <w:noProof/>
          <w:lang w:val="sr-Latn-ME"/>
        </w:rPr>
        <w:t xml:space="preserve"> </w:t>
      </w:r>
      <w:r w:rsidRPr="006F2A29">
        <w:rPr>
          <w:noProof/>
        </w:rPr>
        <w:t>nivoi</w:t>
      </w:r>
      <w:r w:rsidRPr="00EE2CAE">
        <w:rPr>
          <w:noProof/>
          <w:lang w:val="sr-Latn-ME"/>
        </w:rPr>
        <w:t xml:space="preserve"> </w:t>
      </w:r>
      <w:r w:rsidRPr="006F2A29">
        <w:rPr>
          <w:noProof/>
        </w:rPr>
        <w:t>infliksimaba</w:t>
      </w:r>
      <w:r w:rsidRPr="00EE2CAE">
        <w:rPr>
          <w:noProof/>
          <w:lang w:val="sr-Latn-ME"/>
        </w:rPr>
        <w:t xml:space="preserve"> </w:t>
      </w:r>
      <w:r w:rsidRPr="006F2A29">
        <w:rPr>
          <w:noProof/>
        </w:rPr>
        <w:t>u</w:t>
      </w:r>
      <w:r w:rsidRPr="00EE2CAE">
        <w:rPr>
          <w:noProof/>
          <w:lang w:val="sr-Latn-ME"/>
        </w:rPr>
        <w:t xml:space="preserve"> </w:t>
      </w:r>
      <w:r w:rsidRPr="006F2A29">
        <w:rPr>
          <w:noProof/>
        </w:rPr>
        <w:t>serumu</w:t>
      </w:r>
      <w:r w:rsidRPr="00EE2CAE">
        <w:rPr>
          <w:noProof/>
          <w:lang w:val="sr-Latn-ME"/>
        </w:rPr>
        <w:t xml:space="preserve"> </w:t>
      </w:r>
      <w:r w:rsidRPr="006F2A29">
        <w:rPr>
          <w:noProof/>
        </w:rPr>
        <w:t>novoro</w:t>
      </w:r>
      <w:r w:rsidRPr="00EE2CAE">
        <w:rPr>
          <w:noProof/>
          <w:lang w:val="sr-Latn-ME"/>
        </w:rPr>
        <w:t>đ</w:t>
      </w:r>
      <w:r w:rsidRPr="006F2A29">
        <w:rPr>
          <w:noProof/>
        </w:rPr>
        <w:t>en</w:t>
      </w:r>
      <w:r w:rsidRPr="00EE2CAE">
        <w:rPr>
          <w:noProof/>
          <w:lang w:val="sr-Latn-ME"/>
        </w:rPr>
        <w:t>č</w:t>
      </w:r>
      <w:r w:rsidRPr="006F2A29">
        <w:rPr>
          <w:noProof/>
        </w:rPr>
        <w:t>eta</w:t>
      </w:r>
      <w:r w:rsidRPr="00EE2CAE">
        <w:rPr>
          <w:noProof/>
          <w:lang w:val="sr-Latn-ME"/>
        </w:rPr>
        <w:t xml:space="preserve"> </w:t>
      </w:r>
      <w:r w:rsidRPr="006F2A29">
        <w:rPr>
          <w:noProof/>
        </w:rPr>
        <w:t>ne</w:t>
      </w:r>
      <w:r w:rsidRPr="00EE2CAE">
        <w:rPr>
          <w:noProof/>
          <w:lang w:val="sr-Latn-ME"/>
        </w:rPr>
        <w:t xml:space="preserve"> </w:t>
      </w:r>
      <w:r w:rsidRPr="006F2A29">
        <w:rPr>
          <w:noProof/>
        </w:rPr>
        <w:t>mogu</w:t>
      </w:r>
      <w:r w:rsidRPr="00EE2CAE">
        <w:rPr>
          <w:noProof/>
          <w:lang w:val="sr-Latn-ME"/>
        </w:rPr>
        <w:t xml:space="preserve"> </w:t>
      </w:r>
      <w:r w:rsidRPr="006F2A29">
        <w:rPr>
          <w:noProof/>
        </w:rPr>
        <w:t>odrediti</w:t>
      </w:r>
      <w:r w:rsidRPr="00EE2CAE">
        <w:rPr>
          <w:noProof/>
          <w:lang w:val="sr-Latn-ME"/>
        </w:rPr>
        <w:t xml:space="preserve"> (</w:t>
      </w:r>
      <w:r w:rsidRPr="006F2A29">
        <w:rPr>
          <w:noProof/>
        </w:rPr>
        <w:t>vidjeti</w:t>
      </w:r>
      <w:r w:rsidRPr="00EE2CAE">
        <w:rPr>
          <w:noProof/>
          <w:lang w:val="sr-Latn-ME"/>
        </w:rPr>
        <w:t xml:space="preserve"> </w:t>
      </w:r>
      <w:r w:rsidRPr="006F2A29">
        <w:rPr>
          <w:noProof/>
        </w:rPr>
        <w:t>djelove </w:t>
      </w:r>
      <w:r w:rsidRPr="00EE2CAE">
        <w:rPr>
          <w:noProof/>
          <w:lang w:val="sr-Latn-ME"/>
        </w:rPr>
        <w:t xml:space="preserve">4.4 </w:t>
      </w:r>
      <w:r w:rsidRPr="006F2A29">
        <w:rPr>
          <w:noProof/>
        </w:rPr>
        <w:t>i</w:t>
      </w:r>
      <w:r w:rsidRPr="00EE2CAE">
        <w:rPr>
          <w:noProof/>
          <w:lang w:val="sr-Latn-ME"/>
        </w:rPr>
        <w:t xml:space="preserve"> 4.6).</w:t>
      </w:r>
    </w:p>
    <w:p w14:paraId="20ECE3C4" w14:textId="77777777" w:rsidR="00C175E4" w:rsidRPr="00D768EF" w:rsidRDefault="00C175E4" w:rsidP="00C175E4">
      <w:pPr>
        <w:tabs>
          <w:tab w:val="clear" w:pos="284"/>
        </w:tabs>
        <w:autoSpaceDE w:val="0"/>
        <w:autoSpaceDN w:val="0"/>
        <w:adjustRightInd w:val="0"/>
        <w:rPr>
          <w:color w:val="000000"/>
          <w:szCs w:val="22"/>
          <w:lang w:val="sr-Latn-ME"/>
        </w:rPr>
      </w:pPr>
    </w:p>
    <w:p w14:paraId="3AEAA999" w14:textId="47C36377" w:rsidR="00C175E4" w:rsidRPr="00D768EF" w:rsidRDefault="00C175E4" w:rsidP="00C175E4">
      <w:pPr>
        <w:tabs>
          <w:tab w:val="clear" w:pos="284"/>
        </w:tabs>
        <w:autoSpaceDE w:val="0"/>
        <w:autoSpaceDN w:val="0"/>
        <w:adjustRightInd w:val="0"/>
        <w:rPr>
          <w:szCs w:val="22"/>
          <w:lang w:val="sr-Latn-ME"/>
        </w:rPr>
      </w:pPr>
      <w:r w:rsidRPr="00D768EF">
        <w:rPr>
          <w:szCs w:val="22"/>
          <w:lang w:val="sr-Latn-ME"/>
        </w:rPr>
        <w:t xml:space="preserve">Ne preporučuje se istovremena </w:t>
      </w:r>
      <w:r w:rsidR="00D57936" w:rsidRPr="00D768EF">
        <w:rPr>
          <w:szCs w:val="22"/>
          <w:lang w:val="sr-Latn-ME"/>
        </w:rPr>
        <w:t>primjena</w:t>
      </w:r>
      <w:r w:rsidRPr="00D768EF">
        <w:rPr>
          <w:szCs w:val="22"/>
          <w:lang w:val="sr-Latn-ME"/>
        </w:rPr>
        <w:t xml:space="preserve"> infektivnih agenasa </w:t>
      </w:r>
      <w:r w:rsidR="00714FE9" w:rsidRPr="00D768EF">
        <w:rPr>
          <w:szCs w:val="22"/>
          <w:lang w:val="sr-Latn-ME"/>
        </w:rPr>
        <w:t xml:space="preserve">u terapijske svrhe </w:t>
      </w:r>
      <w:r w:rsidRPr="00D768EF">
        <w:rPr>
          <w:szCs w:val="22"/>
          <w:lang w:val="sr-Latn-ME"/>
        </w:rPr>
        <w:t xml:space="preserve">sa </w:t>
      </w:r>
      <w:r w:rsidR="00D36568" w:rsidRPr="00D768EF">
        <w:rPr>
          <w:color w:val="000000"/>
          <w:szCs w:val="22"/>
          <w:lang w:val="sr-Latn-ME"/>
        </w:rPr>
        <w:t>infliksimabom</w:t>
      </w:r>
      <w:r w:rsidRPr="00D768EF">
        <w:rPr>
          <w:szCs w:val="22"/>
          <w:lang w:val="sr-Latn-ME"/>
        </w:rPr>
        <w:t xml:space="preserve"> (</w:t>
      </w:r>
      <w:r w:rsidR="00282A1E" w:rsidRPr="00D768EF">
        <w:rPr>
          <w:szCs w:val="22"/>
          <w:lang w:val="sr-Latn-ME"/>
        </w:rPr>
        <w:t>vidjeti</w:t>
      </w:r>
      <w:r w:rsidRPr="00D768EF">
        <w:rPr>
          <w:szCs w:val="22"/>
          <w:lang w:val="sr-Latn-ME"/>
        </w:rPr>
        <w:t xml:space="preserve"> </w:t>
      </w:r>
      <w:r w:rsidR="00454E9F" w:rsidRPr="00D768EF">
        <w:rPr>
          <w:szCs w:val="22"/>
          <w:lang w:val="sr-Latn-ME"/>
        </w:rPr>
        <w:t>dio</w:t>
      </w:r>
      <w:r w:rsidRPr="00D768EF">
        <w:rPr>
          <w:szCs w:val="22"/>
          <w:lang w:val="sr-Latn-ME"/>
        </w:rPr>
        <w:t xml:space="preserve"> 4.4).</w:t>
      </w:r>
    </w:p>
    <w:p w14:paraId="577932CA" w14:textId="77777777" w:rsidR="00C175E4" w:rsidRPr="00D768EF" w:rsidRDefault="00C175E4" w:rsidP="00305384">
      <w:pPr>
        <w:pStyle w:val="Default"/>
        <w:rPr>
          <w:sz w:val="22"/>
          <w:szCs w:val="22"/>
          <w:lang w:val="sr-Latn-ME"/>
        </w:rPr>
      </w:pPr>
    </w:p>
    <w:p w14:paraId="5F9E51E9" w14:textId="6FFB4185" w:rsidR="00CE09F3" w:rsidRPr="00D768EF" w:rsidRDefault="00CE09F3" w:rsidP="00307FEE">
      <w:pPr>
        <w:keepNext/>
        <w:rPr>
          <w:b/>
          <w:bCs/>
          <w:szCs w:val="22"/>
          <w:lang w:val="sr-Latn-ME"/>
        </w:rPr>
      </w:pPr>
      <w:r w:rsidRPr="00D768EF">
        <w:rPr>
          <w:b/>
          <w:bCs/>
          <w:szCs w:val="22"/>
          <w:lang w:val="sr-Latn-ME"/>
        </w:rPr>
        <w:t>4.6. Plodnost, trudnoća i dojenje</w:t>
      </w:r>
    </w:p>
    <w:p w14:paraId="57B95260" w14:textId="77777777" w:rsidR="00CE09F3" w:rsidRPr="00D768EF" w:rsidRDefault="00CE09F3" w:rsidP="00923865">
      <w:pPr>
        <w:rPr>
          <w:szCs w:val="22"/>
          <w:lang w:val="sr-Latn-ME"/>
        </w:rPr>
      </w:pPr>
    </w:p>
    <w:p w14:paraId="7B9A1AF1" w14:textId="77777777" w:rsidR="00C175E4" w:rsidRPr="00D768EF" w:rsidRDefault="00C175E4" w:rsidP="00C175E4">
      <w:pPr>
        <w:rPr>
          <w:szCs w:val="22"/>
          <w:u w:val="single"/>
          <w:lang w:val="sr-Latn-ME"/>
        </w:rPr>
      </w:pPr>
      <w:r w:rsidRPr="00D768EF">
        <w:rPr>
          <w:szCs w:val="22"/>
          <w:u w:val="single"/>
          <w:lang w:val="sr-Latn-ME"/>
        </w:rPr>
        <w:t xml:space="preserve">Žene </w:t>
      </w:r>
      <w:r w:rsidR="00622285" w:rsidRPr="00D768EF">
        <w:rPr>
          <w:szCs w:val="22"/>
          <w:u w:val="single"/>
          <w:lang w:val="sr-Latn-ME"/>
        </w:rPr>
        <w:t>u reproduktivnom periodu</w:t>
      </w:r>
    </w:p>
    <w:p w14:paraId="6208893C" w14:textId="6E3ADDA1" w:rsidR="00C175E4" w:rsidRPr="00D768EF" w:rsidRDefault="00C175E4" w:rsidP="00C175E4">
      <w:pPr>
        <w:rPr>
          <w:szCs w:val="22"/>
          <w:u w:val="single"/>
          <w:lang w:val="sr-Latn-ME"/>
        </w:rPr>
      </w:pPr>
      <w:r w:rsidRPr="00D768EF">
        <w:rPr>
          <w:szCs w:val="22"/>
          <w:lang w:val="sr-Latn-ME"/>
        </w:rPr>
        <w:t xml:space="preserve">Žene </w:t>
      </w:r>
      <w:r w:rsidR="00622285" w:rsidRPr="00D768EF">
        <w:rPr>
          <w:szCs w:val="22"/>
          <w:lang w:val="sr-Latn-ME"/>
        </w:rPr>
        <w:t>u reproduktivnom periodu</w:t>
      </w:r>
      <w:r w:rsidRPr="00D768EF">
        <w:rPr>
          <w:szCs w:val="22"/>
          <w:lang w:val="sr-Latn-ME"/>
        </w:rPr>
        <w:t xml:space="preserve"> </w:t>
      </w:r>
      <w:r w:rsidR="00622285" w:rsidRPr="00D768EF">
        <w:rPr>
          <w:szCs w:val="22"/>
          <w:lang w:val="sr-Latn-ME"/>
        </w:rPr>
        <w:t>treba da razmotre prim</w:t>
      </w:r>
      <w:r w:rsidR="00E15B31" w:rsidRPr="00D768EF">
        <w:rPr>
          <w:szCs w:val="22"/>
          <w:lang w:val="sr-Latn-ME"/>
        </w:rPr>
        <w:t>j</w:t>
      </w:r>
      <w:r w:rsidR="00622285" w:rsidRPr="00D768EF">
        <w:rPr>
          <w:szCs w:val="22"/>
          <w:lang w:val="sr-Latn-ME"/>
        </w:rPr>
        <w:t>enu</w:t>
      </w:r>
      <w:r w:rsidRPr="00D768EF">
        <w:rPr>
          <w:color w:val="000000"/>
          <w:szCs w:val="22"/>
          <w:lang w:val="sr-Latn-ME"/>
        </w:rPr>
        <w:t xml:space="preserve"> </w:t>
      </w:r>
      <w:r w:rsidR="00714FE9" w:rsidRPr="00D768EF">
        <w:rPr>
          <w:szCs w:val="22"/>
          <w:lang w:val="sr-Latn-ME"/>
        </w:rPr>
        <w:t>adekvatne</w:t>
      </w:r>
      <w:r w:rsidR="00714FE9" w:rsidRPr="00D768EF">
        <w:rPr>
          <w:color w:val="000000"/>
          <w:szCs w:val="22"/>
          <w:lang w:val="sr-Latn-ME"/>
        </w:rPr>
        <w:t xml:space="preserve"> </w:t>
      </w:r>
      <w:r w:rsidRPr="00D768EF">
        <w:rPr>
          <w:color w:val="000000"/>
          <w:szCs w:val="22"/>
          <w:lang w:val="sr-Latn-ME"/>
        </w:rPr>
        <w:t>kontracepcij</w:t>
      </w:r>
      <w:r w:rsidR="00622285" w:rsidRPr="00D768EF">
        <w:rPr>
          <w:color w:val="000000"/>
          <w:szCs w:val="22"/>
          <w:lang w:val="sr-Latn-ME"/>
        </w:rPr>
        <w:t>e</w:t>
      </w:r>
      <w:r w:rsidRPr="00D768EF">
        <w:rPr>
          <w:color w:val="000000"/>
          <w:szCs w:val="22"/>
          <w:lang w:val="sr-Latn-ME"/>
        </w:rPr>
        <w:t xml:space="preserve"> da bi spr</w:t>
      </w:r>
      <w:r w:rsidR="00E15B31" w:rsidRPr="00D768EF">
        <w:rPr>
          <w:color w:val="000000"/>
          <w:szCs w:val="22"/>
          <w:lang w:val="sr-Latn-ME"/>
        </w:rPr>
        <w:t>ij</w:t>
      </w:r>
      <w:r w:rsidRPr="00D768EF">
        <w:rPr>
          <w:color w:val="000000"/>
          <w:szCs w:val="22"/>
          <w:lang w:val="sr-Latn-ME"/>
        </w:rPr>
        <w:t xml:space="preserve">ečile trudnoću </w:t>
      </w:r>
      <w:r w:rsidR="00622285" w:rsidRPr="00D768EF">
        <w:rPr>
          <w:color w:val="000000"/>
          <w:szCs w:val="22"/>
          <w:lang w:val="sr-Latn-ME"/>
        </w:rPr>
        <w:t xml:space="preserve">tokom </w:t>
      </w:r>
      <w:r w:rsidR="00D57936" w:rsidRPr="00D768EF">
        <w:rPr>
          <w:color w:val="000000"/>
          <w:szCs w:val="22"/>
          <w:lang w:val="sr-Latn-ME"/>
        </w:rPr>
        <w:t>liječe</w:t>
      </w:r>
      <w:r w:rsidR="00622285" w:rsidRPr="00D768EF">
        <w:rPr>
          <w:color w:val="000000"/>
          <w:szCs w:val="22"/>
          <w:lang w:val="sr-Latn-ME"/>
        </w:rPr>
        <w:t>nja</w:t>
      </w:r>
      <w:r w:rsidR="009B0011" w:rsidRPr="00D768EF">
        <w:rPr>
          <w:color w:val="000000"/>
          <w:szCs w:val="22"/>
          <w:lang w:val="sr-Latn-ME"/>
        </w:rPr>
        <w:t xml:space="preserve"> </w:t>
      </w:r>
      <w:r w:rsidRPr="00D768EF">
        <w:rPr>
          <w:color w:val="000000"/>
          <w:szCs w:val="22"/>
          <w:lang w:val="sr-Latn-ME"/>
        </w:rPr>
        <w:t>i najmanje 6 m</w:t>
      </w:r>
      <w:r w:rsidR="00E15B31" w:rsidRPr="00D768EF">
        <w:rPr>
          <w:color w:val="000000"/>
          <w:szCs w:val="22"/>
          <w:lang w:val="sr-Latn-ME"/>
        </w:rPr>
        <w:t>j</w:t>
      </w:r>
      <w:r w:rsidRPr="00D768EF">
        <w:rPr>
          <w:color w:val="000000"/>
          <w:szCs w:val="22"/>
          <w:lang w:val="sr-Latn-ME"/>
        </w:rPr>
        <w:t>eseci posl</w:t>
      </w:r>
      <w:r w:rsidR="00CF5D59">
        <w:rPr>
          <w:color w:val="000000"/>
          <w:szCs w:val="22"/>
          <w:lang w:val="sr-Latn-ME"/>
        </w:rPr>
        <w:t>ij</w:t>
      </w:r>
      <w:r w:rsidRPr="00D768EF">
        <w:rPr>
          <w:color w:val="000000"/>
          <w:szCs w:val="22"/>
          <w:lang w:val="sr-Latn-ME"/>
        </w:rPr>
        <w:t>e posl</w:t>
      </w:r>
      <w:r w:rsidR="00E15B31" w:rsidRPr="00D768EF">
        <w:rPr>
          <w:color w:val="000000"/>
          <w:szCs w:val="22"/>
          <w:lang w:val="sr-Latn-ME"/>
        </w:rPr>
        <w:t>j</w:t>
      </w:r>
      <w:r w:rsidRPr="00D768EF">
        <w:rPr>
          <w:color w:val="000000"/>
          <w:szCs w:val="22"/>
          <w:lang w:val="sr-Latn-ME"/>
        </w:rPr>
        <w:t xml:space="preserve">ednje doze </w:t>
      </w:r>
      <w:r w:rsidR="00D36568" w:rsidRPr="00D768EF">
        <w:rPr>
          <w:color w:val="000000"/>
          <w:szCs w:val="22"/>
          <w:lang w:val="sr-Latn-ME"/>
        </w:rPr>
        <w:t>infliksimaba</w:t>
      </w:r>
      <w:r w:rsidRPr="00D768EF">
        <w:rPr>
          <w:color w:val="000000"/>
          <w:szCs w:val="22"/>
          <w:lang w:val="sr-Latn-ME"/>
        </w:rPr>
        <w:t>.</w:t>
      </w:r>
      <w:r w:rsidR="00622285" w:rsidRPr="00D768EF">
        <w:rPr>
          <w:szCs w:val="22"/>
          <w:lang w:val="sr-Latn-ME"/>
        </w:rPr>
        <w:t xml:space="preserve"> </w:t>
      </w:r>
    </w:p>
    <w:p w14:paraId="7C859C08" w14:textId="77777777" w:rsidR="00C175E4" w:rsidRPr="00D768EF" w:rsidRDefault="00C175E4" w:rsidP="00C175E4">
      <w:pPr>
        <w:rPr>
          <w:szCs w:val="22"/>
          <w:u w:val="single"/>
          <w:lang w:val="sr-Latn-ME"/>
        </w:rPr>
      </w:pPr>
    </w:p>
    <w:p w14:paraId="2CBFEBEC" w14:textId="77777777" w:rsidR="00C175E4" w:rsidRPr="00D768EF" w:rsidRDefault="00C175E4" w:rsidP="00C175E4">
      <w:pPr>
        <w:rPr>
          <w:szCs w:val="22"/>
          <w:u w:val="single"/>
          <w:lang w:val="sr-Latn-ME"/>
        </w:rPr>
      </w:pPr>
      <w:r w:rsidRPr="00D768EF">
        <w:rPr>
          <w:szCs w:val="22"/>
          <w:u w:val="single"/>
          <w:lang w:val="sr-Latn-ME"/>
        </w:rPr>
        <w:lastRenderedPageBreak/>
        <w:t>Trudnoća</w:t>
      </w:r>
    </w:p>
    <w:p w14:paraId="59CA90E1" w14:textId="1FE848CB" w:rsidR="00B945CF" w:rsidRPr="00D768EF" w:rsidRDefault="00714FE9" w:rsidP="00C175E4">
      <w:pPr>
        <w:rPr>
          <w:color w:val="000000"/>
          <w:szCs w:val="22"/>
          <w:lang w:val="sr-Latn-ME"/>
        </w:rPr>
      </w:pPr>
      <w:r w:rsidRPr="00D768EF">
        <w:rPr>
          <w:szCs w:val="22"/>
          <w:lang w:val="sr-Latn-ME"/>
        </w:rPr>
        <w:t>Umjeren broj p</w:t>
      </w:r>
      <w:r w:rsidR="00C175E4" w:rsidRPr="00D768EF">
        <w:rPr>
          <w:szCs w:val="22"/>
          <w:lang w:val="sr-Latn-ME"/>
        </w:rPr>
        <w:t>rospektivno prikupljeni</w:t>
      </w:r>
      <w:r w:rsidRPr="00D768EF">
        <w:rPr>
          <w:szCs w:val="22"/>
          <w:lang w:val="sr-Latn-ME"/>
        </w:rPr>
        <w:t>h</w:t>
      </w:r>
      <w:r w:rsidR="00C175E4" w:rsidRPr="00D768EF">
        <w:rPr>
          <w:szCs w:val="22"/>
          <w:lang w:val="sr-Latn-ME"/>
        </w:rPr>
        <w:t xml:space="preserve"> </w:t>
      </w:r>
      <w:r w:rsidRPr="00D768EF">
        <w:rPr>
          <w:szCs w:val="22"/>
          <w:lang w:val="sr-Latn-ME"/>
        </w:rPr>
        <w:t>slučajeva</w:t>
      </w:r>
      <w:r w:rsidR="00C175E4" w:rsidRPr="00D768EF">
        <w:rPr>
          <w:szCs w:val="22"/>
          <w:lang w:val="sr-Latn-ME"/>
        </w:rPr>
        <w:t xml:space="preserve"> trudnoća izloženih infliksimabu </w:t>
      </w:r>
      <w:r w:rsidRPr="00D768EF">
        <w:rPr>
          <w:szCs w:val="22"/>
          <w:lang w:val="sr-Latn-ME"/>
        </w:rPr>
        <w:t>koje su završene živim rađanjem sa</w:t>
      </w:r>
      <w:r w:rsidR="00C175E4" w:rsidRPr="00D768EF">
        <w:rPr>
          <w:szCs w:val="22"/>
          <w:lang w:val="sr-Latn-ME"/>
        </w:rPr>
        <w:t xml:space="preserve"> poznat</w:t>
      </w:r>
      <w:r w:rsidRPr="00D768EF">
        <w:rPr>
          <w:szCs w:val="22"/>
          <w:lang w:val="sr-Latn-ME"/>
        </w:rPr>
        <w:t>im ishodima</w:t>
      </w:r>
      <w:r w:rsidR="00D147AF" w:rsidRPr="00D768EF">
        <w:rPr>
          <w:szCs w:val="22"/>
          <w:lang w:val="sr-Latn-ME"/>
        </w:rPr>
        <w:t>,</w:t>
      </w:r>
      <w:r w:rsidR="00622285" w:rsidRPr="00D768EF">
        <w:rPr>
          <w:szCs w:val="22"/>
          <w:lang w:val="sr-Latn-ME"/>
        </w:rPr>
        <w:t xml:space="preserve"> </w:t>
      </w:r>
      <w:r w:rsidR="00C175E4" w:rsidRPr="00D768EF">
        <w:rPr>
          <w:szCs w:val="22"/>
          <w:lang w:val="sr-Latn-ME"/>
        </w:rPr>
        <w:t xml:space="preserve">uključujući oko </w:t>
      </w:r>
      <w:r w:rsidR="00B945CF" w:rsidRPr="00D768EF">
        <w:rPr>
          <w:szCs w:val="22"/>
          <w:lang w:val="sr-Latn-ME"/>
        </w:rPr>
        <w:t xml:space="preserve">1100 </w:t>
      </w:r>
      <w:r w:rsidR="00C175E4" w:rsidRPr="00D768EF">
        <w:rPr>
          <w:szCs w:val="22"/>
          <w:lang w:val="sr-Latn-ME"/>
        </w:rPr>
        <w:t xml:space="preserve">trudnoća izloženih u toku prvog </w:t>
      </w:r>
      <w:r w:rsidRPr="00D768EF">
        <w:rPr>
          <w:szCs w:val="22"/>
          <w:lang w:val="sr-Latn-ME"/>
        </w:rPr>
        <w:t>trimestra</w:t>
      </w:r>
      <w:r w:rsidR="00C175E4" w:rsidRPr="00D768EF">
        <w:rPr>
          <w:szCs w:val="22"/>
          <w:lang w:val="sr-Latn-ME"/>
        </w:rPr>
        <w:t>, nisu pokazali</w:t>
      </w:r>
      <w:r w:rsidR="00743D37" w:rsidRPr="00D768EF">
        <w:rPr>
          <w:szCs w:val="22"/>
          <w:lang w:val="sr-Latn-ME"/>
        </w:rPr>
        <w:t xml:space="preserve"> </w:t>
      </w:r>
      <w:r w:rsidR="00B945CF" w:rsidRPr="00D768EF">
        <w:rPr>
          <w:szCs w:val="22"/>
          <w:lang w:val="sr-Latn-ME"/>
        </w:rPr>
        <w:t>povećanu stopu malformacija kod novorođenč</w:t>
      </w:r>
      <w:r w:rsidR="00743D37" w:rsidRPr="00D768EF">
        <w:rPr>
          <w:szCs w:val="22"/>
          <w:lang w:val="sr-Latn-ME"/>
        </w:rPr>
        <w:t>adi</w:t>
      </w:r>
      <w:r w:rsidR="00C175E4" w:rsidRPr="00D768EF">
        <w:rPr>
          <w:color w:val="000000"/>
          <w:szCs w:val="22"/>
          <w:lang w:val="sr-Latn-ME"/>
        </w:rPr>
        <w:t xml:space="preserve">. </w:t>
      </w:r>
    </w:p>
    <w:p w14:paraId="4B24E0E7" w14:textId="77777777" w:rsidR="00B945CF" w:rsidRPr="00D768EF" w:rsidRDefault="00B945CF" w:rsidP="00C175E4">
      <w:pPr>
        <w:rPr>
          <w:color w:val="000000"/>
          <w:szCs w:val="22"/>
          <w:lang w:val="sr-Latn-ME"/>
        </w:rPr>
      </w:pPr>
    </w:p>
    <w:p w14:paraId="60D4DD9A" w14:textId="1295DAB7" w:rsidR="00B945CF" w:rsidRPr="00D768EF" w:rsidRDefault="00B945CF" w:rsidP="00C175E4">
      <w:pPr>
        <w:rPr>
          <w:color w:val="000000"/>
          <w:szCs w:val="22"/>
          <w:lang w:val="sr-Latn-ME"/>
        </w:rPr>
      </w:pPr>
      <w:r w:rsidRPr="00D768EF">
        <w:rPr>
          <w:color w:val="000000"/>
          <w:szCs w:val="22"/>
          <w:lang w:val="sr-Latn-ME"/>
        </w:rPr>
        <w:t>Na osnovu opservacione studije iz Severne Evrope, kod žena koje su tokom trudnoće bile izložene infliksimabu (sa ili bez prim</w:t>
      </w:r>
      <w:r w:rsidR="00E15B31" w:rsidRPr="00D768EF">
        <w:rPr>
          <w:color w:val="000000"/>
          <w:szCs w:val="22"/>
          <w:lang w:val="sr-Latn-ME"/>
        </w:rPr>
        <w:t>j</w:t>
      </w:r>
      <w:r w:rsidRPr="00D768EF">
        <w:rPr>
          <w:color w:val="000000"/>
          <w:szCs w:val="22"/>
          <w:lang w:val="sr-Latn-ME"/>
        </w:rPr>
        <w:t>ene imunomodulatora/kortikosteroida, 270 trudnoća) prim</w:t>
      </w:r>
      <w:r w:rsidR="00E15B31" w:rsidRPr="00D768EF">
        <w:rPr>
          <w:color w:val="000000"/>
          <w:szCs w:val="22"/>
          <w:lang w:val="sr-Latn-ME"/>
        </w:rPr>
        <w:t>ij</w:t>
      </w:r>
      <w:r w:rsidRPr="00D768EF">
        <w:rPr>
          <w:color w:val="000000"/>
          <w:szCs w:val="22"/>
          <w:lang w:val="sr-Latn-ME"/>
        </w:rPr>
        <w:t>ećen je povećan rizik (</w:t>
      </w:r>
      <w:r w:rsidRPr="00D768EF">
        <w:rPr>
          <w:lang w:val="sr-Latn-ME"/>
        </w:rPr>
        <w:t>OR; 95% CI; p-</w:t>
      </w:r>
      <w:r w:rsidR="008A0A5C" w:rsidRPr="00D768EF">
        <w:rPr>
          <w:lang w:val="sr-Latn-ME"/>
        </w:rPr>
        <w:t>vrijedno</w:t>
      </w:r>
      <w:r w:rsidRPr="00D768EF">
        <w:rPr>
          <w:lang w:val="sr-Latn-ME"/>
        </w:rPr>
        <w:t xml:space="preserve">st) od carskog reza (1,50; 1,14-1,96; p=0,0032), prevremenog </w:t>
      </w:r>
      <w:r w:rsidR="007D1397" w:rsidRPr="00D768EF">
        <w:rPr>
          <w:lang w:val="sr-Latn-ME"/>
        </w:rPr>
        <w:t>porođaja</w:t>
      </w:r>
      <w:r w:rsidRPr="00D768EF">
        <w:rPr>
          <w:lang w:val="sr-Latn-ME"/>
        </w:rPr>
        <w:t xml:space="preserve"> (1,48; 1</w:t>
      </w:r>
      <w:r w:rsidR="00743D37" w:rsidRPr="00D768EF">
        <w:rPr>
          <w:lang w:val="sr-Latn-ME"/>
        </w:rPr>
        <w:t>,</w:t>
      </w:r>
      <w:r w:rsidRPr="00D768EF">
        <w:rPr>
          <w:lang w:val="sr-Latn-ME"/>
        </w:rPr>
        <w:t>05-2,09; p=0,024), male veličine ploda u odnosu na gestacionu dob (2</w:t>
      </w:r>
      <w:r w:rsidR="007D1397" w:rsidRPr="00D768EF">
        <w:rPr>
          <w:lang w:val="sr-Latn-ME"/>
        </w:rPr>
        <w:t>,</w:t>
      </w:r>
      <w:r w:rsidRPr="00D768EF">
        <w:rPr>
          <w:lang w:val="sr-Latn-ME"/>
        </w:rPr>
        <w:t>79</w:t>
      </w:r>
      <w:r w:rsidR="007D1397" w:rsidRPr="00D768EF">
        <w:rPr>
          <w:lang w:val="sr-Latn-ME"/>
        </w:rPr>
        <w:t>;</w:t>
      </w:r>
      <w:r w:rsidRPr="00D768EF">
        <w:rPr>
          <w:lang w:val="sr-Latn-ME"/>
        </w:rPr>
        <w:t xml:space="preserve"> 1</w:t>
      </w:r>
      <w:r w:rsidR="007D1397" w:rsidRPr="00D768EF">
        <w:rPr>
          <w:lang w:val="sr-Latn-ME"/>
        </w:rPr>
        <w:t>,</w:t>
      </w:r>
      <w:r w:rsidRPr="00D768EF">
        <w:rPr>
          <w:lang w:val="sr-Latn-ME"/>
        </w:rPr>
        <w:t>54-5</w:t>
      </w:r>
      <w:r w:rsidR="007D1397" w:rsidRPr="00D768EF">
        <w:rPr>
          <w:lang w:val="sr-Latn-ME"/>
        </w:rPr>
        <w:t>,</w:t>
      </w:r>
      <w:r w:rsidRPr="00D768EF">
        <w:rPr>
          <w:lang w:val="sr-Latn-ME"/>
        </w:rPr>
        <w:t>04; p=0</w:t>
      </w:r>
      <w:r w:rsidR="007D1397" w:rsidRPr="00D768EF">
        <w:rPr>
          <w:lang w:val="sr-Latn-ME"/>
        </w:rPr>
        <w:t>,</w:t>
      </w:r>
      <w:r w:rsidRPr="00D768EF">
        <w:rPr>
          <w:lang w:val="sr-Latn-ME"/>
        </w:rPr>
        <w:t>0007)</w:t>
      </w:r>
      <w:r w:rsidR="00743D37" w:rsidRPr="00D768EF">
        <w:rPr>
          <w:lang w:val="sr-Latn-ME"/>
        </w:rPr>
        <w:t xml:space="preserve"> i</w:t>
      </w:r>
      <w:r w:rsidR="007D1397" w:rsidRPr="00D768EF">
        <w:rPr>
          <w:lang w:val="sr-Latn-ME"/>
        </w:rPr>
        <w:t xml:space="preserve"> male </w:t>
      </w:r>
      <w:r w:rsidR="00714FE9" w:rsidRPr="00D768EF">
        <w:rPr>
          <w:lang w:val="sr-Latn-ME"/>
        </w:rPr>
        <w:t>t</w:t>
      </w:r>
      <w:r w:rsidR="00853D98" w:rsidRPr="00D768EF">
        <w:rPr>
          <w:lang w:val="sr-Latn-ME"/>
        </w:rPr>
        <w:t>j</w:t>
      </w:r>
      <w:r w:rsidR="00714FE9" w:rsidRPr="00D768EF">
        <w:rPr>
          <w:lang w:val="sr-Latn-ME"/>
        </w:rPr>
        <w:t>elesne mase</w:t>
      </w:r>
      <w:r w:rsidR="007D1397" w:rsidRPr="00D768EF">
        <w:rPr>
          <w:lang w:val="sr-Latn-ME"/>
        </w:rPr>
        <w:t xml:space="preserve"> na rođenju</w:t>
      </w:r>
      <w:r w:rsidRPr="00D768EF">
        <w:rPr>
          <w:lang w:val="sr-Latn-ME"/>
        </w:rPr>
        <w:t xml:space="preserve"> (2</w:t>
      </w:r>
      <w:r w:rsidR="007D1397" w:rsidRPr="00D768EF">
        <w:rPr>
          <w:lang w:val="sr-Latn-ME"/>
        </w:rPr>
        <w:t>,</w:t>
      </w:r>
      <w:r w:rsidRPr="00D768EF">
        <w:rPr>
          <w:lang w:val="sr-Latn-ME"/>
        </w:rPr>
        <w:t>03</w:t>
      </w:r>
      <w:r w:rsidR="007D1397" w:rsidRPr="00D768EF">
        <w:rPr>
          <w:lang w:val="sr-Latn-ME"/>
        </w:rPr>
        <w:t>;</w:t>
      </w:r>
      <w:r w:rsidRPr="00D768EF">
        <w:rPr>
          <w:lang w:val="sr-Latn-ME"/>
        </w:rPr>
        <w:t xml:space="preserve"> 1</w:t>
      </w:r>
      <w:r w:rsidR="007D1397" w:rsidRPr="00D768EF">
        <w:rPr>
          <w:lang w:val="sr-Latn-ME"/>
        </w:rPr>
        <w:t>,</w:t>
      </w:r>
      <w:r w:rsidRPr="00D768EF">
        <w:rPr>
          <w:lang w:val="sr-Latn-ME"/>
        </w:rPr>
        <w:t>41-2</w:t>
      </w:r>
      <w:r w:rsidR="007D1397" w:rsidRPr="00D768EF">
        <w:rPr>
          <w:lang w:val="sr-Latn-ME"/>
        </w:rPr>
        <w:t>,</w:t>
      </w:r>
      <w:r w:rsidRPr="00D768EF">
        <w:rPr>
          <w:lang w:val="sr-Latn-ME"/>
        </w:rPr>
        <w:t>94; p=0</w:t>
      </w:r>
      <w:r w:rsidR="007D1397" w:rsidRPr="00D768EF">
        <w:rPr>
          <w:lang w:val="sr-Latn-ME"/>
        </w:rPr>
        <w:t>,</w:t>
      </w:r>
      <w:r w:rsidRPr="00D768EF">
        <w:rPr>
          <w:lang w:val="sr-Latn-ME"/>
        </w:rPr>
        <w:t>0002)</w:t>
      </w:r>
      <w:r w:rsidR="007D1397" w:rsidRPr="00D768EF">
        <w:rPr>
          <w:lang w:val="sr-Latn-ME"/>
        </w:rPr>
        <w:t xml:space="preserve"> u poređenju sa ženama koje su bile izložene samo imunomodulatorima i/ili kortikosteroidima (6460 trudnoća). </w:t>
      </w:r>
      <w:r w:rsidR="00714FE9" w:rsidRPr="00D768EF">
        <w:rPr>
          <w:lang w:val="sr-Latn-ME"/>
        </w:rPr>
        <w:t>Potencijalni doprinos</w:t>
      </w:r>
      <w:r w:rsidR="002C17C7" w:rsidRPr="00D768EF">
        <w:rPr>
          <w:lang w:val="sr-Latn-ME"/>
        </w:rPr>
        <w:t xml:space="preserve"> </w:t>
      </w:r>
      <w:r w:rsidR="007D1397" w:rsidRPr="00D768EF">
        <w:rPr>
          <w:lang w:val="sr-Latn-ME"/>
        </w:rPr>
        <w:t>izloženost</w:t>
      </w:r>
      <w:r w:rsidR="00714FE9" w:rsidRPr="00D768EF">
        <w:rPr>
          <w:lang w:val="sr-Latn-ME"/>
        </w:rPr>
        <w:t>i</w:t>
      </w:r>
      <w:r w:rsidR="007D1397" w:rsidRPr="00D768EF">
        <w:rPr>
          <w:lang w:val="sr-Latn-ME"/>
        </w:rPr>
        <w:t xml:space="preserve"> infliksimabu i/ili težin</w:t>
      </w:r>
      <w:r w:rsidR="00714FE9" w:rsidRPr="00D768EF">
        <w:rPr>
          <w:lang w:val="sr-Latn-ME"/>
        </w:rPr>
        <w:t>i</w:t>
      </w:r>
      <w:r w:rsidR="007D1397" w:rsidRPr="00D768EF">
        <w:rPr>
          <w:lang w:val="sr-Latn-ME"/>
        </w:rPr>
        <w:t xml:space="preserve"> </w:t>
      </w:r>
      <w:r w:rsidR="00714FE9" w:rsidRPr="00D768EF">
        <w:rPr>
          <w:lang w:val="sr-Latn-ME"/>
        </w:rPr>
        <w:t>osnovne</w:t>
      </w:r>
      <w:r w:rsidR="007D1397" w:rsidRPr="00D768EF">
        <w:rPr>
          <w:lang w:val="sr-Latn-ME"/>
        </w:rPr>
        <w:t xml:space="preserve"> bolesti</w:t>
      </w:r>
      <w:r w:rsidR="002C17C7" w:rsidRPr="00D768EF">
        <w:rPr>
          <w:lang w:val="sr-Latn-ME"/>
        </w:rPr>
        <w:t xml:space="preserve"> </w:t>
      </w:r>
      <w:r w:rsidR="00714FE9" w:rsidRPr="00D768EF">
        <w:rPr>
          <w:lang w:val="sr-Latn-ME"/>
        </w:rPr>
        <w:t>u ovim ishodima ostaje nejasna</w:t>
      </w:r>
      <w:r w:rsidR="002C17C7" w:rsidRPr="00D768EF">
        <w:rPr>
          <w:lang w:val="sr-Latn-ME"/>
        </w:rPr>
        <w:t>.</w:t>
      </w:r>
    </w:p>
    <w:p w14:paraId="6146350F" w14:textId="77777777" w:rsidR="00B945CF" w:rsidRPr="00D768EF" w:rsidRDefault="00B945CF" w:rsidP="00C175E4">
      <w:pPr>
        <w:rPr>
          <w:color w:val="000000"/>
          <w:szCs w:val="22"/>
          <w:lang w:val="sr-Latn-ME"/>
        </w:rPr>
      </w:pPr>
    </w:p>
    <w:p w14:paraId="5D6E71AA" w14:textId="6645E6C4" w:rsidR="00C175E4" w:rsidRPr="00D768EF" w:rsidRDefault="00C175E4" w:rsidP="00C175E4">
      <w:pPr>
        <w:rPr>
          <w:color w:val="000000"/>
          <w:szCs w:val="22"/>
          <w:lang w:val="sr-Latn-ME"/>
        </w:rPr>
      </w:pPr>
      <w:r w:rsidRPr="00D768EF">
        <w:rPr>
          <w:color w:val="000000"/>
          <w:szCs w:val="22"/>
          <w:lang w:val="sr-Latn-ME"/>
        </w:rPr>
        <w:t>Zbog toga što inhibira TNF</w:t>
      </w:r>
      <w:r w:rsidRPr="00D768EF">
        <w:rPr>
          <w:color w:val="000000"/>
          <w:szCs w:val="22"/>
          <w:lang w:val="sr-Latn-ME"/>
        </w:rPr>
        <w:sym w:font="Symbol" w:char="F061"/>
      </w:r>
      <w:r w:rsidRPr="00D768EF">
        <w:rPr>
          <w:color w:val="000000"/>
          <w:szCs w:val="22"/>
          <w:lang w:val="sr-Latn-ME"/>
        </w:rPr>
        <w:t xml:space="preserve">, </w:t>
      </w:r>
      <w:r w:rsidR="00D57936" w:rsidRPr="00D768EF">
        <w:rPr>
          <w:color w:val="000000"/>
          <w:szCs w:val="22"/>
          <w:lang w:val="sr-Latn-ME"/>
        </w:rPr>
        <w:t>primjena</w:t>
      </w:r>
      <w:r w:rsidRPr="00D768EF">
        <w:rPr>
          <w:color w:val="000000"/>
          <w:szCs w:val="22"/>
          <w:lang w:val="sr-Latn-ME"/>
        </w:rPr>
        <w:t xml:space="preserve"> infliksimaba tokom trudnoće može da utiče na normalan imunološki odgovor novorođenčeta. U </w:t>
      </w:r>
      <w:r w:rsidR="00714FE9" w:rsidRPr="00D768EF">
        <w:rPr>
          <w:color w:val="000000"/>
          <w:szCs w:val="22"/>
          <w:lang w:val="sr-Latn-ME"/>
        </w:rPr>
        <w:t>studiji o</w:t>
      </w:r>
      <w:r w:rsidRPr="00D768EF">
        <w:rPr>
          <w:color w:val="000000"/>
          <w:szCs w:val="22"/>
          <w:lang w:val="sr-Latn-ME"/>
        </w:rPr>
        <w:t xml:space="preserve"> razvojn</w:t>
      </w:r>
      <w:r w:rsidR="00714FE9" w:rsidRPr="00D768EF">
        <w:rPr>
          <w:color w:val="000000"/>
          <w:szCs w:val="22"/>
          <w:lang w:val="sr-Latn-ME"/>
        </w:rPr>
        <w:t>oj</w:t>
      </w:r>
      <w:r w:rsidRPr="00D768EF">
        <w:rPr>
          <w:color w:val="000000"/>
          <w:szCs w:val="22"/>
          <w:lang w:val="sr-Latn-ME"/>
        </w:rPr>
        <w:t xml:space="preserve"> toksičnosti koj</w:t>
      </w:r>
      <w:r w:rsidR="00714FE9" w:rsidRPr="00D768EF">
        <w:rPr>
          <w:color w:val="000000"/>
          <w:szCs w:val="22"/>
          <w:lang w:val="sr-Latn-ME"/>
        </w:rPr>
        <w:t>a</w:t>
      </w:r>
      <w:r w:rsidRPr="00D768EF">
        <w:rPr>
          <w:color w:val="000000"/>
          <w:szCs w:val="22"/>
          <w:lang w:val="sr-Latn-ME"/>
        </w:rPr>
        <w:t xml:space="preserve"> je sproveden</w:t>
      </w:r>
      <w:r w:rsidR="00714FE9" w:rsidRPr="00D768EF">
        <w:rPr>
          <w:color w:val="000000"/>
          <w:szCs w:val="22"/>
          <w:lang w:val="sr-Latn-ME"/>
        </w:rPr>
        <w:t>a</w:t>
      </w:r>
      <w:r w:rsidRPr="00D768EF">
        <w:rPr>
          <w:color w:val="000000"/>
          <w:szCs w:val="22"/>
          <w:lang w:val="sr-Latn-ME"/>
        </w:rPr>
        <w:t xml:space="preserve"> na miševima prim</w:t>
      </w:r>
      <w:r w:rsidR="00E15B31" w:rsidRPr="00D768EF">
        <w:rPr>
          <w:color w:val="000000"/>
          <w:szCs w:val="22"/>
          <w:lang w:val="sr-Latn-ME"/>
        </w:rPr>
        <w:t>j</w:t>
      </w:r>
      <w:r w:rsidRPr="00D768EF">
        <w:rPr>
          <w:color w:val="000000"/>
          <w:szCs w:val="22"/>
          <w:lang w:val="sr-Latn-ME"/>
        </w:rPr>
        <w:t xml:space="preserve">enom analognog </w:t>
      </w:r>
      <w:r w:rsidR="00220982" w:rsidRPr="00D768EF">
        <w:rPr>
          <w:color w:val="000000"/>
          <w:szCs w:val="22"/>
          <w:lang w:val="sr-Latn-ME"/>
        </w:rPr>
        <w:t>antitijel</w:t>
      </w:r>
      <w:r w:rsidRPr="00D768EF">
        <w:rPr>
          <w:color w:val="000000"/>
          <w:szCs w:val="22"/>
          <w:lang w:val="sr-Latn-ME"/>
        </w:rPr>
        <w:t>a koje selektivno inhibira funkcionalnu aktivnost mišjeg TNF</w:t>
      </w:r>
      <w:r w:rsidRPr="00D768EF">
        <w:rPr>
          <w:color w:val="000000"/>
          <w:szCs w:val="22"/>
          <w:lang w:val="sr-Latn-ME"/>
        </w:rPr>
        <w:sym w:font="Symbol" w:char="F061"/>
      </w:r>
      <w:r w:rsidRPr="00D768EF">
        <w:rPr>
          <w:color w:val="000000"/>
          <w:szCs w:val="22"/>
          <w:lang w:val="sr-Latn-ME"/>
        </w:rPr>
        <w:t>, nije bilo znakova toksičnosti kod majke, embriotoksičnosti, niti teratogenosti (</w:t>
      </w:r>
      <w:r w:rsidR="00282A1E" w:rsidRPr="00D768EF">
        <w:rPr>
          <w:color w:val="000000"/>
          <w:szCs w:val="22"/>
          <w:lang w:val="sr-Latn-ME"/>
        </w:rPr>
        <w:t>vidjeti</w:t>
      </w:r>
      <w:r w:rsidRPr="00D768EF">
        <w:rPr>
          <w:color w:val="000000"/>
          <w:szCs w:val="22"/>
          <w:lang w:val="sr-Latn-ME"/>
        </w:rPr>
        <w:t xml:space="preserve"> </w:t>
      </w:r>
      <w:r w:rsidR="00454E9F" w:rsidRPr="00D768EF">
        <w:rPr>
          <w:color w:val="000000"/>
          <w:szCs w:val="22"/>
          <w:lang w:val="sr-Latn-ME"/>
        </w:rPr>
        <w:t>dio</w:t>
      </w:r>
      <w:r w:rsidRPr="00D768EF">
        <w:rPr>
          <w:color w:val="000000"/>
          <w:szCs w:val="22"/>
          <w:lang w:val="sr-Latn-ME"/>
        </w:rPr>
        <w:t xml:space="preserve"> 5.3). </w:t>
      </w:r>
    </w:p>
    <w:p w14:paraId="710B7234" w14:textId="77777777" w:rsidR="009B0011" w:rsidRPr="00D768EF" w:rsidRDefault="009B0011" w:rsidP="00C175E4">
      <w:pPr>
        <w:rPr>
          <w:color w:val="000000"/>
          <w:szCs w:val="22"/>
          <w:lang w:val="sr-Latn-ME"/>
        </w:rPr>
      </w:pPr>
    </w:p>
    <w:p w14:paraId="5F2920DC" w14:textId="11FFE351" w:rsidR="00C175E4" w:rsidRPr="00D768EF" w:rsidRDefault="00C175E4" w:rsidP="00C175E4">
      <w:pPr>
        <w:rPr>
          <w:color w:val="000000"/>
          <w:szCs w:val="22"/>
          <w:lang w:val="sr-Latn-ME"/>
        </w:rPr>
      </w:pPr>
      <w:r w:rsidRPr="00D768EF">
        <w:rPr>
          <w:color w:val="000000"/>
          <w:szCs w:val="22"/>
          <w:lang w:val="sr-Latn-ME"/>
        </w:rPr>
        <w:t xml:space="preserve">Raspoloživo kliničko iskustvo je ograničeno. </w:t>
      </w:r>
      <w:r w:rsidR="009B0011" w:rsidRPr="00D768EF">
        <w:rPr>
          <w:szCs w:val="22"/>
          <w:lang w:val="sr-Latn-ME"/>
        </w:rPr>
        <w:t>Infliksimab se može prim</w:t>
      </w:r>
      <w:r w:rsidR="00E15B31" w:rsidRPr="00D768EF">
        <w:rPr>
          <w:szCs w:val="22"/>
          <w:lang w:val="sr-Latn-ME"/>
        </w:rPr>
        <w:t>j</w:t>
      </w:r>
      <w:r w:rsidR="009B0011" w:rsidRPr="00D768EF">
        <w:rPr>
          <w:szCs w:val="22"/>
          <w:lang w:val="sr-Latn-ME"/>
        </w:rPr>
        <w:t xml:space="preserve">enjivati tokom trudnoće samo ukoliko je </w:t>
      </w:r>
      <w:r w:rsidR="00714FE9" w:rsidRPr="00D768EF">
        <w:rPr>
          <w:szCs w:val="22"/>
          <w:lang w:val="sr-Latn-ME"/>
        </w:rPr>
        <w:t xml:space="preserve">izričito </w:t>
      </w:r>
      <w:r w:rsidR="009B0011" w:rsidRPr="00D768EF">
        <w:rPr>
          <w:szCs w:val="22"/>
          <w:lang w:val="sr-Latn-ME"/>
        </w:rPr>
        <w:t>neophodno.</w:t>
      </w:r>
    </w:p>
    <w:p w14:paraId="47DE8E62" w14:textId="77777777" w:rsidR="00C175E4" w:rsidRPr="00D768EF" w:rsidRDefault="00C175E4" w:rsidP="00C175E4">
      <w:pPr>
        <w:rPr>
          <w:color w:val="000000"/>
          <w:szCs w:val="22"/>
          <w:lang w:val="sr-Latn-ME"/>
        </w:rPr>
      </w:pPr>
    </w:p>
    <w:p w14:paraId="4009261C" w14:textId="1FB05F64" w:rsidR="00C175E4" w:rsidRPr="006F2A29" w:rsidRDefault="00C175E4" w:rsidP="00994895">
      <w:pPr>
        <w:rPr>
          <w:color w:val="000000"/>
          <w:szCs w:val="22"/>
          <w:lang w:val="sr-Latn-ME"/>
        </w:rPr>
      </w:pPr>
      <w:r w:rsidRPr="00D768EF">
        <w:rPr>
          <w:color w:val="000000"/>
          <w:szCs w:val="22"/>
          <w:lang w:val="sr-Latn-ME"/>
        </w:rPr>
        <w:t>Infliksimab prolazi kroz placentu i utvrđeno je njegovo prisustvo u serumu novorođenčadi u periodu</w:t>
      </w:r>
      <w:r w:rsidR="00714FE9" w:rsidRPr="00D768EF">
        <w:rPr>
          <w:color w:val="000000"/>
          <w:szCs w:val="22"/>
          <w:lang w:val="sr-Latn-ME"/>
        </w:rPr>
        <w:t xml:space="preserve"> i</w:t>
      </w:r>
      <w:r w:rsidRPr="00D768EF">
        <w:rPr>
          <w:color w:val="000000"/>
          <w:szCs w:val="22"/>
          <w:lang w:val="sr-Latn-ME"/>
        </w:rPr>
        <w:t xml:space="preserve"> do </w:t>
      </w:r>
      <w:r w:rsidR="00994895">
        <w:rPr>
          <w:color w:val="000000"/>
          <w:szCs w:val="22"/>
          <w:lang w:val="sr-Latn-ME"/>
        </w:rPr>
        <w:t>12 </w:t>
      </w:r>
      <w:r w:rsidRPr="00D768EF">
        <w:rPr>
          <w:color w:val="000000"/>
          <w:szCs w:val="22"/>
          <w:lang w:val="sr-Latn-ME"/>
        </w:rPr>
        <w:t>m</w:t>
      </w:r>
      <w:r w:rsidR="00E15B31" w:rsidRPr="00D768EF">
        <w:rPr>
          <w:color w:val="000000"/>
          <w:szCs w:val="22"/>
          <w:lang w:val="sr-Latn-ME"/>
        </w:rPr>
        <w:t>j</w:t>
      </w:r>
      <w:r w:rsidRPr="00D768EF">
        <w:rPr>
          <w:color w:val="000000"/>
          <w:szCs w:val="22"/>
          <w:lang w:val="sr-Latn-ME"/>
        </w:rPr>
        <w:t xml:space="preserve">eseci nakon rođenja. Novorođenčad nakon </w:t>
      </w:r>
      <w:r w:rsidRPr="00D768EF">
        <w:rPr>
          <w:i/>
          <w:color w:val="000000"/>
          <w:szCs w:val="22"/>
          <w:lang w:val="sr-Latn-ME"/>
        </w:rPr>
        <w:t>in utero</w:t>
      </w:r>
      <w:r w:rsidRPr="00D768EF">
        <w:rPr>
          <w:color w:val="000000"/>
          <w:szCs w:val="22"/>
          <w:lang w:val="sr-Latn-ME"/>
        </w:rPr>
        <w:t xml:space="preserve"> izlaganja infliksimabu mogu da budu pod povećanim rizikom od infekcije, </w:t>
      </w:r>
      <w:r w:rsidRPr="00D768EF">
        <w:rPr>
          <w:color w:val="000000"/>
          <w:szCs w:val="22"/>
          <w:lang w:val="sr-Latn-ME" w:eastAsia="sr-Latn-RS"/>
        </w:rPr>
        <w:t>uključujući ozbiljnu diseminovanu infekciju koja može da bude fatalna.</w:t>
      </w:r>
      <w:r w:rsidRPr="00D768EF">
        <w:rPr>
          <w:color w:val="000000"/>
          <w:szCs w:val="22"/>
          <w:lang w:val="sr-Latn-ME"/>
        </w:rPr>
        <w:t xml:space="preserve"> Davanje živih vakcina (npr. BCG vakcine) novorođenčadima izloženih </w:t>
      </w:r>
      <w:r w:rsidRPr="00D768EF">
        <w:rPr>
          <w:i/>
          <w:color w:val="000000"/>
          <w:szCs w:val="22"/>
          <w:lang w:val="sr-Latn-ME"/>
        </w:rPr>
        <w:t xml:space="preserve">in utero </w:t>
      </w:r>
      <w:r w:rsidRPr="00D768EF">
        <w:rPr>
          <w:color w:val="000000"/>
          <w:szCs w:val="22"/>
          <w:lang w:val="sr-Latn-ME"/>
        </w:rPr>
        <w:t xml:space="preserve">infliksimabu, ne preporučuje se u periodu od </w:t>
      </w:r>
      <w:r w:rsidR="00994895">
        <w:rPr>
          <w:color w:val="000000"/>
          <w:szCs w:val="22"/>
          <w:lang w:val="sr-Latn-ME"/>
        </w:rPr>
        <w:t>12 </w:t>
      </w:r>
      <w:r w:rsidRPr="00D768EF">
        <w:rPr>
          <w:color w:val="000000"/>
          <w:szCs w:val="22"/>
          <w:lang w:val="sr-Latn-ME"/>
        </w:rPr>
        <w:t>m</w:t>
      </w:r>
      <w:r w:rsidR="00E15B31" w:rsidRPr="00D768EF">
        <w:rPr>
          <w:color w:val="000000"/>
          <w:szCs w:val="22"/>
          <w:lang w:val="sr-Latn-ME"/>
        </w:rPr>
        <w:t>j</w:t>
      </w:r>
      <w:r w:rsidRPr="00D768EF">
        <w:rPr>
          <w:color w:val="000000"/>
          <w:szCs w:val="22"/>
          <w:lang w:val="sr-Latn-ME"/>
        </w:rPr>
        <w:t>eseci nakon rođenja (</w:t>
      </w:r>
      <w:r w:rsidR="00282A1E" w:rsidRPr="00D768EF">
        <w:rPr>
          <w:color w:val="000000"/>
          <w:szCs w:val="22"/>
          <w:lang w:val="sr-Latn-ME"/>
        </w:rPr>
        <w:t>vidjeti</w:t>
      </w:r>
      <w:r w:rsidRPr="00D768EF">
        <w:rPr>
          <w:color w:val="000000"/>
          <w:szCs w:val="22"/>
          <w:lang w:val="sr-Latn-ME"/>
        </w:rPr>
        <w:t xml:space="preserve"> </w:t>
      </w:r>
      <w:r w:rsidR="00282A1E" w:rsidRPr="00D768EF">
        <w:rPr>
          <w:color w:val="000000"/>
          <w:szCs w:val="22"/>
          <w:lang w:val="sr-Latn-ME"/>
        </w:rPr>
        <w:t>djelove</w:t>
      </w:r>
      <w:r w:rsidRPr="00D768EF">
        <w:rPr>
          <w:color w:val="000000"/>
          <w:szCs w:val="22"/>
          <w:lang w:val="sr-Latn-ME"/>
        </w:rPr>
        <w:t xml:space="preserve"> 4.4 i 4.5</w:t>
      </w:r>
      <w:r w:rsidRPr="006F2A29">
        <w:rPr>
          <w:color w:val="000000"/>
          <w:szCs w:val="22"/>
          <w:lang w:val="sr-Latn-ME"/>
        </w:rPr>
        <w:t>).</w:t>
      </w:r>
      <w:r w:rsidRPr="006F2A29">
        <w:rPr>
          <w:color w:val="000000"/>
          <w:szCs w:val="22"/>
          <w:lang w:val="sr-Latn-ME" w:eastAsia="sr-Latn-RS"/>
        </w:rPr>
        <w:t xml:space="preserve"> </w:t>
      </w:r>
      <w:r w:rsidR="00994895" w:rsidRPr="006F2A29">
        <w:rPr>
          <w:lang w:val="sr-Latn-ME"/>
        </w:rPr>
        <w:t>Ukoliko se nivoi infliksimaba u serumu novorođenčeta ne mogu odrediti ili ukoliko je infliksimab bio primjenjivan samo tokom prvog trimestra trudnoće, možda bi mogla da se razmotri primjena žive vakcine nešto ranije ukoliko za konkretno novorođenče postoji nesumnjiva klinička korist</w:t>
      </w:r>
      <w:r w:rsidR="00994895" w:rsidRPr="00EE2CAE">
        <w:rPr>
          <w:noProof/>
          <w:lang w:val="sr-Latn-ME"/>
        </w:rPr>
        <w:t>.</w:t>
      </w:r>
      <w:r w:rsidRPr="006F2A29">
        <w:rPr>
          <w:color w:val="000000"/>
          <w:szCs w:val="22"/>
          <w:lang w:val="sr-Latn-ME"/>
        </w:rPr>
        <w:t>Takođe su prijavljeni i slučajevi agranulocitoze (</w:t>
      </w:r>
      <w:r w:rsidR="00282A1E" w:rsidRPr="006F2A29">
        <w:rPr>
          <w:color w:val="000000"/>
          <w:szCs w:val="22"/>
          <w:lang w:val="sr-Latn-ME"/>
        </w:rPr>
        <w:t>vidjeti</w:t>
      </w:r>
      <w:r w:rsidRPr="006F2A29">
        <w:rPr>
          <w:color w:val="000000"/>
          <w:szCs w:val="22"/>
          <w:lang w:val="sr-Latn-ME"/>
        </w:rPr>
        <w:t xml:space="preserve"> </w:t>
      </w:r>
      <w:r w:rsidR="00454E9F" w:rsidRPr="006F2A29">
        <w:rPr>
          <w:color w:val="000000"/>
          <w:szCs w:val="22"/>
          <w:lang w:val="sr-Latn-ME"/>
        </w:rPr>
        <w:t>dio</w:t>
      </w:r>
      <w:r w:rsidRPr="006F2A29">
        <w:rPr>
          <w:color w:val="000000"/>
          <w:szCs w:val="22"/>
          <w:lang w:val="sr-Latn-ME"/>
        </w:rPr>
        <w:t xml:space="preserve"> 4.8).</w:t>
      </w:r>
    </w:p>
    <w:p w14:paraId="3A07D837" w14:textId="77777777" w:rsidR="00C175E4" w:rsidRPr="006F2A29" w:rsidRDefault="00C175E4" w:rsidP="00C175E4">
      <w:pPr>
        <w:tabs>
          <w:tab w:val="clear" w:pos="284"/>
        </w:tabs>
        <w:autoSpaceDE w:val="0"/>
        <w:autoSpaceDN w:val="0"/>
        <w:adjustRightInd w:val="0"/>
        <w:rPr>
          <w:color w:val="000000"/>
          <w:szCs w:val="22"/>
          <w:lang w:val="sr-Latn-ME"/>
        </w:rPr>
      </w:pPr>
    </w:p>
    <w:p w14:paraId="59FE79DD" w14:textId="674115BC" w:rsidR="00C175E4" w:rsidRPr="006F2A29" w:rsidRDefault="00B2193E" w:rsidP="00C175E4">
      <w:pPr>
        <w:rPr>
          <w:szCs w:val="22"/>
          <w:u w:val="single"/>
          <w:lang w:val="sr-Latn-ME"/>
        </w:rPr>
      </w:pPr>
      <w:r>
        <w:rPr>
          <w:szCs w:val="22"/>
          <w:u w:val="single"/>
          <w:lang w:val="sr-Latn-ME"/>
        </w:rPr>
        <w:t>Laktacija</w:t>
      </w:r>
    </w:p>
    <w:p w14:paraId="5346C0C7" w14:textId="7FDA0C88" w:rsidR="00AB6C4F" w:rsidRPr="00D768EF" w:rsidRDefault="00E64DFA" w:rsidP="00AB6C4F">
      <w:pPr>
        <w:rPr>
          <w:szCs w:val="22"/>
          <w:lang w:val="sr-Latn-ME"/>
        </w:rPr>
      </w:pPr>
      <w:r w:rsidRPr="006F2A29">
        <w:rPr>
          <w:szCs w:val="22"/>
          <w:lang w:val="sr-Latn-ME"/>
        </w:rPr>
        <w:t xml:space="preserve">Ograničeni podaci iz objavljene </w:t>
      </w:r>
      <w:r w:rsidR="00994895" w:rsidRPr="006F2A29">
        <w:rPr>
          <w:szCs w:val="22"/>
          <w:lang w:val="sr-Latn-ME"/>
        </w:rPr>
        <w:t xml:space="preserve">literature </w:t>
      </w:r>
      <w:r w:rsidRPr="006F2A29">
        <w:rPr>
          <w:szCs w:val="22"/>
          <w:lang w:val="sr-Latn-ME"/>
        </w:rPr>
        <w:t xml:space="preserve">ukazuju na to da </w:t>
      </w:r>
      <w:r w:rsidR="00341748" w:rsidRPr="006F2A29">
        <w:rPr>
          <w:szCs w:val="22"/>
          <w:lang w:val="sr-Latn-ME"/>
        </w:rPr>
        <w:t xml:space="preserve">su u majčinom mlijeku otkriveni niski nivoi </w:t>
      </w:r>
      <w:r w:rsidR="00994895" w:rsidRPr="006F2A29">
        <w:rPr>
          <w:szCs w:val="22"/>
          <w:lang w:val="sr-Latn-ME"/>
        </w:rPr>
        <w:t>infli</w:t>
      </w:r>
      <w:r w:rsidRPr="006F2A29">
        <w:rPr>
          <w:szCs w:val="22"/>
          <w:lang w:val="sr-Latn-ME"/>
        </w:rPr>
        <w:t>ks</w:t>
      </w:r>
      <w:r w:rsidR="00994895" w:rsidRPr="006F2A29">
        <w:rPr>
          <w:szCs w:val="22"/>
          <w:lang w:val="sr-Latn-ME"/>
        </w:rPr>
        <w:t>imab</w:t>
      </w:r>
      <w:r w:rsidR="00341748" w:rsidRPr="006F2A29">
        <w:rPr>
          <w:szCs w:val="22"/>
          <w:lang w:val="sr-Latn-ME"/>
        </w:rPr>
        <w:t>a, to jest,</w:t>
      </w:r>
      <w:r w:rsidR="00994895" w:rsidRPr="006F2A29">
        <w:rPr>
          <w:szCs w:val="22"/>
          <w:lang w:val="sr-Latn-ME"/>
        </w:rPr>
        <w:t xml:space="preserve"> </w:t>
      </w:r>
      <w:r w:rsidRPr="006F2A29">
        <w:rPr>
          <w:lang w:val="sr-Latn-ME"/>
        </w:rPr>
        <w:t xml:space="preserve">u </w:t>
      </w:r>
      <w:r w:rsidRPr="006F2A29">
        <w:rPr>
          <w:szCs w:val="22"/>
          <w:lang w:val="sr-Latn-ME"/>
        </w:rPr>
        <w:t>koncentracijama do</w:t>
      </w:r>
      <w:r w:rsidR="00994895" w:rsidRPr="006F2A29">
        <w:rPr>
          <w:lang w:val="sr-Latn-ME"/>
        </w:rPr>
        <w:t xml:space="preserve"> 5% </w:t>
      </w:r>
      <w:r w:rsidRPr="006F2A29">
        <w:rPr>
          <w:lang w:val="sr-Latn-ME"/>
        </w:rPr>
        <w:t>nivoa u serumu</w:t>
      </w:r>
      <w:r w:rsidR="00341748" w:rsidRPr="006F2A29">
        <w:rPr>
          <w:lang w:val="sr-Latn-ME"/>
        </w:rPr>
        <w:t xml:space="preserve"> majke</w:t>
      </w:r>
      <w:r w:rsidR="00994895" w:rsidRPr="006F2A29">
        <w:rPr>
          <w:szCs w:val="22"/>
          <w:lang w:val="sr-Latn-ME"/>
        </w:rPr>
        <w:t xml:space="preserve">. </w:t>
      </w:r>
      <w:r w:rsidR="00994895" w:rsidRPr="006F2A29">
        <w:rPr>
          <w:lang w:val="sr-Latn-ME"/>
        </w:rPr>
        <w:t>Infli</w:t>
      </w:r>
      <w:r w:rsidRPr="006F2A29">
        <w:rPr>
          <w:lang w:val="sr-Latn-ME"/>
        </w:rPr>
        <w:t>ks</w:t>
      </w:r>
      <w:r w:rsidR="00994895" w:rsidRPr="006F2A29">
        <w:rPr>
          <w:lang w:val="sr-Latn-ME"/>
        </w:rPr>
        <w:t xml:space="preserve">imab </w:t>
      </w:r>
      <w:r w:rsidRPr="006F2A29">
        <w:rPr>
          <w:lang w:val="sr-Latn-ME"/>
        </w:rPr>
        <w:t>je takođe otkriven u serumu novorođenč</w:t>
      </w:r>
      <w:r w:rsidR="00341748" w:rsidRPr="006F2A29">
        <w:rPr>
          <w:lang w:val="sr-Latn-ME"/>
        </w:rPr>
        <w:t>adi</w:t>
      </w:r>
      <w:r w:rsidRPr="006F2A29">
        <w:rPr>
          <w:lang w:val="sr-Latn-ME"/>
        </w:rPr>
        <w:t xml:space="preserve"> nakon izlaganja </w:t>
      </w:r>
      <w:r w:rsidR="00994895" w:rsidRPr="006F2A29">
        <w:rPr>
          <w:lang w:val="sr-Latn-ME"/>
        </w:rPr>
        <w:t>infli</w:t>
      </w:r>
      <w:r w:rsidRPr="006F2A29">
        <w:rPr>
          <w:lang w:val="sr-Latn-ME"/>
        </w:rPr>
        <w:t>ks</w:t>
      </w:r>
      <w:r w:rsidR="00994895" w:rsidRPr="006F2A29">
        <w:rPr>
          <w:lang w:val="sr-Latn-ME"/>
        </w:rPr>
        <w:t>imab</w:t>
      </w:r>
      <w:r w:rsidRPr="006F2A29">
        <w:rPr>
          <w:lang w:val="sr-Latn-ME"/>
        </w:rPr>
        <w:t>u</w:t>
      </w:r>
      <w:r w:rsidR="00994895" w:rsidRPr="006F2A29">
        <w:rPr>
          <w:lang w:val="sr-Latn-ME"/>
        </w:rPr>
        <w:t xml:space="preserve"> </w:t>
      </w:r>
      <w:r w:rsidRPr="006F2A29">
        <w:rPr>
          <w:lang w:val="sr-Latn-ME"/>
        </w:rPr>
        <w:t>putem majčinog mlijeka</w:t>
      </w:r>
      <w:r w:rsidR="00994895" w:rsidRPr="006F2A29">
        <w:rPr>
          <w:lang w:val="sr-Latn-ME"/>
        </w:rPr>
        <w:t xml:space="preserve">. </w:t>
      </w:r>
      <w:r w:rsidRPr="006F2A29">
        <w:rPr>
          <w:lang w:val="sr-Latn-ME"/>
        </w:rPr>
        <w:t xml:space="preserve">Iako se očekuje niska sistemska izloženost dojenog djeteta zato što se </w:t>
      </w:r>
      <w:r w:rsidR="00994895" w:rsidRPr="006F2A29">
        <w:rPr>
          <w:lang w:val="sr-Latn-ME"/>
        </w:rPr>
        <w:t>infli</w:t>
      </w:r>
      <w:r w:rsidRPr="006F2A29">
        <w:rPr>
          <w:lang w:val="sr-Latn-ME"/>
        </w:rPr>
        <w:t>ks</w:t>
      </w:r>
      <w:r w:rsidR="00994895" w:rsidRPr="006F2A29">
        <w:rPr>
          <w:lang w:val="sr-Latn-ME"/>
        </w:rPr>
        <w:t xml:space="preserve">imab </w:t>
      </w:r>
      <w:r w:rsidRPr="006F2A29">
        <w:rPr>
          <w:lang w:val="sr-Latn-ME"/>
        </w:rPr>
        <w:t>u velikoj mjeri razgrađuje u gastrointestinalnom traktu</w:t>
      </w:r>
      <w:r w:rsidR="00994895" w:rsidRPr="006F2A29">
        <w:rPr>
          <w:lang w:val="sr-Latn-ME"/>
        </w:rPr>
        <w:t xml:space="preserve">, </w:t>
      </w:r>
      <w:r w:rsidRPr="006F2A29">
        <w:rPr>
          <w:lang w:val="sr-Latn-ME"/>
        </w:rPr>
        <w:t xml:space="preserve">ne preporučuje se primjena živih vakcina kod dojenog novorođenčeta dok majka prima </w:t>
      </w:r>
      <w:r w:rsidR="00994895" w:rsidRPr="006F2A29">
        <w:rPr>
          <w:lang w:val="sr-Latn-ME"/>
        </w:rPr>
        <w:t>infli</w:t>
      </w:r>
      <w:r w:rsidRPr="006F2A29">
        <w:rPr>
          <w:lang w:val="sr-Latn-ME"/>
        </w:rPr>
        <w:t>ks</w:t>
      </w:r>
      <w:r w:rsidR="00994895" w:rsidRPr="006F2A29">
        <w:rPr>
          <w:lang w:val="sr-Latn-ME"/>
        </w:rPr>
        <w:t>imab</w:t>
      </w:r>
      <w:r w:rsidR="00341748" w:rsidRPr="006F2A29">
        <w:rPr>
          <w:lang w:val="sr-Latn-ME"/>
        </w:rPr>
        <w:t>,</w:t>
      </w:r>
      <w:r w:rsidR="00994895" w:rsidRPr="006F2A29">
        <w:rPr>
          <w:lang w:val="sr-Latn-ME"/>
        </w:rPr>
        <w:t xml:space="preserve"> </w:t>
      </w:r>
      <w:r w:rsidRPr="006F2A29">
        <w:rPr>
          <w:lang w:val="sr-Latn-ME"/>
        </w:rPr>
        <w:t xml:space="preserve">sem ukoliko se nivoi </w:t>
      </w:r>
      <w:r w:rsidR="00994895" w:rsidRPr="006F2A29">
        <w:rPr>
          <w:lang w:val="sr-Latn-ME"/>
        </w:rPr>
        <w:t>infli</w:t>
      </w:r>
      <w:r w:rsidRPr="006F2A29">
        <w:rPr>
          <w:lang w:val="sr-Latn-ME"/>
        </w:rPr>
        <w:t>ks</w:t>
      </w:r>
      <w:r w:rsidR="00994895" w:rsidRPr="006F2A29">
        <w:rPr>
          <w:lang w:val="sr-Latn-ME"/>
        </w:rPr>
        <w:t>imab</w:t>
      </w:r>
      <w:r w:rsidRPr="006F2A29">
        <w:rPr>
          <w:lang w:val="sr-Latn-ME"/>
        </w:rPr>
        <w:t>a</w:t>
      </w:r>
      <w:r w:rsidR="00994895" w:rsidRPr="006F2A29">
        <w:rPr>
          <w:lang w:val="sr-Latn-ME"/>
        </w:rPr>
        <w:t xml:space="preserve"> </w:t>
      </w:r>
      <w:r w:rsidRPr="006F2A29">
        <w:rPr>
          <w:lang w:val="sr-Latn-ME"/>
        </w:rPr>
        <w:t xml:space="preserve">u </w:t>
      </w:r>
      <w:r w:rsidR="00994895" w:rsidRPr="006F2A29">
        <w:rPr>
          <w:lang w:val="sr-Latn-ME"/>
        </w:rPr>
        <w:t>serum</w:t>
      </w:r>
      <w:r w:rsidRPr="006F2A29">
        <w:rPr>
          <w:lang w:val="sr-Latn-ME"/>
        </w:rPr>
        <w:t xml:space="preserve">u </w:t>
      </w:r>
      <w:r w:rsidR="00341748" w:rsidRPr="006F2A29">
        <w:rPr>
          <w:lang w:val="sr-Latn-ME"/>
        </w:rPr>
        <w:t xml:space="preserve">novorođenčeta </w:t>
      </w:r>
      <w:r w:rsidRPr="006F2A29">
        <w:rPr>
          <w:lang w:val="sr-Latn-ME"/>
        </w:rPr>
        <w:t>ne mogu odrediti</w:t>
      </w:r>
      <w:r w:rsidR="00994895" w:rsidRPr="006F2A29">
        <w:rPr>
          <w:lang w:val="sr-Latn-ME"/>
        </w:rPr>
        <w:t xml:space="preserve">. </w:t>
      </w:r>
      <w:r w:rsidR="00341748" w:rsidRPr="006F2A29">
        <w:rPr>
          <w:lang w:val="sr-Latn-ME"/>
        </w:rPr>
        <w:t>Primjena</w:t>
      </w:r>
      <w:r w:rsidRPr="006F2A29">
        <w:rPr>
          <w:lang w:val="sr-Latn-ME"/>
        </w:rPr>
        <w:t xml:space="preserve"> i</w:t>
      </w:r>
      <w:r w:rsidR="00994895" w:rsidRPr="006F2A29">
        <w:rPr>
          <w:lang w:val="sr-Latn-ME"/>
        </w:rPr>
        <w:t>nfli</w:t>
      </w:r>
      <w:r w:rsidRPr="006F2A29">
        <w:rPr>
          <w:lang w:val="sr-Latn-ME"/>
        </w:rPr>
        <w:t>ks</w:t>
      </w:r>
      <w:r w:rsidR="00994895" w:rsidRPr="006F2A29">
        <w:rPr>
          <w:lang w:val="sr-Latn-ME"/>
        </w:rPr>
        <w:t>imab</w:t>
      </w:r>
      <w:r w:rsidRPr="006F2A29">
        <w:rPr>
          <w:lang w:val="sr-Latn-ME"/>
        </w:rPr>
        <w:t>a</w:t>
      </w:r>
      <w:r w:rsidR="00994895" w:rsidRPr="006F2A29">
        <w:rPr>
          <w:lang w:val="sr-Latn-ME"/>
        </w:rPr>
        <w:t xml:space="preserve"> </w:t>
      </w:r>
      <w:r w:rsidRPr="006F2A29">
        <w:rPr>
          <w:lang w:val="sr-Latn-ME"/>
        </w:rPr>
        <w:t xml:space="preserve">se može razmotriti </w:t>
      </w:r>
      <w:r w:rsidR="00341748" w:rsidRPr="006F2A29">
        <w:rPr>
          <w:lang w:val="sr-Latn-ME"/>
        </w:rPr>
        <w:t>tokom</w:t>
      </w:r>
      <w:r w:rsidRPr="006F2A29">
        <w:rPr>
          <w:lang w:val="sr-Latn-ME"/>
        </w:rPr>
        <w:t xml:space="preserve"> dojenja</w:t>
      </w:r>
      <w:r w:rsidR="00994895" w:rsidRPr="006F2A29">
        <w:rPr>
          <w:szCs w:val="22"/>
          <w:lang w:val="sr-Latn-ME"/>
        </w:rPr>
        <w:t>.</w:t>
      </w:r>
    </w:p>
    <w:p w14:paraId="1FF850CB" w14:textId="77777777" w:rsidR="00C175E4" w:rsidRPr="00D768EF" w:rsidRDefault="00C175E4" w:rsidP="00AB6C4F">
      <w:pPr>
        <w:outlineLvl w:val="0"/>
        <w:rPr>
          <w:b/>
          <w:color w:val="000000"/>
          <w:szCs w:val="22"/>
          <w:lang w:val="sr-Latn-ME"/>
        </w:rPr>
      </w:pPr>
    </w:p>
    <w:p w14:paraId="14404F4B" w14:textId="1A81BC57" w:rsidR="00C175E4" w:rsidRPr="00D768EF" w:rsidRDefault="00C175E4" w:rsidP="00C175E4">
      <w:pPr>
        <w:outlineLvl w:val="0"/>
        <w:rPr>
          <w:color w:val="000000"/>
          <w:szCs w:val="22"/>
          <w:u w:val="single"/>
          <w:lang w:val="sr-Latn-ME"/>
        </w:rPr>
      </w:pPr>
      <w:r w:rsidRPr="00D768EF">
        <w:rPr>
          <w:color w:val="000000"/>
          <w:szCs w:val="22"/>
          <w:u w:val="single"/>
          <w:lang w:val="sr-Latn-ME"/>
        </w:rPr>
        <w:t>Plodnost</w:t>
      </w:r>
    </w:p>
    <w:p w14:paraId="5556BED5" w14:textId="489AFBEF" w:rsidR="002C252A" w:rsidRPr="00D768EF" w:rsidRDefault="00C175E4" w:rsidP="004A5B01">
      <w:pPr>
        <w:outlineLvl w:val="0"/>
        <w:rPr>
          <w:szCs w:val="22"/>
          <w:lang w:val="sr-Latn-ME"/>
        </w:rPr>
      </w:pPr>
      <w:r w:rsidRPr="00D768EF">
        <w:rPr>
          <w:color w:val="000000"/>
          <w:szCs w:val="22"/>
          <w:lang w:val="sr-Latn-ME"/>
        </w:rPr>
        <w:t>Nema dovoljno pretkliničkih podataka da bi se don</w:t>
      </w:r>
      <w:r w:rsidR="00E15B31" w:rsidRPr="00D768EF">
        <w:rPr>
          <w:color w:val="000000"/>
          <w:szCs w:val="22"/>
          <w:lang w:val="sr-Latn-ME"/>
        </w:rPr>
        <w:t>ij</w:t>
      </w:r>
      <w:r w:rsidRPr="00D768EF">
        <w:rPr>
          <w:color w:val="000000"/>
          <w:szCs w:val="22"/>
          <w:lang w:val="sr-Latn-ME"/>
        </w:rPr>
        <w:t>eli zaključci o uticaju infliksimaba na plodnost i opštu reproduktivnu funkciju (</w:t>
      </w:r>
      <w:r w:rsidR="00282A1E" w:rsidRPr="00D768EF">
        <w:rPr>
          <w:color w:val="000000"/>
          <w:szCs w:val="22"/>
          <w:lang w:val="sr-Latn-ME"/>
        </w:rPr>
        <w:t>vidjeti</w:t>
      </w:r>
      <w:r w:rsidRPr="00D768EF">
        <w:rPr>
          <w:color w:val="000000"/>
          <w:szCs w:val="22"/>
          <w:lang w:val="sr-Latn-ME"/>
        </w:rPr>
        <w:t xml:space="preserve"> </w:t>
      </w:r>
      <w:r w:rsidR="00454E9F" w:rsidRPr="00D768EF">
        <w:rPr>
          <w:color w:val="000000"/>
          <w:szCs w:val="22"/>
          <w:lang w:val="sr-Latn-ME"/>
        </w:rPr>
        <w:t>dio</w:t>
      </w:r>
      <w:r w:rsidRPr="00D768EF">
        <w:rPr>
          <w:color w:val="000000"/>
          <w:szCs w:val="22"/>
          <w:lang w:val="sr-Latn-ME"/>
        </w:rPr>
        <w:t xml:space="preserve"> 5.3).</w:t>
      </w:r>
    </w:p>
    <w:p w14:paraId="7BE3C67F" w14:textId="77777777" w:rsidR="00305384" w:rsidRPr="00D768EF" w:rsidRDefault="00305384" w:rsidP="00305384">
      <w:pPr>
        <w:rPr>
          <w:szCs w:val="22"/>
          <w:lang w:val="sr-Latn-ME"/>
        </w:rPr>
      </w:pPr>
    </w:p>
    <w:p w14:paraId="6C42F42A" w14:textId="273FBB2F" w:rsidR="00CE09F3" w:rsidRPr="00D768EF" w:rsidRDefault="00CE09F3" w:rsidP="00923865">
      <w:pPr>
        <w:rPr>
          <w:rFonts w:ascii="Times New Roman Bold" w:hAnsi="Times New Roman Bold"/>
          <w:b/>
          <w:bCs/>
          <w:szCs w:val="22"/>
          <w:lang w:val="sr-Latn-ME"/>
        </w:rPr>
      </w:pPr>
      <w:r w:rsidRPr="00D768EF">
        <w:rPr>
          <w:rFonts w:ascii="Times New Roman Bold" w:hAnsi="Times New Roman Bold"/>
          <w:b/>
          <w:bCs/>
          <w:szCs w:val="22"/>
          <w:lang w:val="sr-Latn-ME"/>
        </w:rPr>
        <w:t>4.7. Uticaj na sposobnost upravljanja vozilima i rukovanj</w:t>
      </w:r>
      <w:r w:rsidR="00CF0C58" w:rsidRPr="00D768EF">
        <w:rPr>
          <w:rFonts w:ascii="Times New Roman Bold" w:hAnsi="Times New Roman Bold"/>
          <w:b/>
          <w:bCs/>
          <w:szCs w:val="22"/>
          <w:lang w:val="sr-Latn-ME"/>
        </w:rPr>
        <w:t>e</w:t>
      </w:r>
      <w:r w:rsidRPr="00D768EF">
        <w:rPr>
          <w:rFonts w:ascii="Times New Roman Bold" w:hAnsi="Times New Roman Bold"/>
          <w:b/>
          <w:bCs/>
          <w:szCs w:val="22"/>
          <w:lang w:val="sr-Latn-ME"/>
        </w:rPr>
        <w:t xml:space="preserve"> mašinama</w:t>
      </w:r>
    </w:p>
    <w:p w14:paraId="5F9DDD2D" w14:textId="77777777" w:rsidR="00CE09F3" w:rsidRPr="00D768EF" w:rsidRDefault="00CE09F3" w:rsidP="00923865">
      <w:pPr>
        <w:rPr>
          <w:szCs w:val="22"/>
          <w:lang w:val="sr-Latn-ME"/>
        </w:rPr>
      </w:pPr>
    </w:p>
    <w:p w14:paraId="463AF32B" w14:textId="49B3C65D" w:rsidR="00B1637B" w:rsidRPr="00D768EF" w:rsidRDefault="00D57936" w:rsidP="00B1637B">
      <w:pPr>
        <w:jc w:val="left"/>
        <w:outlineLvl w:val="0"/>
        <w:rPr>
          <w:color w:val="000000"/>
          <w:szCs w:val="22"/>
          <w:lang w:val="sr-Latn-ME"/>
        </w:rPr>
      </w:pPr>
      <w:r w:rsidRPr="00D768EF">
        <w:rPr>
          <w:color w:val="000000"/>
          <w:szCs w:val="22"/>
          <w:lang w:val="sr-Latn-ME"/>
        </w:rPr>
        <w:t>Lijek Inflectra</w:t>
      </w:r>
      <w:r w:rsidR="00B1637B" w:rsidRPr="00D768EF">
        <w:rPr>
          <w:color w:val="000000"/>
          <w:szCs w:val="22"/>
          <w:lang w:val="sr-Latn-ME"/>
        </w:rPr>
        <w:t xml:space="preserve"> može imati manji uticaj na sposobnost upravljanja vozilom i rukovanja mašinama. Posl</w:t>
      </w:r>
      <w:r w:rsidR="00CF5D59">
        <w:rPr>
          <w:color w:val="000000"/>
          <w:szCs w:val="22"/>
          <w:lang w:val="sr-Latn-ME"/>
        </w:rPr>
        <w:t>ij</w:t>
      </w:r>
      <w:r w:rsidR="00B1637B" w:rsidRPr="00D768EF">
        <w:rPr>
          <w:color w:val="000000"/>
          <w:szCs w:val="22"/>
          <w:lang w:val="sr-Latn-ME"/>
        </w:rPr>
        <w:t>e prim</w:t>
      </w:r>
      <w:r w:rsidR="00CF0C58" w:rsidRPr="00D768EF">
        <w:rPr>
          <w:color w:val="000000"/>
          <w:szCs w:val="22"/>
          <w:lang w:val="sr-Latn-ME"/>
        </w:rPr>
        <w:t>j</w:t>
      </w:r>
      <w:r w:rsidR="00B1637B" w:rsidRPr="00D768EF">
        <w:rPr>
          <w:color w:val="000000"/>
          <w:szCs w:val="22"/>
          <w:lang w:val="sr-Latn-ME"/>
        </w:rPr>
        <w:t xml:space="preserve">ene </w:t>
      </w:r>
      <w:r w:rsidR="00D36568" w:rsidRPr="00D768EF">
        <w:rPr>
          <w:color w:val="000000"/>
          <w:szCs w:val="22"/>
          <w:lang w:val="sr-Latn-ME"/>
        </w:rPr>
        <w:t>infliksimaba</w:t>
      </w:r>
      <w:r w:rsidR="00B1637B" w:rsidRPr="00D768EF">
        <w:rPr>
          <w:color w:val="000000"/>
          <w:szCs w:val="22"/>
          <w:lang w:val="sr-Latn-ME"/>
        </w:rPr>
        <w:t xml:space="preserve"> može se javiti vrtoglavica (</w:t>
      </w:r>
      <w:r w:rsidR="00282A1E" w:rsidRPr="00D768EF">
        <w:rPr>
          <w:color w:val="000000"/>
          <w:szCs w:val="22"/>
          <w:lang w:val="sr-Latn-ME"/>
        </w:rPr>
        <w:t>vidjeti</w:t>
      </w:r>
      <w:r w:rsidR="00B1637B" w:rsidRPr="00D768EF">
        <w:rPr>
          <w:color w:val="000000"/>
          <w:szCs w:val="22"/>
          <w:lang w:val="sr-Latn-ME"/>
        </w:rPr>
        <w:t xml:space="preserve"> </w:t>
      </w:r>
      <w:r w:rsidR="00454E9F" w:rsidRPr="00D768EF">
        <w:rPr>
          <w:color w:val="000000"/>
          <w:szCs w:val="22"/>
          <w:lang w:val="sr-Latn-ME"/>
        </w:rPr>
        <w:t>dio</w:t>
      </w:r>
      <w:r w:rsidR="00B1637B" w:rsidRPr="00D768EF">
        <w:rPr>
          <w:color w:val="000000"/>
          <w:szCs w:val="22"/>
          <w:lang w:val="sr-Latn-ME"/>
        </w:rPr>
        <w:t xml:space="preserve"> 4.8).</w:t>
      </w:r>
    </w:p>
    <w:p w14:paraId="47231152" w14:textId="77777777" w:rsidR="00B1637B" w:rsidRPr="00D768EF" w:rsidRDefault="00B1637B" w:rsidP="002C252A">
      <w:pPr>
        <w:rPr>
          <w:szCs w:val="22"/>
          <w:lang w:val="sr-Latn-ME"/>
        </w:rPr>
      </w:pPr>
    </w:p>
    <w:p w14:paraId="275C5234" w14:textId="0A3150B5" w:rsidR="00CE09F3" w:rsidRPr="00D768EF" w:rsidRDefault="00CE09F3" w:rsidP="00923865">
      <w:pPr>
        <w:rPr>
          <w:b/>
          <w:bCs/>
          <w:szCs w:val="22"/>
          <w:lang w:val="sr-Latn-ME"/>
        </w:rPr>
      </w:pPr>
      <w:r w:rsidRPr="00D768EF">
        <w:rPr>
          <w:b/>
          <w:bCs/>
          <w:szCs w:val="22"/>
          <w:lang w:val="sr-Latn-ME"/>
        </w:rPr>
        <w:t>4.8. Neželjena dejstva</w:t>
      </w:r>
    </w:p>
    <w:p w14:paraId="1BCA5F72" w14:textId="77777777" w:rsidR="00CE09F3" w:rsidRPr="00D768EF" w:rsidRDefault="00CE09F3" w:rsidP="00923865">
      <w:pPr>
        <w:rPr>
          <w:szCs w:val="22"/>
          <w:u w:val="single"/>
          <w:lang w:val="sr-Latn-ME"/>
        </w:rPr>
      </w:pPr>
    </w:p>
    <w:p w14:paraId="3DBC67FD" w14:textId="77777777" w:rsidR="00C175E4" w:rsidRPr="00D768EF" w:rsidRDefault="00C175E4" w:rsidP="00C175E4">
      <w:pPr>
        <w:rPr>
          <w:b/>
          <w:color w:val="000000"/>
          <w:szCs w:val="22"/>
          <w:lang w:val="sr-Latn-ME"/>
        </w:rPr>
      </w:pPr>
      <w:r w:rsidRPr="00D768EF">
        <w:rPr>
          <w:b/>
          <w:color w:val="000000"/>
          <w:szCs w:val="22"/>
          <w:lang w:val="sr-Latn-ME"/>
        </w:rPr>
        <w:t xml:space="preserve">Sažetak </w:t>
      </w:r>
      <w:r w:rsidR="00282A1E" w:rsidRPr="00D768EF">
        <w:rPr>
          <w:b/>
          <w:color w:val="000000"/>
          <w:szCs w:val="22"/>
          <w:lang w:val="sr-Latn-ME"/>
        </w:rPr>
        <w:t>bezbjedn</w:t>
      </w:r>
      <w:r w:rsidR="00220982" w:rsidRPr="00D768EF">
        <w:rPr>
          <w:b/>
          <w:color w:val="000000"/>
          <w:szCs w:val="22"/>
          <w:lang w:val="sr-Latn-ME"/>
        </w:rPr>
        <w:t>o</w:t>
      </w:r>
      <w:r w:rsidRPr="00D768EF">
        <w:rPr>
          <w:b/>
          <w:color w:val="000000"/>
          <w:szCs w:val="22"/>
          <w:lang w:val="sr-Latn-ME"/>
        </w:rPr>
        <w:t>snog profila</w:t>
      </w:r>
    </w:p>
    <w:p w14:paraId="7FEE2B00" w14:textId="461B738B" w:rsidR="00C175E4" w:rsidRPr="00D768EF" w:rsidRDefault="00C175E4" w:rsidP="00C175E4">
      <w:pPr>
        <w:rPr>
          <w:color w:val="000000"/>
          <w:szCs w:val="22"/>
          <w:lang w:val="sr-Latn-ME"/>
        </w:rPr>
      </w:pPr>
      <w:r w:rsidRPr="00D768EF">
        <w:rPr>
          <w:color w:val="000000"/>
          <w:szCs w:val="22"/>
          <w:lang w:val="sr-Latn-ME"/>
        </w:rPr>
        <w:t>Najčešć</w:t>
      </w:r>
      <w:r w:rsidR="00577B7A" w:rsidRPr="00D768EF">
        <w:rPr>
          <w:color w:val="000000"/>
          <w:szCs w:val="22"/>
          <w:lang w:val="sr-Latn-ME"/>
        </w:rPr>
        <w:t>e</w:t>
      </w:r>
      <w:r w:rsidRPr="00D768EF">
        <w:rPr>
          <w:color w:val="000000"/>
          <w:szCs w:val="22"/>
          <w:lang w:val="sr-Latn-ME"/>
        </w:rPr>
        <w:t xml:space="preserve"> neželjen</w:t>
      </w:r>
      <w:r w:rsidR="00577B7A" w:rsidRPr="00D768EF">
        <w:rPr>
          <w:color w:val="000000"/>
          <w:szCs w:val="22"/>
          <w:lang w:val="sr-Latn-ME"/>
        </w:rPr>
        <w:t>e</w:t>
      </w:r>
      <w:r w:rsidRPr="00D768EF">
        <w:rPr>
          <w:color w:val="000000"/>
          <w:szCs w:val="22"/>
          <w:lang w:val="sr-Latn-ME"/>
        </w:rPr>
        <w:t xml:space="preserve"> </w:t>
      </w:r>
      <w:r w:rsidR="00577B7A" w:rsidRPr="00D768EF">
        <w:rPr>
          <w:color w:val="000000"/>
          <w:szCs w:val="22"/>
          <w:lang w:val="sr-Latn-ME"/>
        </w:rPr>
        <w:t>reakcije</w:t>
      </w:r>
      <w:r w:rsidRPr="00D768EF">
        <w:rPr>
          <w:color w:val="000000"/>
          <w:szCs w:val="22"/>
          <w:lang w:val="sr-Latn-ME"/>
        </w:rPr>
        <w:t xml:space="preserve"> prijavljivan</w:t>
      </w:r>
      <w:r w:rsidR="00577B7A" w:rsidRPr="00D768EF">
        <w:rPr>
          <w:color w:val="000000"/>
          <w:szCs w:val="22"/>
          <w:lang w:val="sr-Latn-ME"/>
        </w:rPr>
        <w:t>e</w:t>
      </w:r>
      <w:r w:rsidRPr="00D768EF">
        <w:rPr>
          <w:color w:val="000000"/>
          <w:szCs w:val="22"/>
          <w:lang w:val="sr-Latn-ME"/>
        </w:rPr>
        <w:t xml:space="preserve"> u kliničkim studijama bil</w:t>
      </w:r>
      <w:r w:rsidR="00577B7A" w:rsidRPr="00D768EF">
        <w:rPr>
          <w:color w:val="000000"/>
          <w:szCs w:val="22"/>
          <w:lang w:val="sr-Latn-ME"/>
        </w:rPr>
        <w:t>e</w:t>
      </w:r>
      <w:r w:rsidRPr="00D768EF">
        <w:rPr>
          <w:color w:val="000000"/>
          <w:szCs w:val="22"/>
          <w:lang w:val="sr-Latn-ME"/>
        </w:rPr>
        <w:t xml:space="preserve"> su infekcije gornjeg d</w:t>
      </w:r>
      <w:r w:rsidR="000D0D5C" w:rsidRPr="00D768EF">
        <w:rPr>
          <w:color w:val="000000"/>
          <w:szCs w:val="22"/>
          <w:lang w:val="sr-Latn-ME"/>
        </w:rPr>
        <w:t>ij</w:t>
      </w:r>
      <w:r w:rsidRPr="00D768EF">
        <w:rPr>
          <w:color w:val="000000"/>
          <w:szCs w:val="22"/>
          <w:lang w:val="sr-Latn-ME"/>
        </w:rPr>
        <w:t xml:space="preserve">ela respiratornog trakta koje su se javile kod 25,3% pacijenata </w:t>
      </w:r>
      <w:r w:rsidR="00D57936" w:rsidRPr="00D768EF">
        <w:rPr>
          <w:color w:val="000000"/>
          <w:szCs w:val="22"/>
          <w:lang w:val="sr-Latn-ME"/>
        </w:rPr>
        <w:t>liječe</w:t>
      </w:r>
      <w:r w:rsidRPr="00D768EF">
        <w:rPr>
          <w:color w:val="000000"/>
          <w:szCs w:val="22"/>
          <w:lang w:val="sr-Latn-ME"/>
        </w:rPr>
        <w:t xml:space="preserve">nih infliksimabom u poređenju sa 16,5% </w:t>
      </w:r>
      <w:r w:rsidRPr="00D768EF">
        <w:rPr>
          <w:color w:val="000000"/>
          <w:szCs w:val="22"/>
          <w:lang w:val="sr-Latn-ME"/>
        </w:rPr>
        <w:lastRenderedPageBreak/>
        <w:t>pacijenata u kontrolnoj grupi. Najozbiljnij</w:t>
      </w:r>
      <w:r w:rsidR="00577B7A" w:rsidRPr="00D768EF">
        <w:rPr>
          <w:color w:val="000000"/>
          <w:szCs w:val="22"/>
          <w:lang w:val="sr-Latn-ME"/>
        </w:rPr>
        <w:t>e</w:t>
      </w:r>
      <w:r w:rsidRPr="00D768EF">
        <w:rPr>
          <w:color w:val="000000"/>
          <w:szCs w:val="22"/>
          <w:lang w:val="sr-Latn-ME"/>
        </w:rPr>
        <w:t xml:space="preserve"> neželjen</w:t>
      </w:r>
      <w:r w:rsidR="00577B7A" w:rsidRPr="00D768EF">
        <w:rPr>
          <w:color w:val="000000"/>
          <w:szCs w:val="22"/>
          <w:lang w:val="sr-Latn-ME"/>
        </w:rPr>
        <w:t>e</w:t>
      </w:r>
      <w:r w:rsidRPr="00D768EF">
        <w:rPr>
          <w:color w:val="000000"/>
          <w:szCs w:val="22"/>
          <w:lang w:val="sr-Latn-ME"/>
        </w:rPr>
        <w:t xml:space="preserve"> </w:t>
      </w:r>
      <w:r w:rsidR="00577B7A" w:rsidRPr="00D768EF">
        <w:rPr>
          <w:color w:val="000000"/>
          <w:szCs w:val="22"/>
          <w:lang w:val="sr-Latn-ME"/>
        </w:rPr>
        <w:t>reakcije</w:t>
      </w:r>
      <w:r w:rsidRPr="00D768EF">
        <w:rPr>
          <w:color w:val="000000"/>
          <w:szCs w:val="22"/>
          <w:lang w:val="sr-Latn-ME"/>
        </w:rPr>
        <w:t xml:space="preserve"> vezan</w:t>
      </w:r>
      <w:r w:rsidR="00577B7A" w:rsidRPr="00D768EF">
        <w:rPr>
          <w:color w:val="000000"/>
          <w:szCs w:val="22"/>
          <w:lang w:val="sr-Latn-ME"/>
        </w:rPr>
        <w:t>e</w:t>
      </w:r>
      <w:r w:rsidRPr="00D768EF">
        <w:rPr>
          <w:color w:val="000000"/>
          <w:szCs w:val="22"/>
          <w:lang w:val="sr-Latn-ME"/>
        </w:rPr>
        <w:t xml:space="preserve"> za upotrebu TNF blokatora, koj</w:t>
      </w:r>
      <w:r w:rsidR="00577B7A" w:rsidRPr="00D768EF">
        <w:rPr>
          <w:color w:val="000000"/>
          <w:szCs w:val="22"/>
          <w:lang w:val="sr-Latn-ME"/>
        </w:rPr>
        <w:t>e</w:t>
      </w:r>
      <w:r w:rsidRPr="00D768EF">
        <w:rPr>
          <w:color w:val="000000"/>
          <w:szCs w:val="22"/>
          <w:lang w:val="sr-Latn-ME"/>
        </w:rPr>
        <w:t xml:space="preserve"> su prijavljivan</w:t>
      </w:r>
      <w:r w:rsidR="00577B7A" w:rsidRPr="00D768EF">
        <w:rPr>
          <w:color w:val="000000"/>
          <w:szCs w:val="22"/>
          <w:lang w:val="sr-Latn-ME"/>
        </w:rPr>
        <w:t>e</w:t>
      </w:r>
      <w:r w:rsidRPr="00D768EF">
        <w:rPr>
          <w:color w:val="000000"/>
          <w:szCs w:val="22"/>
          <w:lang w:val="sr-Latn-ME"/>
        </w:rPr>
        <w:t xml:space="preserve"> </w:t>
      </w:r>
      <w:r w:rsidR="00577B7A" w:rsidRPr="00D768EF">
        <w:rPr>
          <w:color w:val="000000"/>
          <w:szCs w:val="22"/>
          <w:lang w:val="sr-Latn-ME"/>
        </w:rPr>
        <w:t>pri</w:t>
      </w:r>
      <w:r w:rsidRPr="00D768EF">
        <w:rPr>
          <w:color w:val="000000"/>
          <w:szCs w:val="22"/>
          <w:lang w:val="sr-Latn-ME"/>
        </w:rPr>
        <w:t xml:space="preserve"> </w:t>
      </w:r>
      <w:r w:rsidR="00577B7A" w:rsidRPr="00D768EF">
        <w:rPr>
          <w:color w:val="000000"/>
          <w:szCs w:val="22"/>
          <w:lang w:val="sr-Latn-ME"/>
        </w:rPr>
        <w:t>prim</w:t>
      </w:r>
      <w:r w:rsidR="00853D98" w:rsidRPr="00D768EF">
        <w:rPr>
          <w:color w:val="000000"/>
          <w:szCs w:val="22"/>
          <w:lang w:val="sr-Latn-ME"/>
        </w:rPr>
        <w:t>j</w:t>
      </w:r>
      <w:r w:rsidR="00577B7A" w:rsidRPr="00D768EF">
        <w:rPr>
          <w:color w:val="000000"/>
          <w:szCs w:val="22"/>
          <w:lang w:val="sr-Latn-ME"/>
        </w:rPr>
        <w:t xml:space="preserve">eni </w:t>
      </w:r>
      <w:r w:rsidRPr="00D768EF">
        <w:rPr>
          <w:color w:val="000000"/>
          <w:szCs w:val="22"/>
          <w:lang w:val="sr-Latn-ME"/>
        </w:rPr>
        <w:t>infliksimab</w:t>
      </w:r>
      <w:r w:rsidR="00577B7A" w:rsidRPr="00D768EF">
        <w:rPr>
          <w:color w:val="000000"/>
          <w:szCs w:val="22"/>
          <w:lang w:val="sr-Latn-ME"/>
        </w:rPr>
        <w:t>a</w:t>
      </w:r>
      <w:r w:rsidRPr="00D768EF">
        <w:rPr>
          <w:color w:val="000000"/>
          <w:szCs w:val="22"/>
          <w:lang w:val="sr-Latn-ME"/>
        </w:rPr>
        <w:t>, uključuju reaktivaciju hepatitisa B (HBV), kongestivnu srčanu insuficijenciju, ozbiljne infekcije (uključujući sepsu, oportunističke infekcije i tuberkulozu), serumsku bolest (odloženu reakciju preos</w:t>
      </w:r>
      <w:r w:rsidR="000D0D5C" w:rsidRPr="00D768EF">
        <w:rPr>
          <w:color w:val="000000"/>
          <w:szCs w:val="22"/>
          <w:lang w:val="sr-Latn-ME"/>
        </w:rPr>
        <w:t>j</w:t>
      </w:r>
      <w:r w:rsidRPr="00D768EF">
        <w:rPr>
          <w:color w:val="000000"/>
          <w:szCs w:val="22"/>
          <w:lang w:val="sr-Latn-ME"/>
        </w:rPr>
        <w:t xml:space="preserve">etljivosti), hematološke reakcije, sistemski lupus eritematozus/sindrom sličan lupusu, demijelinizirajuće poremećaje, hepatobilijarne poremećaje, limfom, hepatosplenični T-ćelijski limfom, leukemiju, karcinom Merkelovih ćelija, melanom, malignitet u pedijatrijskoj populaciji, sarkoidoza/reakcije slične sarkoidozi, intestinalne ili perianalne apscese (kod Kronove bolesti) i ozbiljne </w:t>
      </w:r>
      <w:r w:rsidR="00577B7A" w:rsidRPr="00D768EF">
        <w:rPr>
          <w:color w:val="000000"/>
          <w:szCs w:val="22"/>
          <w:lang w:val="sr-Latn-ME"/>
        </w:rPr>
        <w:t xml:space="preserve">neželjene </w:t>
      </w:r>
      <w:r w:rsidRPr="00D768EF">
        <w:rPr>
          <w:color w:val="000000"/>
          <w:szCs w:val="22"/>
          <w:lang w:val="sr-Latn-ME"/>
        </w:rPr>
        <w:t>reakcije vezane za prim</w:t>
      </w:r>
      <w:r w:rsidR="00126595" w:rsidRPr="00D768EF">
        <w:rPr>
          <w:color w:val="000000"/>
          <w:szCs w:val="22"/>
          <w:lang w:val="sr-Latn-ME"/>
        </w:rPr>
        <w:t>j</w:t>
      </w:r>
      <w:r w:rsidRPr="00D768EF">
        <w:rPr>
          <w:color w:val="000000"/>
          <w:szCs w:val="22"/>
          <w:lang w:val="sr-Latn-ME"/>
        </w:rPr>
        <w:t>enu infuzije (</w:t>
      </w:r>
      <w:r w:rsidR="00282A1E" w:rsidRPr="00D768EF">
        <w:rPr>
          <w:color w:val="000000"/>
          <w:szCs w:val="22"/>
          <w:lang w:val="sr-Latn-ME"/>
        </w:rPr>
        <w:t>vidjeti</w:t>
      </w:r>
      <w:r w:rsidRPr="00D768EF">
        <w:rPr>
          <w:color w:val="000000"/>
          <w:szCs w:val="22"/>
          <w:lang w:val="sr-Latn-ME"/>
        </w:rPr>
        <w:t xml:space="preserve"> </w:t>
      </w:r>
      <w:r w:rsidR="00454E9F" w:rsidRPr="00D768EF">
        <w:rPr>
          <w:color w:val="000000"/>
          <w:szCs w:val="22"/>
          <w:lang w:val="sr-Latn-ME"/>
        </w:rPr>
        <w:t>dio</w:t>
      </w:r>
      <w:r w:rsidRPr="00D768EF">
        <w:rPr>
          <w:color w:val="000000"/>
          <w:szCs w:val="22"/>
          <w:lang w:val="sr-Latn-ME"/>
        </w:rPr>
        <w:t xml:space="preserve"> 4.4).</w:t>
      </w:r>
    </w:p>
    <w:p w14:paraId="6EF493E3" w14:textId="77777777" w:rsidR="00C175E4" w:rsidRPr="00D768EF" w:rsidRDefault="00C175E4" w:rsidP="00C175E4">
      <w:pPr>
        <w:rPr>
          <w:color w:val="000000"/>
          <w:szCs w:val="22"/>
          <w:lang w:val="sr-Latn-ME"/>
        </w:rPr>
      </w:pPr>
    </w:p>
    <w:p w14:paraId="37DA5317" w14:textId="4CC4FB17" w:rsidR="00C175E4" w:rsidRPr="00D768EF" w:rsidRDefault="00C175E4" w:rsidP="00C175E4">
      <w:pPr>
        <w:rPr>
          <w:b/>
          <w:color w:val="000000"/>
          <w:szCs w:val="22"/>
          <w:lang w:val="sr-Latn-ME"/>
        </w:rPr>
      </w:pPr>
      <w:r w:rsidRPr="00D768EF">
        <w:rPr>
          <w:b/>
          <w:color w:val="000000"/>
          <w:szCs w:val="22"/>
          <w:lang w:val="sr-Latn-ME"/>
        </w:rPr>
        <w:t xml:space="preserve">Tabelarni prikaz neželjenih </w:t>
      </w:r>
      <w:r w:rsidRPr="00D768EF">
        <w:rPr>
          <w:b/>
          <w:szCs w:val="22"/>
          <w:lang w:val="sr-Latn-ME"/>
        </w:rPr>
        <w:t>reakcija</w:t>
      </w:r>
    </w:p>
    <w:p w14:paraId="4DB27B49" w14:textId="53EB5B5C" w:rsidR="00C175E4" w:rsidRPr="00D768EF" w:rsidRDefault="00C175E4" w:rsidP="00C175E4">
      <w:pPr>
        <w:rPr>
          <w:color w:val="000000"/>
          <w:szCs w:val="22"/>
          <w:lang w:val="sr-Latn-ME"/>
        </w:rPr>
      </w:pPr>
      <w:r w:rsidRPr="00D768EF">
        <w:rPr>
          <w:color w:val="000000"/>
          <w:szCs w:val="22"/>
          <w:lang w:val="sr-Latn-ME"/>
        </w:rPr>
        <w:t>Tabela 1 prikazuje neželjen</w:t>
      </w:r>
      <w:r w:rsidR="00577B7A" w:rsidRPr="00D768EF">
        <w:rPr>
          <w:color w:val="000000"/>
          <w:szCs w:val="22"/>
          <w:lang w:val="sr-Latn-ME"/>
        </w:rPr>
        <w:t>e</w:t>
      </w:r>
      <w:r w:rsidRPr="00D768EF">
        <w:rPr>
          <w:color w:val="000000"/>
          <w:szCs w:val="22"/>
          <w:lang w:val="sr-Latn-ME"/>
        </w:rPr>
        <w:t xml:space="preserve"> </w:t>
      </w:r>
      <w:r w:rsidR="00577B7A" w:rsidRPr="00D768EF">
        <w:rPr>
          <w:color w:val="000000"/>
          <w:szCs w:val="22"/>
          <w:lang w:val="sr-Latn-ME"/>
        </w:rPr>
        <w:t>reakcije</w:t>
      </w:r>
      <w:r w:rsidRPr="00D768EF">
        <w:rPr>
          <w:color w:val="000000"/>
          <w:szCs w:val="22"/>
          <w:lang w:val="sr-Latn-ME"/>
        </w:rPr>
        <w:t xml:space="preserve"> na osnovu iskustva iz kliničkih studija kao i neželjen</w:t>
      </w:r>
      <w:r w:rsidR="00577B7A" w:rsidRPr="00D768EF">
        <w:rPr>
          <w:color w:val="000000"/>
          <w:szCs w:val="22"/>
          <w:lang w:val="sr-Latn-ME"/>
        </w:rPr>
        <w:t>e</w:t>
      </w:r>
      <w:r w:rsidRPr="00D768EF">
        <w:rPr>
          <w:color w:val="000000"/>
          <w:szCs w:val="22"/>
          <w:lang w:val="sr-Latn-ME"/>
        </w:rPr>
        <w:t xml:space="preserve"> </w:t>
      </w:r>
      <w:r w:rsidR="00577B7A" w:rsidRPr="00D768EF">
        <w:rPr>
          <w:color w:val="000000"/>
          <w:szCs w:val="22"/>
          <w:lang w:val="sr-Latn-ME"/>
        </w:rPr>
        <w:t>reakcije</w:t>
      </w:r>
      <w:r w:rsidRPr="00D768EF">
        <w:rPr>
          <w:color w:val="000000"/>
          <w:szCs w:val="22"/>
          <w:lang w:val="sr-Latn-ME"/>
        </w:rPr>
        <w:t xml:space="preserve"> prijavljen</w:t>
      </w:r>
      <w:r w:rsidR="00577B7A" w:rsidRPr="00D768EF">
        <w:rPr>
          <w:color w:val="000000"/>
          <w:szCs w:val="22"/>
          <w:lang w:val="sr-Latn-ME"/>
        </w:rPr>
        <w:t>e</w:t>
      </w:r>
      <w:r w:rsidRPr="00D768EF">
        <w:rPr>
          <w:color w:val="000000"/>
          <w:szCs w:val="22"/>
          <w:lang w:val="sr-Latn-ME"/>
        </w:rPr>
        <w:t xml:space="preserve"> posle stavljanja l</w:t>
      </w:r>
      <w:r w:rsidR="000D0D5C" w:rsidRPr="00D768EF">
        <w:rPr>
          <w:color w:val="000000"/>
          <w:szCs w:val="22"/>
          <w:lang w:val="sr-Latn-ME"/>
        </w:rPr>
        <w:t>ij</w:t>
      </w:r>
      <w:r w:rsidRPr="00D768EF">
        <w:rPr>
          <w:color w:val="000000"/>
          <w:szCs w:val="22"/>
          <w:lang w:val="sr-Latn-ME"/>
        </w:rPr>
        <w:t>eka u promet, od kojih su neka imala smrtni ishod. U okviru klasa sistema organa, neželjen</w:t>
      </w:r>
      <w:r w:rsidR="00577B7A" w:rsidRPr="00D768EF">
        <w:rPr>
          <w:color w:val="000000"/>
          <w:szCs w:val="22"/>
          <w:lang w:val="sr-Latn-ME"/>
        </w:rPr>
        <w:t>e</w:t>
      </w:r>
      <w:r w:rsidRPr="00D768EF">
        <w:rPr>
          <w:color w:val="000000"/>
          <w:szCs w:val="22"/>
          <w:lang w:val="sr-Latn-ME"/>
        </w:rPr>
        <w:t xml:space="preserve"> </w:t>
      </w:r>
      <w:r w:rsidR="00577B7A" w:rsidRPr="00D768EF">
        <w:rPr>
          <w:color w:val="000000"/>
          <w:szCs w:val="22"/>
          <w:lang w:val="sr-Latn-ME"/>
        </w:rPr>
        <w:t>reakcije</w:t>
      </w:r>
      <w:r w:rsidRPr="00D768EF">
        <w:rPr>
          <w:color w:val="000000"/>
          <w:szCs w:val="22"/>
          <w:lang w:val="sr-Latn-ME"/>
        </w:rPr>
        <w:t xml:space="preserve"> su naveden</w:t>
      </w:r>
      <w:r w:rsidR="00577B7A" w:rsidRPr="00D768EF">
        <w:rPr>
          <w:color w:val="000000"/>
          <w:szCs w:val="22"/>
          <w:lang w:val="sr-Latn-ME"/>
        </w:rPr>
        <w:t>e</w:t>
      </w:r>
      <w:r w:rsidRPr="00D768EF">
        <w:rPr>
          <w:color w:val="000000"/>
          <w:szCs w:val="22"/>
          <w:lang w:val="sr-Latn-ME"/>
        </w:rPr>
        <w:t xml:space="preserve"> prema </w:t>
      </w:r>
      <w:r w:rsidR="00454E9F" w:rsidRPr="00D768EF">
        <w:rPr>
          <w:color w:val="000000"/>
          <w:szCs w:val="22"/>
          <w:lang w:val="sr-Latn-ME"/>
        </w:rPr>
        <w:t>slede</w:t>
      </w:r>
      <w:r w:rsidRPr="00D768EF">
        <w:rPr>
          <w:color w:val="000000"/>
          <w:szCs w:val="22"/>
          <w:lang w:val="sr-Latn-ME"/>
        </w:rPr>
        <w:t xml:space="preserve">ćim kategorijama učestalosti pojavljivanja: </w:t>
      </w:r>
      <w:r w:rsidRPr="00D768EF">
        <w:rPr>
          <w:szCs w:val="22"/>
          <w:lang w:val="sr-Latn-ME"/>
        </w:rPr>
        <w:t>veoma često (≥ 1/10), često (od ≥ 1/100 do &lt; 1/10), povremeno (od ≥1/1.000 do &lt; 1/100), r</w:t>
      </w:r>
      <w:r w:rsidR="000D0D5C" w:rsidRPr="00D768EF">
        <w:rPr>
          <w:szCs w:val="22"/>
          <w:lang w:val="sr-Latn-ME"/>
        </w:rPr>
        <w:t>ij</w:t>
      </w:r>
      <w:r w:rsidRPr="00D768EF">
        <w:rPr>
          <w:szCs w:val="22"/>
          <w:lang w:val="sr-Latn-ME"/>
        </w:rPr>
        <w:t>etko (od ≥1/10.000 do &lt;1/1.000), veoma r</w:t>
      </w:r>
      <w:r w:rsidR="000D0D5C" w:rsidRPr="00D768EF">
        <w:rPr>
          <w:szCs w:val="22"/>
          <w:lang w:val="sr-Latn-ME"/>
        </w:rPr>
        <w:t>ij</w:t>
      </w:r>
      <w:r w:rsidRPr="00D768EF">
        <w:rPr>
          <w:szCs w:val="22"/>
          <w:lang w:val="sr-Latn-ME"/>
        </w:rPr>
        <w:t>etko (&lt;1/10.000)</w:t>
      </w:r>
      <w:r w:rsidRPr="00D768EF">
        <w:rPr>
          <w:color w:val="000000"/>
          <w:szCs w:val="22"/>
          <w:lang w:val="sr-Latn-ME"/>
        </w:rPr>
        <w:t>, nepoznata učestalost (ne može se proc</w:t>
      </w:r>
      <w:r w:rsidR="000D0D5C" w:rsidRPr="00D768EF">
        <w:rPr>
          <w:color w:val="000000"/>
          <w:szCs w:val="22"/>
          <w:lang w:val="sr-Latn-ME"/>
        </w:rPr>
        <w:t>ij</w:t>
      </w:r>
      <w:r w:rsidRPr="00D768EF">
        <w:rPr>
          <w:color w:val="000000"/>
          <w:szCs w:val="22"/>
          <w:lang w:val="sr-Latn-ME"/>
        </w:rPr>
        <w:t>eniti na osnovu raspoloživih podataka). U okviru svake grupe učestalosti, neželjen</w:t>
      </w:r>
      <w:r w:rsidR="00577B7A" w:rsidRPr="00D768EF">
        <w:rPr>
          <w:color w:val="000000"/>
          <w:szCs w:val="22"/>
          <w:lang w:val="sr-Latn-ME"/>
        </w:rPr>
        <w:t>e</w:t>
      </w:r>
      <w:r w:rsidRPr="00D768EF">
        <w:rPr>
          <w:color w:val="000000"/>
          <w:szCs w:val="22"/>
          <w:lang w:val="sr-Latn-ME"/>
        </w:rPr>
        <w:t xml:space="preserve"> </w:t>
      </w:r>
      <w:r w:rsidR="00577B7A" w:rsidRPr="00D768EF">
        <w:rPr>
          <w:color w:val="000000"/>
          <w:szCs w:val="22"/>
          <w:lang w:val="sr-Latn-ME"/>
        </w:rPr>
        <w:t>reakcije</w:t>
      </w:r>
      <w:r w:rsidRPr="00D768EF">
        <w:rPr>
          <w:color w:val="000000"/>
          <w:szCs w:val="22"/>
          <w:lang w:val="sr-Latn-ME"/>
        </w:rPr>
        <w:t xml:space="preserve"> su naveden</w:t>
      </w:r>
      <w:r w:rsidR="00577B7A" w:rsidRPr="00D768EF">
        <w:rPr>
          <w:color w:val="000000"/>
          <w:szCs w:val="22"/>
          <w:lang w:val="sr-Latn-ME"/>
        </w:rPr>
        <w:t>e</w:t>
      </w:r>
      <w:r w:rsidRPr="00D768EF">
        <w:rPr>
          <w:color w:val="000000"/>
          <w:szCs w:val="22"/>
          <w:lang w:val="sr-Latn-ME"/>
        </w:rPr>
        <w:t xml:space="preserve"> </w:t>
      </w:r>
      <w:r w:rsidR="00577B7A" w:rsidRPr="00D768EF">
        <w:rPr>
          <w:color w:val="000000"/>
          <w:szCs w:val="22"/>
          <w:lang w:val="sr-Latn-ME"/>
        </w:rPr>
        <w:t>u redosledu od najozbiljnijih do najmanje ozbiljnih</w:t>
      </w:r>
      <w:r w:rsidRPr="00D768EF">
        <w:rPr>
          <w:color w:val="000000"/>
          <w:szCs w:val="22"/>
          <w:lang w:val="sr-Latn-ME"/>
        </w:rPr>
        <w:t>.</w:t>
      </w:r>
    </w:p>
    <w:p w14:paraId="533088DE" w14:textId="77777777" w:rsidR="00C175E4" w:rsidRPr="00D768EF" w:rsidRDefault="00C175E4" w:rsidP="00C175E4">
      <w:pPr>
        <w:jc w:val="center"/>
        <w:rPr>
          <w:b/>
          <w:color w:val="000000"/>
          <w:szCs w:val="22"/>
          <w:lang w:val="sr-Latn-ME"/>
        </w:rPr>
      </w:pPr>
    </w:p>
    <w:p w14:paraId="07FF9554" w14:textId="66E0D3C8" w:rsidR="00C175E4" w:rsidRPr="00D768EF" w:rsidRDefault="00C175E4" w:rsidP="00C175E4">
      <w:pPr>
        <w:jc w:val="center"/>
        <w:rPr>
          <w:b/>
          <w:color w:val="000000"/>
          <w:szCs w:val="22"/>
          <w:lang w:val="sr-Latn-ME"/>
        </w:rPr>
      </w:pPr>
      <w:r w:rsidRPr="00D768EF">
        <w:rPr>
          <w:b/>
          <w:color w:val="000000"/>
          <w:szCs w:val="22"/>
          <w:lang w:val="sr-Latn-ME"/>
        </w:rPr>
        <w:t>Tabela 1</w:t>
      </w:r>
    </w:p>
    <w:p w14:paraId="73106179" w14:textId="01C0941B" w:rsidR="00C175E4" w:rsidRPr="00D768EF" w:rsidRDefault="00C175E4" w:rsidP="00577B7A">
      <w:pPr>
        <w:jc w:val="left"/>
        <w:rPr>
          <w:b/>
          <w:color w:val="000000"/>
          <w:szCs w:val="22"/>
          <w:lang w:val="sr-Latn-ME"/>
        </w:rPr>
      </w:pPr>
      <w:r w:rsidRPr="00D768EF">
        <w:rPr>
          <w:b/>
          <w:color w:val="000000"/>
          <w:szCs w:val="22"/>
          <w:lang w:val="sr-Latn-ME"/>
        </w:rPr>
        <w:t xml:space="preserve">Neželjene reakcije u kliničkim studijama i </w:t>
      </w:r>
      <w:r w:rsidR="00577B7A" w:rsidRPr="00D768EF">
        <w:rPr>
          <w:b/>
          <w:color w:val="000000"/>
          <w:szCs w:val="22"/>
          <w:lang w:val="sr-Latn-ME"/>
        </w:rPr>
        <w:t>iz postmarketinškog iskustva</w:t>
      </w:r>
    </w:p>
    <w:p w14:paraId="5678545E" w14:textId="77777777" w:rsidR="00C175E4" w:rsidRPr="00D768EF" w:rsidRDefault="00C175E4" w:rsidP="00C175E4">
      <w:pPr>
        <w:jc w:val="left"/>
        <w:rPr>
          <w:b/>
          <w:color w:val="000000"/>
          <w:szCs w:val="22"/>
          <w:lang w:val="sr-Latn-ME"/>
        </w:rPr>
      </w:pPr>
    </w:p>
    <w:tbl>
      <w:tblPr>
        <w:tblW w:w="9522"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3402"/>
        <w:gridCol w:w="6120"/>
      </w:tblGrid>
      <w:tr w:rsidR="00C175E4" w:rsidRPr="00D768EF" w14:paraId="7F036C17" w14:textId="77777777" w:rsidTr="00622285">
        <w:trPr>
          <w:cantSplit/>
          <w:trHeight w:val="174"/>
        </w:trPr>
        <w:tc>
          <w:tcPr>
            <w:tcW w:w="3402" w:type="dxa"/>
            <w:tcBorders>
              <w:bottom w:val="nil"/>
            </w:tcBorders>
          </w:tcPr>
          <w:p w14:paraId="61498C43" w14:textId="77777777" w:rsidR="00C175E4" w:rsidRPr="00D768EF" w:rsidRDefault="00C175E4" w:rsidP="00622285">
            <w:pPr>
              <w:jc w:val="left"/>
              <w:rPr>
                <w:color w:val="000000"/>
                <w:szCs w:val="22"/>
                <w:lang w:val="sr-Latn-ME"/>
              </w:rPr>
            </w:pPr>
            <w:r w:rsidRPr="00D768EF">
              <w:rPr>
                <w:color w:val="000000"/>
                <w:szCs w:val="22"/>
                <w:lang w:val="sr-Latn-ME"/>
              </w:rPr>
              <w:t>Infekcije i infestacije</w:t>
            </w:r>
          </w:p>
        </w:tc>
        <w:tc>
          <w:tcPr>
            <w:tcW w:w="6120" w:type="dxa"/>
            <w:tcBorders>
              <w:bottom w:val="nil"/>
            </w:tcBorders>
          </w:tcPr>
          <w:p w14:paraId="5D96D8AE" w14:textId="77777777" w:rsidR="00C175E4" w:rsidRPr="00D768EF" w:rsidRDefault="00C175E4" w:rsidP="00622285">
            <w:pPr>
              <w:jc w:val="left"/>
              <w:rPr>
                <w:color w:val="000000"/>
                <w:szCs w:val="22"/>
                <w:lang w:val="sr-Latn-ME"/>
              </w:rPr>
            </w:pPr>
          </w:p>
        </w:tc>
      </w:tr>
      <w:tr w:rsidR="00C175E4" w:rsidRPr="00EE2CAE" w14:paraId="13ECCFEB" w14:textId="77777777" w:rsidTr="00622285">
        <w:trPr>
          <w:cantSplit/>
          <w:trHeight w:val="174"/>
        </w:trPr>
        <w:tc>
          <w:tcPr>
            <w:tcW w:w="3402" w:type="dxa"/>
            <w:tcBorders>
              <w:bottom w:val="nil"/>
            </w:tcBorders>
          </w:tcPr>
          <w:p w14:paraId="4156A93D" w14:textId="06C1B0CF" w:rsidR="00C175E4" w:rsidRPr="00D768EF" w:rsidRDefault="00C175E4" w:rsidP="00622285">
            <w:pPr>
              <w:jc w:val="left"/>
              <w:rPr>
                <w:color w:val="000000"/>
                <w:szCs w:val="22"/>
                <w:lang w:val="sr-Latn-ME"/>
              </w:rPr>
            </w:pPr>
            <w:r w:rsidRPr="00D768EF">
              <w:rPr>
                <w:color w:val="000000"/>
                <w:szCs w:val="22"/>
                <w:lang w:val="sr-Latn-ME"/>
              </w:rPr>
              <w:t>Veoma često:</w:t>
            </w:r>
          </w:p>
        </w:tc>
        <w:tc>
          <w:tcPr>
            <w:tcW w:w="6120" w:type="dxa"/>
            <w:tcBorders>
              <w:bottom w:val="nil"/>
            </w:tcBorders>
          </w:tcPr>
          <w:p w14:paraId="34A75ECE" w14:textId="4FA8AB39" w:rsidR="00C175E4" w:rsidRPr="00D768EF" w:rsidRDefault="00C175E4" w:rsidP="00622285">
            <w:pPr>
              <w:jc w:val="left"/>
              <w:rPr>
                <w:color w:val="000000"/>
                <w:szCs w:val="22"/>
                <w:lang w:val="sr-Latn-ME"/>
              </w:rPr>
            </w:pPr>
            <w:r w:rsidRPr="00D768EF">
              <w:rPr>
                <w:color w:val="000000"/>
                <w:szCs w:val="22"/>
                <w:lang w:val="sr-Latn-ME"/>
              </w:rPr>
              <w:t>Virusna infekcija (npr.</w:t>
            </w:r>
            <w:r w:rsidR="001C7EE4" w:rsidRPr="00D768EF">
              <w:rPr>
                <w:color w:val="000000"/>
                <w:szCs w:val="22"/>
                <w:lang w:val="sr-Latn-ME"/>
              </w:rPr>
              <w:t xml:space="preserve"> </w:t>
            </w:r>
            <w:r w:rsidRPr="00D768EF">
              <w:rPr>
                <w:color w:val="000000"/>
                <w:szCs w:val="22"/>
                <w:lang w:val="sr-Latn-ME"/>
              </w:rPr>
              <w:t>grip, infekcija virusom herpesa).</w:t>
            </w:r>
          </w:p>
        </w:tc>
      </w:tr>
      <w:tr w:rsidR="00C175E4" w:rsidRPr="00C93299" w14:paraId="62A20508" w14:textId="77777777" w:rsidTr="00622285">
        <w:trPr>
          <w:cantSplit/>
          <w:trHeight w:val="174"/>
        </w:trPr>
        <w:tc>
          <w:tcPr>
            <w:tcW w:w="3402" w:type="dxa"/>
            <w:tcBorders>
              <w:top w:val="nil"/>
              <w:bottom w:val="nil"/>
            </w:tcBorders>
          </w:tcPr>
          <w:p w14:paraId="7EF11DFE" w14:textId="14BD8220" w:rsidR="00C175E4" w:rsidRPr="00D768EF" w:rsidRDefault="00C175E4" w:rsidP="00622285">
            <w:pPr>
              <w:jc w:val="left"/>
              <w:rPr>
                <w:color w:val="000000"/>
                <w:szCs w:val="22"/>
                <w:lang w:val="sr-Latn-ME"/>
              </w:rPr>
            </w:pPr>
            <w:r w:rsidRPr="00D768EF">
              <w:rPr>
                <w:color w:val="000000"/>
                <w:szCs w:val="22"/>
                <w:lang w:val="sr-Latn-ME"/>
              </w:rPr>
              <w:t>Često:</w:t>
            </w:r>
          </w:p>
        </w:tc>
        <w:tc>
          <w:tcPr>
            <w:tcW w:w="6120" w:type="dxa"/>
            <w:tcBorders>
              <w:top w:val="nil"/>
              <w:bottom w:val="nil"/>
            </w:tcBorders>
          </w:tcPr>
          <w:p w14:paraId="03189F40" w14:textId="77777777" w:rsidR="00C175E4" w:rsidRPr="00D768EF" w:rsidRDefault="00C175E4" w:rsidP="00622285">
            <w:pPr>
              <w:jc w:val="left"/>
              <w:rPr>
                <w:color w:val="000000"/>
                <w:szCs w:val="22"/>
                <w:lang w:val="sr-Latn-ME"/>
              </w:rPr>
            </w:pPr>
            <w:r w:rsidRPr="00D768EF">
              <w:rPr>
                <w:color w:val="000000"/>
                <w:szCs w:val="22"/>
                <w:lang w:val="sr-Latn-ME"/>
              </w:rPr>
              <w:t xml:space="preserve">Bakterijske infekcije (npr. sepsa, celulitis, apsces). </w:t>
            </w:r>
          </w:p>
        </w:tc>
      </w:tr>
      <w:tr w:rsidR="00C175E4" w:rsidRPr="00C93299" w14:paraId="6B3CF102" w14:textId="77777777" w:rsidTr="00622285">
        <w:trPr>
          <w:cantSplit/>
          <w:trHeight w:val="174"/>
        </w:trPr>
        <w:tc>
          <w:tcPr>
            <w:tcW w:w="3402" w:type="dxa"/>
            <w:tcBorders>
              <w:top w:val="nil"/>
              <w:bottom w:val="single" w:sz="4" w:space="0" w:color="auto"/>
            </w:tcBorders>
          </w:tcPr>
          <w:p w14:paraId="7CA7F93E" w14:textId="4535C5FD" w:rsidR="00C175E4" w:rsidRPr="00D768EF" w:rsidRDefault="00C175E4" w:rsidP="00622285">
            <w:pPr>
              <w:jc w:val="left"/>
              <w:rPr>
                <w:color w:val="000000"/>
                <w:szCs w:val="22"/>
                <w:lang w:val="sr-Latn-ME"/>
              </w:rPr>
            </w:pPr>
            <w:r w:rsidRPr="00D768EF">
              <w:rPr>
                <w:color w:val="000000"/>
                <w:szCs w:val="22"/>
                <w:lang w:val="sr-Latn-ME"/>
              </w:rPr>
              <w:t>Povremeno:</w:t>
            </w:r>
          </w:p>
        </w:tc>
        <w:tc>
          <w:tcPr>
            <w:tcW w:w="6120" w:type="dxa"/>
            <w:tcBorders>
              <w:top w:val="nil"/>
              <w:bottom w:val="single" w:sz="4" w:space="0" w:color="auto"/>
            </w:tcBorders>
          </w:tcPr>
          <w:p w14:paraId="5311C199" w14:textId="77777777" w:rsidR="00C175E4" w:rsidRPr="00D768EF" w:rsidRDefault="00C175E4" w:rsidP="00622285">
            <w:pPr>
              <w:jc w:val="left"/>
              <w:rPr>
                <w:color w:val="000000"/>
                <w:szCs w:val="22"/>
                <w:lang w:val="sr-Latn-ME"/>
              </w:rPr>
            </w:pPr>
            <w:r w:rsidRPr="00D768EF">
              <w:rPr>
                <w:color w:val="000000"/>
                <w:szCs w:val="22"/>
                <w:lang w:val="sr-Latn-ME"/>
              </w:rPr>
              <w:t>Tuberkuloza, gljivične infekcije (npr.</w:t>
            </w:r>
            <w:r w:rsidR="001C7EE4" w:rsidRPr="00D768EF">
              <w:rPr>
                <w:color w:val="000000"/>
                <w:szCs w:val="22"/>
                <w:lang w:val="sr-Latn-ME"/>
              </w:rPr>
              <w:t xml:space="preserve"> </w:t>
            </w:r>
            <w:r w:rsidRPr="00D768EF">
              <w:rPr>
                <w:color w:val="000000"/>
                <w:szCs w:val="22"/>
                <w:lang w:val="sr-Latn-ME"/>
              </w:rPr>
              <w:t>kandidijaza</w:t>
            </w:r>
            <w:r w:rsidR="001C7EE4" w:rsidRPr="00D768EF">
              <w:rPr>
                <w:color w:val="000000"/>
                <w:szCs w:val="22"/>
                <w:lang w:val="sr-Latn-ME"/>
              </w:rPr>
              <w:t>, onihomikoza</w:t>
            </w:r>
            <w:r w:rsidRPr="00D768EF">
              <w:rPr>
                <w:color w:val="000000"/>
                <w:szCs w:val="22"/>
                <w:lang w:val="sr-Latn-ME"/>
              </w:rPr>
              <w:t>).</w:t>
            </w:r>
          </w:p>
        </w:tc>
      </w:tr>
      <w:tr w:rsidR="00C175E4" w:rsidRPr="00C93299" w14:paraId="7FF07383" w14:textId="77777777" w:rsidTr="00622285">
        <w:trPr>
          <w:cantSplit/>
          <w:trHeight w:val="174"/>
        </w:trPr>
        <w:tc>
          <w:tcPr>
            <w:tcW w:w="3402" w:type="dxa"/>
            <w:tcBorders>
              <w:top w:val="single" w:sz="4" w:space="0" w:color="auto"/>
              <w:left w:val="single" w:sz="4" w:space="0" w:color="auto"/>
              <w:bottom w:val="nil"/>
              <w:right w:val="nil"/>
            </w:tcBorders>
          </w:tcPr>
          <w:p w14:paraId="1BF6BF2F" w14:textId="288A0BFC" w:rsidR="00C175E4" w:rsidRPr="00D768EF" w:rsidRDefault="00B6707D" w:rsidP="00622285">
            <w:pPr>
              <w:jc w:val="left"/>
              <w:rPr>
                <w:color w:val="000000"/>
                <w:szCs w:val="22"/>
                <w:lang w:val="sr-Latn-ME"/>
              </w:rPr>
            </w:pPr>
            <w:r w:rsidRPr="00D768EF">
              <w:rPr>
                <w:color w:val="000000"/>
                <w:szCs w:val="22"/>
                <w:lang w:val="sr-Latn-ME"/>
              </w:rPr>
              <w:t>Rijetko</w:t>
            </w:r>
            <w:r w:rsidR="00C175E4" w:rsidRPr="00D768EF">
              <w:rPr>
                <w:color w:val="000000"/>
                <w:szCs w:val="22"/>
                <w:lang w:val="sr-Latn-ME"/>
              </w:rPr>
              <w:t>:</w:t>
            </w:r>
          </w:p>
        </w:tc>
        <w:tc>
          <w:tcPr>
            <w:tcW w:w="6120" w:type="dxa"/>
            <w:tcBorders>
              <w:top w:val="single" w:sz="4" w:space="0" w:color="auto"/>
              <w:left w:val="nil"/>
              <w:bottom w:val="nil"/>
              <w:right w:val="single" w:sz="4" w:space="0" w:color="auto"/>
            </w:tcBorders>
          </w:tcPr>
          <w:p w14:paraId="64111F73" w14:textId="52FA9664" w:rsidR="00C175E4" w:rsidRPr="00D768EF" w:rsidRDefault="00C175E4" w:rsidP="00622285">
            <w:pPr>
              <w:jc w:val="left"/>
              <w:rPr>
                <w:szCs w:val="22"/>
                <w:lang w:val="sr-Latn-ME"/>
              </w:rPr>
            </w:pPr>
            <w:r w:rsidRPr="00D768EF">
              <w:rPr>
                <w:szCs w:val="22"/>
                <w:lang w:val="sr-Latn-ME"/>
              </w:rPr>
              <w:t>Meningitis, oportunističke infekcije (kao što su invazivne gljivične infekcije [pneumocistoza, histoplazmoza, aspergiloza, kokcidioidomikoza, kriptokokoza, blastomikoza], bakterijske infekcije [atipične mikobakterijske, listerioza, salmoneloza] i virusne infekcije [citomegalovirus]), infekcije parazitima, reaktivacija hepatitisa B.</w:t>
            </w:r>
          </w:p>
        </w:tc>
      </w:tr>
      <w:tr w:rsidR="00C175E4" w:rsidRPr="00C93299" w14:paraId="2D5BBF5A" w14:textId="77777777" w:rsidTr="00622285">
        <w:trPr>
          <w:cantSplit/>
          <w:trHeight w:val="174"/>
        </w:trPr>
        <w:tc>
          <w:tcPr>
            <w:tcW w:w="3402" w:type="dxa"/>
            <w:tcBorders>
              <w:top w:val="single" w:sz="4" w:space="0" w:color="auto"/>
              <w:left w:val="single" w:sz="4" w:space="0" w:color="auto"/>
              <w:bottom w:val="nil"/>
              <w:right w:val="nil"/>
            </w:tcBorders>
          </w:tcPr>
          <w:p w14:paraId="468C68A4" w14:textId="40FF9163" w:rsidR="00C175E4" w:rsidRPr="00D768EF" w:rsidRDefault="00C175E4" w:rsidP="00622285">
            <w:pPr>
              <w:jc w:val="left"/>
              <w:rPr>
                <w:color w:val="000000"/>
                <w:szCs w:val="22"/>
                <w:lang w:val="sr-Latn-ME"/>
              </w:rPr>
            </w:pPr>
            <w:r w:rsidRPr="00D768EF">
              <w:rPr>
                <w:color w:val="000000"/>
                <w:szCs w:val="22"/>
                <w:lang w:val="sr-Latn-ME"/>
              </w:rPr>
              <w:t>Nepoznato:</w:t>
            </w:r>
          </w:p>
        </w:tc>
        <w:tc>
          <w:tcPr>
            <w:tcW w:w="6120" w:type="dxa"/>
            <w:tcBorders>
              <w:top w:val="single" w:sz="4" w:space="0" w:color="auto"/>
              <w:left w:val="nil"/>
              <w:bottom w:val="nil"/>
              <w:right w:val="single" w:sz="4" w:space="0" w:color="auto"/>
            </w:tcBorders>
          </w:tcPr>
          <w:p w14:paraId="139745C1" w14:textId="277962E0" w:rsidR="00C175E4" w:rsidRPr="00D768EF" w:rsidRDefault="00C175E4" w:rsidP="00622285">
            <w:pPr>
              <w:jc w:val="left"/>
              <w:rPr>
                <w:color w:val="000000"/>
                <w:szCs w:val="22"/>
                <w:lang w:val="sr-Latn-ME"/>
              </w:rPr>
            </w:pPr>
            <w:r w:rsidRPr="00D768EF">
              <w:rPr>
                <w:color w:val="000000"/>
                <w:szCs w:val="22"/>
                <w:lang w:val="sr-Latn-ME"/>
              </w:rPr>
              <w:t xml:space="preserve">Probojne infekcije uzrokovane vakcinama (nakon </w:t>
            </w:r>
            <w:r w:rsidRPr="00D768EF">
              <w:rPr>
                <w:i/>
                <w:color w:val="000000"/>
                <w:szCs w:val="22"/>
                <w:lang w:val="sr-Latn-ME"/>
              </w:rPr>
              <w:t>in utero</w:t>
            </w:r>
            <w:r w:rsidRPr="00D768EF">
              <w:rPr>
                <w:color w:val="000000"/>
                <w:szCs w:val="22"/>
                <w:lang w:val="sr-Latn-ME"/>
              </w:rPr>
              <w:t xml:space="preserve"> izlaganja infliksimabu)*</w:t>
            </w:r>
          </w:p>
        </w:tc>
      </w:tr>
      <w:tr w:rsidR="00C175E4" w:rsidRPr="00D768EF" w14:paraId="340A2AE5" w14:textId="77777777" w:rsidTr="00622285">
        <w:trPr>
          <w:cantSplit/>
          <w:trHeight w:val="174"/>
        </w:trPr>
        <w:tc>
          <w:tcPr>
            <w:tcW w:w="9522" w:type="dxa"/>
            <w:gridSpan w:val="2"/>
            <w:tcBorders>
              <w:top w:val="single" w:sz="4" w:space="0" w:color="auto"/>
              <w:left w:val="single" w:sz="4" w:space="0" w:color="auto"/>
              <w:bottom w:val="single" w:sz="4" w:space="0" w:color="auto"/>
              <w:right w:val="single" w:sz="4" w:space="0" w:color="auto"/>
            </w:tcBorders>
          </w:tcPr>
          <w:p w14:paraId="33C8A90D" w14:textId="159C01C3" w:rsidR="00C175E4" w:rsidRPr="00D768EF" w:rsidRDefault="00D36568" w:rsidP="00D36568">
            <w:pPr>
              <w:jc w:val="left"/>
              <w:rPr>
                <w:color w:val="000000"/>
                <w:szCs w:val="22"/>
                <w:lang w:val="sr-Latn-ME"/>
              </w:rPr>
            </w:pPr>
            <w:r w:rsidRPr="00D768EF">
              <w:rPr>
                <w:color w:val="000000"/>
                <w:szCs w:val="22"/>
                <w:lang w:val="sr-Latn-ME"/>
              </w:rPr>
              <w:t xml:space="preserve">Neoplazme – benigne, maligne i neodređene </w:t>
            </w:r>
            <w:r w:rsidR="00C175E4" w:rsidRPr="00D768EF">
              <w:rPr>
                <w:color w:val="000000"/>
                <w:szCs w:val="22"/>
                <w:lang w:val="sr-Latn-ME"/>
              </w:rPr>
              <w:t>(uključujući ciste i polipe)</w:t>
            </w:r>
          </w:p>
        </w:tc>
      </w:tr>
      <w:tr w:rsidR="00C175E4" w:rsidRPr="00EE2CAE" w14:paraId="4540D15E" w14:textId="77777777" w:rsidTr="00622285">
        <w:trPr>
          <w:cantSplit/>
          <w:trHeight w:val="174"/>
        </w:trPr>
        <w:tc>
          <w:tcPr>
            <w:tcW w:w="3402" w:type="dxa"/>
            <w:tcBorders>
              <w:top w:val="single" w:sz="4" w:space="0" w:color="auto"/>
              <w:bottom w:val="nil"/>
            </w:tcBorders>
          </w:tcPr>
          <w:p w14:paraId="051C5E80" w14:textId="1869D983" w:rsidR="00C175E4" w:rsidRPr="00D768EF" w:rsidRDefault="00B6707D" w:rsidP="00622285">
            <w:pPr>
              <w:jc w:val="left"/>
              <w:rPr>
                <w:color w:val="000000"/>
                <w:szCs w:val="22"/>
                <w:lang w:val="sr-Latn-ME"/>
              </w:rPr>
            </w:pPr>
            <w:r w:rsidRPr="00D768EF">
              <w:rPr>
                <w:color w:val="000000"/>
                <w:szCs w:val="22"/>
                <w:lang w:val="sr-Latn-ME"/>
              </w:rPr>
              <w:t>Rijetko</w:t>
            </w:r>
            <w:r w:rsidR="00C175E4" w:rsidRPr="00D768EF">
              <w:rPr>
                <w:color w:val="000000"/>
                <w:szCs w:val="22"/>
                <w:lang w:val="sr-Latn-ME"/>
              </w:rPr>
              <w:t>:</w:t>
            </w:r>
          </w:p>
        </w:tc>
        <w:tc>
          <w:tcPr>
            <w:tcW w:w="6120" w:type="dxa"/>
            <w:tcBorders>
              <w:top w:val="single" w:sz="4" w:space="0" w:color="auto"/>
              <w:bottom w:val="nil"/>
            </w:tcBorders>
          </w:tcPr>
          <w:p w14:paraId="2C61F6AB" w14:textId="53FE7D24" w:rsidR="00C175E4" w:rsidRPr="00D768EF" w:rsidRDefault="00C175E4" w:rsidP="00622285">
            <w:pPr>
              <w:jc w:val="left"/>
              <w:rPr>
                <w:color w:val="000000"/>
                <w:szCs w:val="22"/>
                <w:lang w:val="sr-Latn-ME"/>
              </w:rPr>
            </w:pPr>
            <w:r w:rsidRPr="00D768EF">
              <w:rPr>
                <w:color w:val="000000"/>
                <w:szCs w:val="22"/>
                <w:lang w:val="sr-Latn-ME"/>
              </w:rPr>
              <w:t xml:space="preserve">Limfom, </w:t>
            </w:r>
            <w:r w:rsidRPr="00D768EF">
              <w:rPr>
                <w:szCs w:val="22"/>
                <w:lang w:val="sr-Latn-ME"/>
              </w:rPr>
              <w:t>n</w:t>
            </w:r>
            <w:r w:rsidR="00577B7A" w:rsidRPr="00D768EF">
              <w:rPr>
                <w:szCs w:val="22"/>
                <w:lang w:val="sr-Latn-ME"/>
              </w:rPr>
              <w:t>on</w:t>
            </w:r>
            <w:r w:rsidRPr="00D768EF">
              <w:rPr>
                <w:szCs w:val="22"/>
                <w:lang w:val="sr-Latn-ME"/>
              </w:rPr>
              <w:t>-Hočkinov limfom, Hočkinova bolest,</w:t>
            </w:r>
            <w:r w:rsidRPr="00D768EF">
              <w:rPr>
                <w:color w:val="0000FF"/>
                <w:szCs w:val="22"/>
                <w:lang w:val="sr-Latn-ME"/>
              </w:rPr>
              <w:t xml:space="preserve"> </w:t>
            </w:r>
            <w:r w:rsidRPr="00D768EF">
              <w:rPr>
                <w:szCs w:val="22"/>
                <w:lang w:val="sr-Latn-ME"/>
              </w:rPr>
              <w:t>leukemija, melanom, rak grlića materice.</w:t>
            </w:r>
          </w:p>
        </w:tc>
      </w:tr>
      <w:tr w:rsidR="00C175E4" w:rsidRPr="00C93299" w14:paraId="3EB01190" w14:textId="77777777" w:rsidTr="00622285">
        <w:trPr>
          <w:cantSplit/>
          <w:trHeight w:val="174"/>
        </w:trPr>
        <w:tc>
          <w:tcPr>
            <w:tcW w:w="3402" w:type="dxa"/>
            <w:tcBorders>
              <w:top w:val="nil"/>
              <w:left w:val="single" w:sz="4" w:space="0" w:color="auto"/>
              <w:bottom w:val="single" w:sz="4" w:space="0" w:color="auto"/>
              <w:right w:val="nil"/>
            </w:tcBorders>
          </w:tcPr>
          <w:p w14:paraId="62ACD56B" w14:textId="3CBFC1D0" w:rsidR="00C175E4" w:rsidRPr="00D768EF" w:rsidRDefault="00C175E4" w:rsidP="00622285">
            <w:pPr>
              <w:jc w:val="left"/>
              <w:rPr>
                <w:color w:val="000000"/>
                <w:szCs w:val="22"/>
                <w:lang w:val="sr-Latn-ME"/>
              </w:rPr>
            </w:pPr>
            <w:r w:rsidRPr="00D768EF">
              <w:rPr>
                <w:color w:val="000000"/>
                <w:szCs w:val="22"/>
                <w:lang w:val="sr-Latn-ME"/>
              </w:rPr>
              <w:t>Nepoznato:</w:t>
            </w:r>
          </w:p>
        </w:tc>
        <w:tc>
          <w:tcPr>
            <w:tcW w:w="6120" w:type="dxa"/>
            <w:tcBorders>
              <w:top w:val="nil"/>
              <w:left w:val="nil"/>
              <w:bottom w:val="single" w:sz="4" w:space="0" w:color="auto"/>
              <w:right w:val="single" w:sz="4" w:space="0" w:color="auto"/>
            </w:tcBorders>
          </w:tcPr>
          <w:p w14:paraId="1B8454A5" w14:textId="5F30CE2F" w:rsidR="00C175E4" w:rsidRPr="00D768EF" w:rsidRDefault="00C175E4" w:rsidP="00622285">
            <w:pPr>
              <w:jc w:val="left"/>
              <w:rPr>
                <w:szCs w:val="22"/>
                <w:lang w:val="sr-Latn-ME"/>
              </w:rPr>
            </w:pPr>
            <w:r w:rsidRPr="00D768EF">
              <w:rPr>
                <w:iCs/>
                <w:szCs w:val="22"/>
                <w:lang w:val="sr-Latn-ME" w:eastAsia="sv-SE"/>
              </w:rPr>
              <w:t xml:space="preserve">Hepatosplenični T-celularni limfom </w:t>
            </w:r>
            <w:r w:rsidRPr="00D768EF">
              <w:rPr>
                <w:szCs w:val="22"/>
                <w:lang w:val="sr-Latn-ME"/>
              </w:rPr>
              <w:t xml:space="preserve">(prvenstveno kod adolescenata i mlađih odraslih </w:t>
            </w:r>
            <w:r w:rsidR="00C463C8" w:rsidRPr="00D768EF">
              <w:rPr>
                <w:szCs w:val="22"/>
                <w:lang w:val="sr-Latn-ME"/>
              </w:rPr>
              <w:t xml:space="preserve">muških </w:t>
            </w:r>
            <w:r w:rsidRPr="00D768EF">
              <w:rPr>
                <w:szCs w:val="22"/>
                <w:lang w:val="sr-Latn-ME"/>
              </w:rPr>
              <w:t xml:space="preserve">pacijenata </w:t>
            </w:r>
            <w:r w:rsidR="00577B7A" w:rsidRPr="00D768EF">
              <w:rPr>
                <w:szCs w:val="22"/>
                <w:lang w:val="sr-Latn-ME"/>
              </w:rPr>
              <w:t>koji imaju</w:t>
            </w:r>
            <w:r w:rsidRPr="00D768EF">
              <w:rPr>
                <w:szCs w:val="22"/>
                <w:lang w:val="sr-Latn-ME"/>
              </w:rPr>
              <w:t xml:space="preserve"> Kronov</w:t>
            </w:r>
            <w:r w:rsidR="00577B7A" w:rsidRPr="00D768EF">
              <w:rPr>
                <w:szCs w:val="22"/>
                <w:lang w:val="sr-Latn-ME"/>
              </w:rPr>
              <w:t>u</w:t>
            </w:r>
            <w:r w:rsidRPr="00D768EF">
              <w:rPr>
                <w:szCs w:val="22"/>
                <w:lang w:val="sr-Latn-ME"/>
              </w:rPr>
              <w:t xml:space="preserve"> bole</w:t>
            </w:r>
            <w:r w:rsidR="00577B7A" w:rsidRPr="00D768EF">
              <w:rPr>
                <w:szCs w:val="22"/>
                <w:lang w:val="sr-Latn-ME"/>
              </w:rPr>
              <w:t>st</w:t>
            </w:r>
            <w:r w:rsidRPr="00D768EF">
              <w:rPr>
                <w:szCs w:val="22"/>
                <w:lang w:val="sr-Latn-ME"/>
              </w:rPr>
              <w:t xml:space="preserve"> i</w:t>
            </w:r>
            <w:r w:rsidR="00341748">
              <w:rPr>
                <w:szCs w:val="22"/>
                <w:lang w:val="sr-Latn-ME"/>
              </w:rPr>
              <w:t>li</w:t>
            </w:r>
            <w:r w:rsidRPr="00D768EF">
              <w:rPr>
                <w:szCs w:val="22"/>
                <w:lang w:val="sr-Latn-ME"/>
              </w:rPr>
              <w:t xml:space="preserve"> ulcerozni kolitis), karcinom Merkelovih ćelija</w:t>
            </w:r>
            <w:r w:rsidR="00341748">
              <w:rPr>
                <w:szCs w:val="22"/>
                <w:lang w:val="sr-Latn-ME"/>
              </w:rPr>
              <w:t>, Kapošijev sarkom</w:t>
            </w:r>
            <w:r w:rsidRPr="00D768EF">
              <w:rPr>
                <w:szCs w:val="22"/>
                <w:lang w:val="sr-Latn-ME"/>
              </w:rPr>
              <w:t>.</w:t>
            </w:r>
          </w:p>
        </w:tc>
      </w:tr>
      <w:tr w:rsidR="00C175E4" w:rsidRPr="00EE2CAE" w14:paraId="75098BFA" w14:textId="77777777" w:rsidTr="00622285">
        <w:trPr>
          <w:cantSplit/>
          <w:trHeight w:val="174"/>
        </w:trPr>
        <w:tc>
          <w:tcPr>
            <w:tcW w:w="9522" w:type="dxa"/>
            <w:gridSpan w:val="2"/>
            <w:tcBorders>
              <w:top w:val="single" w:sz="4" w:space="0" w:color="auto"/>
              <w:bottom w:val="nil"/>
            </w:tcBorders>
          </w:tcPr>
          <w:p w14:paraId="039E9011" w14:textId="0876D291" w:rsidR="00C175E4" w:rsidRPr="00D768EF" w:rsidRDefault="00C175E4" w:rsidP="00D36568">
            <w:pPr>
              <w:jc w:val="left"/>
              <w:rPr>
                <w:color w:val="000000"/>
                <w:szCs w:val="22"/>
                <w:lang w:val="sr-Latn-ME"/>
              </w:rPr>
            </w:pPr>
            <w:r w:rsidRPr="00D768EF">
              <w:rPr>
                <w:color w:val="000000"/>
                <w:szCs w:val="22"/>
                <w:lang w:val="sr-Latn-ME"/>
              </w:rPr>
              <w:t>Poremećaji krvi i limfnog sistema</w:t>
            </w:r>
          </w:p>
        </w:tc>
      </w:tr>
      <w:tr w:rsidR="00C175E4" w:rsidRPr="00D768EF" w14:paraId="30A407CC" w14:textId="77777777" w:rsidTr="00622285">
        <w:trPr>
          <w:cantSplit/>
          <w:trHeight w:val="174"/>
        </w:trPr>
        <w:tc>
          <w:tcPr>
            <w:tcW w:w="3402" w:type="dxa"/>
            <w:tcBorders>
              <w:top w:val="single" w:sz="4" w:space="0" w:color="auto"/>
              <w:bottom w:val="nil"/>
            </w:tcBorders>
          </w:tcPr>
          <w:p w14:paraId="0A4BF1AE" w14:textId="200F5867" w:rsidR="00C175E4" w:rsidRPr="00D768EF" w:rsidRDefault="00C175E4" w:rsidP="00622285">
            <w:pPr>
              <w:jc w:val="left"/>
              <w:rPr>
                <w:color w:val="000000"/>
                <w:szCs w:val="22"/>
                <w:lang w:val="sr-Latn-ME"/>
              </w:rPr>
            </w:pPr>
            <w:r w:rsidRPr="00D768EF">
              <w:rPr>
                <w:color w:val="000000"/>
                <w:szCs w:val="22"/>
                <w:lang w:val="sr-Latn-ME"/>
              </w:rPr>
              <w:t>Često:</w:t>
            </w:r>
          </w:p>
        </w:tc>
        <w:tc>
          <w:tcPr>
            <w:tcW w:w="6120" w:type="dxa"/>
            <w:tcBorders>
              <w:top w:val="single" w:sz="4" w:space="0" w:color="auto"/>
              <w:bottom w:val="nil"/>
            </w:tcBorders>
          </w:tcPr>
          <w:p w14:paraId="1E835D6E" w14:textId="77777777" w:rsidR="00C175E4" w:rsidRPr="00D768EF" w:rsidRDefault="00C175E4" w:rsidP="00622285">
            <w:pPr>
              <w:jc w:val="left"/>
              <w:rPr>
                <w:szCs w:val="22"/>
                <w:lang w:val="sr-Latn-ME"/>
              </w:rPr>
            </w:pPr>
            <w:r w:rsidRPr="00D768EF">
              <w:rPr>
                <w:color w:val="000000"/>
                <w:szCs w:val="22"/>
                <w:lang w:val="sr-Latn-ME"/>
              </w:rPr>
              <w:t>Neutropenija, leukopenija, anemija, limfadenopatija.</w:t>
            </w:r>
          </w:p>
        </w:tc>
      </w:tr>
      <w:tr w:rsidR="00C175E4" w:rsidRPr="00D768EF" w14:paraId="0BE4CF5C" w14:textId="77777777" w:rsidTr="00622285">
        <w:trPr>
          <w:cantSplit/>
          <w:trHeight w:val="174"/>
        </w:trPr>
        <w:tc>
          <w:tcPr>
            <w:tcW w:w="3402" w:type="dxa"/>
            <w:tcBorders>
              <w:top w:val="nil"/>
              <w:bottom w:val="nil"/>
            </w:tcBorders>
          </w:tcPr>
          <w:p w14:paraId="1FCBF7DA" w14:textId="4A4F2B2A" w:rsidR="00C175E4" w:rsidRPr="00D768EF" w:rsidRDefault="00C175E4" w:rsidP="00622285">
            <w:pPr>
              <w:jc w:val="left"/>
              <w:rPr>
                <w:color w:val="000000"/>
                <w:szCs w:val="22"/>
                <w:lang w:val="sr-Latn-ME"/>
              </w:rPr>
            </w:pPr>
            <w:r w:rsidRPr="00D768EF">
              <w:rPr>
                <w:color w:val="000000"/>
                <w:szCs w:val="22"/>
                <w:lang w:val="sr-Latn-ME"/>
              </w:rPr>
              <w:t>Povremeno:</w:t>
            </w:r>
          </w:p>
        </w:tc>
        <w:tc>
          <w:tcPr>
            <w:tcW w:w="6120" w:type="dxa"/>
            <w:tcBorders>
              <w:top w:val="nil"/>
              <w:bottom w:val="nil"/>
            </w:tcBorders>
          </w:tcPr>
          <w:p w14:paraId="6EF01865" w14:textId="28062948" w:rsidR="00C175E4" w:rsidRPr="00D768EF" w:rsidRDefault="00C175E4" w:rsidP="00622285">
            <w:pPr>
              <w:jc w:val="left"/>
              <w:rPr>
                <w:color w:val="000000"/>
                <w:szCs w:val="22"/>
                <w:lang w:val="sr-Latn-ME"/>
              </w:rPr>
            </w:pPr>
            <w:r w:rsidRPr="00D768EF">
              <w:rPr>
                <w:color w:val="000000"/>
                <w:szCs w:val="22"/>
                <w:lang w:val="sr-Latn-ME"/>
              </w:rPr>
              <w:t xml:space="preserve">Trombocitopenija, limfopenija, limfocitoza. </w:t>
            </w:r>
          </w:p>
        </w:tc>
      </w:tr>
      <w:tr w:rsidR="00C175E4" w:rsidRPr="00C93299" w14:paraId="75C594BC" w14:textId="77777777" w:rsidTr="00622285">
        <w:trPr>
          <w:cantSplit/>
          <w:trHeight w:val="174"/>
        </w:trPr>
        <w:tc>
          <w:tcPr>
            <w:tcW w:w="3402" w:type="dxa"/>
            <w:tcBorders>
              <w:top w:val="nil"/>
              <w:left w:val="single" w:sz="4" w:space="0" w:color="auto"/>
              <w:bottom w:val="single" w:sz="4" w:space="0" w:color="auto"/>
              <w:right w:val="nil"/>
            </w:tcBorders>
          </w:tcPr>
          <w:p w14:paraId="63F3A8DA" w14:textId="03A3A0FF" w:rsidR="00C175E4" w:rsidRPr="00D768EF" w:rsidRDefault="00B6707D" w:rsidP="00622285">
            <w:pPr>
              <w:jc w:val="left"/>
              <w:rPr>
                <w:color w:val="000000"/>
                <w:szCs w:val="22"/>
                <w:lang w:val="sr-Latn-ME"/>
              </w:rPr>
            </w:pPr>
            <w:r w:rsidRPr="00D768EF">
              <w:rPr>
                <w:color w:val="000000"/>
                <w:szCs w:val="22"/>
                <w:lang w:val="sr-Latn-ME"/>
              </w:rPr>
              <w:t>Rijetko</w:t>
            </w:r>
            <w:r w:rsidR="00C175E4" w:rsidRPr="00D768EF">
              <w:rPr>
                <w:color w:val="000000"/>
                <w:szCs w:val="22"/>
                <w:lang w:val="sr-Latn-ME"/>
              </w:rPr>
              <w:t>:</w:t>
            </w:r>
          </w:p>
        </w:tc>
        <w:tc>
          <w:tcPr>
            <w:tcW w:w="6120" w:type="dxa"/>
            <w:tcBorders>
              <w:top w:val="nil"/>
              <w:left w:val="nil"/>
              <w:bottom w:val="single" w:sz="4" w:space="0" w:color="auto"/>
              <w:right w:val="single" w:sz="4" w:space="0" w:color="auto"/>
            </w:tcBorders>
          </w:tcPr>
          <w:p w14:paraId="15A1A863" w14:textId="657151FA" w:rsidR="00C175E4" w:rsidRPr="00D768EF" w:rsidRDefault="00C175E4" w:rsidP="00622285">
            <w:pPr>
              <w:jc w:val="left"/>
              <w:rPr>
                <w:color w:val="000000"/>
                <w:szCs w:val="22"/>
                <w:lang w:val="sr-Latn-ME"/>
              </w:rPr>
            </w:pPr>
            <w:r w:rsidRPr="00D768EF">
              <w:rPr>
                <w:color w:val="000000"/>
                <w:szCs w:val="22"/>
                <w:lang w:val="sr-Latn-ME"/>
              </w:rPr>
              <w:t>Agranulocitoza</w:t>
            </w:r>
            <w:r w:rsidRPr="00D768EF">
              <w:rPr>
                <w:color w:val="000000"/>
                <w:sz w:val="20"/>
                <w:szCs w:val="20"/>
                <w:lang w:val="sr-Latn-ME"/>
              </w:rPr>
              <w:t xml:space="preserve"> </w:t>
            </w:r>
            <w:r w:rsidRPr="00D768EF">
              <w:rPr>
                <w:color w:val="000000"/>
                <w:szCs w:val="22"/>
                <w:lang w:val="sr-Latn-ME"/>
              </w:rPr>
              <w:t xml:space="preserve">(uključujući novorođenčad izloženu </w:t>
            </w:r>
            <w:r w:rsidRPr="00D768EF">
              <w:rPr>
                <w:i/>
                <w:color w:val="000000"/>
                <w:szCs w:val="22"/>
                <w:lang w:val="sr-Latn-ME"/>
              </w:rPr>
              <w:t>in utero</w:t>
            </w:r>
            <w:r w:rsidRPr="00D768EF">
              <w:rPr>
                <w:color w:val="000000"/>
                <w:szCs w:val="22"/>
                <w:lang w:val="sr-Latn-ME"/>
              </w:rPr>
              <w:t xml:space="preserve"> infliksimabu), trombotična trombocitopenična purpura, pancitopenija, hemolitička anemija, idiopatska</w:t>
            </w:r>
            <w:r w:rsidR="00577B7A" w:rsidRPr="00D768EF">
              <w:rPr>
                <w:color w:val="000000"/>
                <w:szCs w:val="22"/>
                <w:lang w:val="sr-Latn-ME"/>
              </w:rPr>
              <w:t xml:space="preserve"> </w:t>
            </w:r>
            <w:r w:rsidRPr="00D768EF">
              <w:rPr>
                <w:color w:val="000000"/>
                <w:szCs w:val="22"/>
                <w:lang w:val="sr-Latn-ME"/>
              </w:rPr>
              <w:t>trombocitopenična purpura.</w:t>
            </w:r>
          </w:p>
        </w:tc>
      </w:tr>
      <w:tr w:rsidR="00C175E4" w:rsidRPr="00D768EF" w14:paraId="56BD5EEF" w14:textId="77777777" w:rsidTr="00622285">
        <w:trPr>
          <w:cantSplit/>
          <w:trHeight w:val="174"/>
        </w:trPr>
        <w:tc>
          <w:tcPr>
            <w:tcW w:w="9522" w:type="dxa"/>
            <w:gridSpan w:val="2"/>
            <w:tcBorders>
              <w:top w:val="single" w:sz="4" w:space="0" w:color="auto"/>
              <w:bottom w:val="single" w:sz="4" w:space="0" w:color="auto"/>
            </w:tcBorders>
          </w:tcPr>
          <w:p w14:paraId="37E7E808" w14:textId="37640432" w:rsidR="00C175E4" w:rsidRPr="00D768EF" w:rsidRDefault="00D36568" w:rsidP="00D36568">
            <w:pPr>
              <w:jc w:val="left"/>
              <w:rPr>
                <w:color w:val="000000"/>
                <w:szCs w:val="22"/>
                <w:lang w:val="sr-Latn-ME"/>
              </w:rPr>
            </w:pPr>
            <w:r w:rsidRPr="00D768EF">
              <w:rPr>
                <w:color w:val="000000"/>
                <w:szCs w:val="22"/>
                <w:lang w:val="sr-Latn-ME"/>
              </w:rPr>
              <w:t>P</w:t>
            </w:r>
            <w:r w:rsidR="00C175E4" w:rsidRPr="00D768EF">
              <w:rPr>
                <w:color w:val="000000"/>
                <w:szCs w:val="22"/>
                <w:lang w:val="sr-Latn-ME"/>
              </w:rPr>
              <w:t>oremećaji</w:t>
            </w:r>
            <w:r w:rsidRPr="00D768EF">
              <w:rPr>
                <w:color w:val="000000"/>
                <w:szCs w:val="22"/>
                <w:lang w:val="sr-Latn-ME"/>
              </w:rPr>
              <w:t xml:space="preserve"> imunskog sistema</w:t>
            </w:r>
          </w:p>
        </w:tc>
      </w:tr>
      <w:tr w:rsidR="00C175E4" w:rsidRPr="00D768EF" w14:paraId="000CB6E9" w14:textId="77777777" w:rsidTr="00622285">
        <w:trPr>
          <w:cantSplit/>
          <w:trHeight w:val="174"/>
        </w:trPr>
        <w:tc>
          <w:tcPr>
            <w:tcW w:w="3402" w:type="dxa"/>
            <w:tcBorders>
              <w:top w:val="single" w:sz="4" w:space="0" w:color="auto"/>
              <w:bottom w:val="nil"/>
            </w:tcBorders>
          </w:tcPr>
          <w:p w14:paraId="39EFE379" w14:textId="43C03948" w:rsidR="00C175E4" w:rsidRPr="00D768EF" w:rsidRDefault="00C175E4" w:rsidP="00622285">
            <w:pPr>
              <w:jc w:val="left"/>
              <w:rPr>
                <w:color w:val="000000"/>
                <w:szCs w:val="22"/>
                <w:lang w:val="sr-Latn-ME"/>
              </w:rPr>
            </w:pPr>
            <w:r w:rsidRPr="00D768EF">
              <w:rPr>
                <w:color w:val="000000"/>
                <w:szCs w:val="22"/>
                <w:lang w:val="sr-Latn-ME"/>
              </w:rPr>
              <w:t>Često:</w:t>
            </w:r>
          </w:p>
        </w:tc>
        <w:tc>
          <w:tcPr>
            <w:tcW w:w="6120" w:type="dxa"/>
            <w:tcBorders>
              <w:top w:val="single" w:sz="4" w:space="0" w:color="auto"/>
              <w:bottom w:val="nil"/>
            </w:tcBorders>
          </w:tcPr>
          <w:p w14:paraId="42F65AF8" w14:textId="31F28035" w:rsidR="00C175E4" w:rsidRPr="00D768EF" w:rsidRDefault="00C175E4" w:rsidP="00622285">
            <w:pPr>
              <w:jc w:val="left"/>
              <w:rPr>
                <w:color w:val="000000"/>
                <w:szCs w:val="22"/>
                <w:lang w:val="sr-Latn-ME"/>
              </w:rPr>
            </w:pPr>
            <w:r w:rsidRPr="00D768EF">
              <w:rPr>
                <w:color w:val="000000"/>
                <w:szCs w:val="22"/>
                <w:lang w:val="sr-Latn-ME"/>
              </w:rPr>
              <w:t>Alergijsk</w:t>
            </w:r>
            <w:r w:rsidR="00577B7A" w:rsidRPr="00D768EF">
              <w:rPr>
                <w:color w:val="000000"/>
                <w:szCs w:val="22"/>
                <w:lang w:val="sr-Latn-ME"/>
              </w:rPr>
              <w:t>e reakcije</w:t>
            </w:r>
            <w:r w:rsidRPr="00D768EF">
              <w:rPr>
                <w:color w:val="000000"/>
                <w:szCs w:val="22"/>
                <w:lang w:val="sr-Latn-ME"/>
              </w:rPr>
              <w:t xml:space="preserve"> respiratorn</w:t>
            </w:r>
            <w:r w:rsidR="00577B7A" w:rsidRPr="00D768EF">
              <w:rPr>
                <w:color w:val="000000"/>
                <w:szCs w:val="22"/>
                <w:lang w:val="sr-Latn-ME"/>
              </w:rPr>
              <w:t>og</w:t>
            </w:r>
            <w:r w:rsidRPr="00D768EF">
              <w:rPr>
                <w:color w:val="000000"/>
                <w:szCs w:val="22"/>
                <w:lang w:val="sr-Latn-ME"/>
              </w:rPr>
              <w:t xml:space="preserve"> </w:t>
            </w:r>
            <w:r w:rsidR="00577B7A" w:rsidRPr="00D768EF">
              <w:rPr>
                <w:color w:val="000000"/>
                <w:szCs w:val="22"/>
                <w:lang w:val="sr-Latn-ME"/>
              </w:rPr>
              <w:t>sistema</w:t>
            </w:r>
            <w:r w:rsidRPr="00D768EF">
              <w:rPr>
                <w:color w:val="000000"/>
                <w:szCs w:val="22"/>
                <w:lang w:val="sr-Latn-ME"/>
              </w:rPr>
              <w:t xml:space="preserve">. </w:t>
            </w:r>
          </w:p>
        </w:tc>
      </w:tr>
      <w:tr w:rsidR="00C175E4" w:rsidRPr="00C93299" w14:paraId="179E3D14" w14:textId="77777777" w:rsidTr="000112A1">
        <w:trPr>
          <w:cantSplit/>
          <w:trHeight w:val="174"/>
        </w:trPr>
        <w:tc>
          <w:tcPr>
            <w:tcW w:w="3402" w:type="dxa"/>
            <w:tcBorders>
              <w:top w:val="nil"/>
              <w:bottom w:val="single" w:sz="4" w:space="0" w:color="auto"/>
            </w:tcBorders>
          </w:tcPr>
          <w:p w14:paraId="02D1C1D2" w14:textId="4DED97DC" w:rsidR="00C175E4" w:rsidRPr="00D768EF" w:rsidRDefault="00C175E4" w:rsidP="00622285">
            <w:pPr>
              <w:jc w:val="left"/>
              <w:rPr>
                <w:color w:val="000000"/>
                <w:szCs w:val="22"/>
                <w:lang w:val="sr-Latn-ME"/>
              </w:rPr>
            </w:pPr>
            <w:r w:rsidRPr="00D768EF">
              <w:rPr>
                <w:color w:val="000000"/>
                <w:szCs w:val="22"/>
                <w:lang w:val="sr-Latn-ME"/>
              </w:rPr>
              <w:t>Povremeno:</w:t>
            </w:r>
          </w:p>
          <w:p w14:paraId="4405391B" w14:textId="77777777" w:rsidR="00C175E4" w:rsidRPr="00D768EF" w:rsidRDefault="00C175E4" w:rsidP="00622285">
            <w:pPr>
              <w:jc w:val="left"/>
              <w:rPr>
                <w:color w:val="000000"/>
                <w:szCs w:val="22"/>
                <w:lang w:val="sr-Latn-ME"/>
              </w:rPr>
            </w:pPr>
          </w:p>
          <w:p w14:paraId="176CA190" w14:textId="77777777" w:rsidR="00C175E4" w:rsidRPr="00D768EF" w:rsidRDefault="00B6707D" w:rsidP="00622285">
            <w:pPr>
              <w:jc w:val="left"/>
              <w:rPr>
                <w:color w:val="000000"/>
                <w:szCs w:val="22"/>
                <w:lang w:val="sr-Latn-ME"/>
              </w:rPr>
            </w:pPr>
            <w:r w:rsidRPr="00D768EF">
              <w:rPr>
                <w:color w:val="000000"/>
                <w:szCs w:val="22"/>
                <w:lang w:val="sr-Latn-ME"/>
              </w:rPr>
              <w:t>Rijetko</w:t>
            </w:r>
            <w:r w:rsidR="00C175E4" w:rsidRPr="00D768EF">
              <w:rPr>
                <w:color w:val="000000"/>
                <w:szCs w:val="22"/>
                <w:lang w:val="sr-Latn-ME"/>
              </w:rPr>
              <w:t>:</w:t>
            </w:r>
          </w:p>
        </w:tc>
        <w:tc>
          <w:tcPr>
            <w:tcW w:w="6120" w:type="dxa"/>
            <w:tcBorders>
              <w:top w:val="nil"/>
              <w:bottom w:val="single" w:sz="4" w:space="0" w:color="auto"/>
            </w:tcBorders>
          </w:tcPr>
          <w:p w14:paraId="3D7ED007" w14:textId="368DF2C8" w:rsidR="00C175E4" w:rsidRPr="00D768EF" w:rsidRDefault="00C175E4" w:rsidP="00622285">
            <w:pPr>
              <w:jc w:val="left"/>
              <w:rPr>
                <w:color w:val="000000"/>
                <w:szCs w:val="22"/>
                <w:lang w:val="sr-Latn-ME"/>
              </w:rPr>
            </w:pPr>
            <w:r w:rsidRPr="00D768EF">
              <w:rPr>
                <w:color w:val="000000"/>
                <w:szCs w:val="22"/>
                <w:lang w:val="sr-Latn-ME"/>
              </w:rPr>
              <w:t>Anafilaktička reakcija, sindrom sličan lupusu, serumska bolest ili r</w:t>
            </w:r>
            <w:r w:rsidRPr="00D768EF">
              <w:rPr>
                <w:snapToGrid w:val="0"/>
                <w:color w:val="000000"/>
                <w:szCs w:val="22"/>
                <w:lang w:val="sr-Latn-ME"/>
              </w:rPr>
              <w:t>eakcije nalik serumskoj bolesti.</w:t>
            </w:r>
          </w:p>
          <w:p w14:paraId="44FF77A8" w14:textId="04E5BB14" w:rsidR="00C175E4" w:rsidRPr="00D768EF" w:rsidRDefault="00C175E4" w:rsidP="00622285">
            <w:pPr>
              <w:jc w:val="left"/>
              <w:rPr>
                <w:snapToGrid w:val="0"/>
                <w:color w:val="000000"/>
                <w:szCs w:val="22"/>
                <w:lang w:val="sr-Latn-ME"/>
              </w:rPr>
            </w:pPr>
            <w:r w:rsidRPr="00D768EF">
              <w:rPr>
                <w:color w:val="000000"/>
                <w:szCs w:val="22"/>
                <w:lang w:val="sr-Latn-ME"/>
              </w:rPr>
              <w:t>Anafilaktički šok, vaskulitis,</w:t>
            </w:r>
            <w:r w:rsidRPr="00D768EF">
              <w:rPr>
                <w:snapToGrid w:val="0"/>
                <w:color w:val="000000"/>
                <w:szCs w:val="22"/>
                <w:lang w:val="sr-Latn-ME"/>
              </w:rPr>
              <w:t xml:space="preserve"> reakcija nalik na sarkoidozuS</w:t>
            </w:r>
          </w:p>
        </w:tc>
      </w:tr>
      <w:tr w:rsidR="000112A1" w:rsidRPr="00D768EF" w14:paraId="20F712AF" w14:textId="77777777" w:rsidTr="000112A1">
        <w:trPr>
          <w:cantSplit/>
          <w:trHeight w:val="174"/>
        </w:trPr>
        <w:tc>
          <w:tcPr>
            <w:tcW w:w="3402" w:type="dxa"/>
            <w:tcBorders>
              <w:top w:val="single" w:sz="4" w:space="0" w:color="auto"/>
              <w:bottom w:val="single" w:sz="4" w:space="0" w:color="auto"/>
            </w:tcBorders>
          </w:tcPr>
          <w:p w14:paraId="75FA22CD" w14:textId="5958ABFE" w:rsidR="000112A1" w:rsidRPr="0062214A" w:rsidRDefault="000112A1" w:rsidP="00622285">
            <w:pPr>
              <w:jc w:val="left"/>
              <w:rPr>
                <w:color w:val="000000"/>
                <w:szCs w:val="22"/>
                <w:lang w:val="sr-Latn-ME"/>
              </w:rPr>
            </w:pPr>
            <w:r w:rsidRPr="0062214A">
              <w:rPr>
                <w:color w:val="000000"/>
                <w:szCs w:val="22"/>
                <w:lang w:val="sr-Latn-ME"/>
              </w:rPr>
              <w:t>Poremećaji metabolizma i prehrane</w:t>
            </w:r>
          </w:p>
        </w:tc>
        <w:tc>
          <w:tcPr>
            <w:tcW w:w="6120" w:type="dxa"/>
            <w:tcBorders>
              <w:top w:val="single" w:sz="4" w:space="0" w:color="auto"/>
              <w:bottom w:val="single" w:sz="4" w:space="0" w:color="auto"/>
            </w:tcBorders>
          </w:tcPr>
          <w:p w14:paraId="18160CD5" w14:textId="77777777" w:rsidR="000112A1" w:rsidRPr="000112A1" w:rsidRDefault="000112A1" w:rsidP="00622285">
            <w:pPr>
              <w:jc w:val="left"/>
              <w:rPr>
                <w:i/>
                <w:iCs/>
                <w:color w:val="000000"/>
                <w:szCs w:val="22"/>
                <w:lang w:val="sr-Latn-ME"/>
              </w:rPr>
            </w:pPr>
          </w:p>
        </w:tc>
      </w:tr>
      <w:tr w:rsidR="000112A1" w:rsidRPr="00D768EF" w14:paraId="1C9B1B8E" w14:textId="77777777" w:rsidTr="000112A1">
        <w:trPr>
          <w:cantSplit/>
          <w:trHeight w:val="174"/>
        </w:trPr>
        <w:tc>
          <w:tcPr>
            <w:tcW w:w="3402" w:type="dxa"/>
            <w:tcBorders>
              <w:top w:val="single" w:sz="4" w:space="0" w:color="auto"/>
              <w:bottom w:val="single" w:sz="4" w:space="0" w:color="auto"/>
            </w:tcBorders>
          </w:tcPr>
          <w:p w14:paraId="0B9D1223" w14:textId="794F941E" w:rsidR="000112A1" w:rsidRPr="00D768EF" w:rsidRDefault="000112A1" w:rsidP="00622285">
            <w:pPr>
              <w:jc w:val="left"/>
              <w:rPr>
                <w:color w:val="000000"/>
                <w:szCs w:val="22"/>
                <w:lang w:val="sr-Latn-ME"/>
              </w:rPr>
            </w:pPr>
            <w:r>
              <w:rPr>
                <w:color w:val="000000"/>
                <w:szCs w:val="22"/>
                <w:lang w:val="sr-Latn-ME"/>
              </w:rPr>
              <w:lastRenderedPageBreak/>
              <w:t>Povremeno</w:t>
            </w:r>
          </w:p>
        </w:tc>
        <w:tc>
          <w:tcPr>
            <w:tcW w:w="6120" w:type="dxa"/>
            <w:tcBorders>
              <w:top w:val="single" w:sz="4" w:space="0" w:color="auto"/>
              <w:bottom w:val="single" w:sz="4" w:space="0" w:color="auto"/>
            </w:tcBorders>
          </w:tcPr>
          <w:p w14:paraId="23CD78AC" w14:textId="6956429D" w:rsidR="000112A1" w:rsidRPr="00D768EF" w:rsidRDefault="000112A1" w:rsidP="00622285">
            <w:pPr>
              <w:jc w:val="left"/>
              <w:rPr>
                <w:color w:val="000000"/>
                <w:szCs w:val="22"/>
                <w:lang w:val="sr-Latn-ME"/>
              </w:rPr>
            </w:pPr>
            <w:r>
              <w:rPr>
                <w:color w:val="000000"/>
                <w:szCs w:val="22"/>
                <w:lang w:val="sr-Latn-ME"/>
              </w:rPr>
              <w:t>Dislipidemija</w:t>
            </w:r>
          </w:p>
        </w:tc>
      </w:tr>
      <w:tr w:rsidR="00C175E4" w:rsidRPr="00D768EF" w14:paraId="5B73AFFA" w14:textId="77777777" w:rsidTr="000112A1">
        <w:trPr>
          <w:cantSplit/>
          <w:trHeight w:val="174"/>
        </w:trPr>
        <w:tc>
          <w:tcPr>
            <w:tcW w:w="3402" w:type="dxa"/>
            <w:tcBorders>
              <w:top w:val="single" w:sz="4" w:space="0" w:color="auto"/>
              <w:bottom w:val="single" w:sz="4" w:space="0" w:color="auto"/>
            </w:tcBorders>
          </w:tcPr>
          <w:p w14:paraId="2C99E1F6" w14:textId="77777777" w:rsidR="00C175E4" w:rsidRPr="00D768EF" w:rsidRDefault="00C175E4" w:rsidP="00622285">
            <w:pPr>
              <w:jc w:val="left"/>
              <w:rPr>
                <w:color w:val="000000"/>
                <w:szCs w:val="22"/>
                <w:lang w:val="sr-Latn-ME"/>
              </w:rPr>
            </w:pPr>
            <w:r w:rsidRPr="00D768EF">
              <w:rPr>
                <w:color w:val="000000"/>
                <w:szCs w:val="22"/>
                <w:lang w:val="sr-Latn-ME"/>
              </w:rPr>
              <w:t>Psihijatrijski poremećaji</w:t>
            </w:r>
          </w:p>
        </w:tc>
        <w:tc>
          <w:tcPr>
            <w:tcW w:w="6120" w:type="dxa"/>
            <w:tcBorders>
              <w:top w:val="single" w:sz="4" w:space="0" w:color="auto"/>
              <w:bottom w:val="single" w:sz="4" w:space="0" w:color="auto"/>
            </w:tcBorders>
          </w:tcPr>
          <w:p w14:paraId="267E6EF7" w14:textId="77777777" w:rsidR="00C175E4" w:rsidRPr="00D768EF" w:rsidRDefault="00C175E4" w:rsidP="00622285">
            <w:pPr>
              <w:jc w:val="left"/>
              <w:rPr>
                <w:color w:val="000000"/>
                <w:szCs w:val="22"/>
                <w:lang w:val="sr-Latn-ME"/>
              </w:rPr>
            </w:pPr>
          </w:p>
        </w:tc>
      </w:tr>
      <w:tr w:rsidR="00C175E4" w:rsidRPr="00D768EF" w14:paraId="37779D24" w14:textId="77777777" w:rsidTr="00622285">
        <w:trPr>
          <w:cantSplit/>
          <w:trHeight w:val="174"/>
        </w:trPr>
        <w:tc>
          <w:tcPr>
            <w:tcW w:w="3402" w:type="dxa"/>
            <w:tcBorders>
              <w:top w:val="single" w:sz="4" w:space="0" w:color="auto"/>
              <w:bottom w:val="nil"/>
            </w:tcBorders>
          </w:tcPr>
          <w:p w14:paraId="0032F725" w14:textId="3D2502C8" w:rsidR="00C175E4" w:rsidRPr="00D768EF" w:rsidRDefault="00C175E4" w:rsidP="00622285">
            <w:pPr>
              <w:jc w:val="left"/>
              <w:rPr>
                <w:color w:val="000000"/>
                <w:szCs w:val="22"/>
                <w:lang w:val="sr-Latn-ME"/>
              </w:rPr>
            </w:pPr>
            <w:r w:rsidRPr="00D768EF">
              <w:rPr>
                <w:color w:val="000000"/>
                <w:szCs w:val="22"/>
                <w:lang w:val="sr-Latn-ME"/>
              </w:rPr>
              <w:t>Često:</w:t>
            </w:r>
          </w:p>
        </w:tc>
        <w:tc>
          <w:tcPr>
            <w:tcW w:w="6120" w:type="dxa"/>
            <w:tcBorders>
              <w:top w:val="single" w:sz="4" w:space="0" w:color="auto"/>
              <w:bottom w:val="nil"/>
            </w:tcBorders>
          </w:tcPr>
          <w:p w14:paraId="3E3FFA71" w14:textId="77777777" w:rsidR="00C175E4" w:rsidRPr="00D768EF" w:rsidRDefault="00C175E4" w:rsidP="00622285">
            <w:pPr>
              <w:jc w:val="left"/>
              <w:rPr>
                <w:szCs w:val="22"/>
                <w:lang w:val="sr-Latn-ME"/>
              </w:rPr>
            </w:pPr>
            <w:r w:rsidRPr="00D768EF">
              <w:rPr>
                <w:color w:val="000000"/>
                <w:szCs w:val="22"/>
                <w:lang w:val="sr-Latn-ME"/>
              </w:rPr>
              <w:t>Depresija, nesanica.</w:t>
            </w:r>
          </w:p>
        </w:tc>
      </w:tr>
      <w:tr w:rsidR="00C175E4" w:rsidRPr="00C93299" w14:paraId="4E323325" w14:textId="77777777" w:rsidTr="00622285">
        <w:trPr>
          <w:cantSplit/>
          <w:trHeight w:val="174"/>
        </w:trPr>
        <w:tc>
          <w:tcPr>
            <w:tcW w:w="3402" w:type="dxa"/>
            <w:tcBorders>
              <w:top w:val="nil"/>
              <w:bottom w:val="nil"/>
            </w:tcBorders>
          </w:tcPr>
          <w:p w14:paraId="02D43903" w14:textId="26D8BC05" w:rsidR="00C175E4" w:rsidRPr="00D768EF" w:rsidRDefault="00C175E4" w:rsidP="00622285">
            <w:pPr>
              <w:jc w:val="left"/>
              <w:rPr>
                <w:color w:val="000000"/>
                <w:szCs w:val="22"/>
                <w:lang w:val="sr-Latn-ME"/>
              </w:rPr>
            </w:pPr>
            <w:r w:rsidRPr="00D768EF">
              <w:rPr>
                <w:color w:val="000000"/>
                <w:szCs w:val="22"/>
                <w:lang w:val="sr-Latn-ME"/>
              </w:rPr>
              <w:t>Povremeno:</w:t>
            </w:r>
          </w:p>
        </w:tc>
        <w:tc>
          <w:tcPr>
            <w:tcW w:w="6120" w:type="dxa"/>
            <w:tcBorders>
              <w:top w:val="nil"/>
              <w:bottom w:val="nil"/>
            </w:tcBorders>
          </w:tcPr>
          <w:p w14:paraId="229BCDC8" w14:textId="63B1C4D6" w:rsidR="00C175E4" w:rsidRPr="00D768EF" w:rsidRDefault="00C175E4" w:rsidP="00622285">
            <w:pPr>
              <w:jc w:val="left"/>
              <w:rPr>
                <w:color w:val="000000"/>
                <w:szCs w:val="22"/>
                <w:lang w:val="sr-Latn-ME"/>
              </w:rPr>
            </w:pPr>
            <w:r w:rsidRPr="00D768EF">
              <w:rPr>
                <w:color w:val="000000"/>
                <w:szCs w:val="22"/>
                <w:lang w:val="sr-Latn-ME"/>
              </w:rPr>
              <w:t>Amnezija, agitiranost, konfuzija, pospanost, nervoza.</w:t>
            </w:r>
          </w:p>
        </w:tc>
      </w:tr>
      <w:tr w:rsidR="00C175E4" w:rsidRPr="00D768EF" w14:paraId="646017B0" w14:textId="77777777" w:rsidTr="00622285">
        <w:trPr>
          <w:cantSplit/>
          <w:trHeight w:val="174"/>
        </w:trPr>
        <w:tc>
          <w:tcPr>
            <w:tcW w:w="3402" w:type="dxa"/>
            <w:tcBorders>
              <w:top w:val="nil"/>
              <w:bottom w:val="single" w:sz="4" w:space="0" w:color="auto"/>
            </w:tcBorders>
          </w:tcPr>
          <w:p w14:paraId="76E0F9D7" w14:textId="66EDB9AB" w:rsidR="00C175E4" w:rsidRPr="00D768EF" w:rsidRDefault="00B6707D" w:rsidP="00622285">
            <w:pPr>
              <w:jc w:val="left"/>
              <w:rPr>
                <w:color w:val="000000"/>
                <w:szCs w:val="22"/>
                <w:lang w:val="sr-Latn-ME"/>
              </w:rPr>
            </w:pPr>
            <w:r w:rsidRPr="00D768EF">
              <w:rPr>
                <w:color w:val="000000"/>
                <w:szCs w:val="22"/>
                <w:lang w:val="sr-Latn-ME"/>
              </w:rPr>
              <w:t>Rijetko</w:t>
            </w:r>
            <w:r w:rsidR="00C175E4" w:rsidRPr="00D768EF">
              <w:rPr>
                <w:color w:val="000000"/>
                <w:szCs w:val="22"/>
                <w:lang w:val="sr-Latn-ME"/>
              </w:rPr>
              <w:t>:</w:t>
            </w:r>
          </w:p>
        </w:tc>
        <w:tc>
          <w:tcPr>
            <w:tcW w:w="6120" w:type="dxa"/>
            <w:tcBorders>
              <w:top w:val="nil"/>
              <w:bottom w:val="single" w:sz="4" w:space="0" w:color="auto"/>
            </w:tcBorders>
          </w:tcPr>
          <w:p w14:paraId="2FDDA06C" w14:textId="77777777" w:rsidR="00C175E4" w:rsidRPr="00D768EF" w:rsidRDefault="00C175E4" w:rsidP="00622285">
            <w:pPr>
              <w:jc w:val="left"/>
              <w:rPr>
                <w:color w:val="000000"/>
                <w:szCs w:val="22"/>
                <w:lang w:val="sr-Latn-ME"/>
              </w:rPr>
            </w:pPr>
            <w:r w:rsidRPr="00D768EF">
              <w:rPr>
                <w:color w:val="000000"/>
                <w:szCs w:val="22"/>
                <w:lang w:val="sr-Latn-ME"/>
              </w:rPr>
              <w:t>Apatija.</w:t>
            </w:r>
          </w:p>
        </w:tc>
      </w:tr>
      <w:tr w:rsidR="00C175E4" w:rsidRPr="00D768EF" w14:paraId="2DA531EE" w14:textId="77777777" w:rsidTr="00622285">
        <w:trPr>
          <w:cantSplit/>
          <w:trHeight w:val="174"/>
        </w:trPr>
        <w:tc>
          <w:tcPr>
            <w:tcW w:w="3402" w:type="dxa"/>
            <w:tcBorders>
              <w:bottom w:val="single" w:sz="4" w:space="0" w:color="auto"/>
            </w:tcBorders>
          </w:tcPr>
          <w:p w14:paraId="5579AD94" w14:textId="77777777" w:rsidR="00C175E4" w:rsidRPr="00D768EF" w:rsidRDefault="00C175E4" w:rsidP="00307FEE">
            <w:pPr>
              <w:keepNext/>
              <w:jc w:val="left"/>
              <w:rPr>
                <w:color w:val="000000"/>
                <w:szCs w:val="22"/>
                <w:lang w:val="sr-Latn-ME"/>
              </w:rPr>
            </w:pPr>
            <w:r w:rsidRPr="00D768EF">
              <w:rPr>
                <w:color w:val="000000"/>
                <w:szCs w:val="22"/>
                <w:lang w:val="sr-Latn-ME"/>
              </w:rPr>
              <w:t>Poremećaji nervnog sistema</w:t>
            </w:r>
          </w:p>
        </w:tc>
        <w:tc>
          <w:tcPr>
            <w:tcW w:w="6120" w:type="dxa"/>
            <w:tcBorders>
              <w:bottom w:val="single" w:sz="4" w:space="0" w:color="auto"/>
            </w:tcBorders>
          </w:tcPr>
          <w:p w14:paraId="3804DD29" w14:textId="77777777" w:rsidR="00C175E4" w:rsidRPr="00D768EF" w:rsidRDefault="00C175E4" w:rsidP="00307FEE">
            <w:pPr>
              <w:keepNext/>
              <w:jc w:val="left"/>
              <w:rPr>
                <w:color w:val="000000"/>
                <w:szCs w:val="22"/>
                <w:lang w:val="sr-Latn-ME"/>
              </w:rPr>
            </w:pPr>
          </w:p>
        </w:tc>
      </w:tr>
      <w:tr w:rsidR="00C175E4" w:rsidRPr="00D768EF" w14:paraId="0AA75745" w14:textId="77777777" w:rsidTr="00622285">
        <w:trPr>
          <w:cantSplit/>
          <w:trHeight w:val="174"/>
        </w:trPr>
        <w:tc>
          <w:tcPr>
            <w:tcW w:w="3402" w:type="dxa"/>
            <w:tcBorders>
              <w:top w:val="single" w:sz="4" w:space="0" w:color="auto"/>
              <w:bottom w:val="nil"/>
            </w:tcBorders>
          </w:tcPr>
          <w:p w14:paraId="35794E9A" w14:textId="09C6E93D" w:rsidR="00C175E4" w:rsidRPr="00D768EF" w:rsidRDefault="00C175E4" w:rsidP="00307FEE">
            <w:pPr>
              <w:keepNext/>
              <w:jc w:val="left"/>
              <w:rPr>
                <w:color w:val="000000"/>
                <w:szCs w:val="22"/>
                <w:lang w:val="sr-Latn-ME"/>
              </w:rPr>
            </w:pPr>
            <w:r w:rsidRPr="00D768EF">
              <w:rPr>
                <w:color w:val="000000"/>
                <w:szCs w:val="22"/>
                <w:lang w:val="sr-Latn-ME"/>
              </w:rPr>
              <w:t>Veoma često:</w:t>
            </w:r>
          </w:p>
        </w:tc>
        <w:tc>
          <w:tcPr>
            <w:tcW w:w="6120" w:type="dxa"/>
            <w:tcBorders>
              <w:top w:val="single" w:sz="4" w:space="0" w:color="auto"/>
              <w:bottom w:val="nil"/>
            </w:tcBorders>
          </w:tcPr>
          <w:p w14:paraId="09C94D4E" w14:textId="77777777" w:rsidR="00C175E4" w:rsidRPr="00D768EF" w:rsidRDefault="00C175E4" w:rsidP="00307FEE">
            <w:pPr>
              <w:keepNext/>
              <w:jc w:val="left"/>
              <w:rPr>
                <w:color w:val="000000"/>
                <w:szCs w:val="22"/>
                <w:lang w:val="sr-Latn-ME"/>
              </w:rPr>
            </w:pPr>
            <w:r w:rsidRPr="00D768EF">
              <w:rPr>
                <w:color w:val="000000"/>
                <w:szCs w:val="22"/>
                <w:lang w:val="sr-Latn-ME"/>
              </w:rPr>
              <w:t>Glavobolja.</w:t>
            </w:r>
          </w:p>
        </w:tc>
      </w:tr>
      <w:tr w:rsidR="00C175E4" w:rsidRPr="00D768EF" w14:paraId="17555CA9" w14:textId="77777777" w:rsidTr="00622285">
        <w:trPr>
          <w:cantSplit/>
          <w:trHeight w:val="174"/>
        </w:trPr>
        <w:tc>
          <w:tcPr>
            <w:tcW w:w="3402" w:type="dxa"/>
            <w:tcBorders>
              <w:top w:val="nil"/>
              <w:bottom w:val="nil"/>
            </w:tcBorders>
          </w:tcPr>
          <w:p w14:paraId="50CBB2CE" w14:textId="0D923201" w:rsidR="00C175E4" w:rsidRPr="00D768EF" w:rsidRDefault="00C175E4" w:rsidP="00622285">
            <w:pPr>
              <w:jc w:val="left"/>
              <w:rPr>
                <w:color w:val="000000"/>
                <w:szCs w:val="22"/>
                <w:lang w:val="sr-Latn-ME"/>
              </w:rPr>
            </w:pPr>
            <w:r w:rsidRPr="00D768EF">
              <w:rPr>
                <w:color w:val="000000"/>
                <w:szCs w:val="22"/>
                <w:lang w:val="sr-Latn-ME"/>
              </w:rPr>
              <w:t>Često:</w:t>
            </w:r>
          </w:p>
        </w:tc>
        <w:tc>
          <w:tcPr>
            <w:tcW w:w="6120" w:type="dxa"/>
            <w:tcBorders>
              <w:top w:val="nil"/>
              <w:bottom w:val="nil"/>
            </w:tcBorders>
          </w:tcPr>
          <w:p w14:paraId="31976047" w14:textId="77777777" w:rsidR="00C175E4" w:rsidRPr="00D768EF" w:rsidRDefault="00C175E4" w:rsidP="00622285">
            <w:pPr>
              <w:jc w:val="left"/>
              <w:rPr>
                <w:color w:val="000000"/>
                <w:szCs w:val="22"/>
                <w:lang w:val="sr-Latn-ME"/>
              </w:rPr>
            </w:pPr>
            <w:r w:rsidRPr="00D768EF">
              <w:rPr>
                <w:color w:val="000000"/>
                <w:szCs w:val="22"/>
                <w:lang w:val="sr-Latn-ME"/>
              </w:rPr>
              <w:t>Vrtoglavica, nesv</w:t>
            </w:r>
            <w:r w:rsidR="000C14D8" w:rsidRPr="00D768EF">
              <w:rPr>
                <w:color w:val="000000"/>
                <w:szCs w:val="22"/>
                <w:lang w:val="sr-Latn-ME"/>
              </w:rPr>
              <w:t>j</w:t>
            </w:r>
            <w:r w:rsidRPr="00D768EF">
              <w:rPr>
                <w:color w:val="000000"/>
                <w:szCs w:val="22"/>
                <w:lang w:val="sr-Latn-ME"/>
              </w:rPr>
              <w:t>estica,</w:t>
            </w:r>
            <w:r w:rsidRPr="00D768EF">
              <w:rPr>
                <w:szCs w:val="22"/>
                <w:lang w:val="sr-Latn-ME"/>
              </w:rPr>
              <w:t xml:space="preserve"> hipoestezija, parestezija.</w:t>
            </w:r>
          </w:p>
        </w:tc>
      </w:tr>
      <w:tr w:rsidR="00C175E4" w:rsidRPr="00D768EF" w14:paraId="15A48D22" w14:textId="77777777" w:rsidTr="00622285">
        <w:trPr>
          <w:cantSplit/>
          <w:trHeight w:val="174"/>
        </w:trPr>
        <w:tc>
          <w:tcPr>
            <w:tcW w:w="3402" w:type="dxa"/>
            <w:tcBorders>
              <w:top w:val="nil"/>
              <w:bottom w:val="nil"/>
            </w:tcBorders>
          </w:tcPr>
          <w:p w14:paraId="40D08334" w14:textId="3B28C7A2" w:rsidR="00C175E4" w:rsidRPr="00D768EF" w:rsidRDefault="00C175E4" w:rsidP="00622285">
            <w:pPr>
              <w:jc w:val="left"/>
              <w:rPr>
                <w:color w:val="000000"/>
                <w:szCs w:val="22"/>
                <w:lang w:val="sr-Latn-ME"/>
              </w:rPr>
            </w:pPr>
            <w:r w:rsidRPr="00D768EF">
              <w:rPr>
                <w:color w:val="000000"/>
                <w:szCs w:val="22"/>
                <w:lang w:val="sr-Latn-ME"/>
              </w:rPr>
              <w:t>Povremeno:</w:t>
            </w:r>
          </w:p>
        </w:tc>
        <w:tc>
          <w:tcPr>
            <w:tcW w:w="6120" w:type="dxa"/>
            <w:tcBorders>
              <w:top w:val="nil"/>
              <w:bottom w:val="nil"/>
            </w:tcBorders>
          </w:tcPr>
          <w:p w14:paraId="1A464A7E" w14:textId="77777777" w:rsidR="00C175E4" w:rsidRPr="00D768EF" w:rsidRDefault="00C175E4" w:rsidP="00622285">
            <w:pPr>
              <w:jc w:val="left"/>
              <w:rPr>
                <w:color w:val="000000"/>
                <w:szCs w:val="22"/>
                <w:lang w:val="sr-Latn-ME"/>
              </w:rPr>
            </w:pPr>
            <w:r w:rsidRPr="00D768EF">
              <w:rPr>
                <w:szCs w:val="22"/>
                <w:lang w:val="sr-Latn-ME"/>
              </w:rPr>
              <w:t>Konvulzije, neuropatija</w:t>
            </w:r>
            <w:r w:rsidRPr="00D768EF">
              <w:rPr>
                <w:color w:val="000000"/>
                <w:szCs w:val="22"/>
                <w:lang w:val="sr-Latn-ME"/>
              </w:rPr>
              <w:t>.</w:t>
            </w:r>
          </w:p>
        </w:tc>
      </w:tr>
      <w:tr w:rsidR="00C175E4" w:rsidRPr="00C93299" w14:paraId="4C590B0F" w14:textId="77777777" w:rsidTr="00622285">
        <w:trPr>
          <w:cantSplit/>
          <w:trHeight w:val="174"/>
        </w:trPr>
        <w:tc>
          <w:tcPr>
            <w:tcW w:w="3402" w:type="dxa"/>
            <w:tcBorders>
              <w:top w:val="nil"/>
              <w:left w:val="single" w:sz="4" w:space="0" w:color="auto"/>
              <w:bottom w:val="single" w:sz="4" w:space="0" w:color="auto"/>
              <w:right w:val="nil"/>
            </w:tcBorders>
          </w:tcPr>
          <w:p w14:paraId="64C6FE28" w14:textId="066C06AC" w:rsidR="00473AE6" w:rsidRPr="00D768EF" w:rsidRDefault="00B6707D" w:rsidP="00622285">
            <w:pPr>
              <w:jc w:val="left"/>
              <w:rPr>
                <w:color w:val="000000"/>
                <w:szCs w:val="22"/>
                <w:lang w:val="sr-Latn-ME"/>
              </w:rPr>
            </w:pPr>
            <w:r w:rsidRPr="00D768EF">
              <w:rPr>
                <w:color w:val="000000"/>
                <w:szCs w:val="22"/>
                <w:lang w:val="sr-Latn-ME"/>
              </w:rPr>
              <w:t>Rijetko</w:t>
            </w:r>
            <w:r w:rsidR="00C175E4" w:rsidRPr="00D768EF">
              <w:rPr>
                <w:color w:val="000000"/>
                <w:szCs w:val="22"/>
                <w:lang w:val="sr-Latn-ME"/>
              </w:rPr>
              <w:t>:</w:t>
            </w:r>
          </w:p>
          <w:p w14:paraId="4ACF7AEB" w14:textId="77777777" w:rsidR="00473AE6" w:rsidRPr="00D768EF" w:rsidRDefault="00473AE6" w:rsidP="00473AE6">
            <w:pPr>
              <w:rPr>
                <w:szCs w:val="22"/>
                <w:lang w:val="sr-Latn-ME"/>
              </w:rPr>
            </w:pPr>
          </w:p>
          <w:p w14:paraId="0C0FF70E" w14:textId="77777777" w:rsidR="00473AE6" w:rsidRPr="00D768EF" w:rsidRDefault="00473AE6" w:rsidP="00473AE6">
            <w:pPr>
              <w:rPr>
                <w:szCs w:val="22"/>
                <w:lang w:val="sr-Latn-ME"/>
              </w:rPr>
            </w:pPr>
          </w:p>
          <w:p w14:paraId="2C1337F8" w14:textId="77777777" w:rsidR="00473AE6" w:rsidRPr="00D768EF" w:rsidRDefault="00473AE6" w:rsidP="00473AE6">
            <w:pPr>
              <w:rPr>
                <w:szCs w:val="22"/>
                <w:lang w:val="sr-Latn-ME"/>
              </w:rPr>
            </w:pPr>
          </w:p>
          <w:p w14:paraId="3B487677" w14:textId="77777777" w:rsidR="00473AE6" w:rsidRPr="00D768EF" w:rsidRDefault="00473AE6" w:rsidP="00473AE6">
            <w:pPr>
              <w:rPr>
                <w:szCs w:val="22"/>
                <w:lang w:val="sr-Latn-ME"/>
              </w:rPr>
            </w:pPr>
          </w:p>
          <w:p w14:paraId="79489D2B" w14:textId="65F68E14" w:rsidR="00473AE6" w:rsidRPr="00D768EF" w:rsidRDefault="00473AE6" w:rsidP="00473AE6">
            <w:pPr>
              <w:rPr>
                <w:szCs w:val="22"/>
                <w:lang w:val="sr-Latn-ME"/>
              </w:rPr>
            </w:pPr>
          </w:p>
          <w:p w14:paraId="3EB58655" w14:textId="04DCEB35" w:rsidR="00C175E4" w:rsidRPr="00D768EF" w:rsidRDefault="00473AE6" w:rsidP="00473AE6">
            <w:pPr>
              <w:rPr>
                <w:szCs w:val="22"/>
                <w:lang w:val="sr-Latn-ME"/>
              </w:rPr>
            </w:pPr>
            <w:r w:rsidRPr="00D768EF">
              <w:rPr>
                <w:szCs w:val="22"/>
                <w:lang w:val="sr-Latn-ME"/>
              </w:rPr>
              <w:t>Nepoznato:</w:t>
            </w:r>
          </w:p>
        </w:tc>
        <w:tc>
          <w:tcPr>
            <w:tcW w:w="6120" w:type="dxa"/>
            <w:tcBorders>
              <w:top w:val="nil"/>
              <w:left w:val="nil"/>
              <w:bottom w:val="single" w:sz="4" w:space="0" w:color="auto"/>
              <w:right w:val="single" w:sz="4" w:space="0" w:color="auto"/>
            </w:tcBorders>
          </w:tcPr>
          <w:p w14:paraId="3CFD2B74" w14:textId="77777777" w:rsidR="00C175E4" w:rsidRPr="00D768EF" w:rsidRDefault="00C175E4" w:rsidP="00622285">
            <w:pPr>
              <w:jc w:val="left"/>
              <w:rPr>
                <w:szCs w:val="22"/>
                <w:lang w:val="sr-Latn-ME"/>
              </w:rPr>
            </w:pPr>
            <w:r w:rsidRPr="00D768EF">
              <w:rPr>
                <w:szCs w:val="22"/>
                <w:lang w:val="sr-Latn-ME"/>
              </w:rPr>
              <w:t xml:space="preserve">Transverzalni mijelitis, </w:t>
            </w:r>
            <w:r w:rsidRPr="00D768EF">
              <w:rPr>
                <w:color w:val="000000"/>
                <w:szCs w:val="22"/>
                <w:lang w:val="sr-Latn-ME"/>
              </w:rPr>
              <w:t>demijelinizirajući poremećaji centralnog nervnog sistema</w:t>
            </w:r>
            <w:r w:rsidRPr="00D768EF">
              <w:rPr>
                <w:szCs w:val="22"/>
                <w:lang w:val="sr-Latn-ME"/>
              </w:rPr>
              <w:t xml:space="preserve"> (</w:t>
            </w:r>
            <w:r w:rsidRPr="00D768EF">
              <w:rPr>
                <w:color w:val="000000"/>
                <w:szCs w:val="22"/>
                <w:lang w:val="sr-Latn-ME"/>
              </w:rPr>
              <w:t>bolest nalik multiploj sklerozi</w:t>
            </w:r>
            <w:r w:rsidRPr="00D768EF">
              <w:rPr>
                <w:szCs w:val="22"/>
                <w:lang w:val="sr-Latn-ME"/>
              </w:rPr>
              <w:t xml:space="preserve"> i optički neuritis), </w:t>
            </w:r>
            <w:r w:rsidRPr="00D768EF">
              <w:rPr>
                <w:color w:val="000000"/>
                <w:szCs w:val="22"/>
                <w:lang w:val="sr-Latn-ME"/>
              </w:rPr>
              <w:t>demijelinizirajući poremećaji</w:t>
            </w:r>
            <w:r w:rsidRPr="00D768EF">
              <w:rPr>
                <w:szCs w:val="22"/>
                <w:lang w:val="sr-Latn-ME"/>
              </w:rPr>
              <w:t xml:space="preserve"> perifernog nervnog sistema (kao što su </w:t>
            </w:r>
            <w:r w:rsidRPr="00D768EF">
              <w:rPr>
                <w:i/>
                <w:iCs/>
                <w:szCs w:val="22"/>
                <w:lang w:val="sr-Latn-ME"/>
              </w:rPr>
              <w:t>Guillain-Barre-</w:t>
            </w:r>
            <w:r w:rsidRPr="00D768EF">
              <w:rPr>
                <w:szCs w:val="22"/>
                <w:lang w:val="sr-Latn-ME"/>
              </w:rPr>
              <w:t xml:space="preserve">ov sindrom, hronična inflamatorna </w:t>
            </w:r>
            <w:r w:rsidRPr="00D768EF">
              <w:rPr>
                <w:color w:val="000000"/>
                <w:szCs w:val="22"/>
                <w:lang w:val="sr-Latn-ME"/>
              </w:rPr>
              <w:t xml:space="preserve">demijelinizirajuća </w:t>
            </w:r>
            <w:r w:rsidRPr="00D768EF">
              <w:rPr>
                <w:szCs w:val="22"/>
                <w:lang w:val="sr-Latn-ME"/>
              </w:rPr>
              <w:t>polineuropatija i multifokalna motorička neuropatija).</w:t>
            </w:r>
          </w:p>
          <w:p w14:paraId="41113633" w14:textId="3F2D51D6" w:rsidR="00473AE6" w:rsidRPr="00D768EF" w:rsidRDefault="00473AE6" w:rsidP="00473AE6">
            <w:pPr>
              <w:jc w:val="left"/>
              <w:rPr>
                <w:szCs w:val="22"/>
                <w:lang w:val="sr-Latn-ME"/>
              </w:rPr>
            </w:pPr>
            <w:r w:rsidRPr="00D768EF">
              <w:rPr>
                <w:szCs w:val="22"/>
                <w:lang w:val="sr-Latn-ME"/>
              </w:rPr>
              <w:t xml:space="preserve">Cerebrovaskularni </w:t>
            </w:r>
            <w:r w:rsidR="00577B7A" w:rsidRPr="00D768EF">
              <w:rPr>
                <w:szCs w:val="22"/>
                <w:lang w:val="sr-Latn-ME"/>
              </w:rPr>
              <w:t>događaji</w:t>
            </w:r>
            <w:r w:rsidRPr="00D768EF">
              <w:rPr>
                <w:szCs w:val="22"/>
                <w:lang w:val="sr-Latn-ME"/>
              </w:rPr>
              <w:t xml:space="preserve"> vremenski usko povezani sa infuzijom.</w:t>
            </w:r>
          </w:p>
        </w:tc>
      </w:tr>
      <w:tr w:rsidR="00C175E4" w:rsidRPr="00D768EF" w14:paraId="41B1DA99" w14:textId="77777777" w:rsidTr="00622285">
        <w:trPr>
          <w:cantSplit/>
          <w:trHeight w:val="174"/>
        </w:trPr>
        <w:tc>
          <w:tcPr>
            <w:tcW w:w="3402" w:type="dxa"/>
            <w:tcBorders>
              <w:top w:val="single" w:sz="4" w:space="0" w:color="auto"/>
              <w:bottom w:val="nil"/>
            </w:tcBorders>
          </w:tcPr>
          <w:p w14:paraId="0F0A11B3" w14:textId="4A163F02" w:rsidR="00C175E4" w:rsidRPr="00D768EF" w:rsidRDefault="00C175E4" w:rsidP="00D36568">
            <w:pPr>
              <w:jc w:val="left"/>
              <w:rPr>
                <w:color w:val="000000"/>
                <w:szCs w:val="22"/>
                <w:lang w:val="sr-Latn-ME"/>
              </w:rPr>
            </w:pPr>
            <w:r w:rsidRPr="00D768EF">
              <w:rPr>
                <w:color w:val="000000"/>
                <w:szCs w:val="22"/>
                <w:lang w:val="sr-Latn-ME"/>
              </w:rPr>
              <w:t>Poremećaji oka</w:t>
            </w:r>
          </w:p>
        </w:tc>
        <w:tc>
          <w:tcPr>
            <w:tcW w:w="6120" w:type="dxa"/>
            <w:tcBorders>
              <w:top w:val="single" w:sz="4" w:space="0" w:color="auto"/>
              <w:bottom w:val="nil"/>
            </w:tcBorders>
          </w:tcPr>
          <w:p w14:paraId="1055ABF0" w14:textId="77777777" w:rsidR="00C175E4" w:rsidRPr="00D768EF" w:rsidRDefault="00C175E4" w:rsidP="00622285">
            <w:pPr>
              <w:jc w:val="left"/>
              <w:rPr>
                <w:color w:val="000000"/>
                <w:szCs w:val="22"/>
                <w:lang w:val="sr-Latn-ME"/>
              </w:rPr>
            </w:pPr>
          </w:p>
        </w:tc>
      </w:tr>
      <w:tr w:rsidR="00C175E4" w:rsidRPr="00D768EF" w14:paraId="1CAFC9C0" w14:textId="77777777" w:rsidTr="00622285">
        <w:trPr>
          <w:cantSplit/>
          <w:trHeight w:val="174"/>
        </w:trPr>
        <w:tc>
          <w:tcPr>
            <w:tcW w:w="3402" w:type="dxa"/>
            <w:tcBorders>
              <w:top w:val="single" w:sz="4" w:space="0" w:color="auto"/>
              <w:bottom w:val="nil"/>
            </w:tcBorders>
          </w:tcPr>
          <w:p w14:paraId="5F1BF333" w14:textId="7B935C4B" w:rsidR="00C175E4" w:rsidRPr="00D768EF" w:rsidRDefault="00C175E4" w:rsidP="00622285">
            <w:pPr>
              <w:jc w:val="left"/>
              <w:rPr>
                <w:color w:val="000000"/>
                <w:szCs w:val="22"/>
                <w:lang w:val="sr-Latn-ME"/>
              </w:rPr>
            </w:pPr>
            <w:r w:rsidRPr="00D768EF">
              <w:rPr>
                <w:color w:val="000000"/>
                <w:szCs w:val="22"/>
                <w:lang w:val="sr-Latn-ME"/>
              </w:rPr>
              <w:t>Često:</w:t>
            </w:r>
          </w:p>
        </w:tc>
        <w:tc>
          <w:tcPr>
            <w:tcW w:w="6120" w:type="dxa"/>
            <w:tcBorders>
              <w:top w:val="single" w:sz="4" w:space="0" w:color="auto"/>
              <w:bottom w:val="nil"/>
            </w:tcBorders>
          </w:tcPr>
          <w:p w14:paraId="4E4DE0A4" w14:textId="77777777" w:rsidR="00C175E4" w:rsidRPr="00D768EF" w:rsidRDefault="00C175E4" w:rsidP="00622285">
            <w:pPr>
              <w:jc w:val="left"/>
              <w:rPr>
                <w:color w:val="000000"/>
                <w:szCs w:val="22"/>
                <w:lang w:val="sr-Latn-ME"/>
              </w:rPr>
            </w:pPr>
            <w:r w:rsidRPr="00D768EF">
              <w:rPr>
                <w:color w:val="000000"/>
                <w:szCs w:val="22"/>
                <w:lang w:val="sr-Latn-ME"/>
              </w:rPr>
              <w:t>Konjuktivitis.</w:t>
            </w:r>
          </w:p>
        </w:tc>
      </w:tr>
      <w:tr w:rsidR="00C175E4" w:rsidRPr="00D768EF" w14:paraId="6FAD7CC0" w14:textId="77777777" w:rsidTr="00622285">
        <w:trPr>
          <w:cantSplit/>
          <w:trHeight w:val="174"/>
        </w:trPr>
        <w:tc>
          <w:tcPr>
            <w:tcW w:w="3402" w:type="dxa"/>
            <w:tcBorders>
              <w:top w:val="nil"/>
              <w:bottom w:val="nil"/>
            </w:tcBorders>
          </w:tcPr>
          <w:p w14:paraId="1EDB79E2" w14:textId="7DDC3DA9" w:rsidR="00C175E4" w:rsidRPr="00D768EF" w:rsidRDefault="00C175E4" w:rsidP="00622285">
            <w:pPr>
              <w:jc w:val="left"/>
              <w:rPr>
                <w:color w:val="000000"/>
                <w:szCs w:val="22"/>
                <w:lang w:val="sr-Latn-ME"/>
              </w:rPr>
            </w:pPr>
            <w:r w:rsidRPr="00D768EF">
              <w:rPr>
                <w:color w:val="000000"/>
                <w:szCs w:val="22"/>
                <w:lang w:val="sr-Latn-ME"/>
              </w:rPr>
              <w:t>Povremeno:</w:t>
            </w:r>
          </w:p>
        </w:tc>
        <w:tc>
          <w:tcPr>
            <w:tcW w:w="6120" w:type="dxa"/>
            <w:tcBorders>
              <w:top w:val="nil"/>
              <w:bottom w:val="nil"/>
            </w:tcBorders>
          </w:tcPr>
          <w:p w14:paraId="64DF903E" w14:textId="77777777" w:rsidR="00C175E4" w:rsidRPr="00D768EF" w:rsidRDefault="00C175E4" w:rsidP="00622285">
            <w:pPr>
              <w:jc w:val="left"/>
              <w:rPr>
                <w:color w:val="000000"/>
                <w:szCs w:val="22"/>
                <w:lang w:val="sr-Latn-ME"/>
              </w:rPr>
            </w:pPr>
            <w:r w:rsidRPr="00D768EF">
              <w:rPr>
                <w:color w:val="000000"/>
                <w:szCs w:val="22"/>
                <w:lang w:val="sr-Latn-ME"/>
              </w:rPr>
              <w:t>Keratitis, periorbitalni edem, hordeolum.</w:t>
            </w:r>
          </w:p>
        </w:tc>
      </w:tr>
      <w:tr w:rsidR="00C175E4" w:rsidRPr="00D768EF" w14:paraId="3D88FFF1" w14:textId="77777777" w:rsidTr="00622285">
        <w:trPr>
          <w:cantSplit/>
          <w:trHeight w:val="174"/>
        </w:trPr>
        <w:tc>
          <w:tcPr>
            <w:tcW w:w="3402" w:type="dxa"/>
            <w:tcBorders>
              <w:top w:val="nil"/>
              <w:bottom w:val="nil"/>
            </w:tcBorders>
          </w:tcPr>
          <w:p w14:paraId="6D97D6F8" w14:textId="170BE342" w:rsidR="00C175E4" w:rsidRPr="00D768EF" w:rsidRDefault="00B6707D" w:rsidP="00622285">
            <w:pPr>
              <w:jc w:val="left"/>
              <w:rPr>
                <w:color w:val="000000"/>
                <w:szCs w:val="22"/>
                <w:lang w:val="sr-Latn-ME"/>
              </w:rPr>
            </w:pPr>
            <w:r w:rsidRPr="00D768EF">
              <w:rPr>
                <w:color w:val="000000"/>
                <w:szCs w:val="22"/>
                <w:lang w:val="sr-Latn-ME"/>
              </w:rPr>
              <w:t>Rijetko</w:t>
            </w:r>
            <w:r w:rsidR="00C175E4" w:rsidRPr="00D768EF">
              <w:rPr>
                <w:color w:val="000000"/>
                <w:szCs w:val="22"/>
                <w:lang w:val="sr-Latn-ME"/>
              </w:rPr>
              <w:t>:</w:t>
            </w:r>
          </w:p>
        </w:tc>
        <w:tc>
          <w:tcPr>
            <w:tcW w:w="6120" w:type="dxa"/>
            <w:tcBorders>
              <w:top w:val="nil"/>
              <w:bottom w:val="nil"/>
            </w:tcBorders>
          </w:tcPr>
          <w:p w14:paraId="751EE6CB" w14:textId="77777777" w:rsidR="00C175E4" w:rsidRPr="00D768EF" w:rsidRDefault="00C175E4" w:rsidP="00622285">
            <w:pPr>
              <w:jc w:val="left"/>
              <w:rPr>
                <w:color w:val="000000"/>
                <w:szCs w:val="22"/>
                <w:lang w:val="sr-Latn-ME"/>
              </w:rPr>
            </w:pPr>
            <w:r w:rsidRPr="00D768EF">
              <w:rPr>
                <w:color w:val="000000"/>
                <w:szCs w:val="22"/>
                <w:lang w:val="sr-Latn-ME"/>
              </w:rPr>
              <w:t>Endoftalmitis.</w:t>
            </w:r>
          </w:p>
        </w:tc>
      </w:tr>
      <w:tr w:rsidR="00C175E4" w:rsidRPr="00C93299" w14:paraId="6A886F75" w14:textId="77777777" w:rsidTr="00622285">
        <w:trPr>
          <w:cantSplit/>
          <w:trHeight w:val="174"/>
        </w:trPr>
        <w:tc>
          <w:tcPr>
            <w:tcW w:w="3402" w:type="dxa"/>
            <w:tcBorders>
              <w:top w:val="nil"/>
              <w:bottom w:val="single" w:sz="4" w:space="0" w:color="auto"/>
            </w:tcBorders>
          </w:tcPr>
          <w:p w14:paraId="4BCFA6AD" w14:textId="0C04C326" w:rsidR="00C175E4" w:rsidRPr="00D768EF" w:rsidRDefault="00C175E4" w:rsidP="00622285">
            <w:pPr>
              <w:jc w:val="left"/>
              <w:rPr>
                <w:color w:val="000000"/>
                <w:szCs w:val="22"/>
                <w:lang w:val="sr-Latn-ME"/>
              </w:rPr>
            </w:pPr>
            <w:r w:rsidRPr="00D768EF">
              <w:rPr>
                <w:color w:val="000000"/>
                <w:szCs w:val="22"/>
                <w:lang w:val="sr-Latn-ME"/>
              </w:rPr>
              <w:t>Nepoznato:</w:t>
            </w:r>
          </w:p>
        </w:tc>
        <w:tc>
          <w:tcPr>
            <w:tcW w:w="6120" w:type="dxa"/>
            <w:tcBorders>
              <w:top w:val="nil"/>
              <w:bottom w:val="single" w:sz="4" w:space="0" w:color="auto"/>
            </w:tcBorders>
          </w:tcPr>
          <w:p w14:paraId="783A2ACA" w14:textId="0337A278" w:rsidR="00C175E4" w:rsidRPr="00D768EF" w:rsidRDefault="00C175E4" w:rsidP="00622285">
            <w:pPr>
              <w:jc w:val="left"/>
              <w:rPr>
                <w:color w:val="000000"/>
                <w:szCs w:val="22"/>
                <w:lang w:val="sr-Latn-ME"/>
              </w:rPr>
            </w:pPr>
            <w:r w:rsidRPr="00D768EF">
              <w:rPr>
                <w:iCs/>
                <w:szCs w:val="22"/>
                <w:lang w:val="sr-Latn-ME"/>
              </w:rPr>
              <w:t>Prolazni gubitak vida koji se javlja tokom ili do 2 sata posl</w:t>
            </w:r>
            <w:r w:rsidR="00CF5D59">
              <w:rPr>
                <w:iCs/>
                <w:szCs w:val="22"/>
                <w:lang w:val="sr-Latn-ME"/>
              </w:rPr>
              <w:t>ij</w:t>
            </w:r>
            <w:r w:rsidRPr="00D768EF">
              <w:rPr>
                <w:iCs/>
                <w:szCs w:val="22"/>
                <w:lang w:val="sr-Latn-ME"/>
              </w:rPr>
              <w:t>e infuzije.</w:t>
            </w:r>
          </w:p>
        </w:tc>
      </w:tr>
      <w:tr w:rsidR="00C175E4" w:rsidRPr="00D768EF" w14:paraId="25B09A22" w14:textId="77777777" w:rsidTr="00622285">
        <w:trPr>
          <w:cantSplit/>
          <w:trHeight w:val="174"/>
        </w:trPr>
        <w:tc>
          <w:tcPr>
            <w:tcW w:w="3402" w:type="dxa"/>
            <w:tcBorders>
              <w:bottom w:val="nil"/>
            </w:tcBorders>
          </w:tcPr>
          <w:p w14:paraId="0F28C0E3" w14:textId="77777777" w:rsidR="00C175E4" w:rsidRPr="00D768EF" w:rsidRDefault="00C175E4" w:rsidP="00622285">
            <w:pPr>
              <w:jc w:val="left"/>
              <w:rPr>
                <w:color w:val="000000"/>
                <w:szCs w:val="22"/>
                <w:lang w:val="sr-Latn-ME"/>
              </w:rPr>
            </w:pPr>
            <w:r w:rsidRPr="00D768EF">
              <w:rPr>
                <w:color w:val="000000"/>
                <w:szCs w:val="22"/>
                <w:lang w:val="sr-Latn-ME"/>
              </w:rPr>
              <w:t>Kardiološki poremećaji</w:t>
            </w:r>
          </w:p>
        </w:tc>
        <w:tc>
          <w:tcPr>
            <w:tcW w:w="6120" w:type="dxa"/>
            <w:tcBorders>
              <w:bottom w:val="nil"/>
            </w:tcBorders>
          </w:tcPr>
          <w:p w14:paraId="297C6EBA" w14:textId="77777777" w:rsidR="00C175E4" w:rsidRPr="00D768EF" w:rsidRDefault="00C175E4" w:rsidP="00622285">
            <w:pPr>
              <w:jc w:val="left"/>
              <w:rPr>
                <w:color w:val="000000"/>
                <w:szCs w:val="22"/>
                <w:lang w:val="sr-Latn-ME"/>
              </w:rPr>
            </w:pPr>
          </w:p>
        </w:tc>
      </w:tr>
      <w:tr w:rsidR="00C175E4" w:rsidRPr="00D768EF" w14:paraId="728CB711" w14:textId="77777777" w:rsidTr="00622285">
        <w:trPr>
          <w:cantSplit/>
          <w:trHeight w:val="174"/>
        </w:trPr>
        <w:tc>
          <w:tcPr>
            <w:tcW w:w="3402" w:type="dxa"/>
            <w:tcBorders>
              <w:bottom w:val="nil"/>
            </w:tcBorders>
          </w:tcPr>
          <w:p w14:paraId="0315C58D" w14:textId="61880090" w:rsidR="00C175E4" w:rsidRPr="00D768EF" w:rsidRDefault="00C175E4" w:rsidP="00622285">
            <w:pPr>
              <w:jc w:val="left"/>
              <w:rPr>
                <w:color w:val="000000"/>
                <w:szCs w:val="22"/>
                <w:lang w:val="sr-Latn-ME"/>
              </w:rPr>
            </w:pPr>
            <w:r w:rsidRPr="00D768EF">
              <w:rPr>
                <w:color w:val="000000"/>
                <w:szCs w:val="22"/>
                <w:lang w:val="sr-Latn-ME"/>
              </w:rPr>
              <w:t>Često:</w:t>
            </w:r>
          </w:p>
        </w:tc>
        <w:tc>
          <w:tcPr>
            <w:tcW w:w="6120" w:type="dxa"/>
            <w:tcBorders>
              <w:bottom w:val="nil"/>
            </w:tcBorders>
          </w:tcPr>
          <w:p w14:paraId="7548525D" w14:textId="77777777" w:rsidR="00C175E4" w:rsidRPr="00D768EF" w:rsidRDefault="00C175E4" w:rsidP="00622285">
            <w:pPr>
              <w:jc w:val="left"/>
              <w:rPr>
                <w:szCs w:val="22"/>
                <w:lang w:val="sr-Latn-ME"/>
              </w:rPr>
            </w:pPr>
            <w:r w:rsidRPr="00D768EF">
              <w:rPr>
                <w:color w:val="000000"/>
                <w:szCs w:val="22"/>
                <w:lang w:val="sr-Latn-ME"/>
              </w:rPr>
              <w:t>Tahikardija, palpitacije.</w:t>
            </w:r>
          </w:p>
        </w:tc>
      </w:tr>
      <w:tr w:rsidR="00C175E4" w:rsidRPr="00C93299" w14:paraId="57DB93D4" w14:textId="77777777" w:rsidTr="00622285">
        <w:trPr>
          <w:cantSplit/>
          <w:trHeight w:val="174"/>
        </w:trPr>
        <w:tc>
          <w:tcPr>
            <w:tcW w:w="3402" w:type="dxa"/>
            <w:tcBorders>
              <w:top w:val="nil"/>
              <w:bottom w:val="nil"/>
            </w:tcBorders>
          </w:tcPr>
          <w:p w14:paraId="1B57ECB5" w14:textId="13428B35" w:rsidR="00C175E4" w:rsidRPr="00D768EF" w:rsidRDefault="00C175E4" w:rsidP="00622285">
            <w:pPr>
              <w:jc w:val="left"/>
              <w:rPr>
                <w:color w:val="000000"/>
                <w:szCs w:val="22"/>
                <w:lang w:val="sr-Latn-ME"/>
              </w:rPr>
            </w:pPr>
            <w:r w:rsidRPr="00D768EF">
              <w:rPr>
                <w:color w:val="000000"/>
                <w:szCs w:val="22"/>
                <w:lang w:val="sr-Latn-ME"/>
              </w:rPr>
              <w:t>Povremeno</w:t>
            </w:r>
          </w:p>
        </w:tc>
        <w:tc>
          <w:tcPr>
            <w:tcW w:w="6120" w:type="dxa"/>
            <w:tcBorders>
              <w:top w:val="nil"/>
              <w:bottom w:val="nil"/>
            </w:tcBorders>
          </w:tcPr>
          <w:p w14:paraId="17209407" w14:textId="3538723E" w:rsidR="00C175E4" w:rsidRPr="00D768EF" w:rsidRDefault="00C175E4" w:rsidP="00622285">
            <w:pPr>
              <w:jc w:val="left"/>
              <w:rPr>
                <w:color w:val="000000"/>
                <w:szCs w:val="22"/>
                <w:lang w:val="sr-Latn-ME"/>
              </w:rPr>
            </w:pPr>
            <w:r w:rsidRPr="00D768EF">
              <w:rPr>
                <w:color w:val="000000"/>
                <w:szCs w:val="22"/>
                <w:lang w:val="sr-Latn-ME"/>
              </w:rPr>
              <w:t>Srčana insuficijencija (novonastala ili pogoršanje postojeće), aritmija, sinkopa, bradikardija.</w:t>
            </w:r>
          </w:p>
        </w:tc>
      </w:tr>
      <w:tr w:rsidR="00C175E4" w:rsidRPr="00D768EF" w14:paraId="509FD27B" w14:textId="77777777" w:rsidTr="00622285">
        <w:trPr>
          <w:cantSplit/>
          <w:trHeight w:val="174"/>
        </w:trPr>
        <w:tc>
          <w:tcPr>
            <w:tcW w:w="3402" w:type="dxa"/>
            <w:tcBorders>
              <w:top w:val="nil"/>
              <w:bottom w:val="nil"/>
            </w:tcBorders>
          </w:tcPr>
          <w:p w14:paraId="1DC30A34" w14:textId="3B3F0265" w:rsidR="00C175E4" w:rsidRPr="00D768EF" w:rsidRDefault="00B6707D" w:rsidP="00622285">
            <w:pPr>
              <w:jc w:val="left"/>
              <w:rPr>
                <w:color w:val="000000"/>
                <w:szCs w:val="22"/>
                <w:lang w:val="sr-Latn-ME"/>
              </w:rPr>
            </w:pPr>
            <w:r w:rsidRPr="00D768EF">
              <w:rPr>
                <w:color w:val="000000"/>
                <w:szCs w:val="22"/>
                <w:lang w:val="sr-Latn-ME"/>
              </w:rPr>
              <w:t>Rijetko</w:t>
            </w:r>
            <w:r w:rsidR="00C175E4" w:rsidRPr="00D768EF">
              <w:rPr>
                <w:color w:val="000000"/>
                <w:szCs w:val="22"/>
                <w:lang w:val="sr-Latn-ME"/>
              </w:rPr>
              <w:t>:</w:t>
            </w:r>
          </w:p>
        </w:tc>
        <w:tc>
          <w:tcPr>
            <w:tcW w:w="6120" w:type="dxa"/>
            <w:tcBorders>
              <w:top w:val="nil"/>
              <w:bottom w:val="nil"/>
            </w:tcBorders>
          </w:tcPr>
          <w:p w14:paraId="5E6B2CBA" w14:textId="77777777" w:rsidR="00C175E4" w:rsidRPr="00D768EF" w:rsidRDefault="00C175E4" w:rsidP="00622285">
            <w:pPr>
              <w:jc w:val="left"/>
              <w:rPr>
                <w:color w:val="000000"/>
                <w:szCs w:val="22"/>
                <w:lang w:val="sr-Latn-ME"/>
              </w:rPr>
            </w:pPr>
            <w:r w:rsidRPr="00D768EF">
              <w:rPr>
                <w:color w:val="000000"/>
                <w:szCs w:val="22"/>
                <w:lang w:val="sr-Latn-ME"/>
              </w:rPr>
              <w:t>Cijanoza, perikardijalna efuzija.</w:t>
            </w:r>
          </w:p>
        </w:tc>
      </w:tr>
      <w:tr w:rsidR="00C175E4" w:rsidRPr="00D768EF" w14:paraId="203A5D54" w14:textId="77777777" w:rsidTr="00622285">
        <w:trPr>
          <w:cantSplit/>
          <w:trHeight w:val="174"/>
        </w:trPr>
        <w:tc>
          <w:tcPr>
            <w:tcW w:w="3402" w:type="dxa"/>
            <w:tcBorders>
              <w:top w:val="nil"/>
              <w:left w:val="single" w:sz="4" w:space="0" w:color="auto"/>
              <w:bottom w:val="single" w:sz="4" w:space="0" w:color="auto"/>
              <w:right w:val="nil"/>
            </w:tcBorders>
          </w:tcPr>
          <w:p w14:paraId="1E5A9CA4" w14:textId="20A6A81A" w:rsidR="00C175E4" w:rsidRPr="00D768EF" w:rsidRDefault="00C175E4" w:rsidP="00622285">
            <w:pPr>
              <w:jc w:val="left"/>
              <w:rPr>
                <w:color w:val="000000"/>
                <w:szCs w:val="22"/>
                <w:lang w:val="sr-Latn-ME"/>
              </w:rPr>
            </w:pPr>
            <w:r w:rsidRPr="00D768EF">
              <w:rPr>
                <w:color w:val="000000"/>
                <w:szCs w:val="22"/>
                <w:lang w:val="sr-Latn-ME"/>
              </w:rPr>
              <w:t>Nepoznato:</w:t>
            </w:r>
          </w:p>
        </w:tc>
        <w:tc>
          <w:tcPr>
            <w:tcW w:w="6120" w:type="dxa"/>
            <w:tcBorders>
              <w:top w:val="nil"/>
              <w:left w:val="nil"/>
              <w:bottom w:val="single" w:sz="4" w:space="0" w:color="auto"/>
              <w:right w:val="single" w:sz="4" w:space="0" w:color="auto"/>
            </w:tcBorders>
          </w:tcPr>
          <w:p w14:paraId="1537FEE5" w14:textId="78BF4C0B" w:rsidR="00C175E4" w:rsidRPr="00D768EF" w:rsidRDefault="00C175E4" w:rsidP="00962FE0">
            <w:pPr>
              <w:jc w:val="left"/>
              <w:rPr>
                <w:color w:val="000000"/>
                <w:szCs w:val="22"/>
                <w:lang w:val="sr-Latn-ME"/>
              </w:rPr>
            </w:pPr>
            <w:r w:rsidRPr="00D768EF">
              <w:rPr>
                <w:iCs/>
                <w:szCs w:val="22"/>
                <w:lang w:val="sr-Latn-ME"/>
              </w:rPr>
              <w:t>Ishemija miokarda/infarkt miokarda</w:t>
            </w:r>
            <w:r w:rsidRPr="00D768EF">
              <w:rPr>
                <w:color w:val="000000"/>
                <w:szCs w:val="22"/>
                <w:lang w:val="sr-Latn-ME"/>
              </w:rPr>
              <w:t>.</w:t>
            </w:r>
          </w:p>
        </w:tc>
      </w:tr>
      <w:tr w:rsidR="00C175E4" w:rsidRPr="00D768EF" w14:paraId="45D14B94" w14:textId="77777777" w:rsidTr="00622285">
        <w:trPr>
          <w:cantSplit/>
          <w:trHeight w:val="174"/>
        </w:trPr>
        <w:tc>
          <w:tcPr>
            <w:tcW w:w="3402" w:type="dxa"/>
            <w:tcBorders>
              <w:top w:val="single" w:sz="4" w:space="0" w:color="auto"/>
              <w:bottom w:val="single" w:sz="4" w:space="0" w:color="auto"/>
            </w:tcBorders>
          </w:tcPr>
          <w:p w14:paraId="7A1B1396" w14:textId="77777777" w:rsidR="00C175E4" w:rsidRPr="00D768EF" w:rsidRDefault="00C175E4" w:rsidP="00622285">
            <w:pPr>
              <w:jc w:val="left"/>
              <w:rPr>
                <w:color w:val="000000"/>
                <w:szCs w:val="22"/>
                <w:lang w:val="sr-Latn-ME"/>
              </w:rPr>
            </w:pPr>
            <w:r w:rsidRPr="00D768EF">
              <w:rPr>
                <w:color w:val="000000"/>
                <w:szCs w:val="22"/>
                <w:lang w:val="sr-Latn-ME"/>
              </w:rPr>
              <w:t>Vaskularni poremećaji</w:t>
            </w:r>
          </w:p>
        </w:tc>
        <w:tc>
          <w:tcPr>
            <w:tcW w:w="6120" w:type="dxa"/>
            <w:tcBorders>
              <w:top w:val="single" w:sz="4" w:space="0" w:color="auto"/>
              <w:bottom w:val="single" w:sz="4" w:space="0" w:color="auto"/>
            </w:tcBorders>
          </w:tcPr>
          <w:p w14:paraId="7BCB6AE8" w14:textId="77777777" w:rsidR="00C175E4" w:rsidRPr="00D768EF" w:rsidRDefault="00C175E4" w:rsidP="00622285">
            <w:pPr>
              <w:jc w:val="left"/>
              <w:rPr>
                <w:color w:val="000000"/>
                <w:szCs w:val="22"/>
                <w:lang w:val="sr-Latn-ME"/>
              </w:rPr>
            </w:pPr>
          </w:p>
        </w:tc>
      </w:tr>
      <w:tr w:rsidR="00C175E4" w:rsidRPr="00C93299" w14:paraId="691433B3" w14:textId="77777777" w:rsidTr="00622285">
        <w:trPr>
          <w:cantSplit/>
          <w:trHeight w:val="174"/>
        </w:trPr>
        <w:tc>
          <w:tcPr>
            <w:tcW w:w="3402" w:type="dxa"/>
            <w:tcBorders>
              <w:top w:val="single" w:sz="4" w:space="0" w:color="auto"/>
              <w:bottom w:val="nil"/>
            </w:tcBorders>
          </w:tcPr>
          <w:p w14:paraId="094D4C01" w14:textId="5AC39FFA" w:rsidR="00C175E4" w:rsidRPr="00D768EF" w:rsidRDefault="00C175E4" w:rsidP="00622285">
            <w:pPr>
              <w:jc w:val="left"/>
              <w:rPr>
                <w:color w:val="000000"/>
                <w:szCs w:val="22"/>
                <w:lang w:val="sr-Latn-ME"/>
              </w:rPr>
            </w:pPr>
            <w:r w:rsidRPr="00D768EF">
              <w:rPr>
                <w:color w:val="000000"/>
                <w:szCs w:val="22"/>
                <w:lang w:val="sr-Latn-ME"/>
              </w:rPr>
              <w:t>Često:</w:t>
            </w:r>
          </w:p>
        </w:tc>
        <w:tc>
          <w:tcPr>
            <w:tcW w:w="6120" w:type="dxa"/>
            <w:tcBorders>
              <w:top w:val="single" w:sz="4" w:space="0" w:color="auto"/>
              <w:bottom w:val="nil"/>
            </w:tcBorders>
          </w:tcPr>
          <w:p w14:paraId="756970AB" w14:textId="48EE4209" w:rsidR="00C175E4" w:rsidRPr="00D768EF" w:rsidRDefault="00C175E4" w:rsidP="00622285">
            <w:pPr>
              <w:jc w:val="left"/>
              <w:rPr>
                <w:szCs w:val="22"/>
                <w:lang w:val="sr-Latn-ME"/>
              </w:rPr>
            </w:pPr>
            <w:r w:rsidRPr="00D768EF">
              <w:rPr>
                <w:color w:val="000000"/>
                <w:szCs w:val="22"/>
                <w:lang w:val="sr-Latn-ME"/>
              </w:rPr>
              <w:t>Hipotenzija, hipertenzija, ekhimoza, navala vrućine, crvenilo.</w:t>
            </w:r>
          </w:p>
        </w:tc>
      </w:tr>
      <w:tr w:rsidR="00C175E4" w:rsidRPr="00D768EF" w14:paraId="5D2361A7" w14:textId="77777777" w:rsidTr="00622285">
        <w:trPr>
          <w:cantSplit/>
          <w:trHeight w:val="174"/>
        </w:trPr>
        <w:tc>
          <w:tcPr>
            <w:tcW w:w="3402" w:type="dxa"/>
            <w:tcBorders>
              <w:top w:val="nil"/>
              <w:bottom w:val="nil"/>
            </w:tcBorders>
          </w:tcPr>
          <w:p w14:paraId="4710434D" w14:textId="730777CC" w:rsidR="00C175E4" w:rsidRPr="00D768EF" w:rsidRDefault="00C175E4" w:rsidP="00622285">
            <w:pPr>
              <w:jc w:val="left"/>
              <w:rPr>
                <w:color w:val="000000"/>
                <w:szCs w:val="22"/>
                <w:lang w:val="sr-Latn-ME"/>
              </w:rPr>
            </w:pPr>
            <w:r w:rsidRPr="00D768EF">
              <w:rPr>
                <w:color w:val="000000"/>
                <w:szCs w:val="22"/>
                <w:lang w:val="sr-Latn-ME"/>
              </w:rPr>
              <w:t>Povremeno:</w:t>
            </w:r>
          </w:p>
        </w:tc>
        <w:tc>
          <w:tcPr>
            <w:tcW w:w="6120" w:type="dxa"/>
            <w:tcBorders>
              <w:top w:val="nil"/>
              <w:bottom w:val="nil"/>
            </w:tcBorders>
          </w:tcPr>
          <w:p w14:paraId="55F2C2AE" w14:textId="0D2B1501" w:rsidR="00C175E4" w:rsidRPr="00D768EF" w:rsidRDefault="00C175E4" w:rsidP="00622285">
            <w:pPr>
              <w:jc w:val="left"/>
              <w:rPr>
                <w:color w:val="000000"/>
                <w:szCs w:val="22"/>
                <w:lang w:val="sr-Latn-ME"/>
              </w:rPr>
            </w:pPr>
            <w:r w:rsidRPr="00D768EF">
              <w:rPr>
                <w:color w:val="000000"/>
                <w:szCs w:val="22"/>
                <w:lang w:val="sr-Latn-ME"/>
              </w:rPr>
              <w:t xml:space="preserve">Periferna </w:t>
            </w:r>
            <w:r w:rsidRPr="00D768EF">
              <w:rPr>
                <w:iCs/>
                <w:szCs w:val="22"/>
                <w:lang w:val="sr-Latn-ME"/>
              </w:rPr>
              <w:t>ishemija</w:t>
            </w:r>
            <w:r w:rsidRPr="00D768EF">
              <w:rPr>
                <w:color w:val="000000"/>
                <w:szCs w:val="22"/>
                <w:lang w:val="sr-Latn-ME"/>
              </w:rPr>
              <w:t>, tromboflebitis, hematom.</w:t>
            </w:r>
          </w:p>
        </w:tc>
      </w:tr>
      <w:tr w:rsidR="00C175E4" w:rsidRPr="00D768EF" w14:paraId="6EA0D841" w14:textId="77777777" w:rsidTr="00622285">
        <w:trPr>
          <w:cantSplit/>
          <w:trHeight w:val="174"/>
        </w:trPr>
        <w:tc>
          <w:tcPr>
            <w:tcW w:w="3402" w:type="dxa"/>
            <w:tcBorders>
              <w:top w:val="nil"/>
              <w:bottom w:val="single" w:sz="4" w:space="0" w:color="auto"/>
            </w:tcBorders>
          </w:tcPr>
          <w:p w14:paraId="316638B5" w14:textId="281D3EE0" w:rsidR="00C175E4" w:rsidRPr="00D768EF" w:rsidRDefault="00B6707D" w:rsidP="00622285">
            <w:pPr>
              <w:jc w:val="left"/>
              <w:rPr>
                <w:color w:val="000000"/>
                <w:szCs w:val="22"/>
                <w:lang w:val="sr-Latn-ME"/>
              </w:rPr>
            </w:pPr>
            <w:r w:rsidRPr="00D768EF">
              <w:rPr>
                <w:color w:val="000000"/>
                <w:szCs w:val="22"/>
                <w:lang w:val="sr-Latn-ME"/>
              </w:rPr>
              <w:t>Rijetko</w:t>
            </w:r>
            <w:r w:rsidR="00C175E4" w:rsidRPr="00D768EF">
              <w:rPr>
                <w:color w:val="000000"/>
                <w:szCs w:val="22"/>
                <w:lang w:val="sr-Latn-ME"/>
              </w:rPr>
              <w:t>:</w:t>
            </w:r>
          </w:p>
        </w:tc>
        <w:tc>
          <w:tcPr>
            <w:tcW w:w="6120" w:type="dxa"/>
            <w:tcBorders>
              <w:top w:val="nil"/>
              <w:bottom w:val="single" w:sz="4" w:space="0" w:color="auto"/>
            </w:tcBorders>
          </w:tcPr>
          <w:p w14:paraId="399A46F4" w14:textId="77777777" w:rsidR="00C175E4" w:rsidRPr="00D768EF" w:rsidRDefault="00C175E4" w:rsidP="00622285">
            <w:pPr>
              <w:jc w:val="left"/>
              <w:rPr>
                <w:color w:val="000000"/>
                <w:szCs w:val="22"/>
                <w:lang w:val="sr-Latn-ME"/>
              </w:rPr>
            </w:pPr>
            <w:r w:rsidRPr="00D768EF">
              <w:rPr>
                <w:color w:val="000000"/>
                <w:szCs w:val="22"/>
                <w:lang w:val="sr-Latn-ME"/>
              </w:rPr>
              <w:t xml:space="preserve">Cirkulatorna insuficijencija, </w:t>
            </w:r>
            <w:r w:rsidRPr="00D768EF">
              <w:rPr>
                <w:szCs w:val="22"/>
                <w:lang w:val="sr-Latn-ME"/>
              </w:rPr>
              <w:t>petehije</w:t>
            </w:r>
            <w:r w:rsidRPr="00D768EF">
              <w:rPr>
                <w:color w:val="000000"/>
                <w:szCs w:val="22"/>
                <w:lang w:val="sr-Latn-ME"/>
              </w:rPr>
              <w:t>, vazospazam.</w:t>
            </w:r>
          </w:p>
        </w:tc>
      </w:tr>
      <w:tr w:rsidR="00C175E4" w:rsidRPr="00EE2CAE" w14:paraId="11E316DB" w14:textId="77777777" w:rsidTr="00622285">
        <w:trPr>
          <w:cantSplit/>
          <w:trHeight w:val="174"/>
        </w:trPr>
        <w:tc>
          <w:tcPr>
            <w:tcW w:w="9522" w:type="dxa"/>
            <w:gridSpan w:val="2"/>
            <w:tcBorders>
              <w:bottom w:val="nil"/>
            </w:tcBorders>
          </w:tcPr>
          <w:p w14:paraId="2B9518BF" w14:textId="77777777" w:rsidR="00C175E4" w:rsidRPr="00D768EF" w:rsidRDefault="00C175E4" w:rsidP="00622285">
            <w:pPr>
              <w:jc w:val="left"/>
              <w:rPr>
                <w:color w:val="000000"/>
                <w:szCs w:val="22"/>
                <w:lang w:val="sr-Latn-ME"/>
              </w:rPr>
            </w:pPr>
            <w:r w:rsidRPr="00D768EF">
              <w:rPr>
                <w:szCs w:val="22"/>
                <w:lang w:val="sr-Latn-ME"/>
              </w:rPr>
              <w:t>Respiratorni, torakalni i medijastinalni poremećaji</w:t>
            </w:r>
          </w:p>
        </w:tc>
      </w:tr>
      <w:tr w:rsidR="00C175E4" w:rsidRPr="00EE2CAE" w14:paraId="6FF23A5B" w14:textId="77777777" w:rsidTr="00622285">
        <w:trPr>
          <w:cantSplit/>
          <w:trHeight w:val="174"/>
        </w:trPr>
        <w:tc>
          <w:tcPr>
            <w:tcW w:w="3402" w:type="dxa"/>
            <w:tcBorders>
              <w:bottom w:val="nil"/>
            </w:tcBorders>
          </w:tcPr>
          <w:p w14:paraId="4FF07D44" w14:textId="330BE522" w:rsidR="00C175E4" w:rsidRPr="00D768EF" w:rsidRDefault="00C175E4" w:rsidP="00622285">
            <w:pPr>
              <w:jc w:val="left"/>
              <w:rPr>
                <w:szCs w:val="22"/>
                <w:lang w:val="sr-Latn-ME"/>
              </w:rPr>
            </w:pPr>
            <w:r w:rsidRPr="00D768EF">
              <w:rPr>
                <w:szCs w:val="22"/>
                <w:lang w:val="sr-Latn-ME"/>
              </w:rPr>
              <w:t>Veoma često:</w:t>
            </w:r>
          </w:p>
        </w:tc>
        <w:tc>
          <w:tcPr>
            <w:tcW w:w="6120" w:type="dxa"/>
            <w:tcBorders>
              <w:bottom w:val="nil"/>
            </w:tcBorders>
          </w:tcPr>
          <w:p w14:paraId="58026BE6" w14:textId="77777777" w:rsidR="00C175E4" w:rsidRPr="00D768EF" w:rsidRDefault="00C175E4" w:rsidP="00622285">
            <w:pPr>
              <w:jc w:val="left"/>
              <w:rPr>
                <w:color w:val="000000"/>
                <w:szCs w:val="22"/>
                <w:lang w:val="sr-Latn-ME"/>
              </w:rPr>
            </w:pPr>
            <w:r w:rsidRPr="00D768EF">
              <w:rPr>
                <w:color w:val="000000"/>
                <w:szCs w:val="22"/>
                <w:lang w:val="sr-Latn-ME"/>
              </w:rPr>
              <w:t>Infekcija gornjeg respiratornog trakta, sinuzitis.</w:t>
            </w:r>
          </w:p>
        </w:tc>
      </w:tr>
      <w:tr w:rsidR="00C175E4" w:rsidRPr="00C93299" w14:paraId="119EA06A" w14:textId="77777777" w:rsidTr="00622285">
        <w:trPr>
          <w:cantSplit/>
          <w:trHeight w:val="259"/>
        </w:trPr>
        <w:tc>
          <w:tcPr>
            <w:tcW w:w="3402" w:type="dxa"/>
            <w:tcBorders>
              <w:top w:val="nil"/>
              <w:bottom w:val="nil"/>
            </w:tcBorders>
          </w:tcPr>
          <w:p w14:paraId="3AB5B32A" w14:textId="4FB0DA35" w:rsidR="00C175E4" w:rsidRPr="00D768EF" w:rsidRDefault="00C175E4" w:rsidP="00622285">
            <w:pPr>
              <w:jc w:val="left"/>
              <w:rPr>
                <w:color w:val="000000"/>
                <w:szCs w:val="22"/>
                <w:lang w:val="sr-Latn-ME"/>
              </w:rPr>
            </w:pPr>
            <w:r w:rsidRPr="00D768EF">
              <w:rPr>
                <w:color w:val="000000"/>
                <w:szCs w:val="22"/>
                <w:lang w:val="sr-Latn-ME"/>
              </w:rPr>
              <w:t>Često:</w:t>
            </w:r>
          </w:p>
        </w:tc>
        <w:tc>
          <w:tcPr>
            <w:tcW w:w="6120" w:type="dxa"/>
            <w:tcBorders>
              <w:top w:val="nil"/>
              <w:bottom w:val="nil"/>
            </w:tcBorders>
          </w:tcPr>
          <w:p w14:paraId="67A720B5" w14:textId="66345645" w:rsidR="00C175E4" w:rsidRPr="00D768EF" w:rsidRDefault="00C175E4" w:rsidP="00622285">
            <w:pPr>
              <w:jc w:val="left"/>
              <w:rPr>
                <w:color w:val="000000"/>
                <w:szCs w:val="22"/>
                <w:lang w:val="sr-Latn-ME"/>
              </w:rPr>
            </w:pPr>
            <w:r w:rsidRPr="00D768EF">
              <w:rPr>
                <w:color w:val="000000"/>
                <w:szCs w:val="22"/>
                <w:lang w:val="sr-Latn-ME"/>
              </w:rPr>
              <w:t>Infekcija donjeg respiratornog trakta (npr. bronhitis, pneumonija), dispneja, epistaksa.</w:t>
            </w:r>
          </w:p>
        </w:tc>
      </w:tr>
      <w:tr w:rsidR="00C175E4" w:rsidRPr="00C93299" w14:paraId="7AAD7E04" w14:textId="77777777" w:rsidTr="00622285">
        <w:trPr>
          <w:cantSplit/>
          <w:trHeight w:val="174"/>
        </w:trPr>
        <w:tc>
          <w:tcPr>
            <w:tcW w:w="3402" w:type="dxa"/>
            <w:tcBorders>
              <w:top w:val="nil"/>
              <w:bottom w:val="nil"/>
            </w:tcBorders>
          </w:tcPr>
          <w:p w14:paraId="0D7CC220" w14:textId="7353E94A" w:rsidR="00C175E4" w:rsidRPr="00D768EF" w:rsidRDefault="00C175E4" w:rsidP="00622285">
            <w:pPr>
              <w:jc w:val="left"/>
              <w:rPr>
                <w:color w:val="000000"/>
                <w:szCs w:val="22"/>
                <w:lang w:val="sr-Latn-ME"/>
              </w:rPr>
            </w:pPr>
            <w:r w:rsidRPr="00D768EF">
              <w:rPr>
                <w:color w:val="000000"/>
                <w:szCs w:val="22"/>
                <w:lang w:val="sr-Latn-ME"/>
              </w:rPr>
              <w:t>Povremeno:</w:t>
            </w:r>
          </w:p>
        </w:tc>
        <w:tc>
          <w:tcPr>
            <w:tcW w:w="6120" w:type="dxa"/>
            <w:tcBorders>
              <w:top w:val="nil"/>
              <w:bottom w:val="nil"/>
            </w:tcBorders>
          </w:tcPr>
          <w:p w14:paraId="06300146" w14:textId="5E46A816" w:rsidR="00C175E4" w:rsidRPr="00D768EF" w:rsidRDefault="00C175E4" w:rsidP="00622285">
            <w:pPr>
              <w:jc w:val="left"/>
              <w:rPr>
                <w:color w:val="000000"/>
                <w:szCs w:val="22"/>
                <w:lang w:val="sr-Latn-ME"/>
              </w:rPr>
            </w:pPr>
            <w:r w:rsidRPr="00D768EF">
              <w:rPr>
                <w:color w:val="000000"/>
                <w:szCs w:val="22"/>
                <w:lang w:val="sr-Latn-ME"/>
              </w:rPr>
              <w:t>Edem pluća, bronhospazam, pleuritis, pleuralna efuzija.</w:t>
            </w:r>
          </w:p>
        </w:tc>
      </w:tr>
      <w:tr w:rsidR="00C175E4" w:rsidRPr="00C93299" w14:paraId="6D7995F5" w14:textId="77777777" w:rsidTr="00622285">
        <w:trPr>
          <w:cantSplit/>
          <w:trHeight w:val="174"/>
        </w:trPr>
        <w:tc>
          <w:tcPr>
            <w:tcW w:w="3402" w:type="dxa"/>
            <w:tcBorders>
              <w:top w:val="nil"/>
              <w:bottom w:val="nil"/>
            </w:tcBorders>
          </w:tcPr>
          <w:p w14:paraId="6CC86A5E" w14:textId="5E1E09A2" w:rsidR="00C175E4" w:rsidRPr="00D768EF" w:rsidRDefault="00B6707D" w:rsidP="00622285">
            <w:pPr>
              <w:jc w:val="left"/>
              <w:rPr>
                <w:color w:val="000000"/>
                <w:szCs w:val="22"/>
                <w:lang w:val="sr-Latn-ME"/>
              </w:rPr>
            </w:pPr>
            <w:r w:rsidRPr="00D768EF">
              <w:rPr>
                <w:color w:val="000000"/>
                <w:szCs w:val="22"/>
                <w:lang w:val="sr-Latn-ME"/>
              </w:rPr>
              <w:t>Rijetko</w:t>
            </w:r>
            <w:r w:rsidR="00C175E4" w:rsidRPr="00D768EF">
              <w:rPr>
                <w:color w:val="000000"/>
                <w:szCs w:val="22"/>
                <w:lang w:val="sr-Latn-ME"/>
              </w:rPr>
              <w:t>:</w:t>
            </w:r>
          </w:p>
        </w:tc>
        <w:tc>
          <w:tcPr>
            <w:tcW w:w="6120" w:type="dxa"/>
            <w:tcBorders>
              <w:top w:val="nil"/>
              <w:bottom w:val="nil"/>
            </w:tcBorders>
          </w:tcPr>
          <w:p w14:paraId="5FA58F5C" w14:textId="77777777" w:rsidR="00C175E4" w:rsidRPr="00D768EF" w:rsidRDefault="00C175E4" w:rsidP="00622285">
            <w:pPr>
              <w:tabs>
                <w:tab w:val="clear" w:pos="284"/>
              </w:tabs>
              <w:autoSpaceDE w:val="0"/>
              <w:autoSpaceDN w:val="0"/>
              <w:adjustRightInd w:val="0"/>
              <w:jc w:val="left"/>
              <w:rPr>
                <w:color w:val="000000"/>
                <w:szCs w:val="22"/>
                <w:lang w:val="sr-Latn-ME"/>
              </w:rPr>
            </w:pPr>
            <w:r w:rsidRPr="00D768EF">
              <w:rPr>
                <w:color w:val="000000"/>
                <w:szCs w:val="22"/>
                <w:lang w:val="sr-Latn-ME"/>
              </w:rPr>
              <w:t>Intersticijalna bolest pluća (uključujući bolest koja brzo napreduje, fibrozu pluća i pneumonitis).</w:t>
            </w:r>
            <w:r w:rsidRPr="00D768EF">
              <w:rPr>
                <w:szCs w:val="22"/>
                <w:lang w:val="sr-Latn-ME"/>
              </w:rPr>
              <w:t xml:space="preserve"> </w:t>
            </w:r>
          </w:p>
        </w:tc>
      </w:tr>
      <w:tr w:rsidR="00C175E4" w:rsidRPr="00D768EF" w14:paraId="66FF01E9" w14:textId="77777777" w:rsidTr="00622285">
        <w:trPr>
          <w:cantSplit/>
          <w:trHeight w:val="174"/>
        </w:trPr>
        <w:tc>
          <w:tcPr>
            <w:tcW w:w="3402" w:type="dxa"/>
            <w:tcBorders>
              <w:top w:val="single" w:sz="4" w:space="0" w:color="auto"/>
              <w:bottom w:val="nil"/>
            </w:tcBorders>
          </w:tcPr>
          <w:p w14:paraId="6C7ADA87" w14:textId="77777777" w:rsidR="00C175E4" w:rsidRPr="00D768EF" w:rsidRDefault="00C175E4" w:rsidP="00622285">
            <w:pPr>
              <w:jc w:val="left"/>
              <w:rPr>
                <w:color w:val="000000"/>
                <w:szCs w:val="22"/>
                <w:lang w:val="sr-Latn-ME"/>
              </w:rPr>
            </w:pPr>
            <w:r w:rsidRPr="00D768EF">
              <w:rPr>
                <w:color w:val="000000"/>
                <w:szCs w:val="22"/>
                <w:lang w:val="sr-Latn-ME"/>
              </w:rPr>
              <w:t>Gastrointestinalni poremećaji</w:t>
            </w:r>
          </w:p>
        </w:tc>
        <w:tc>
          <w:tcPr>
            <w:tcW w:w="6120" w:type="dxa"/>
            <w:tcBorders>
              <w:top w:val="single" w:sz="4" w:space="0" w:color="auto"/>
              <w:bottom w:val="nil"/>
            </w:tcBorders>
          </w:tcPr>
          <w:p w14:paraId="401E5711" w14:textId="77777777" w:rsidR="00C175E4" w:rsidRPr="00D768EF" w:rsidRDefault="00C175E4" w:rsidP="00622285">
            <w:pPr>
              <w:jc w:val="left"/>
              <w:rPr>
                <w:color w:val="000000"/>
                <w:szCs w:val="22"/>
                <w:lang w:val="sr-Latn-ME"/>
              </w:rPr>
            </w:pPr>
          </w:p>
        </w:tc>
      </w:tr>
      <w:tr w:rsidR="00C175E4" w:rsidRPr="00D768EF" w14:paraId="3FD3231D" w14:textId="77777777" w:rsidTr="00622285">
        <w:trPr>
          <w:cantSplit/>
          <w:trHeight w:val="174"/>
        </w:trPr>
        <w:tc>
          <w:tcPr>
            <w:tcW w:w="3402" w:type="dxa"/>
            <w:tcBorders>
              <w:top w:val="single" w:sz="4" w:space="0" w:color="auto"/>
              <w:bottom w:val="nil"/>
            </w:tcBorders>
          </w:tcPr>
          <w:p w14:paraId="5FF94692" w14:textId="47809C3A" w:rsidR="00C175E4" w:rsidRPr="00D768EF" w:rsidRDefault="00C175E4" w:rsidP="00622285">
            <w:pPr>
              <w:jc w:val="left"/>
              <w:rPr>
                <w:color w:val="000000"/>
                <w:szCs w:val="22"/>
                <w:lang w:val="sr-Latn-ME"/>
              </w:rPr>
            </w:pPr>
            <w:r w:rsidRPr="00D768EF">
              <w:rPr>
                <w:color w:val="000000"/>
                <w:szCs w:val="22"/>
                <w:lang w:val="sr-Latn-ME"/>
              </w:rPr>
              <w:t>Veoma često:</w:t>
            </w:r>
          </w:p>
        </w:tc>
        <w:tc>
          <w:tcPr>
            <w:tcW w:w="6120" w:type="dxa"/>
            <w:tcBorders>
              <w:top w:val="single" w:sz="4" w:space="0" w:color="auto"/>
              <w:bottom w:val="nil"/>
            </w:tcBorders>
          </w:tcPr>
          <w:p w14:paraId="791543B3" w14:textId="77777777" w:rsidR="00C175E4" w:rsidRPr="00D768EF" w:rsidRDefault="00C175E4" w:rsidP="00622285">
            <w:pPr>
              <w:jc w:val="left"/>
              <w:rPr>
                <w:szCs w:val="22"/>
                <w:lang w:val="sr-Latn-ME"/>
              </w:rPr>
            </w:pPr>
            <w:r w:rsidRPr="00D768EF">
              <w:rPr>
                <w:color w:val="000000"/>
                <w:szCs w:val="22"/>
                <w:lang w:val="sr-Latn-ME"/>
              </w:rPr>
              <w:t>Bol u stomaku, mučnina.</w:t>
            </w:r>
          </w:p>
        </w:tc>
      </w:tr>
      <w:tr w:rsidR="00C175E4" w:rsidRPr="00C93299" w14:paraId="679A637D" w14:textId="77777777" w:rsidTr="00622285">
        <w:trPr>
          <w:cantSplit/>
          <w:trHeight w:val="174"/>
        </w:trPr>
        <w:tc>
          <w:tcPr>
            <w:tcW w:w="3402" w:type="dxa"/>
            <w:tcBorders>
              <w:top w:val="nil"/>
              <w:bottom w:val="nil"/>
            </w:tcBorders>
          </w:tcPr>
          <w:p w14:paraId="21F6D765" w14:textId="1E9CE637" w:rsidR="00C175E4" w:rsidRPr="00D768EF" w:rsidRDefault="00C175E4" w:rsidP="00622285">
            <w:pPr>
              <w:jc w:val="left"/>
              <w:rPr>
                <w:color w:val="000000"/>
                <w:szCs w:val="22"/>
                <w:lang w:val="sr-Latn-ME"/>
              </w:rPr>
            </w:pPr>
            <w:r w:rsidRPr="00D768EF">
              <w:rPr>
                <w:color w:val="000000"/>
                <w:szCs w:val="22"/>
                <w:lang w:val="sr-Latn-ME"/>
              </w:rPr>
              <w:t>Često:</w:t>
            </w:r>
          </w:p>
        </w:tc>
        <w:tc>
          <w:tcPr>
            <w:tcW w:w="6120" w:type="dxa"/>
            <w:tcBorders>
              <w:top w:val="nil"/>
              <w:bottom w:val="nil"/>
            </w:tcBorders>
          </w:tcPr>
          <w:p w14:paraId="15B1F897" w14:textId="77777777" w:rsidR="00C175E4" w:rsidRPr="00D768EF" w:rsidRDefault="00C175E4" w:rsidP="00622285">
            <w:pPr>
              <w:jc w:val="left"/>
              <w:rPr>
                <w:color w:val="000000"/>
                <w:szCs w:val="22"/>
                <w:lang w:val="sr-Latn-ME"/>
              </w:rPr>
            </w:pPr>
            <w:r w:rsidRPr="00D768EF">
              <w:rPr>
                <w:color w:val="000000"/>
                <w:szCs w:val="22"/>
                <w:lang w:val="sr-Latn-ME"/>
              </w:rPr>
              <w:t>Gastrointestinalno krvarenje,</w:t>
            </w:r>
            <w:r w:rsidRPr="00D768EF" w:rsidDel="00C5715C">
              <w:rPr>
                <w:color w:val="000000"/>
                <w:szCs w:val="22"/>
                <w:lang w:val="sr-Latn-ME"/>
              </w:rPr>
              <w:t xml:space="preserve"> </w:t>
            </w:r>
            <w:r w:rsidRPr="00D768EF">
              <w:rPr>
                <w:color w:val="000000"/>
                <w:szCs w:val="22"/>
                <w:lang w:val="sr-Latn-ME"/>
              </w:rPr>
              <w:t>dijareja, dispepsija, gastroezofagealni refluks, konstipacija.</w:t>
            </w:r>
          </w:p>
        </w:tc>
      </w:tr>
      <w:tr w:rsidR="00C175E4" w:rsidRPr="00D768EF" w14:paraId="41B5C956" w14:textId="77777777" w:rsidTr="00622285">
        <w:trPr>
          <w:cantSplit/>
          <w:trHeight w:val="174"/>
        </w:trPr>
        <w:tc>
          <w:tcPr>
            <w:tcW w:w="3402" w:type="dxa"/>
            <w:tcBorders>
              <w:top w:val="nil"/>
              <w:bottom w:val="single" w:sz="4" w:space="0" w:color="auto"/>
            </w:tcBorders>
          </w:tcPr>
          <w:p w14:paraId="28E799D0" w14:textId="0B808380" w:rsidR="00C175E4" w:rsidRPr="00D768EF" w:rsidRDefault="00C175E4" w:rsidP="00622285">
            <w:pPr>
              <w:jc w:val="left"/>
              <w:rPr>
                <w:color w:val="000000"/>
                <w:szCs w:val="22"/>
                <w:lang w:val="sr-Latn-ME"/>
              </w:rPr>
            </w:pPr>
            <w:r w:rsidRPr="00D768EF">
              <w:rPr>
                <w:color w:val="000000"/>
                <w:szCs w:val="22"/>
                <w:lang w:val="sr-Latn-ME"/>
              </w:rPr>
              <w:t>Povremeno:</w:t>
            </w:r>
          </w:p>
        </w:tc>
        <w:tc>
          <w:tcPr>
            <w:tcW w:w="6120" w:type="dxa"/>
            <w:tcBorders>
              <w:top w:val="nil"/>
              <w:bottom w:val="single" w:sz="4" w:space="0" w:color="auto"/>
            </w:tcBorders>
          </w:tcPr>
          <w:p w14:paraId="58048D83" w14:textId="7B13A6C9" w:rsidR="00C175E4" w:rsidRPr="00D768EF" w:rsidRDefault="00C175E4" w:rsidP="00622285">
            <w:pPr>
              <w:jc w:val="left"/>
              <w:rPr>
                <w:color w:val="000000"/>
                <w:spacing w:val="-2"/>
                <w:szCs w:val="22"/>
                <w:lang w:val="sr-Latn-ME"/>
              </w:rPr>
            </w:pPr>
            <w:r w:rsidRPr="00D768EF">
              <w:rPr>
                <w:color w:val="000000"/>
                <w:spacing w:val="-2"/>
                <w:szCs w:val="22"/>
                <w:lang w:val="sr-Latn-ME"/>
              </w:rPr>
              <w:t>Perforacija cr</w:t>
            </w:r>
            <w:r w:rsidR="000C14D8" w:rsidRPr="00D768EF">
              <w:rPr>
                <w:color w:val="000000"/>
                <w:spacing w:val="-2"/>
                <w:szCs w:val="22"/>
                <w:lang w:val="sr-Latn-ME"/>
              </w:rPr>
              <w:t>ij</w:t>
            </w:r>
            <w:r w:rsidRPr="00D768EF">
              <w:rPr>
                <w:color w:val="000000"/>
                <w:spacing w:val="-2"/>
                <w:szCs w:val="22"/>
                <w:lang w:val="sr-Latn-ME"/>
              </w:rPr>
              <w:t>eva, stenoza cr</w:t>
            </w:r>
            <w:r w:rsidR="000C14D8" w:rsidRPr="00D768EF">
              <w:rPr>
                <w:color w:val="000000"/>
                <w:spacing w:val="-2"/>
                <w:szCs w:val="22"/>
                <w:lang w:val="sr-Latn-ME"/>
              </w:rPr>
              <w:t>ij</w:t>
            </w:r>
            <w:r w:rsidRPr="00D768EF">
              <w:rPr>
                <w:color w:val="000000"/>
                <w:spacing w:val="-2"/>
                <w:szCs w:val="22"/>
                <w:lang w:val="sr-Latn-ME"/>
              </w:rPr>
              <w:t>eva, divertikulitis, pankreatitis, heilitis.</w:t>
            </w:r>
          </w:p>
        </w:tc>
      </w:tr>
      <w:tr w:rsidR="00C175E4" w:rsidRPr="00D768EF" w14:paraId="0A851A53" w14:textId="77777777" w:rsidTr="00622285">
        <w:trPr>
          <w:cantSplit/>
          <w:trHeight w:val="174"/>
        </w:trPr>
        <w:tc>
          <w:tcPr>
            <w:tcW w:w="3402" w:type="dxa"/>
            <w:tcBorders>
              <w:top w:val="single" w:sz="4" w:space="0" w:color="auto"/>
              <w:left w:val="single" w:sz="4" w:space="0" w:color="auto"/>
              <w:bottom w:val="single" w:sz="4" w:space="0" w:color="auto"/>
              <w:right w:val="nil"/>
            </w:tcBorders>
          </w:tcPr>
          <w:p w14:paraId="75F9AD8C" w14:textId="77777777" w:rsidR="00C175E4" w:rsidRPr="00D768EF" w:rsidRDefault="00C175E4" w:rsidP="00622285">
            <w:pPr>
              <w:jc w:val="left"/>
              <w:rPr>
                <w:color w:val="000000"/>
                <w:szCs w:val="22"/>
                <w:lang w:val="sr-Latn-ME"/>
              </w:rPr>
            </w:pPr>
            <w:r w:rsidRPr="00D768EF">
              <w:rPr>
                <w:color w:val="000000"/>
                <w:szCs w:val="22"/>
                <w:lang w:val="sr-Latn-ME"/>
              </w:rPr>
              <w:t>Hepatobilijarni poremećaji</w:t>
            </w:r>
          </w:p>
        </w:tc>
        <w:tc>
          <w:tcPr>
            <w:tcW w:w="6120" w:type="dxa"/>
            <w:tcBorders>
              <w:top w:val="single" w:sz="4" w:space="0" w:color="auto"/>
              <w:left w:val="nil"/>
              <w:bottom w:val="single" w:sz="4" w:space="0" w:color="auto"/>
              <w:right w:val="single" w:sz="4" w:space="0" w:color="auto"/>
            </w:tcBorders>
          </w:tcPr>
          <w:p w14:paraId="0683D4BD" w14:textId="77777777" w:rsidR="00C175E4" w:rsidRPr="00D768EF" w:rsidRDefault="00C175E4" w:rsidP="00622285">
            <w:pPr>
              <w:jc w:val="left"/>
              <w:rPr>
                <w:color w:val="000000"/>
                <w:szCs w:val="22"/>
                <w:lang w:val="sr-Latn-ME"/>
              </w:rPr>
            </w:pPr>
          </w:p>
        </w:tc>
      </w:tr>
      <w:tr w:rsidR="00C175E4" w:rsidRPr="00EE2CAE" w14:paraId="41EE7215" w14:textId="77777777" w:rsidTr="00622285">
        <w:trPr>
          <w:cantSplit/>
          <w:trHeight w:val="174"/>
        </w:trPr>
        <w:tc>
          <w:tcPr>
            <w:tcW w:w="3402" w:type="dxa"/>
            <w:tcBorders>
              <w:top w:val="single" w:sz="4" w:space="0" w:color="auto"/>
              <w:left w:val="single" w:sz="4" w:space="0" w:color="auto"/>
              <w:bottom w:val="nil"/>
              <w:right w:val="nil"/>
            </w:tcBorders>
          </w:tcPr>
          <w:p w14:paraId="2F4F9674" w14:textId="5ED64F8F" w:rsidR="00C175E4" w:rsidRPr="00D768EF" w:rsidRDefault="00C175E4" w:rsidP="00622285">
            <w:pPr>
              <w:jc w:val="left"/>
              <w:rPr>
                <w:szCs w:val="22"/>
                <w:lang w:val="sr-Latn-ME"/>
              </w:rPr>
            </w:pPr>
            <w:r w:rsidRPr="00D768EF">
              <w:rPr>
                <w:szCs w:val="22"/>
                <w:lang w:val="sr-Latn-ME"/>
              </w:rPr>
              <w:t>Često:</w:t>
            </w:r>
          </w:p>
        </w:tc>
        <w:tc>
          <w:tcPr>
            <w:tcW w:w="6120" w:type="dxa"/>
            <w:tcBorders>
              <w:top w:val="single" w:sz="4" w:space="0" w:color="auto"/>
              <w:left w:val="nil"/>
              <w:bottom w:val="nil"/>
              <w:right w:val="single" w:sz="4" w:space="0" w:color="auto"/>
            </w:tcBorders>
          </w:tcPr>
          <w:p w14:paraId="1B4BB1BD" w14:textId="77777777" w:rsidR="00C175E4" w:rsidRPr="00D768EF" w:rsidRDefault="00C175E4" w:rsidP="00622285">
            <w:pPr>
              <w:pStyle w:val="Heading2"/>
              <w:jc w:val="left"/>
              <w:rPr>
                <w:rFonts w:ascii="Times New Roman" w:hAnsi="Times New Roman" w:cs="Times New Roman"/>
                <w:i w:val="0"/>
                <w:iCs w:val="0"/>
                <w:color w:val="auto"/>
                <w:sz w:val="22"/>
                <w:szCs w:val="22"/>
                <w:lang w:val="sr-Latn-ME"/>
              </w:rPr>
            </w:pPr>
            <w:r w:rsidRPr="00D768EF">
              <w:rPr>
                <w:rFonts w:ascii="Times New Roman" w:hAnsi="Times New Roman" w:cs="Times New Roman"/>
                <w:i w:val="0"/>
                <w:color w:val="000000"/>
                <w:sz w:val="22"/>
                <w:szCs w:val="22"/>
                <w:lang w:val="sr-Latn-ME"/>
              </w:rPr>
              <w:t>Poremećena funkcija jetre, p</w:t>
            </w:r>
            <w:r w:rsidRPr="00D768EF">
              <w:rPr>
                <w:rFonts w:ascii="Times New Roman" w:hAnsi="Times New Roman" w:cs="Times New Roman"/>
                <w:i w:val="0"/>
                <w:iCs w:val="0"/>
                <w:color w:val="auto"/>
                <w:sz w:val="22"/>
                <w:szCs w:val="22"/>
                <w:lang w:val="sr-Latn-ME"/>
              </w:rPr>
              <w:t>ovišene transaminaze.</w:t>
            </w:r>
          </w:p>
        </w:tc>
      </w:tr>
      <w:tr w:rsidR="00C175E4" w:rsidRPr="00D768EF" w14:paraId="4CBE972D" w14:textId="77777777" w:rsidTr="00622285">
        <w:trPr>
          <w:cantSplit/>
          <w:trHeight w:val="174"/>
        </w:trPr>
        <w:tc>
          <w:tcPr>
            <w:tcW w:w="3402" w:type="dxa"/>
            <w:tcBorders>
              <w:top w:val="nil"/>
              <w:left w:val="single" w:sz="4" w:space="0" w:color="auto"/>
              <w:bottom w:val="nil"/>
            </w:tcBorders>
          </w:tcPr>
          <w:p w14:paraId="739B61F9" w14:textId="2DA2FED7" w:rsidR="00C175E4" w:rsidRPr="00D768EF" w:rsidRDefault="00C175E4" w:rsidP="00622285">
            <w:pPr>
              <w:jc w:val="left"/>
              <w:rPr>
                <w:color w:val="000000"/>
                <w:szCs w:val="22"/>
                <w:lang w:val="sr-Latn-ME"/>
              </w:rPr>
            </w:pPr>
            <w:r w:rsidRPr="00D768EF">
              <w:rPr>
                <w:color w:val="000000"/>
                <w:szCs w:val="22"/>
                <w:lang w:val="sr-Latn-ME"/>
              </w:rPr>
              <w:t>Povremeno:</w:t>
            </w:r>
          </w:p>
        </w:tc>
        <w:tc>
          <w:tcPr>
            <w:tcW w:w="6120" w:type="dxa"/>
            <w:tcBorders>
              <w:top w:val="nil"/>
              <w:bottom w:val="nil"/>
              <w:right w:val="single" w:sz="4" w:space="0" w:color="auto"/>
            </w:tcBorders>
          </w:tcPr>
          <w:p w14:paraId="2B0A7F33" w14:textId="77777777" w:rsidR="00C175E4" w:rsidRPr="00D768EF" w:rsidRDefault="00C175E4" w:rsidP="00622285">
            <w:pPr>
              <w:jc w:val="left"/>
              <w:rPr>
                <w:color w:val="000000"/>
                <w:szCs w:val="22"/>
                <w:lang w:val="sr-Latn-ME"/>
              </w:rPr>
            </w:pPr>
            <w:r w:rsidRPr="00D768EF">
              <w:rPr>
                <w:color w:val="000000"/>
                <w:szCs w:val="22"/>
                <w:lang w:val="sr-Latn-ME"/>
              </w:rPr>
              <w:t>Hepatitis,</w:t>
            </w:r>
            <w:r w:rsidRPr="00D768EF">
              <w:rPr>
                <w:szCs w:val="22"/>
                <w:lang w:val="sr-Latn-ME"/>
              </w:rPr>
              <w:t xml:space="preserve"> hepatocelularno oštećenje,</w:t>
            </w:r>
            <w:r w:rsidRPr="00D768EF">
              <w:rPr>
                <w:color w:val="000000"/>
                <w:szCs w:val="22"/>
                <w:lang w:val="sr-Latn-ME"/>
              </w:rPr>
              <w:t xml:space="preserve"> holecistitis.</w:t>
            </w:r>
          </w:p>
        </w:tc>
      </w:tr>
      <w:tr w:rsidR="00C175E4" w:rsidRPr="00D768EF" w14:paraId="6BE736DC" w14:textId="77777777" w:rsidTr="00622285">
        <w:trPr>
          <w:cantSplit/>
          <w:trHeight w:val="174"/>
        </w:trPr>
        <w:tc>
          <w:tcPr>
            <w:tcW w:w="3402" w:type="dxa"/>
            <w:tcBorders>
              <w:top w:val="nil"/>
              <w:left w:val="single" w:sz="4" w:space="0" w:color="auto"/>
              <w:bottom w:val="nil"/>
            </w:tcBorders>
          </w:tcPr>
          <w:p w14:paraId="46BA7669" w14:textId="54B8B190" w:rsidR="00C175E4" w:rsidRPr="00D768EF" w:rsidRDefault="00B6707D" w:rsidP="00622285">
            <w:pPr>
              <w:jc w:val="left"/>
              <w:rPr>
                <w:color w:val="000000"/>
                <w:szCs w:val="22"/>
                <w:lang w:val="sr-Latn-ME"/>
              </w:rPr>
            </w:pPr>
            <w:r w:rsidRPr="00D768EF">
              <w:rPr>
                <w:color w:val="000000"/>
                <w:szCs w:val="22"/>
                <w:lang w:val="sr-Latn-ME"/>
              </w:rPr>
              <w:t>Rijetko</w:t>
            </w:r>
            <w:r w:rsidR="00C175E4" w:rsidRPr="00D768EF">
              <w:rPr>
                <w:color w:val="000000"/>
                <w:szCs w:val="22"/>
                <w:lang w:val="sr-Latn-ME"/>
              </w:rPr>
              <w:t>:</w:t>
            </w:r>
          </w:p>
        </w:tc>
        <w:tc>
          <w:tcPr>
            <w:tcW w:w="6120" w:type="dxa"/>
            <w:tcBorders>
              <w:top w:val="nil"/>
              <w:bottom w:val="nil"/>
              <w:right w:val="single" w:sz="4" w:space="0" w:color="auto"/>
            </w:tcBorders>
          </w:tcPr>
          <w:p w14:paraId="7A5D648C" w14:textId="77777777" w:rsidR="00C175E4" w:rsidRPr="00D768EF" w:rsidRDefault="00C175E4" w:rsidP="00622285">
            <w:pPr>
              <w:jc w:val="left"/>
              <w:rPr>
                <w:color w:val="000000"/>
                <w:szCs w:val="22"/>
                <w:lang w:val="sr-Latn-ME"/>
              </w:rPr>
            </w:pPr>
            <w:r w:rsidRPr="00D768EF">
              <w:rPr>
                <w:szCs w:val="22"/>
                <w:lang w:val="sr-Latn-ME"/>
              </w:rPr>
              <w:t>Autoimuni hepatitis,</w:t>
            </w:r>
            <w:r w:rsidRPr="00D768EF" w:rsidDel="00C5715C">
              <w:rPr>
                <w:color w:val="000000"/>
                <w:szCs w:val="22"/>
                <w:lang w:val="sr-Latn-ME"/>
              </w:rPr>
              <w:t xml:space="preserve"> </w:t>
            </w:r>
            <w:r w:rsidRPr="00D768EF">
              <w:rPr>
                <w:szCs w:val="22"/>
                <w:lang w:val="sr-Latn-ME"/>
              </w:rPr>
              <w:t>žutica.</w:t>
            </w:r>
          </w:p>
        </w:tc>
      </w:tr>
      <w:tr w:rsidR="00C175E4" w:rsidRPr="00D768EF" w14:paraId="685FF54A" w14:textId="77777777" w:rsidTr="00622285">
        <w:trPr>
          <w:cantSplit/>
          <w:trHeight w:val="174"/>
        </w:trPr>
        <w:tc>
          <w:tcPr>
            <w:tcW w:w="3402" w:type="dxa"/>
            <w:tcBorders>
              <w:top w:val="nil"/>
              <w:left w:val="single" w:sz="4" w:space="0" w:color="auto"/>
              <w:bottom w:val="single" w:sz="4" w:space="0" w:color="auto"/>
              <w:right w:val="nil"/>
            </w:tcBorders>
          </w:tcPr>
          <w:p w14:paraId="20307442" w14:textId="03C91FA0" w:rsidR="00C175E4" w:rsidRPr="00D768EF" w:rsidRDefault="00C175E4" w:rsidP="00622285">
            <w:pPr>
              <w:jc w:val="left"/>
              <w:rPr>
                <w:color w:val="000000"/>
                <w:szCs w:val="22"/>
                <w:lang w:val="sr-Latn-ME"/>
              </w:rPr>
            </w:pPr>
            <w:r w:rsidRPr="00D768EF">
              <w:rPr>
                <w:color w:val="000000"/>
                <w:szCs w:val="22"/>
                <w:lang w:val="sr-Latn-ME"/>
              </w:rPr>
              <w:t>Nepoznato:</w:t>
            </w:r>
          </w:p>
        </w:tc>
        <w:tc>
          <w:tcPr>
            <w:tcW w:w="6120" w:type="dxa"/>
            <w:tcBorders>
              <w:top w:val="nil"/>
              <w:left w:val="nil"/>
              <w:bottom w:val="single" w:sz="4" w:space="0" w:color="auto"/>
              <w:right w:val="single" w:sz="4" w:space="0" w:color="auto"/>
            </w:tcBorders>
          </w:tcPr>
          <w:p w14:paraId="7DE8D5D3" w14:textId="55CEF22C" w:rsidR="00C175E4" w:rsidRPr="00D768EF" w:rsidRDefault="00C175E4" w:rsidP="00622285">
            <w:pPr>
              <w:jc w:val="left"/>
              <w:rPr>
                <w:color w:val="000000"/>
                <w:szCs w:val="22"/>
                <w:lang w:val="sr-Latn-ME"/>
              </w:rPr>
            </w:pPr>
            <w:r w:rsidRPr="00D768EF">
              <w:rPr>
                <w:szCs w:val="22"/>
                <w:lang w:val="sr-Latn-ME"/>
              </w:rPr>
              <w:t xml:space="preserve">Oštećenje jetre. </w:t>
            </w:r>
          </w:p>
        </w:tc>
      </w:tr>
      <w:tr w:rsidR="00C175E4" w:rsidRPr="00EE2CAE" w14:paraId="17BB8BFC" w14:textId="77777777" w:rsidTr="00622285">
        <w:trPr>
          <w:cantSplit/>
          <w:trHeight w:val="174"/>
        </w:trPr>
        <w:tc>
          <w:tcPr>
            <w:tcW w:w="9522" w:type="dxa"/>
            <w:gridSpan w:val="2"/>
            <w:tcBorders>
              <w:top w:val="single" w:sz="4" w:space="0" w:color="auto"/>
              <w:bottom w:val="single" w:sz="4" w:space="0" w:color="auto"/>
            </w:tcBorders>
          </w:tcPr>
          <w:p w14:paraId="4451F89E" w14:textId="7F2D72E6" w:rsidR="00C175E4" w:rsidRPr="00D768EF" w:rsidRDefault="00C175E4" w:rsidP="00D36568">
            <w:pPr>
              <w:jc w:val="left"/>
              <w:rPr>
                <w:color w:val="000000"/>
                <w:szCs w:val="22"/>
                <w:lang w:val="sr-Latn-ME"/>
              </w:rPr>
            </w:pPr>
            <w:r w:rsidRPr="00D768EF">
              <w:rPr>
                <w:color w:val="000000"/>
                <w:szCs w:val="22"/>
                <w:lang w:val="sr-Latn-ME"/>
              </w:rPr>
              <w:t>Poremećaji kože i potkožnog tkiva</w:t>
            </w:r>
          </w:p>
        </w:tc>
      </w:tr>
      <w:tr w:rsidR="00C175E4" w:rsidRPr="00C93299" w14:paraId="2CE97BAF" w14:textId="77777777" w:rsidTr="00622285">
        <w:trPr>
          <w:cantSplit/>
          <w:trHeight w:val="174"/>
        </w:trPr>
        <w:tc>
          <w:tcPr>
            <w:tcW w:w="3402" w:type="dxa"/>
            <w:tcBorders>
              <w:top w:val="single" w:sz="4" w:space="0" w:color="auto"/>
              <w:bottom w:val="nil"/>
            </w:tcBorders>
          </w:tcPr>
          <w:p w14:paraId="10F5FA12" w14:textId="0D9DD77F" w:rsidR="00C175E4" w:rsidRPr="00D768EF" w:rsidRDefault="00C175E4" w:rsidP="00622285">
            <w:pPr>
              <w:jc w:val="left"/>
              <w:rPr>
                <w:color w:val="000000"/>
                <w:szCs w:val="22"/>
                <w:lang w:val="sr-Latn-ME"/>
              </w:rPr>
            </w:pPr>
            <w:r w:rsidRPr="00D768EF">
              <w:rPr>
                <w:color w:val="000000"/>
                <w:szCs w:val="22"/>
                <w:lang w:val="sr-Latn-ME"/>
              </w:rPr>
              <w:lastRenderedPageBreak/>
              <w:t>Često:</w:t>
            </w:r>
          </w:p>
        </w:tc>
        <w:tc>
          <w:tcPr>
            <w:tcW w:w="6120" w:type="dxa"/>
            <w:tcBorders>
              <w:top w:val="single" w:sz="4" w:space="0" w:color="auto"/>
              <w:bottom w:val="nil"/>
            </w:tcBorders>
          </w:tcPr>
          <w:p w14:paraId="47874EDE" w14:textId="07D9CAAE" w:rsidR="00C175E4" w:rsidRPr="00D768EF" w:rsidRDefault="00C175E4" w:rsidP="00622285">
            <w:pPr>
              <w:jc w:val="left"/>
              <w:rPr>
                <w:szCs w:val="22"/>
                <w:lang w:val="sr-Latn-ME"/>
              </w:rPr>
            </w:pPr>
            <w:r w:rsidRPr="00D768EF">
              <w:rPr>
                <w:szCs w:val="22"/>
                <w:lang w:val="sr-Latn-ME"/>
              </w:rPr>
              <w:t xml:space="preserve">Novonastala psorijaza ili pogoršanje postojeće uključujući pustularnu psorijazu (primarno dlanova i tabana), </w:t>
            </w:r>
            <w:r w:rsidRPr="00D768EF">
              <w:rPr>
                <w:color w:val="000000"/>
                <w:szCs w:val="22"/>
                <w:lang w:val="sr-Latn-ME"/>
              </w:rPr>
              <w:t>urtikarija, osip, pruritus, hiperhidroza, suva koža, gljivični dermatitis, ekcem, alopecija.</w:t>
            </w:r>
          </w:p>
        </w:tc>
      </w:tr>
      <w:tr w:rsidR="00C175E4" w:rsidRPr="00C93299" w14:paraId="35633D82" w14:textId="77777777" w:rsidTr="00622285">
        <w:trPr>
          <w:cantSplit/>
          <w:trHeight w:val="174"/>
        </w:trPr>
        <w:tc>
          <w:tcPr>
            <w:tcW w:w="3402" w:type="dxa"/>
            <w:tcBorders>
              <w:top w:val="nil"/>
              <w:bottom w:val="nil"/>
            </w:tcBorders>
          </w:tcPr>
          <w:p w14:paraId="143AA4AB" w14:textId="494121F1" w:rsidR="00C175E4" w:rsidRPr="00D768EF" w:rsidRDefault="00C175E4" w:rsidP="00622285">
            <w:pPr>
              <w:jc w:val="left"/>
              <w:rPr>
                <w:color w:val="000000"/>
                <w:szCs w:val="22"/>
                <w:lang w:val="sr-Latn-ME"/>
              </w:rPr>
            </w:pPr>
            <w:r w:rsidRPr="00D768EF">
              <w:rPr>
                <w:color w:val="000000"/>
                <w:szCs w:val="22"/>
                <w:lang w:val="sr-Latn-ME"/>
              </w:rPr>
              <w:t>Povremeno:</w:t>
            </w:r>
          </w:p>
        </w:tc>
        <w:tc>
          <w:tcPr>
            <w:tcW w:w="6120" w:type="dxa"/>
            <w:tcBorders>
              <w:top w:val="nil"/>
              <w:bottom w:val="nil"/>
            </w:tcBorders>
          </w:tcPr>
          <w:p w14:paraId="28CC0186" w14:textId="7B9634E6" w:rsidR="00C175E4" w:rsidRPr="00D768EF" w:rsidRDefault="00C175E4" w:rsidP="00622285">
            <w:pPr>
              <w:jc w:val="left"/>
              <w:rPr>
                <w:color w:val="000000"/>
                <w:szCs w:val="22"/>
                <w:lang w:val="sr-Latn-ME"/>
              </w:rPr>
            </w:pPr>
            <w:r w:rsidRPr="00D768EF">
              <w:rPr>
                <w:color w:val="000000"/>
                <w:szCs w:val="22"/>
                <w:lang w:val="sr-Latn-ME"/>
              </w:rPr>
              <w:t>Bulozna erupcija, seboreja, rozacea, papilomi na koži, hiperkeratoza, poremećaj pigmentacije kože.</w:t>
            </w:r>
          </w:p>
        </w:tc>
      </w:tr>
      <w:tr w:rsidR="00C175E4" w:rsidRPr="00C93299" w14:paraId="05FE0749" w14:textId="77777777" w:rsidTr="00622285">
        <w:trPr>
          <w:cantSplit/>
          <w:trHeight w:val="174"/>
        </w:trPr>
        <w:tc>
          <w:tcPr>
            <w:tcW w:w="3402" w:type="dxa"/>
            <w:tcBorders>
              <w:top w:val="nil"/>
              <w:left w:val="single" w:sz="4" w:space="0" w:color="auto"/>
              <w:bottom w:val="nil"/>
              <w:right w:val="nil"/>
            </w:tcBorders>
          </w:tcPr>
          <w:p w14:paraId="3B3B772C" w14:textId="6C421A1A" w:rsidR="00C175E4" w:rsidRPr="00D768EF" w:rsidRDefault="00B6707D" w:rsidP="00622285">
            <w:pPr>
              <w:jc w:val="left"/>
              <w:rPr>
                <w:color w:val="000000"/>
                <w:szCs w:val="22"/>
                <w:lang w:val="sr-Latn-ME"/>
              </w:rPr>
            </w:pPr>
            <w:r w:rsidRPr="00D768EF">
              <w:rPr>
                <w:color w:val="000000"/>
                <w:szCs w:val="22"/>
                <w:lang w:val="sr-Latn-ME"/>
              </w:rPr>
              <w:t>Rijetko</w:t>
            </w:r>
            <w:r w:rsidR="00C175E4" w:rsidRPr="00D768EF">
              <w:rPr>
                <w:color w:val="000000"/>
                <w:szCs w:val="22"/>
                <w:lang w:val="sr-Latn-ME"/>
              </w:rPr>
              <w:t>:</w:t>
            </w:r>
          </w:p>
        </w:tc>
        <w:tc>
          <w:tcPr>
            <w:tcW w:w="6120" w:type="dxa"/>
            <w:tcBorders>
              <w:top w:val="nil"/>
              <w:left w:val="nil"/>
              <w:bottom w:val="nil"/>
              <w:right w:val="single" w:sz="4" w:space="0" w:color="auto"/>
            </w:tcBorders>
          </w:tcPr>
          <w:p w14:paraId="7357AFBE" w14:textId="77777777" w:rsidR="00C175E4" w:rsidRPr="00D768EF" w:rsidRDefault="00C175E4" w:rsidP="00622285">
            <w:pPr>
              <w:jc w:val="left"/>
              <w:rPr>
                <w:color w:val="000000"/>
                <w:szCs w:val="22"/>
                <w:lang w:val="sr-Latn-ME"/>
              </w:rPr>
            </w:pPr>
            <w:r w:rsidRPr="00D768EF">
              <w:rPr>
                <w:szCs w:val="22"/>
                <w:lang w:val="sr-Latn-ME"/>
              </w:rPr>
              <w:t xml:space="preserve">Toksična epidermalna nekroliza, </w:t>
            </w:r>
            <w:r w:rsidRPr="00D768EF">
              <w:rPr>
                <w:i/>
                <w:iCs/>
                <w:szCs w:val="22"/>
                <w:lang w:val="sr-Latn-ME"/>
              </w:rPr>
              <w:t>Stevens-Johnson</w:t>
            </w:r>
            <w:r w:rsidRPr="00D768EF">
              <w:rPr>
                <w:szCs w:val="22"/>
                <w:lang w:val="sr-Latn-ME"/>
              </w:rPr>
              <w:t xml:space="preserve">-ov sindrom, </w:t>
            </w:r>
            <w:r w:rsidRPr="00D768EF">
              <w:rPr>
                <w:iCs/>
                <w:szCs w:val="22"/>
                <w:lang w:val="sr-Latn-ME"/>
              </w:rPr>
              <w:t>multiformni eritem,</w:t>
            </w:r>
            <w:r w:rsidRPr="00D768EF">
              <w:rPr>
                <w:color w:val="000000"/>
                <w:szCs w:val="22"/>
                <w:lang w:val="sr-Latn-ME"/>
              </w:rPr>
              <w:t xml:space="preserve"> </w:t>
            </w:r>
            <w:r w:rsidRPr="00D768EF">
              <w:rPr>
                <w:szCs w:val="22"/>
                <w:lang w:val="sr-Latn-ME"/>
              </w:rPr>
              <w:t>furunkuloza</w:t>
            </w:r>
            <w:r w:rsidR="000D1EDD" w:rsidRPr="00D768EF">
              <w:rPr>
                <w:szCs w:val="22"/>
                <w:lang w:val="sr-Latn-ME"/>
              </w:rPr>
              <w:t>,</w:t>
            </w:r>
            <w:r w:rsidR="000D1EDD" w:rsidRPr="00D768EF">
              <w:rPr>
                <w:lang w:val="sr-Latn-ME"/>
              </w:rPr>
              <w:t xml:space="preserve"> </w:t>
            </w:r>
            <w:r w:rsidR="000D1EDD" w:rsidRPr="00D768EF">
              <w:rPr>
                <w:szCs w:val="22"/>
                <w:lang w:val="sr-Latn-ME"/>
              </w:rPr>
              <w:t>linearna IgA bulozna dermatoza (LABD)</w:t>
            </w:r>
            <w:r w:rsidR="00A61228" w:rsidRPr="00D768EF">
              <w:rPr>
                <w:szCs w:val="22"/>
                <w:lang w:val="sr-Latn-ME"/>
              </w:rPr>
              <w:t>,</w:t>
            </w:r>
            <w:r w:rsidR="00F45C4C" w:rsidRPr="00D768EF">
              <w:rPr>
                <w:szCs w:val="22"/>
                <w:lang w:val="sr-Latn-ME"/>
              </w:rPr>
              <w:t xml:space="preserve"> akutna generalizovana egzantematozna pustuloza (AGEP),</w:t>
            </w:r>
            <w:r w:rsidR="00A61228" w:rsidRPr="00D768EF">
              <w:rPr>
                <w:szCs w:val="22"/>
                <w:lang w:val="sr-Latn-ME"/>
              </w:rPr>
              <w:t xml:space="preserve"> lihenoidne reakcije</w:t>
            </w:r>
            <w:r w:rsidRPr="00D768EF">
              <w:rPr>
                <w:szCs w:val="22"/>
                <w:lang w:val="sr-Latn-ME"/>
              </w:rPr>
              <w:t>.</w:t>
            </w:r>
          </w:p>
        </w:tc>
      </w:tr>
      <w:tr w:rsidR="00C175E4" w:rsidRPr="00D768EF" w14:paraId="4E18853E" w14:textId="77777777" w:rsidTr="00622285">
        <w:trPr>
          <w:cantSplit/>
          <w:trHeight w:val="174"/>
        </w:trPr>
        <w:tc>
          <w:tcPr>
            <w:tcW w:w="3402" w:type="dxa"/>
            <w:tcBorders>
              <w:top w:val="nil"/>
              <w:left w:val="single" w:sz="4" w:space="0" w:color="auto"/>
              <w:bottom w:val="single" w:sz="4" w:space="0" w:color="auto"/>
              <w:right w:val="nil"/>
            </w:tcBorders>
          </w:tcPr>
          <w:p w14:paraId="7D6A2759" w14:textId="3EF04750" w:rsidR="00C175E4" w:rsidRPr="00D768EF" w:rsidRDefault="00C175E4" w:rsidP="00622285">
            <w:pPr>
              <w:jc w:val="left"/>
              <w:rPr>
                <w:color w:val="000000"/>
                <w:szCs w:val="22"/>
                <w:lang w:val="sr-Latn-ME"/>
              </w:rPr>
            </w:pPr>
            <w:r w:rsidRPr="00D768EF">
              <w:rPr>
                <w:color w:val="000000"/>
                <w:szCs w:val="22"/>
                <w:lang w:val="sr-Latn-ME"/>
              </w:rPr>
              <w:t>Nepoznato:</w:t>
            </w:r>
          </w:p>
        </w:tc>
        <w:tc>
          <w:tcPr>
            <w:tcW w:w="6120" w:type="dxa"/>
            <w:tcBorders>
              <w:top w:val="nil"/>
              <w:left w:val="nil"/>
              <w:bottom w:val="single" w:sz="4" w:space="0" w:color="auto"/>
              <w:right w:val="single" w:sz="4" w:space="0" w:color="auto"/>
            </w:tcBorders>
          </w:tcPr>
          <w:p w14:paraId="6C748B7F" w14:textId="77777777" w:rsidR="00C175E4" w:rsidRPr="00D768EF" w:rsidRDefault="00C175E4" w:rsidP="00622285">
            <w:pPr>
              <w:jc w:val="left"/>
              <w:rPr>
                <w:szCs w:val="22"/>
                <w:lang w:val="sr-Latn-ME"/>
              </w:rPr>
            </w:pPr>
            <w:r w:rsidRPr="00D768EF">
              <w:rPr>
                <w:szCs w:val="22"/>
                <w:lang w:val="sr-Latn-ME"/>
              </w:rPr>
              <w:t xml:space="preserve">Pogoršanje simptoma dermatomiozitisa </w:t>
            </w:r>
          </w:p>
        </w:tc>
      </w:tr>
      <w:tr w:rsidR="00C175E4" w:rsidRPr="00EE2CAE" w14:paraId="603A561D" w14:textId="77777777" w:rsidTr="00622285">
        <w:trPr>
          <w:cantSplit/>
          <w:trHeight w:val="174"/>
        </w:trPr>
        <w:tc>
          <w:tcPr>
            <w:tcW w:w="9522" w:type="dxa"/>
            <w:gridSpan w:val="2"/>
            <w:tcBorders>
              <w:top w:val="single" w:sz="4" w:space="0" w:color="auto"/>
              <w:bottom w:val="single" w:sz="4" w:space="0" w:color="auto"/>
            </w:tcBorders>
          </w:tcPr>
          <w:p w14:paraId="1DBC69FA" w14:textId="6C259FEA" w:rsidR="00C175E4" w:rsidRPr="00D768EF" w:rsidRDefault="00C175E4" w:rsidP="00D36568">
            <w:pPr>
              <w:jc w:val="left"/>
              <w:rPr>
                <w:color w:val="000000"/>
                <w:szCs w:val="22"/>
                <w:lang w:val="sr-Latn-ME"/>
              </w:rPr>
            </w:pPr>
            <w:r w:rsidRPr="00D768EF">
              <w:rPr>
                <w:color w:val="000000"/>
                <w:szCs w:val="22"/>
                <w:lang w:val="sr-Latn-ME"/>
              </w:rPr>
              <w:t>Poremećaji mišićno</w:t>
            </w:r>
            <w:r w:rsidR="00D36568" w:rsidRPr="00D768EF">
              <w:rPr>
                <w:color w:val="000000"/>
                <w:szCs w:val="22"/>
                <w:lang w:val="sr-Latn-ME"/>
              </w:rPr>
              <w:t>-koštanog sistema i vezivnog</w:t>
            </w:r>
            <w:r w:rsidRPr="00D768EF">
              <w:rPr>
                <w:color w:val="000000"/>
                <w:szCs w:val="22"/>
                <w:lang w:val="sr-Latn-ME"/>
              </w:rPr>
              <w:t xml:space="preserve"> tkiva</w:t>
            </w:r>
          </w:p>
        </w:tc>
      </w:tr>
      <w:tr w:rsidR="00C175E4" w:rsidRPr="00C93299" w14:paraId="5D08AA89" w14:textId="77777777" w:rsidTr="00622285">
        <w:trPr>
          <w:cantSplit/>
          <w:trHeight w:val="174"/>
        </w:trPr>
        <w:tc>
          <w:tcPr>
            <w:tcW w:w="3402" w:type="dxa"/>
            <w:tcBorders>
              <w:top w:val="single" w:sz="4" w:space="0" w:color="auto"/>
              <w:bottom w:val="single" w:sz="4" w:space="0" w:color="auto"/>
            </w:tcBorders>
          </w:tcPr>
          <w:p w14:paraId="39067C83" w14:textId="7A74BF87" w:rsidR="00C175E4" w:rsidRPr="00D768EF" w:rsidRDefault="00C175E4" w:rsidP="00622285">
            <w:pPr>
              <w:jc w:val="left"/>
              <w:rPr>
                <w:color w:val="000000"/>
                <w:szCs w:val="22"/>
                <w:lang w:val="sr-Latn-ME"/>
              </w:rPr>
            </w:pPr>
            <w:r w:rsidRPr="00D768EF">
              <w:rPr>
                <w:color w:val="000000"/>
                <w:szCs w:val="22"/>
                <w:lang w:val="sr-Latn-ME"/>
              </w:rPr>
              <w:t>Često:</w:t>
            </w:r>
          </w:p>
        </w:tc>
        <w:tc>
          <w:tcPr>
            <w:tcW w:w="6120" w:type="dxa"/>
            <w:tcBorders>
              <w:top w:val="single" w:sz="4" w:space="0" w:color="auto"/>
              <w:bottom w:val="single" w:sz="4" w:space="0" w:color="auto"/>
            </w:tcBorders>
          </w:tcPr>
          <w:p w14:paraId="48E38F99" w14:textId="6BE4910E" w:rsidR="00C175E4" w:rsidRPr="00D768EF" w:rsidRDefault="00C175E4" w:rsidP="00622285">
            <w:pPr>
              <w:jc w:val="left"/>
              <w:rPr>
                <w:color w:val="000000"/>
                <w:szCs w:val="22"/>
                <w:lang w:val="sr-Latn-ME"/>
              </w:rPr>
            </w:pPr>
            <w:r w:rsidRPr="00D768EF">
              <w:rPr>
                <w:color w:val="000000"/>
                <w:szCs w:val="22"/>
                <w:lang w:val="sr-Latn-ME"/>
              </w:rPr>
              <w:t>Artralgija, mijalgija, bol u leđima.</w:t>
            </w:r>
          </w:p>
        </w:tc>
      </w:tr>
      <w:tr w:rsidR="00C175E4" w:rsidRPr="00EE2CAE" w14:paraId="3394F6DA" w14:textId="77777777" w:rsidTr="00622285">
        <w:trPr>
          <w:cantSplit/>
          <w:trHeight w:val="174"/>
        </w:trPr>
        <w:tc>
          <w:tcPr>
            <w:tcW w:w="9522" w:type="dxa"/>
            <w:gridSpan w:val="2"/>
            <w:tcBorders>
              <w:bottom w:val="nil"/>
            </w:tcBorders>
          </w:tcPr>
          <w:p w14:paraId="30832E53" w14:textId="50C46287" w:rsidR="00C175E4" w:rsidRPr="00D768EF" w:rsidRDefault="00C175E4" w:rsidP="00D36568">
            <w:pPr>
              <w:jc w:val="left"/>
              <w:rPr>
                <w:color w:val="000000"/>
                <w:szCs w:val="22"/>
                <w:lang w:val="sr-Latn-ME"/>
              </w:rPr>
            </w:pPr>
            <w:r w:rsidRPr="00D768EF">
              <w:rPr>
                <w:color w:val="000000"/>
                <w:szCs w:val="22"/>
                <w:lang w:val="sr-Latn-ME"/>
              </w:rPr>
              <w:t>Poremećaji bubrega i urinarnog sistema</w:t>
            </w:r>
          </w:p>
        </w:tc>
      </w:tr>
      <w:tr w:rsidR="00C175E4" w:rsidRPr="00D768EF" w14:paraId="141072E7" w14:textId="77777777" w:rsidTr="00622285">
        <w:trPr>
          <w:cantSplit/>
          <w:trHeight w:val="174"/>
        </w:trPr>
        <w:tc>
          <w:tcPr>
            <w:tcW w:w="3402" w:type="dxa"/>
            <w:tcBorders>
              <w:bottom w:val="nil"/>
            </w:tcBorders>
          </w:tcPr>
          <w:p w14:paraId="74CED4B8" w14:textId="1904B0E8" w:rsidR="00C175E4" w:rsidRPr="00D768EF" w:rsidRDefault="00C175E4" w:rsidP="00622285">
            <w:pPr>
              <w:jc w:val="left"/>
              <w:rPr>
                <w:color w:val="000000"/>
                <w:szCs w:val="22"/>
                <w:lang w:val="sr-Latn-ME"/>
              </w:rPr>
            </w:pPr>
            <w:r w:rsidRPr="00D768EF">
              <w:rPr>
                <w:color w:val="000000"/>
                <w:szCs w:val="22"/>
                <w:lang w:val="sr-Latn-ME"/>
              </w:rPr>
              <w:t>Često:</w:t>
            </w:r>
          </w:p>
        </w:tc>
        <w:tc>
          <w:tcPr>
            <w:tcW w:w="6120" w:type="dxa"/>
            <w:tcBorders>
              <w:bottom w:val="nil"/>
            </w:tcBorders>
          </w:tcPr>
          <w:p w14:paraId="3DC39AA5" w14:textId="77777777" w:rsidR="00C175E4" w:rsidRPr="00D768EF" w:rsidRDefault="00C175E4" w:rsidP="00622285">
            <w:pPr>
              <w:jc w:val="left"/>
              <w:rPr>
                <w:color w:val="000000"/>
                <w:szCs w:val="22"/>
                <w:lang w:val="sr-Latn-ME"/>
              </w:rPr>
            </w:pPr>
            <w:r w:rsidRPr="00D768EF">
              <w:rPr>
                <w:color w:val="000000"/>
                <w:szCs w:val="22"/>
                <w:lang w:val="sr-Latn-ME"/>
              </w:rPr>
              <w:t>Infekcija urinarnog trakta.</w:t>
            </w:r>
          </w:p>
        </w:tc>
      </w:tr>
      <w:tr w:rsidR="00C175E4" w:rsidRPr="00D768EF" w14:paraId="07BD256A" w14:textId="77777777" w:rsidTr="00622285">
        <w:trPr>
          <w:cantSplit/>
          <w:trHeight w:val="174"/>
        </w:trPr>
        <w:tc>
          <w:tcPr>
            <w:tcW w:w="3402" w:type="dxa"/>
            <w:tcBorders>
              <w:top w:val="nil"/>
              <w:bottom w:val="single" w:sz="4" w:space="0" w:color="auto"/>
            </w:tcBorders>
          </w:tcPr>
          <w:p w14:paraId="5614BBEB" w14:textId="64038248" w:rsidR="00C175E4" w:rsidRPr="00D768EF" w:rsidRDefault="00C175E4" w:rsidP="00622285">
            <w:pPr>
              <w:jc w:val="left"/>
              <w:rPr>
                <w:color w:val="000000"/>
                <w:szCs w:val="22"/>
                <w:lang w:val="sr-Latn-ME"/>
              </w:rPr>
            </w:pPr>
            <w:r w:rsidRPr="00D768EF">
              <w:rPr>
                <w:color w:val="000000"/>
                <w:szCs w:val="22"/>
                <w:lang w:val="sr-Latn-ME"/>
              </w:rPr>
              <w:t>Povremeno:</w:t>
            </w:r>
          </w:p>
        </w:tc>
        <w:tc>
          <w:tcPr>
            <w:tcW w:w="6120" w:type="dxa"/>
            <w:tcBorders>
              <w:top w:val="nil"/>
              <w:bottom w:val="single" w:sz="4" w:space="0" w:color="auto"/>
            </w:tcBorders>
          </w:tcPr>
          <w:p w14:paraId="747A0275" w14:textId="77777777" w:rsidR="00C175E4" w:rsidRPr="00D768EF" w:rsidRDefault="00C175E4" w:rsidP="00622285">
            <w:pPr>
              <w:jc w:val="left"/>
              <w:rPr>
                <w:color w:val="000000"/>
                <w:szCs w:val="22"/>
                <w:lang w:val="sr-Latn-ME"/>
              </w:rPr>
            </w:pPr>
            <w:r w:rsidRPr="00D768EF">
              <w:rPr>
                <w:color w:val="000000"/>
                <w:szCs w:val="22"/>
                <w:lang w:val="sr-Latn-ME"/>
              </w:rPr>
              <w:t>Pijelonefritis.</w:t>
            </w:r>
          </w:p>
        </w:tc>
      </w:tr>
      <w:tr w:rsidR="00C175E4" w:rsidRPr="00EE2CAE" w14:paraId="042CD2BE" w14:textId="77777777" w:rsidTr="00622285">
        <w:trPr>
          <w:cantSplit/>
          <w:trHeight w:val="174"/>
        </w:trPr>
        <w:tc>
          <w:tcPr>
            <w:tcW w:w="9522" w:type="dxa"/>
            <w:gridSpan w:val="2"/>
            <w:tcBorders>
              <w:bottom w:val="single" w:sz="4" w:space="0" w:color="auto"/>
            </w:tcBorders>
          </w:tcPr>
          <w:p w14:paraId="7E50FDFD" w14:textId="75A9E15D" w:rsidR="00C175E4" w:rsidRPr="00D768EF" w:rsidRDefault="00C175E4" w:rsidP="00D36568">
            <w:pPr>
              <w:jc w:val="left"/>
              <w:rPr>
                <w:color w:val="000000"/>
                <w:szCs w:val="22"/>
                <w:lang w:val="sr-Latn-ME"/>
              </w:rPr>
            </w:pPr>
            <w:r w:rsidRPr="00D768EF">
              <w:rPr>
                <w:color w:val="000000"/>
                <w:szCs w:val="22"/>
                <w:lang w:val="sr-Latn-ME"/>
              </w:rPr>
              <w:t>Poremećaji reproduktivnog sistema i dojki</w:t>
            </w:r>
          </w:p>
        </w:tc>
      </w:tr>
      <w:tr w:rsidR="00C175E4" w:rsidRPr="00D768EF" w14:paraId="18F245F0" w14:textId="77777777" w:rsidTr="00622285">
        <w:trPr>
          <w:cantSplit/>
          <w:trHeight w:val="174"/>
        </w:trPr>
        <w:tc>
          <w:tcPr>
            <w:tcW w:w="3402" w:type="dxa"/>
            <w:tcBorders>
              <w:top w:val="single" w:sz="4" w:space="0" w:color="auto"/>
              <w:bottom w:val="single" w:sz="4" w:space="0" w:color="auto"/>
            </w:tcBorders>
          </w:tcPr>
          <w:p w14:paraId="469D7201" w14:textId="1FBABA3F" w:rsidR="00C175E4" w:rsidRPr="00D768EF" w:rsidRDefault="00C175E4" w:rsidP="00622285">
            <w:pPr>
              <w:jc w:val="left"/>
              <w:rPr>
                <w:color w:val="000000"/>
                <w:szCs w:val="22"/>
                <w:lang w:val="sr-Latn-ME"/>
              </w:rPr>
            </w:pPr>
            <w:r w:rsidRPr="00D768EF">
              <w:rPr>
                <w:color w:val="000000"/>
                <w:szCs w:val="22"/>
                <w:lang w:val="sr-Latn-ME"/>
              </w:rPr>
              <w:t>Povremeno:</w:t>
            </w:r>
          </w:p>
        </w:tc>
        <w:tc>
          <w:tcPr>
            <w:tcW w:w="6120" w:type="dxa"/>
            <w:tcBorders>
              <w:top w:val="single" w:sz="4" w:space="0" w:color="auto"/>
              <w:bottom w:val="single" w:sz="4" w:space="0" w:color="auto"/>
            </w:tcBorders>
          </w:tcPr>
          <w:p w14:paraId="212B65EF" w14:textId="77777777" w:rsidR="00C175E4" w:rsidRPr="00D768EF" w:rsidRDefault="00C175E4" w:rsidP="00622285">
            <w:pPr>
              <w:jc w:val="left"/>
              <w:rPr>
                <w:color w:val="000000"/>
                <w:szCs w:val="22"/>
                <w:lang w:val="sr-Latn-ME"/>
              </w:rPr>
            </w:pPr>
            <w:r w:rsidRPr="00D768EF">
              <w:rPr>
                <w:color w:val="000000"/>
                <w:szCs w:val="22"/>
                <w:lang w:val="sr-Latn-ME"/>
              </w:rPr>
              <w:t>Vaginitis.</w:t>
            </w:r>
          </w:p>
        </w:tc>
      </w:tr>
      <w:tr w:rsidR="00C175E4" w:rsidRPr="00EE2CAE" w14:paraId="23DD130F" w14:textId="77777777" w:rsidTr="00622285">
        <w:trPr>
          <w:cantSplit/>
          <w:trHeight w:val="174"/>
        </w:trPr>
        <w:tc>
          <w:tcPr>
            <w:tcW w:w="9522" w:type="dxa"/>
            <w:gridSpan w:val="2"/>
            <w:tcBorders>
              <w:bottom w:val="nil"/>
            </w:tcBorders>
          </w:tcPr>
          <w:p w14:paraId="2171BFF0" w14:textId="77777777" w:rsidR="00C175E4" w:rsidRPr="00D768EF" w:rsidRDefault="00C175E4" w:rsidP="00622285">
            <w:pPr>
              <w:jc w:val="left"/>
              <w:rPr>
                <w:color w:val="000000"/>
                <w:szCs w:val="22"/>
                <w:lang w:val="sr-Latn-ME"/>
              </w:rPr>
            </w:pPr>
            <w:r w:rsidRPr="00D768EF">
              <w:rPr>
                <w:color w:val="000000"/>
                <w:szCs w:val="22"/>
                <w:lang w:val="sr-Latn-ME"/>
              </w:rPr>
              <w:t>Opšti poremećaji i reakcije na m</w:t>
            </w:r>
            <w:r w:rsidR="008A0A5C" w:rsidRPr="00D768EF">
              <w:rPr>
                <w:color w:val="000000"/>
                <w:szCs w:val="22"/>
                <w:lang w:val="sr-Latn-ME"/>
              </w:rPr>
              <w:t>j</w:t>
            </w:r>
            <w:r w:rsidRPr="00D768EF">
              <w:rPr>
                <w:color w:val="000000"/>
                <w:szCs w:val="22"/>
                <w:lang w:val="sr-Latn-ME"/>
              </w:rPr>
              <w:t>estu prim</w:t>
            </w:r>
            <w:r w:rsidR="008A0A5C" w:rsidRPr="00D768EF">
              <w:rPr>
                <w:color w:val="000000"/>
                <w:szCs w:val="22"/>
                <w:lang w:val="sr-Latn-ME"/>
              </w:rPr>
              <w:t>j</w:t>
            </w:r>
            <w:r w:rsidRPr="00D768EF">
              <w:rPr>
                <w:color w:val="000000"/>
                <w:szCs w:val="22"/>
                <w:lang w:val="sr-Latn-ME"/>
              </w:rPr>
              <w:t xml:space="preserve">ene </w:t>
            </w:r>
          </w:p>
        </w:tc>
      </w:tr>
      <w:tr w:rsidR="00C175E4" w:rsidRPr="00C93299" w14:paraId="64BFDE98" w14:textId="77777777" w:rsidTr="00622285">
        <w:trPr>
          <w:cantSplit/>
          <w:trHeight w:val="174"/>
        </w:trPr>
        <w:tc>
          <w:tcPr>
            <w:tcW w:w="3402" w:type="dxa"/>
            <w:tcBorders>
              <w:bottom w:val="nil"/>
            </w:tcBorders>
          </w:tcPr>
          <w:p w14:paraId="7330FB1E" w14:textId="5987C293" w:rsidR="00C175E4" w:rsidRPr="00D768EF" w:rsidRDefault="00C175E4" w:rsidP="00622285">
            <w:pPr>
              <w:jc w:val="left"/>
              <w:rPr>
                <w:color w:val="000000"/>
                <w:szCs w:val="22"/>
                <w:lang w:val="sr-Latn-ME"/>
              </w:rPr>
            </w:pPr>
            <w:r w:rsidRPr="00D768EF">
              <w:rPr>
                <w:color w:val="000000"/>
                <w:szCs w:val="22"/>
                <w:lang w:val="sr-Latn-ME"/>
              </w:rPr>
              <w:t>Veoma često:</w:t>
            </w:r>
          </w:p>
        </w:tc>
        <w:tc>
          <w:tcPr>
            <w:tcW w:w="6120" w:type="dxa"/>
            <w:tcBorders>
              <w:bottom w:val="nil"/>
            </w:tcBorders>
          </w:tcPr>
          <w:p w14:paraId="391E917B" w14:textId="77777777" w:rsidR="00C175E4" w:rsidRPr="00D768EF" w:rsidRDefault="00C175E4" w:rsidP="00622285">
            <w:pPr>
              <w:jc w:val="left"/>
              <w:rPr>
                <w:color w:val="000000"/>
                <w:szCs w:val="22"/>
                <w:lang w:val="sr-Latn-ME"/>
              </w:rPr>
            </w:pPr>
            <w:r w:rsidRPr="00D768EF">
              <w:rPr>
                <w:color w:val="000000"/>
                <w:szCs w:val="22"/>
                <w:lang w:val="sr-Latn-ME"/>
              </w:rPr>
              <w:t>Reakcija vezana za infuziju, bol.</w:t>
            </w:r>
          </w:p>
        </w:tc>
      </w:tr>
      <w:tr w:rsidR="00C175E4" w:rsidRPr="00C93299" w14:paraId="79F7D92B" w14:textId="77777777" w:rsidTr="00622285">
        <w:trPr>
          <w:cantSplit/>
          <w:trHeight w:val="174"/>
        </w:trPr>
        <w:tc>
          <w:tcPr>
            <w:tcW w:w="3402" w:type="dxa"/>
            <w:tcBorders>
              <w:top w:val="nil"/>
              <w:bottom w:val="nil"/>
            </w:tcBorders>
          </w:tcPr>
          <w:p w14:paraId="2FCB4EED" w14:textId="48406A60" w:rsidR="00C175E4" w:rsidRPr="00D768EF" w:rsidRDefault="00C175E4" w:rsidP="00622285">
            <w:pPr>
              <w:jc w:val="left"/>
              <w:rPr>
                <w:color w:val="000000"/>
                <w:szCs w:val="22"/>
                <w:lang w:val="sr-Latn-ME"/>
              </w:rPr>
            </w:pPr>
            <w:r w:rsidRPr="00D768EF">
              <w:rPr>
                <w:color w:val="000000"/>
                <w:szCs w:val="22"/>
                <w:lang w:val="sr-Latn-ME"/>
              </w:rPr>
              <w:t>Često:</w:t>
            </w:r>
          </w:p>
        </w:tc>
        <w:tc>
          <w:tcPr>
            <w:tcW w:w="6120" w:type="dxa"/>
            <w:tcBorders>
              <w:top w:val="nil"/>
              <w:bottom w:val="nil"/>
            </w:tcBorders>
          </w:tcPr>
          <w:p w14:paraId="259FAE8B" w14:textId="77777777" w:rsidR="00C175E4" w:rsidRPr="00D768EF" w:rsidRDefault="00C175E4" w:rsidP="00622285">
            <w:pPr>
              <w:jc w:val="left"/>
              <w:rPr>
                <w:color w:val="000000"/>
                <w:szCs w:val="22"/>
                <w:lang w:val="sr-Latn-ME"/>
              </w:rPr>
            </w:pPr>
            <w:r w:rsidRPr="00D768EF">
              <w:rPr>
                <w:color w:val="000000"/>
                <w:szCs w:val="22"/>
                <w:lang w:val="sr-Latn-ME"/>
              </w:rPr>
              <w:t>Bolovi u grudima, zamor, povišena temperatura, reakcija na m</w:t>
            </w:r>
            <w:r w:rsidR="000C14D8" w:rsidRPr="00D768EF">
              <w:rPr>
                <w:color w:val="000000"/>
                <w:szCs w:val="22"/>
                <w:lang w:val="sr-Latn-ME"/>
              </w:rPr>
              <w:t>j</w:t>
            </w:r>
            <w:r w:rsidRPr="00D768EF">
              <w:rPr>
                <w:color w:val="000000"/>
                <w:szCs w:val="22"/>
                <w:lang w:val="sr-Latn-ME"/>
              </w:rPr>
              <w:t>estu prim</w:t>
            </w:r>
            <w:r w:rsidR="000C14D8" w:rsidRPr="00D768EF">
              <w:rPr>
                <w:color w:val="000000"/>
                <w:szCs w:val="22"/>
                <w:lang w:val="sr-Latn-ME"/>
              </w:rPr>
              <w:t>j</w:t>
            </w:r>
            <w:r w:rsidRPr="00D768EF">
              <w:rPr>
                <w:color w:val="000000"/>
                <w:szCs w:val="22"/>
                <w:lang w:val="sr-Latn-ME"/>
              </w:rPr>
              <w:t>ene injekcije, groznica, edem</w:t>
            </w:r>
          </w:p>
        </w:tc>
      </w:tr>
      <w:tr w:rsidR="00C175E4" w:rsidRPr="00D768EF" w14:paraId="31E212F1" w14:textId="77777777" w:rsidTr="00622285">
        <w:trPr>
          <w:cantSplit/>
          <w:trHeight w:val="174"/>
        </w:trPr>
        <w:tc>
          <w:tcPr>
            <w:tcW w:w="3402" w:type="dxa"/>
            <w:tcBorders>
              <w:top w:val="nil"/>
              <w:bottom w:val="nil"/>
            </w:tcBorders>
          </w:tcPr>
          <w:p w14:paraId="34533C2F" w14:textId="6A3DD112" w:rsidR="00C175E4" w:rsidRPr="00D768EF" w:rsidRDefault="00C175E4" w:rsidP="00622285">
            <w:pPr>
              <w:jc w:val="left"/>
              <w:rPr>
                <w:color w:val="000000"/>
                <w:szCs w:val="22"/>
                <w:lang w:val="sr-Latn-ME"/>
              </w:rPr>
            </w:pPr>
            <w:r w:rsidRPr="00D768EF">
              <w:rPr>
                <w:color w:val="000000"/>
                <w:szCs w:val="22"/>
                <w:lang w:val="sr-Latn-ME"/>
              </w:rPr>
              <w:t>Povremeno:</w:t>
            </w:r>
          </w:p>
        </w:tc>
        <w:tc>
          <w:tcPr>
            <w:tcW w:w="6120" w:type="dxa"/>
            <w:tcBorders>
              <w:top w:val="nil"/>
              <w:bottom w:val="nil"/>
            </w:tcBorders>
          </w:tcPr>
          <w:p w14:paraId="7838B0C3" w14:textId="77777777" w:rsidR="00C175E4" w:rsidRPr="00D768EF" w:rsidRDefault="00C175E4" w:rsidP="00622285">
            <w:pPr>
              <w:jc w:val="left"/>
              <w:rPr>
                <w:color w:val="000000"/>
                <w:szCs w:val="22"/>
                <w:lang w:val="sr-Latn-ME"/>
              </w:rPr>
            </w:pPr>
            <w:r w:rsidRPr="00D768EF">
              <w:rPr>
                <w:color w:val="000000"/>
                <w:szCs w:val="22"/>
                <w:lang w:val="sr-Latn-ME"/>
              </w:rPr>
              <w:t xml:space="preserve">Poremećaj u zarastanju rana. </w:t>
            </w:r>
          </w:p>
        </w:tc>
      </w:tr>
      <w:tr w:rsidR="00C175E4" w:rsidRPr="00D768EF" w14:paraId="0AC93501" w14:textId="77777777" w:rsidTr="00622285">
        <w:trPr>
          <w:cantSplit/>
          <w:trHeight w:val="174"/>
        </w:trPr>
        <w:tc>
          <w:tcPr>
            <w:tcW w:w="3402" w:type="dxa"/>
            <w:tcBorders>
              <w:top w:val="nil"/>
              <w:bottom w:val="single" w:sz="4" w:space="0" w:color="auto"/>
            </w:tcBorders>
          </w:tcPr>
          <w:p w14:paraId="48FD62D2" w14:textId="133EAEDB" w:rsidR="00C175E4" w:rsidRPr="00D768EF" w:rsidRDefault="00B6707D" w:rsidP="00622285">
            <w:pPr>
              <w:jc w:val="left"/>
              <w:rPr>
                <w:color w:val="000000"/>
                <w:szCs w:val="22"/>
                <w:lang w:val="sr-Latn-ME"/>
              </w:rPr>
            </w:pPr>
            <w:r w:rsidRPr="00D768EF">
              <w:rPr>
                <w:color w:val="000000"/>
                <w:szCs w:val="22"/>
                <w:lang w:val="sr-Latn-ME"/>
              </w:rPr>
              <w:t>Rijetko</w:t>
            </w:r>
            <w:r w:rsidR="00C175E4" w:rsidRPr="00D768EF">
              <w:rPr>
                <w:color w:val="000000"/>
                <w:szCs w:val="22"/>
                <w:lang w:val="sr-Latn-ME"/>
              </w:rPr>
              <w:t>:</w:t>
            </w:r>
          </w:p>
        </w:tc>
        <w:tc>
          <w:tcPr>
            <w:tcW w:w="6120" w:type="dxa"/>
            <w:tcBorders>
              <w:top w:val="nil"/>
              <w:bottom w:val="single" w:sz="4" w:space="0" w:color="auto"/>
            </w:tcBorders>
          </w:tcPr>
          <w:p w14:paraId="3BC4DFC4" w14:textId="66C6C081" w:rsidR="00C175E4" w:rsidRPr="00D768EF" w:rsidRDefault="00C175E4" w:rsidP="00622285">
            <w:pPr>
              <w:jc w:val="left"/>
              <w:rPr>
                <w:color w:val="000000"/>
                <w:szCs w:val="22"/>
                <w:lang w:val="sr-Latn-ME"/>
              </w:rPr>
            </w:pPr>
            <w:r w:rsidRPr="00D768EF">
              <w:rPr>
                <w:color w:val="000000"/>
                <w:szCs w:val="22"/>
                <w:lang w:val="sr-Latn-ME"/>
              </w:rPr>
              <w:t>Granulomatozna lezija.</w:t>
            </w:r>
          </w:p>
        </w:tc>
      </w:tr>
      <w:tr w:rsidR="00C175E4" w:rsidRPr="00D768EF" w14:paraId="6482EEC9" w14:textId="77777777" w:rsidTr="00622285">
        <w:trPr>
          <w:cantSplit/>
          <w:trHeight w:val="174"/>
        </w:trPr>
        <w:tc>
          <w:tcPr>
            <w:tcW w:w="9522" w:type="dxa"/>
            <w:gridSpan w:val="2"/>
            <w:tcBorders>
              <w:top w:val="single" w:sz="4" w:space="0" w:color="auto"/>
              <w:bottom w:val="single" w:sz="4" w:space="0" w:color="auto"/>
            </w:tcBorders>
          </w:tcPr>
          <w:p w14:paraId="64030FD3" w14:textId="77777777" w:rsidR="00C175E4" w:rsidRPr="00D768EF" w:rsidRDefault="00D36568" w:rsidP="00622285">
            <w:pPr>
              <w:jc w:val="left"/>
              <w:rPr>
                <w:color w:val="000000"/>
                <w:szCs w:val="22"/>
                <w:lang w:val="sr-Latn-ME"/>
              </w:rPr>
            </w:pPr>
            <w:r w:rsidRPr="00D768EF">
              <w:rPr>
                <w:color w:val="000000"/>
                <w:szCs w:val="22"/>
                <w:lang w:val="sr-Latn-ME"/>
              </w:rPr>
              <w:t>I</w:t>
            </w:r>
            <w:r w:rsidR="00C175E4" w:rsidRPr="00D768EF">
              <w:rPr>
                <w:color w:val="000000"/>
                <w:szCs w:val="22"/>
                <w:lang w:val="sr-Latn-ME"/>
              </w:rPr>
              <w:t>spitivanja</w:t>
            </w:r>
          </w:p>
        </w:tc>
      </w:tr>
      <w:tr w:rsidR="00C175E4" w:rsidRPr="00C93299" w14:paraId="26AE0DFC" w14:textId="77777777" w:rsidTr="00622285">
        <w:trPr>
          <w:cantSplit/>
          <w:trHeight w:val="205"/>
        </w:trPr>
        <w:tc>
          <w:tcPr>
            <w:tcW w:w="3402" w:type="dxa"/>
            <w:tcBorders>
              <w:top w:val="single" w:sz="4" w:space="0" w:color="auto"/>
              <w:bottom w:val="nil"/>
            </w:tcBorders>
          </w:tcPr>
          <w:p w14:paraId="0E0F8CC2" w14:textId="6ABE3DF5" w:rsidR="00C175E4" w:rsidRPr="00D768EF" w:rsidRDefault="00C175E4" w:rsidP="00622285">
            <w:pPr>
              <w:jc w:val="left"/>
              <w:rPr>
                <w:color w:val="000000"/>
                <w:szCs w:val="22"/>
                <w:lang w:val="sr-Latn-ME"/>
              </w:rPr>
            </w:pPr>
            <w:r w:rsidRPr="00D768EF">
              <w:rPr>
                <w:color w:val="000000"/>
                <w:szCs w:val="22"/>
                <w:lang w:val="sr-Latn-ME"/>
              </w:rPr>
              <w:t>Povremeno:</w:t>
            </w:r>
          </w:p>
        </w:tc>
        <w:tc>
          <w:tcPr>
            <w:tcW w:w="6120" w:type="dxa"/>
            <w:tcBorders>
              <w:top w:val="single" w:sz="4" w:space="0" w:color="auto"/>
              <w:bottom w:val="nil"/>
            </w:tcBorders>
          </w:tcPr>
          <w:p w14:paraId="0597ABFF" w14:textId="022DA5A8" w:rsidR="00C175E4" w:rsidRPr="00D768EF" w:rsidRDefault="00C175E4" w:rsidP="00622285">
            <w:pPr>
              <w:jc w:val="left"/>
              <w:rPr>
                <w:color w:val="000000"/>
                <w:szCs w:val="22"/>
                <w:lang w:val="sr-Latn-ME"/>
              </w:rPr>
            </w:pPr>
            <w:r w:rsidRPr="00D768EF">
              <w:rPr>
                <w:color w:val="000000"/>
                <w:szCs w:val="22"/>
                <w:lang w:val="sr-Latn-ME"/>
              </w:rPr>
              <w:t>Pozitivan nalaz na auto</w:t>
            </w:r>
            <w:r w:rsidR="00220982" w:rsidRPr="00D768EF">
              <w:rPr>
                <w:color w:val="000000"/>
                <w:szCs w:val="22"/>
                <w:lang w:val="sr-Latn-ME"/>
              </w:rPr>
              <w:t>antitijel</w:t>
            </w:r>
            <w:r w:rsidRPr="00D768EF">
              <w:rPr>
                <w:color w:val="000000"/>
                <w:szCs w:val="22"/>
                <w:lang w:val="sr-Latn-ME"/>
              </w:rPr>
              <w:t>a</w:t>
            </w:r>
            <w:r w:rsidR="00526FB3">
              <w:rPr>
                <w:color w:val="000000"/>
                <w:szCs w:val="22"/>
                <w:lang w:val="sr-Latn-ME"/>
              </w:rPr>
              <w:t xml:space="preserve">, povećanje </w:t>
            </w:r>
            <w:r w:rsidR="000266D1">
              <w:rPr>
                <w:color w:val="000000"/>
                <w:szCs w:val="22"/>
                <w:lang w:val="sr-Latn-ME"/>
              </w:rPr>
              <w:t xml:space="preserve">tjelesne </w:t>
            </w:r>
            <w:r w:rsidR="00872DB2">
              <w:rPr>
                <w:color w:val="000000"/>
                <w:szCs w:val="22"/>
                <w:lang w:val="sr-Latn-ME"/>
              </w:rPr>
              <w:t>mase</w:t>
            </w:r>
            <w:r w:rsidR="00526FB3" w:rsidRPr="00C93299">
              <w:rPr>
                <w:szCs w:val="22"/>
                <w:vertAlign w:val="superscript"/>
                <w:lang w:val="sr-Latn-ME"/>
              </w:rPr>
              <w:t>1</w:t>
            </w:r>
            <w:r w:rsidR="00526FB3" w:rsidRPr="00C93299">
              <w:rPr>
                <w:lang w:val="sr-Latn-ME"/>
              </w:rPr>
              <w:t>.</w:t>
            </w:r>
          </w:p>
        </w:tc>
      </w:tr>
      <w:tr w:rsidR="00C175E4" w:rsidRPr="00C93299" w14:paraId="43F96E7F" w14:textId="77777777" w:rsidTr="00622285">
        <w:trPr>
          <w:cantSplit/>
          <w:trHeight w:val="205"/>
        </w:trPr>
        <w:tc>
          <w:tcPr>
            <w:tcW w:w="3402" w:type="dxa"/>
            <w:tcBorders>
              <w:top w:val="nil"/>
            </w:tcBorders>
          </w:tcPr>
          <w:p w14:paraId="7E5B46CC" w14:textId="246307CF" w:rsidR="00C175E4" w:rsidRPr="00D768EF" w:rsidRDefault="00B6707D" w:rsidP="00622285">
            <w:pPr>
              <w:jc w:val="left"/>
              <w:rPr>
                <w:color w:val="000000"/>
                <w:szCs w:val="22"/>
                <w:lang w:val="sr-Latn-ME"/>
              </w:rPr>
            </w:pPr>
            <w:r w:rsidRPr="00D768EF">
              <w:rPr>
                <w:color w:val="000000"/>
                <w:szCs w:val="22"/>
                <w:lang w:val="sr-Latn-ME"/>
              </w:rPr>
              <w:t>Rijetko</w:t>
            </w:r>
            <w:r w:rsidR="00C175E4" w:rsidRPr="00D768EF">
              <w:rPr>
                <w:color w:val="000000"/>
                <w:szCs w:val="22"/>
                <w:lang w:val="sr-Latn-ME"/>
              </w:rPr>
              <w:t>:</w:t>
            </w:r>
          </w:p>
        </w:tc>
        <w:tc>
          <w:tcPr>
            <w:tcW w:w="6120" w:type="dxa"/>
            <w:tcBorders>
              <w:top w:val="nil"/>
            </w:tcBorders>
          </w:tcPr>
          <w:p w14:paraId="0EB8008A" w14:textId="062F4A46" w:rsidR="00C175E4" w:rsidRPr="00D768EF" w:rsidRDefault="00C175E4" w:rsidP="00622285">
            <w:pPr>
              <w:jc w:val="left"/>
              <w:rPr>
                <w:szCs w:val="22"/>
                <w:lang w:val="sr-Latn-ME"/>
              </w:rPr>
            </w:pPr>
            <w:r w:rsidRPr="00D768EF">
              <w:rPr>
                <w:szCs w:val="22"/>
                <w:lang w:val="sr-Latn-ME"/>
              </w:rPr>
              <w:t>Odstupanje od normalne vr</w:t>
            </w:r>
            <w:r w:rsidR="000C14D8" w:rsidRPr="00D768EF">
              <w:rPr>
                <w:szCs w:val="22"/>
                <w:lang w:val="sr-Latn-ME"/>
              </w:rPr>
              <w:t>ij</w:t>
            </w:r>
            <w:r w:rsidRPr="00D768EF">
              <w:rPr>
                <w:szCs w:val="22"/>
                <w:lang w:val="sr-Latn-ME"/>
              </w:rPr>
              <w:t>ednosti faktora komplementa.</w:t>
            </w:r>
          </w:p>
        </w:tc>
      </w:tr>
    </w:tbl>
    <w:p w14:paraId="5310D919" w14:textId="5D2ECF15" w:rsidR="00C175E4" w:rsidRDefault="00C175E4" w:rsidP="003F7502">
      <w:pPr>
        <w:jc w:val="left"/>
        <w:rPr>
          <w:color w:val="000000"/>
          <w:szCs w:val="22"/>
          <w:lang w:val="sr-Latn-ME"/>
        </w:rPr>
      </w:pPr>
      <w:r w:rsidRPr="00D768EF">
        <w:rPr>
          <w:color w:val="000000"/>
          <w:szCs w:val="22"/>
          <w:lang w:val="sr-Latn-ME"/>
        </w:rPr>
        <w:t xml:space="preserve">  *Uključujući goveđu tuberkulozu (diseminovana BCG infekcija), (</w:t>
      </w:r>
      <w:r w:rsidR="00282A1E" w:rsidRPr="00D768EF">
        <w:rPr>
          <w:color w:val="000000"/>
          <w:szCs w:val="22"/>
          <w:lang w:val="sr-Latn-ME"/>
        </w:rPr>
        <w:t>vidjeti</w:t>
      </w:r>
      <w:r w:rsidRPr="00D768EF">
        <w:rPr>
          <w:color w:val="000000"/>
          <w:szCs w:val="22"/>
          <w:lang w:val="sr-Latn-ME"/>
        </w:rPr>
        <w:t xml:space="preserve"> </w:t>
      </w:r>
      <w:r w:rsidR="00454E9F" w:rsidRPr="00D768EF">
        <w:rPr>
          <w:color w:val="000000"/>
          <w:szCs w:val="22"/>
          <w:lang w:val="sr-Latn-ME"/>
        </w:rPr>
        <w:t>dio</w:t>
      </w:r>
      <w:r w:rsidRPr="00D768EF">
        <w:rPr>
          <w:color w:val="000000"/>
          <w:szCs w:val="22"/>
          <w:lang w:val="sr-Latn-ME"/>
        </w:rPr>
        <w:t xml:space="preserve"> 4.4)</w:t>
      </w:r>
    </w:p>
    <w:p w14:paraId="67EEC8A2" w14:textId="6D52277B" w:rsidR="00B2193E" w:rsidRPr="00D768EF" w:rsidRDefault="00B2193E" w:rsidP="00872DB2">
      <w:pPr>
        <w:ind w:left="142"/>
        <w:rPr>
          <w:color w:val="000000"/>
          <w:szCs w:val="22"/>
          <w:lang w:val="sr-Latn-ME"/>
        </w:rPr>
      </w:pPr>
      <w:r w:rsidRPr="00872DB2">
        <w:rPr>
          <w:color w:val="000000"/>
          <w:szCs w:val="22"/>
          <w:vertAlign w:val="superscript"/>
          <w:lang w:val="sr-Latn-ME"/>
        </w:rPr>
        <w:t>1</w:t>
      </w:r>
      <w:r>
        <w:rPr>
          <w:color w:val="000000"/>
          <w:szCs w:val="22"/>
          <w:lang w:val="sr-Latn-ME"/>
        </w:rPr>
        <w:t xml:space="preserve"> </w:t>
      </w:r>
      <w:r w:rsidRPr="00B2193E">
        <w:rPr>
          <w:color w:val="000000"/>
          <w:szCs w:val="22"/>
          <w:lang w:val="sr-Latn-ME"/>
        </w:rPr>
        <w:t>U 12. mjesecu kontroli</w:t>
      </w:r>
      <w:r>
        <w:rPr>
          <w:color w:val="000000"/>
          <w:szCs w:val="22"/>
          <w:lang w:val="sr-Latn-ME"/>
        </w:rPr>
        <w:t>s</w:t>
      </w:r>
      <w:r w:rsidRPr="00B2193E">
        <w:rPr>
          <w:color w:val="000000"/>
          <w:szCs w:val="22"/>
          <w:lang w:val="sr-Latn-ME"/>
        </w:rPr>
        <w:t xml:space="preserve">anog perioda za klinička ispitivanja odraslih za sve indikacije, </w:t>
      </w:r>
      <w:r w:rsidR="00A44EEF">
        <w:rPr>
          <w:color w:val="000000"/>
          <w:szCs w:val="22"/>
          <w:lang w:val="sr-Latn-ME"/>
        </w:rPr>
        <w:t>medijan</w:t>
      </w:r>
      <w:r w:rsidR="007811F3">
        <w:rPr>
          <w:color w:val="000000"/>
          <w:szCs w:val="22"/>
          <w:lang w:val="sr-Latn-ME"/>
        </w:rPr>
        <w:t>a</w:t>
      </w:r>
      <w:r w:rsidR="000266D1">
        <w:rPr>
          <w:color w:val="000000"/>
          <w:szCs w:val="22"/>
          <w:lang w:val="sr-Latn-ME"/>
        </w:rPr>
        <w:t xml:space="preserve"> povećanj</w:t>
      </w:r>
      <w:r w:rsidR="00A44EEF">
        <w:rPr>
          <w:color w:val="000000"/>
          <w:szCs w:val="22"/>
          <w:lang w:val="sr-Latn-ME"/>
        </w:rPr>
        <w:t xml:space="preserve">a </w:t>
      </w:r>
      <w:r w:rsidRPr="00B2193E">
        <w:rPr>
          <w:color w:val="000000"/>
          <w:szCs w:val="22"/>
          <w:lang w:val="sr-Latn-ME"/>
        </w:rPr>
        <w:t xml:space="preserve">tjelesne </w:t>
      </w:r>
      <w:r w:rsidR="00872DB2">
        <w:rPr>
          <w:color w:val="000000"/>
          <w:szCs w:val="22"/>
          <w:lang w:val="sr-Latn-ME"/>
        </w:rPr>
        <w:t>mase</w:t>
      </w:r>
      <w:r w:rsidRPr="00B2193E">
        <w:rPr>
          <w:color w:val="000000"/>
          <w:szCs w:val="22"/>
          <w:lang w:val="sr-Latn-ME"/>
        </w:rPr>
        <w:t xml:space="preserve"> bi</w:t>
      </w:r>
      <w:r w:rsidR="007811F3">
        <w:rPr>
          <w:color w:val="000000"/>
          <w:szCs w:val="22"/>
          <w:lang w:val="sr-Latn-ME"/>
        </w:rPr>
        <w:t>la</w:t>
      </w:r>
      <w:r w:rsidRPr="00B2193E">
        <w:rPr>
          <w:color w:val="000000"/>
          <w:szCs w:val="22"/>
          <w:lang w:val="sr-Latn-ME"/>
        </w:rPr>
        <w:t xml:space="preserve"> je 3,50</w:t>
      </w:r>
      <w:r w:rsidR="000C37DA">
        <w:rPr>
          <w:color w:val="000000"/>
          <w:szCs w:val="22"/>
          <w:lang w:val="sr-Latn-ME"/>
        </w:rPr>
        <w:t> </w:t>
      </w:r>
      <w:r w:rsidRPr="00B2193E">
        <w:rPr>
          <w:color w:val="000000"/>
          <w:szCs w:val="22"/>
          <w:lang w:val="sr-Latn-ME"/>
        </w:rPr>
        <w:t xml:space="preserve">kg za </w:t>
      </w:r>
      <w:r w:rsidR="00A44EEF">
        <w:rPr>
          <w:color w:val="000000"/>
          <w:szCs w:val="22"/>
          <w:lang w:val="sr-Latn-ME"/>
        </w:rPr>
        <w:t>ispitanike</w:t>
      </w:r>
      <w:r w:rsidRPr="00B2193E">
        <w:rPr>
          <w:color w:val="000000"/>
          <w:szCs w:val="22"/>
          <w:lang w:val="sr-Latn-ME"/>
        </w:rPr>
        <w:t xml:space="preserve"> koji su liječeni infliksimabom u odnosu na 3,00</w:t>
      </w:r>
      <w:r w:rsidR="000C37DA">
        <w:rPr>
          <w:color w:val="000000"/>
          <w:szCs w:val="22"/>
          <w:lang w:val="sr-Latn-ME"/>
        </w:rPr>
        <w:t> </w:t>
      </w:r>
      <w:r w:rsidRPr="00B2193E">
        <w:rPr>
          <w:color w:val="000000"/>
          <w:szCs w:val="22"/>
          <w:lang w:val="sr-Latn-ME"/>
        </w:rPr>
        <w:t xml:space="preserve">kg za </w:t>
      </w:r>
      <w:r w:rsidR="00A44EEF">
        <w:rPr>
          <w:color w:val="000000"/>
          <w:szCs w:val="22"/>
          <w:lang w:val="sr-Latn-ME"/>
        </w:rPr>
        <w:t>ispitanike</w:t>
      </w:r>
      <w:r w:rsidRPr="00B2193E">
        <w:rPr>
          <w:color w:val="000000"/>
          <w:szCs w:val="22"/>
          <w:lang w:val="sr-Latn-ME"/>
        </w:rPr>
        <w:t xml:space="preserve"> koji su </w:t>
      </w:r>
      <w:r w:rsidR="00BF059A" w:rsidRPr="00B2193E">
        <w:rPr>
          <w:color w:val="000000"/>
          <w:szCs w:val="22"/>
          <w:lang w:val="sr-Latn-ME"/>
        </w:rPr>
        <w:t xml:space="preserve">liječeni </w:t>
      </w:r>
      <w:r w:rsidRPr="00B2193E">
        <w:rPr>
          <w:color w:val="000000"/>
          <w:szCs w:val="22"/>
          <w:lang w:val="sr-Latn-ME"/>
        </w:rPr>
        <w:t>placebo</w:t>
      </w:r>
      <w:r w:rsidR="000C37DA">
        <w:rPr>
          <w:color w:val="000000"/>
          <w:szCs w:val="22"/>
          <w:lang w:val="sr-Latn-ME"/>
        </w:rPr>
        <w:t>m</w:t>
      </w:r>
      <w:r w:rsidRPr="00B2193E">
        <w:rPr>
          <w:color w:val="000000"/>
          <w:szCs w:val="22"/>
          <w:lang w:val="sr-Latn-ME"/>
        </w:rPr>
        <w:t>. Medijan</w:t>
      </w:r>
      <w:r w:rsidR="007811F3">
        <w:rPr>
          <w:color w:val="000000"/>
          <w:szCs w:val="22"/>
          <w:lang w:val="sr-Latn-ME"/>
        </w:rPr>
        <w:t>a</w:t>
      </w:r>
      <w:r w:rsidRPr="00B2193E">
        <w:rPr>
          <w:color w:val="000000"/>
          <w:szCs w:val="22"/>
          <w:lang w:val="sr-Latn-ME"/>
        </w:rPr>
        <w:t xml:space="preserve"> povećanja</w:t>
      </w:r>
      <w:r w:rsidR="00A44EEF">
        <w:rPr>
          <w:color w:val="000000"/>
          <w:szCs w:val="22"/>
          <w:lang w:val="sr-Latn-ME"/>
        </w:rPr>
        <w:t xml:space="preserve"> tjelesne</w:t>
      </w:r>
      <w:r w:rsidRPr="00B2193E">
        <w:rPr>
          <w:color w:val="000000"/>
          <w:szCs w:val="22"/>
          <w:lang w:val="sr-Latn-ME"/>
        </w:rPr>
        <w:t xml:space="preserve"> </w:t>
      </w:r>
      <w:r w:rsidR="00872DB2">
        <w:rPr>
          <w:color w:val="000000"/>
          <w:szCs w:val="22"/>
          <w:lang w:val="sr-Latn-ME"/>
        </w:rPr>
        <w:t>mase</w:t>
      </w:r>
      <w:r w:rsidRPr="00B2193E">
        <w:rPr>
          <w:color w:val="000000"/>
          <w:szCs w:val="22"/>
          <w:lang w:val="sr-Latn-ME"/>
        </w:rPr>
        <w:t xml:space="preserve"> za indikacije upalne bolesti crijeva bi</w:t>
      </w:r>
      <w:r w:rsidR="007811F3">
        <w:rPr>
          <w:color w:val="000000"/>
          <w:szCs w:val="22"/>
          <w:lang w:val="sr-Latn-ME"/>
        </w:rPr>
        <w:t>la</w:t>
      </w:r>
      <w:r w:rsidRPr="00B2193E">
        <w:rPr>
          <w:color w:val="000000"/>
          <w:szCs w:val="22"/>
          <w:lang w:val="sr-Latn-ME"/>
        </w:rPr>
        <w:t xml:space="preserve"> je 4,14</w:t>
      </w:r>
      <w:r w:rsidR="000C37DA">
        <w:rPr>
          <w:color w:val="000000"/>
          <w:szCs w:val="22"/>
          <w:lang w:val="sr-Latn-ME"/>
        </w:rPr>
        <w:t> </w:t>
      </w:r>
      <w:r w:rsidRPr="00B2193E">
        <w:rPr>
          <w:color w:val="000000"/>
          <w:szCs w:val="22"/>
          <w:lang w:val="sr-Latn-ME"/>
        </w:rPr>
        <w:t xml:space="preserve">kg za </w:t>
      </w:r>
      <w:r w:rsidR="00A44EEF">
        <w:rPr>
          <w:color w:val="000000"/>
          <w:szCs w:val="22"/>
          <w:lang w:val="sr-Latn-ME"/>
        </w:rPr>
        <w:t>ispitanike</w:t>
      </w:r>
      <w:r w:rsidRPr="00B2193E">
        <w:rPr>
          <w:color w:val="000000"/>
          <w:szCs w:val="22"/>
          <w:lang w:val="sr-Latn-ME"/>
        </w:rPr>
        <w:t xml:space="preserve"> koji su liječeni infliksimabom u odnosu na 3,00</w:t>
      </w:r>
      <w:r w:rsidR="000C37DA">
        <w:rPr>
          <w:color w:val="000000"/>
          <w:szCs w:val="22"/>
          <w:lang w:val="sr-Latn-ME"/>
        </w:rPr>
        <w:t> </w:t>
      </w:r>
      <w:r w:rsidRPr="00B2193E">
        <w:rPr>
          <w:color w:val="000000"/>
          <w:szCs w:val="22"/>
          <w:lang w:val="sr-Latn-ME"/>
        </w:rPr>
        <w:t xml:space="preserve">kg za </w:t>
      </w:r>
      <w:r w:rsidR="00A44EEF">
        <w:rPr>
          <w:color w:val="000000"/>
          <w:szCs w:val="22"/>
          <w:lang w:val="sr-Latn-ME"/>
        </w:rPr>
        <w:t>ispitanike</w:t>
      </w:r>
      <w:r w:rsidRPr="00B2193E">
        <w:rPr>
          <w:color w:val="000000"/>
          <w:szCs w:val="22"/>
          <w:lang w:val="sr-Latn-ME"/>
        </w:rPr>
        <w:t xml:space="preserve"> koji su liječeni placebom, a </w:t>
      </w:r>
      <w:r w:rsidR="00A44EEF">
        <w:rPr>
          <w:color w:val="000000"/>
          <w:szCs w:val="22"/>
          <w:lang w:val="sr-Latn-ME"/>
        </w:rPr>
        <w:t>medijan</w:t>
      </w:r>
      <w:r w:rsidR="007811F3">
        <w:rPr>
          <w:color w:val="000000"/>
          <w:szCs w:val="22"/>
          <w:lang w:val="sr-Latn-ME"/>
        </w:rPr>
        <w:t>a</w:t>
      </w:r>
      <w:r w:rsidR="00A44EEF">
        <w:rPr>
          <w:color w:val="000000"/>
          <w:szCs w:val="22"/>
          <w:lang w:val="sr-Latn-ME"/>
        </w:rPr>
        <w:t xml:space="preserve"> povećanja tjelesne </w:t>
      </w:r>
      <w:r w:rsidR="00872DB2">
        <w:rPr>
          <w:color w:val="000000"/>
          <w:szCs w:val="22"/>
          <w:lang w:val="sr-Latn-ME"/>
        </w:rPr>
        <w:t>mase</w:t>
      </w:r>
      <w:r w:rsidRPr="00B2193E">
        <w:rPr>
          <w:color w:val="000000"/>
          <w:szCs w:val="22"/>
          <w:lang w:val="sr-Latn-ME"/>
        </w:rPr>
        <w:t xml:space="preserve"> za reumatološke indikacije bi</w:t>
      </w:r>
      <w:r w:rsidR="007811F3">
        <w:rPr>
          <w:color w:val="000000"/>
          <w:szCs w:val="22"/>
          <w:lang w:val="sr-Latn-ME"/>
        </w:rPr>
        <w:t>la</w:t>
      </w:r>
      <w:r w:rsidRPr="00B2193E">
        <w:rPr>
          <w:color w:val="000000"/>
          <w:szCs w:val="22"/>
          <w:lang w:val="sr-Latn-ME"/>
        </w:rPr>
        <w:t xml:space="preserve"> je 3,40</w:t>
      </w:r>
      <w:r w:rsidR="000C37DA">
        <w:rPr>
          <w:color w:val="000000"/>
          <w:szCs w:val="22"/>
          <w:lang w:val="sr-Latn-ME"/>
        </w:rPr>
        <w:t> </w:t>
      </w:r>
      <w:r w:rsidRPr="00B2193E">
        <w:rPr>
          <w:color w:val="000000"/>
          <w:szCs w:val="22"/>
          <w:lang w:val="sr-Latn-ME"/>
        </w:rPr>
        <w:t xml:space="preserve">kg za </w:t>
      </w:r>
      <w:r w:rsidR="00A44EEF">
        <w:rPr>
          <w:color w:val="000000"/>
          <w:szCs w:val="22"/>
          <w:lang w:val="sr-Latn-ME"/>
        </w:rPr>
        <w:t>ispitanike</w:t>
      </w:r>
      <w:r w:rsidRPr="00B2193E">
        <w:rPr>
          <w:color w:val="000000"/>
          <w:szCs w:val="22"/>
          <w:lang w:val="sr-Latn-ME"/>
        </w:rPr>
        <w:t xml:space="preserve"> liječene infliksimabom </w:t>
      </w:r>
      <w:r w:rsidR="000C37DA">
        <w:rPr>
          <w:color w:val="000000"/>
          <w:szCs w:val="22"/>
          <w:lang w:val="sr-Latn-ME"/>
        </w:rPr>
        <w:t>u odnosu na</w:t>
      </w:r>
      <w:r w:rsidRPr="00B2193E">
        <w:rPr>
          <w:color w:val="000000"/>
          <w:szCs w:val="22"/>
          <w:lang w:val="sr-Latn-ME"/>
        </w:rPr>
        <w:t xml:space="preserve"> 3,00</w:t>
      </w:r>
      <w:r w:rsidR="000C37DA">
        <w:rPr>
          <w:color w:val="000000"/>
          <w:szCs w:val="22"/>
          <w:lang w:val="sr-Latn-ME"/>
        </w:rPr>
        <w:t> </w:t>
      </w:r>
      <w:r w:rsidRPr="00B2193E">
        <w:rPr>
          <w:color w:val="000000"/>
          <w:szCs w:val="22"/>
          <w:lang w:val="sr-Latn-ME"/>
        </w:rPr>
        <w:t xml:space="preserve">kg za </w:t>
      </w:r>
      <w:r w:rsidR="00A44EEF">
        <w:rPr>
          <w:color w:val="000000"/>
          <w:szCs w:val="22"/>
          <w:lang w:val="sr-Latn-ME"/>
        </w:rPr>
        <w:t>ispitanike</w:t>
      </w:r>
      <w:r w:rsidRPr="00B2193E">
        <w:rPr>
          <w:color w:val="000000"/>
          <w:szCs w:val="22"/>
          <w:lang w:val="sr-Latn-ME"/>
        </w:rPr>
        <w:t xml:space="preserve"> koji su liječeni placebom</w:t>
      </w:r>
      <w:r w:rsidR="00A44EEF">
        <w:rPr>
          <w:color w:val="000000"/>
          <w:szCs w:val="22"/>
          <w:lang w:val="sr-Latn-ME"/>
        </w:rPr>
        <w:t>.</w:t>
      </w:r>
    </w:p>
    <w:p w14:paraId="4865818D" w14:textId="77777777" w:rsidR="00C175E4" w:rsidRPr="00D768EF" w:rsidRDefault="00C175E4" w:rsidP="00C175E4">
      <w:pPr>
        <w:rPr>
          <w:szCs w:val="22"/>
          <w:lang w:val="sr-Latn-ME"/>
        </w:rPr>
      </w:pPr>
    </w:p>
    <w:p w14:paraId="7927E685" w14:textId="247E74E1" w:rsidR="00C175E4" w:rsidRPr="00D768EF" w:rsidRDefault="00473AE6" w:rsidP="00C175E4">
      <w:pPr>
        <w:rPr>
          <w:szCs w:val="22"/>
          <w:u w:val="single"/>
          <w:lang w:val="sr-Latn-ME"/>
        </w:rPr>
      </w:pPr>
      <w:r w:rsidRPr="00D768EF">
        <w:rPr>
          <w:szCs w:val="22"/>
          <w:u w:val="single"/>
          <w:lang w:val="sr-Latn-ME"/>
        </w:rPr>
        <w:t xml:space="preserve">Opis </w:t>
      </w:r>
      <w:r w:rsidR="003F7502" w:rsidRPr="00D768EF">
        <w:rPr>
          <w:szCs w:val="22"/>
          <w:u w:val="single"/>
          <w:lang w:val="sr-Latn-ME"/>
        </w:rPr>
        <w:t>odabranih</w:t>
      </w:r>
      <w:r w:rsidRPr="00D768EF">
        <w:rPr>
          <w:szCs w:val="22"/>
          <w:u w:val="single"/>
          <w:lang w:val="sr-Latn-ME"/>
        </w:rPr>
        <w:t xml:space="preserve"> neželjenih reakcija</w:t>
      </w:r>
    </w:p>
    <w:p w14:paraId="2BF04A64" w14:textId="77777777" w:rsidR="00473AE6" w:rsidRPr="00D768EF" w:rsidRDefault="00473AE6" w:rsidP="00C175E4">
      <w:pPr>
        <w:rPr>
          <w:szCs w:val="22"/>
          <w:u w:val="single"/>
          <w:lang w:val="sr-Latn-ME"/>
        </w:rPr>
      </w:pPr>
    </w:p>
    <w:p w14:paraId="0AC37687" w14:textId="2256A552" w:rsidR="00C175E4" w:rsidRPr="00D768EF" w:rsidRDefault="003F7502" w:rsidP="00C175E4">
      <w:pPr>
        <w:rPr>
          <w:i/>
          <w:iCs/>
          <w:szCs w:val="22"/>
          <w:lang w:val="sr-Latn-ME"/>
        </w:rPr>
      </w:pPr>
      <w:r w:rsidRPr="00D768EF">
        <w:rPr>
          <w:i/>
          <w:iCs/>
          <w:szCs w:val="22"/>
          <w:lang w:val="sr-Latn-ME"/>
        </w:rPr>
        <w:t>Neželjene r</w:t>
      </w:r>
      <w:r w:rsidR="00C175E4" w:rsidRPr="00D768EF">
        <w:rPr>
          <w:i/>
          <w:iCs/>
          <w:szCs w:val="22"/>
          <w:lang w:val="sr-Latn-ME"/>
        </w:rPr>
        <w:t xml:space="preserve">eakcije vezane za infuziju </w:t>
      </w:r>
    </w:p>
    <w:p w14:paraId="07A6D66A" w14:textId="26B94A1E" w:rsidR="00C175E4" w:rsidRPr="00D768EF" w:rsidRDefault="003F7502" w:rsidP="00C175E4">
      <w:pPr>
        <w:rPr>
          <w:iCs/>
          <w:szCs w:val="22"/>
          <w:lang w:val="sr-Latn-ME"/>
        </w:rPr>
      </w:pPr>
      <w:r w:rsidRPr="00D768EF">
        <w:rPr>
          <w:color w:val="000000"/>
          <w:szCs w:val="22"/>
          <w:lang w:val="sr-Latn-ME"/>
        </w:rPr>
        <w:t>Neželjena r</w:t>
      </w:r>
      <w:r w:rsidR="00C175E4" w:rsidRPr="00D768EF">
        <w:rPr>
          <w:color w:val="000000"/>
          <w:szCs w:val="22"/>
          <w:lang w:val="sr-Latn-ME"/>
        </w:rPr>
        <w:t>eakcija vezana za infuziju</w:t>
      </w:r>
      <w:r w:rsidR="00C175E4" w:rsidRPr="00D768EF">
        <w:rPr>
          <w:szCs w:val="22"/>
          <w:lang w:val="sr-Latn-ME"/>
        </w:rPr>
        <w:t xml:space="preserve"> je definisana u kliničkim </w:t>
      </w:r>
      <w:r w:rsidR="00C175E4" w:rsidRPr="00D768EF">
        <w:rPr>
          <w:color w:val="000000"/>
          <w:szCs w:val="22"/>
          <w:lang w:val="sr-Latn-ME"/>
        </w:rPr>
        <w:t xml:space="preserve">studijama </w:t>
      </w:r>
      <w:r w:rsidR="00C175E4" w:rsidRPr="00D768EF">
        <w:rPr>
          <w:szCs w:val="22"/>
          <w:lang w:val="sr-Latn-ME"/>
        </w:rPr>
        <w:t>kao bilo koji neželjeni događaj koji se javi u toku infuzije ili 1 sat posl</w:t>
      </w:r>
      <w:r w:rsidR="00CF5D59">
        <w:rPr>
          <w:szCs w:val="22"/>
          <w:lang w:val="sr-Latn-ME"/>
        </w:rPr>
        <w:t>ij</w:t>
      </w:r>
      <w:r w:rsidR="00C175E4" w:rsidRPr="00D768EF">
        <w:rPr>
          <w:szCs w:val="22"/>
          <w:lang w:val="sr-Latn-ME"/>
        </w:rPr>
        <w:t xml:space="preserve">e infuzije. U kliničkim studijama treće faze, kod 18% pacijenata koji su primali infliksimab, u poređenju sa 5% pacijenata koji su primali placebo, javile su se neželjene </w:t>
      </w:r>
      <w:r w:rsidR="00C175E4" w:rsidRPr="00D768EF">
        <w:rPr>
          <w:color w:val="000000"/>
          <w:szCs w:val="22"/>
          <w:lang w:val="sr-Latn-ME"/>
        </w:rPr>
        <w:t>reakcije vezane za infuziju</w:t>
      </w:r>
      <w:r w:rsidR="00C175E4" w:rsidRPr="00D768EF">
        <w:rPr>
          <w:szCs w:val="22"/>
          <w:lang w:val="sr-Latn-ME"/>
        </w:rPr>
        <w:t>. Generalno, kod većeg broja pacijenata koji su primali monoterapiju infliksimabom zab</w:t>
      </w:r>
      <w:r w:rsidR="001B0A77" w:rsidRPr="00D768EF">
        <w:rPr>
          <w:szCs w:val="22"/>
          <w:lang w:val="sr-Latn-ME"/>
        </w:rPr>
        <w:t>i</w:t>
      </w:r>
      <w:r w:rsidR="00C175E4" w:rsidRPr="00D768EF">
        <w:rPr>
          <w:szCs w:val="22"/>
          <w:lang w:val="sr-Latn-ME"/>
        </w:rPr>
        <w:t>l</w:t>
      </w:r>
      <w:r w:rsidR="001B0A77" w:rsidRPr="00D768EF">
        <w:rPr>
          <w:szCs w:val="22"/>
          <w:lang w:val="sr-Latn-ME"/>
        </w:rPr>
        <w:t>j</w:t>
      </w:r>
      <w:r w:rsidR="00C175E4" w:rsidRPr="00D768EF">
        <w:rPr>
          <w:szCs w:val="22"/>
          <w:lang w:val="sr-Latn-ME"/>
        </w:rPr>
        <w:t xml:space="preserve">ežene su neželjene </w:t>
      </w:r>
      <w:r w:rsidR="00C175E4" w:rsidRPr="00D768EF">
        <w:rPr>
          <w:color w:val="000000"/>
          <w:szCs w:val="22"/>
          <w:lang w:val="sr-Latn-ME"/>
        </w:rPr>
        <w:t>reakcije vezane za infuziju</w:t>
      </w:r>
      <w:r w:rsidR="00C175E4" w:rsidRPr="00D768EF">
        <w:rPr>
          <w:szCs w:val="22"/>
          <w:lang w:val="sr-Latn-ME"/>
        </w:rPr>
        <w:t xml:space="preserve"> u poređenju sa pacijentima koji su primali infliksimab zajedno sa imunomodulatorima. Oko 3% pacijenata je prekinulo terapiju zbog neželjenih </w:t>
      </w:r>
      <w:r w:rsidR="00C175E4" w:rsidRPr="00D768EF">
        <w:rPr>
          <w:color w:val="000000"/>
          <w:szCs w:val="22"/>
          <w:lang w:val="sr-Latn-ME"/>
        </w:rPr>
        <w:t>reakcija vezanih za infuziju</w:t>
      </w:r>
      <w:r w:rsidR="00C175E4" w:rsidRPr="00D768EF">
        <w:rPr>
          <w:szCs w:val="22"/>
          <w:lang w:val="sr-Latn-ME"/>
        </w:rPr>
        <w:t xml:space="preserve"> i svi pacijenti su se oporavili sa ili bez medicinskog </w:t>
      </w:r>
      <w:r w:rsidR="00D57936" w:rsidRPr="00D768EF">
        <w:rPr>
          <w:szCs w:val="22"/>
          <w:lang w:val="sr-Latn-ME"/>
        </w:rPr>
        <w:t>liječe</w:t>
      </w:r>
      <w:r w:rsidR="00C175E4" w:rsidRPr="00D768EF">
        <w:rPr>
          <w:szCs w:val="22"/>
          <w:lang w:val="sr-Latn-ME"/>
        </w:rPr>
        <w:t xml:space="preserve">nja. </w:t>
      </w:r>
      <w:r w:rsidR="00C175E4" w:rsidRPr="00D768EF">
        <w:rPr>
          <w:iCs/>
          <w:szCs w:val="22"/>
          <w:lang w:val="sr-Latn-ME"/>
        </w:rPr>
        <w:t xml:space="preserve">Među pacijentima </w:t>
      </w:r>
      <w:r w:rsidR="00C175E4" w:rsidRPr="00D768EF">
        <w:rPr>
          <w:szCs w:val="22"/>
          <w:lang w:val="sr-Latn-ME"/>
        </w:rPr>
        <w:t>koji su primali infliksimab,</w:t>
      </w:r>
      <w:r w:rsidR="00C175E4" w:rsidRPr="00D768EF">
        <w:rPr>
          <w:iCs/>
          <w:szCs w:val="22"/>
          <w:lang w:val="sr-Latn-ME"/>
        </w:rPr>
        <w:t xml:space="preserve"> a kod kojih je </w:t>
      </w:r>
      <w:r w:rsidR="001B0A77" w:rsidRPr="00D768EF">
        <w:rPr>
          <w:iCs/>
          <w:szCs w:val="22"/>
          <w:lang w:val="sr-Latn-ME"/>
        </w:rPr>
        <w:t>zabilje</w:t>
      </w:r>
      <w:r w:rsidR="00C175E4" w:rsidRPr="00D768EF">
        <w:rPr>
          <w:iCs/>
          <w:szCs w:val="22"/>
          <w:lang w:val="sr-Latn-ME"/>
        </w:rPr>
        <w:t xml:space="preserve">žena neželjena </w:t>
      </w:r>
      <w:r w:rsidR="00C175E4" w:rsidRPr="00D768EF">
        <w:rPr>
          <w:color w:val="000000"/>
          <w:szCs w:val="22"/>
          <w:lang w:val="sr-Latn-ME"/>
        </w:rPr>
        <w:t xml:space="preserve">reakcija vezana za infuziju u uvodnom periodu do </w:t>
      </w:r>
      <w:r w:rsidR="00C175E4" w:rsidRPr="00D768EF">
        <w:rPr>
          <w:iCs/>
          <w:szCs w:val="22"/>
          <w:lang w:val="sr-Latn-ME"/>
        </w:rPr>
        <w:t xml:space="preserve">6 </w:t>
      </w:r>
      <w:r w:rsidR="00D57936" w:rsidRPr="00D768EF">
        <w:rPr>
          <w:iCs/>
          <w:szCs w:val="22"/>
          <w:lang w:val="sr-Latn-ME"/>
        </w:rPr>
        <w:t>nedjelj</w:t>
      </w:r>
      <w:r w:rsidR="00C175E4" w:rsidRPr="00D768EF">
        <w:rPr>
          <w:iCs/>
          <w:szCs w:val="22"/>
          <w:lang w:val="sr-Latn-ME"/>
        </w:rPr>
        <w:t xml:space="preserve">a, njih 27% je imalo neželjenu </w:t>
      </w:r>
      <w:r w:rsidR="00C175E4" w:rsidRPr="00D768EF">
        <w:rPr>
          <w:color w:val="000000"/>
          <w:szCs w:val="22"/>
          <w:lang w:val="sr-Latn-ME"/>
        </w:rPr>
        <w:t>reakciju vezanu za infuziju i tokom</w:t>
      </w:r>
      <w:r w:rsidR="00C175E4" w:rsidRPr="00D768EF">
        <w:rPr>
          <w:iCs/>
          <w:szCs w:val="22"/>
          <w:lang w:val="sr-Latn-ME"/>
        </w:rPr>
        <w:t xml:space="preserve"> terapije održavanja, od 7. do 54. </w:t>
      </w:r>
      <w:r w:rsidR="00D57936" w:rsidRPr="00D768EF">
        <w:rPr>
          <w:iCs/>
          <w:szCs w:val="22"/>
          <w:lang w:val="sr-Latn-ME"/>
        </w:rPr>
        <w:t>nedjelj</w:t>
      </w:r>
      <w:r w:rsidR="00C175E4" w:rsidRPr="00D768EF">
        <w:rPr>
          <w:iCs/>
          <w:szCs w:val="22"/>
          <w:lang w:val="sr-Latn-ME"/>
        </w:rPr>
        <w:t xml:space="preserve">e. Među pacijentima </w:t>
      </w:r>
      <w:r w:rsidR="00C175E4" w:rsidRPr="00D768EF">
        <w:rPr>
          <w:szCs w:val="22"/>
          <w:lang w:val="sr-Latn-ME"/>
        </w:rPr>
        <w:t xml:space="preserve">koji nisu imali neželjenu </w:t>
      </w:r>
      <w:r w:rsidR="00C175E4" w:rsidRPr="00D768EF">
        <w:rPr>
          <w:color w:val="000000"/>
          <w:szCs w:val="22"/>
          <w:lang w:val="sr-Latn-ME"/>
        </w:rPr>
        <w:t xml:space="preserve">reakciju vezanu za infuziju u uvodnom periodu </w:t>
      </w:r>
      <w:r w:rsidR="00D57936" w:rsidRPr="00D768EF">
        <w:rPr>
          <w:color w:val="000000"/>
          <w:szCs w:val="22"/>
          <w:lang w:val="sr-Latn-ME"/>
        </w:rPr>
        <w:t>liječe</w:t>
      </w:r>
      <w:r w:rsidR="00C175E4" w:rsidRPr="00D768EF">
        <w:rPr>
          <w:color w:val="000000"/>
          <w:szCs w:val="22"/>
          <w:lang w:val="sr-Latn-ME"/>
        </w:rPr>
        <w:t>nja</w:t>
      </w:r>
      <w:r w:rsidR="00C175E4" w:rsidRPr="00D768EF">
        <w:rPr>
          <w:iCs/>
          <w:szCs w:val="22"/>
          <w:lang w:val="sr-Latn-ME"/>
        </w:rPr>
        <w:t xml:space="preserve">, 9% je imalo neželjenu </w:t>
      </w:r>
      <w:r w:rsidR="00C175E4" w:rsidRPr="00D768EF">
        <w:rPr>
          <w:color w:val="000000"/>
          <w:szCs w:val="22"/>
          <w:lang w:val="sr-Latn-ME"/>
        </w:rPr>
        <w:t xml:space="preserve">reakciju vezanu za infuziju u toku terapije </w:t>
      </w:r>
      <w:r w:rsidR="00C175E4" w:rsidRPr="00D768EF">
        <w:rPr>
          <w:iCs/>
          <w:szCs w:val="22"/>
          <w:lang w:val="sr-Latn-ME"/>
        </w:rPr>
        <w:t>održavanja.</w:t>
      </w:r>
    </w:p>
    <w:p w14:paraId="267C4AEB" w14:textId="77777777" w:rsidR="00C175E4" w:rsidRPr="00D768EF" w:rsidRDefault="00C175E4" w:rsidP="00C175E4">
      <w:pPr>
        <w:rPr>
          <w:iCs/>
          <w:szCs w:val="22"/>
          <w:lang w:val="sr-Latn-ME"/>
        </w:rPr>
      </w:pPr>
    </w:p>
    <w:p w14:paraId="0952EBDF" w14:textId="11B809FA" w:rsidR="00C175E4" w:rsidRPr="00D768EF" w:rsidRDefault="00C175E4" w:rsidP="00C175E4">
      <w:pPr>
        <w:autoSpaceDE w:val="0"/>
        <w:autoSpaceDN w:val="0"/>
        <w:adjustRightInd w:val="0"/>
        <w:rPr>
          <w:szCs w:val="22"/>
          <w:lang w:val="sr-Latn-ME"/>
        </w:rPr>
      </w:pPr>
      <w:r w:rsidRPr="00D768EF">
        <w:rPr>
          <w:szCs w:val="22"/>
          <w:lang w:val="sr-Latn-ME" w:eastAsia="sv-SE"/>
        </w:rPr>
        <w:t xml:space="preserve">U kliničkoj </w:t>
      </w:r>
      <w:r w:rsidRPr="00D768EF">
        <w:rPr>
          <w:color w:val="000000"/>
          <w:szCs w:val="22"/>
          <w:lang w:val="sr-Latn-ME"/>
        </w:rPr>
        <w:t xml:space="preserve">studiji sprovedenoj </w:t>
      </w:r>
      <w:r w:rsidRPr="00D768EF">
        <w:rPr>
          <w:szCs w:val="22"/>
          <w:lang w:val="sr-Latn-ME" w:eastAsia="sv-SE"/>
        </w:rPr>
        <w:t xml:space="preserve">na pacijentima sa reumatoidnim artritisom (ASPIRE), </w:t>
      </w:r>
      <w:r w:rsidRPr="00D768EF">
        <w:rPr>
          <w:szCs w:val="22"/>
          <w:lang w:val="sr-Latn-ME" w:eastAsia="zh-CN"/>
        </w:rPr>
        <w:t>prve 3 infuzije su prim</w:t>
      </w:r>
      <w:r w:rsidR="00126595" w:rsidRPr="00D768EF">
        <w:rPr>
          <w:szCs w:val="22"/>
          <w:lang w:val="sr-Latn-ME" w:eastAsia="zh-CN"/>
        </w:rPr>
        <w:t>j</w:t>
      </w:r>
      <w:r w:rsidRPr="00D768EF">
        <w:rPr>
          <w:szCs w:val="22"/>
          <w:lang w:val="sr-Latn-ME" w:eastAsia="zh-CN"/>
        </w:rPr>
        <w:t xml:space="preserve">enjivane tokom 2 sata. Kod pacijenata koji nisu imali ozbiljne neželjene reakcije na infuziju </w:t>
      </w:r>
      <w:r w:rsidRPr="00D768EF">
        <w:rPr>
          <w:szCs w:val="22"/>
          <w:lang w:val="sr-Latn-ME" w:eastAsia="zh-CN"/>
        </w:rPr>
        <w:lastRenderedPageBreak/>
        <w:t xml:space="preserve">trajanje narednih infuzija moglo se smanjiti na najmanje 40 minuta. U ovoj </w:t>
      </w:r>
      <w:r w:rsidRPr="00D768EF">
        <w:rPr>
          <w:color w:val="000000"/>
          <w:szCs w:val="22"/>
          <w:lang w:val="sr-Latn-ME"/>
        </w:rPr>
        <w:t>studiji</w:t>
      </w:r>
      <w:r w:rsidRPr="00D768EF">
        <w:rPr>
          <w:szCs w:val="22"/>
          <w:lang w:val="sr-Latn-ME" w:eastAsia="zh-CN"/>
        </w:rPr>
        <w:t>, 66%</w:t>
      </w:r>
      <w:r w:rsidRPr="00D768EF">
        <w:rPr>
          <w:szCs w:val="22"/>
          <w:lang w:val="sr-Latn-ME" w:eastAsia="sv-SE"/>
        </w:rPr>
        <w:t xml:space="preserve"> pacijenata (686 od 1040) je primilo najmanje jednu infuziju u skraćenom trajanju od 90 minuta ili manje, a 44% pacijenata (454 od 1040) je primilo najmanje jednu infuziju u skraćenom trajanju od 60 minuta ili manje. Među pacijentima koji su </w:t>
      </w:r>
      <w:r w:rsidR="00D57936" w:rsidRPr="00D768EF">
        <w:rPr>
          <w:szCs w:val="22"/>
          <w:lang w:val="sr-Latn-ME" w:eastAsia="sv-SE"/>
        </w:rPr>
        <w:t>liječe</w:t>
      </w:r>
      <w:r w:rsidRPr="00D768EF">
        <w:rPr>
          <w:szCs w:val="22"/>
          <w:lang w:val="sr-Latn-ME" w:eastAsia="sv-SE"/>
        </w:rPr>
        <w:t>ni infliksimabom</w:t>
      </w:r>
      <w:r w:rsidR="003F7502" w:rsidRPr="00D768EF">
        <w:rPr>
          <w:szCs w:val="22"/>
          <w:lang w:val="sr-Latn-ME" w:eastAsia="sv-SE"/>
        </w:rPr>
        <w:t>,</w:t>
      </w:r>
      <w:r w:rsidRPr="00D768EF">
        <w:rPr>
          <w:szCs w:val="22"/>
          <w:lang w:val="sr-Latn-ME" w:eastAsia="sv-SE"/>
        </w:rPr>
        <w:t xml:space="preserve"> a koji su primili najmanje jednu infuziju u skraćenom trajanju, neželjene </w:t>
      </w:r>
      <w:r w:rsidRPr="00D768EF">
        <w:rPr>
          <w:color w:val="000000"/>
          <w:szCs w:val="22"/>
          <w:lang w:val="sr-Latn-ME"/>
        </w:rPr>
        <w:t>reakcije vezane za infuziju</w:t>
      </w:r>
      <w:r w:rsidRPr="00D768EF">
        <w:rPr>
          <w:szCs w:val="22"/>
          <w:lang w:val="sr-Latn-ME" w:eastAsia="sv-SE"/>
        </w:rPr>
        <w:t xml:space="preserve"> su se javile kod njih 15%, dok su se ozbiljne</w:t>
      </w:r>
      <w:r w:rsidRPr="00D768EF">
        <w:rPr>
          <w:color w:val="000000"/>
          <w:szCs w:val="22"/>
          <w:lang w:val="sr-Latn-ME"/>
        </w:rPr>
        <w:t xml:space="preserve"> neželjene reakcije vezane za infuziju</w:t>
      </w:r>
      <w:r w:rsidRPr="00D768EF">
        <w:rPr>
          <w:szCs w:val="22"/>
          <w:lang w:val="sr-Latn-ME" w:eastAsia="sv-SE"/>
        </w:rPr>
        <w:t xml:space="preserve"> javile kod 0,4% pacijenata.</w:t>
      </w:r>
    </w:p>
    <w:p w14:paraId="4D2F7CF6" w14:textId="77777777" w:rsidR="00C175E4" w:rsidRPr="00D768EF" w:rsidRDefault="00C175E4" w:rsidP="00C175E4">
      <w:pPr>
        <w:tabs>
          <w:tab w:val="left" w:pos="-1022"/>
          <w:tab w:val="left" w:pos="-720"/>
          <w:tab w:val="left" w:pos="1"/>
          <w:tab w:val="left" w:pos="240"/>
          <w:tab w:val="left" w:pos="510"/>
          <w:tab w:val="left" w:pos="1440"/>
          <w:tab w:val="left" w:pos="2160"/>
          <w:tab w:val="left" w:pos="2880"/>
          <w:tab w:val="left" w:pos="3600"/>
          <w:tab w:val="left" w:pos="4320"/>
          <w:tab w:val="left" w:pos="5040"/>
          <w:tab w:val="left" w:pos="5760"/>
          <w:tab w:val="left" w:pos="6480"/>
          <w:tab w:val="lef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napToGrid w:val="0"/>
          <w:color w:val="000000"/>
          <w:szCs w:val="22"/>
          <w:lang w:val="sr-Latn-ME"/>
        </w:rPr>
      </w:pPr>
    </w:p>
    <w:p w14:paraId="31D9D6FD" w14:textId="37989D54" w:rsidR="00C175E4" w:rsidRPr="00D768EF" w:rsidRDefault="00C175E4" w:rsidP="00C175E4">
      <w:pPr>
        <w:tabs>
          <w:tab w:val="left" w:pos="-1022"/>
          <w:tab w:val="left" w:pos="-720"/>
          <w:tab w:val="left" w:pos="1"/>
          <w:tab w:val="left" w:pos="240"/>
          <w:tab w:val="left" w:pos="510"/>
          <w:tab w:val="left" w:pos="1440"/>
          <w:tab w:val="left" w:pos="2160"/>
          <w:tab w:val="left" w:pos="2880"/>
          <w:tab w:val="left" w:pos="3600"/>
          <w:tab w:val="left" w:pos="4320"/>
          <w:tab w:val="left" w:pos="5040"/>
          <w:tab w:val="left" w:pos="5760"/>
          <w:tab w:val="left" w:pos="6480"/>
          <w:tab w:val="lef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lang w:val="sr-Latn-ME"/>
        </w:rPr>
      </w:pPr>
      <w:r w:rsidRPr="00D768EF">
        <w:rPr>
          <w:szCs w:val="22"/>
          <w:lang w:val="sr-Latn-ME" w:eastAsia="sv-SE"/>
        </w:rPr>
        <w:t>U kliničkoj</w:t>
      </w:r>
      <w:r w:rsidRPr="00D768EF">
        <w:rPr>
          <w:color w:val="000000"/>
          <w:szCs w:val="22"/>
          <w:lang w:val="sr-Latn-ME"/>
        </w:rPr>
        <w:t xml:space="preserve"> studiji </w:t>
      </w:r>
      <w:r w:rsidRPr="00D768EF">
        <w:rPr>
          <w:szCs w:val="22"/>
          <w:lang w:val="sr-Latn-ME" w:eastAsia="sv-SE"/>
        </w:rPr>
        <w:t xml:space="preserve">na pacijentima sa </w:t>
      </w:r>
      <w:r w:rsidRPr="00D768EF">
        <w:rPr>
          <w:szCs w:val="22"/>
          <w:lang w:val="sr-Latn-ME"/>
        </w:rPr>
        <w:t xml:space="preserve">Kronovom bolešću (SONIC), </w:t>
      </w:r>
      <w:r w:rsidRPr="00D768EF">
        <w:rPr>
          <w:color w:val="000000"/>
          <w:szCs w:val="22"/>
          <w:lang w:val="sr-Latn-ME"/>
        </w:rPr>
        <w:t>reakcije vezane za infuziju</w:t>
      </w:r>
      <w:r w:rsidRPr="00D768EF">
        <w:rPr>
          <w:szCs w:val="22"/>
          <w:lang w:val="sr-Latn-ME"/>
        </w:rPr>
        <w:t xml:space="preserve"> </w:t>
      </w:r>
      <w:r w:rsidRPr="00D768EF">
        <w:rPr>
          <w:szCs w:val="22"/>
          <w:lang w:val="sr-Latn-ME" w:eastAsia="sv-SE"/>
        </w:rPr>
        <w:t xml:space="preserve">javile su se kod </w:t>
      </w:r>
      <w:r w:rsidRPr="00D768EF">
        <w:rPr>
          <w:szCs w:val="22"/>
          <w:lang w:val="sr-Latn-ME"/>
        </w:rPr>
        <w:t xml:space="preserve">16,6% (27/163) pacijenata </w:t>
      </w:r>
      <w:r w:rsidRPr="00D768EF">
        <w:rPr>
          <w:szCs w:val="22"/>
          <w:lang w:val="sr-Latn-ME" w:eastAsia="sv-SE"/>
        </w:rPr>
        <w:t>koji su primali monoterapiju infliksimabom</w:t>
      </w:r>
      <w:r w:rsidRPr="00D768EF">
        <w:rPr>
          <w:szCs w:val="22"/>
          <w:lang w:val="sr-Latn-ME"/>
        </w:rPr>
        <w:t xml:space="preserve">, kod 5% (9/179) pacijenata </w:t>
      </w:r>
      <w:r w:rsidRPr="00D768EF">
        <w:rPr>
          <w:szCs w:val="22"/>
          <w:lang w:val="sr-Latn-ME" w:eastAsia="sv-SE"/>
        </w:rPr>
        <w:t xml:space="preserve">koji su primali </w:t>
      </w:r>
      <w:r w:rsidRPr="00D768EF">
        <w:rPr>
          <w:szCs w:val="22"/>
          <w:lang w:val="sr-Latn-ME"/>
        </w:rPr>
        <w:t xml:space="preserve">infliksimab u kombinaciji sa AZA i kod 5,6% (9/161) pacijenata </w:t>
      </w:r>
      <w:r w:rsidRPr="00D768EF">
        <w:rPr>
          <w:szCs w:val="22"/>
          <w:lang w:val="sr-Latn-ME" w:eastAsia="sv-SE"/>
        </w:rPr>
        <w:t xml:space="preserve">koji su primali </w:t>
      </w:r>
      <w:r w:rsidRPr="00D768EF">
        <w:rPr>
          <w:szCs w:val="22"/>
          <w:lang w:val="sr-Latn-ME"/>
        </w:rPr>
        <w:t xml:space="preserve">AZA kao </w:t>
      </w:r>
      <w:r w:rsidRPr="00D768EF">
        <w:rPr>
          <w:szCs w:val="22"/>
          <w:lang w:val="sr-Latn-ME" w:eastAsia="sv-SE"/>
        </w:rPr>
        <w:t>monoterapiju</w:t>
      </w:r>
      <w:r w:rsidRPr="00D768EF">
        <w:rPr>
          <w:szCs w:val="22"/>
          <w:lang w:val="sr-Latn-ME"/>
        </w:rPr>
        <w:t xml:space="preserve">. </w:t>
      </w:r>
      <w:r w:rsidRPr="00D768EF">
        <w:rPr>
          <w:bCs/>
          <w:color w:val="000000"/>
          <w:szCs w:val="22"/>
          <w:lang w:val="sr-Latn-ME"/>
        </w:rPr>
        <w:t>Jedna ozbiljna</w:t>
      </w:r>
      <w:r w:rsidRPr="00D768EF">
        <w:rPr>
          <w:color w:val="000000"/>
          <w:szCs w:val="22"/>
          <w:lang w:val="sr-Latn-ME"/>
        </w:rPr>
        <w:t xml:space="preserve"> reakcija vezana za infuziju</w:t>
      </w:r>
      <w:r w:rsidRPr="00D768EF">
        <w:rPr>
          <w:szCs w:val="22"/>
          <w:lang w:val="sr-Latn-ME"/>
        </w:rPr>
        <w:t xml:space="preserve"> (&lt;1%) javila se kod pacijenta na monoterapiji infliksimabom. </w:t>
      </w:r>
    </w:p>
    <w:p w14:paraId="0D1977CA" w14:textId="77777777" w:rsidR="00C175E4" w:rsidRPr="00D768EF" w:rsidRDefault="00C175E4" w:rsidP="00C175E4">
      <w:pPr>
        <w:rPr>
          <w:iCs/>
          <w:szCs w:val="22"/>
          <w:lang w:val="sr-Latn-ME"/>
        </w:rPr>
      </w:pPr>
    </w:p>
    <w:p w14:paraId="251525A0" w14:textId="3D778014" w:rsidR="00962FE0" w:rsidRPr="00D768EF" w:rsidRDefault="00962FE0" w:rsidP="00962FE0">
      <w:pPr>
        <w:rPr>
          <w:iCs/>
          <w:szCs w:val="22"/>
          <w:lang w:val="sr-Latn-ME"/>
        </w:rPr>
      </w:pPr>
      <w:r w:rsidRPr="00D768EF">
        <w:rPr>
          <w:snapToGrid w:val="0"/>
          <w:szCs w:val="22"/>
          <w:lang w:val="sr-Latn-ME"/>
        </w:rPr>
        <w:t>Posl</w:t>
      </w:r>
      <w:r w:rsidR="00CF5D59">
        <w:rPr>
          <w:snapToGrid w:val="0"/>
          <w:szCs w:val="22"/>
          <w:lang w:val="sr-Latn-ME"/>
        </w:rPr>
        <w:t>ij</w:t>
      </w:r>
      <w:r w:rsidRPr="00D768EF">
        <w:rPr>
          <w:snapToGrid w:val="0"/>
          <w:szCs w:val="22"/>
          <w:lang w:val="sr-Latn-ME"/>
        </w:rPr>
        <w:t>e stavljanja l</w:t>
      </w:r>
      <w:r w:rsidR="001B0A77" w:rsidRPr="00D768EF">
        <w:rPr>
          <w:snapToGrid w:val="0"/>
          <w:szCs w:val="22"/>
          <w:lang w:val="sr-Latn-ME"/>
        </w:rPr>
        <w:t>ij</w:t>
      </w:r>
      <w:r w:rsidRPr="00D768EF">
        <w:rPr>
          <w:snapToGrid w:val="0"/>
          <w:szCs w:val="22"/>
          <w:lang w:val="sr-Latn-ME"/>
        </w:rPr>
        <w:t>eka u promet bilo je slučajeva reakcija sličnih anafilaktičkim, uključujući edem larinksa/farinksa i težak oblik bronhospazma, kao i konvulzije koje su se povezivale sa prim</w:t>
      </w:r>
      <w:r w:rsidR="00126595" w:rsidRPr="00D768EF">
        <w:rPr>
          <w:snapToGrid w:val="0"/>
          <w:szCs w:val="22"/>
          <w:lang w:val="sr-Latn-ME"/>
        </w:rPr>
        <w:t>j</w:t>
      </w:r>
      <w:r w:rsidRPr="00D768EF">
        <w:rPr>
          <w:snapToGrid w:val="0"/>
          <w:szCs w:val="22"/>
          <w:lang w:val="sr-Latn-ME"/>
        </w:rPr>
        <w:t xml:space="preserve">enom infliksimaba </w:t>
      </w:r>
      <w:r w:rsidRPr="00D768EF">
        <w:rPr>
          <w:iCs/>
          <w:snapToGrid w:val="0"/>
          <w:szCs w:val="22"/>
          <w:lang w:val="sr-Latn-ME"/>
        </w:rPr>
        <w:t>(</w:t>
      </w:r>
      <w:r w:rsidR="00282A1E" w:rsidRPr="00D768EF">
        <w:rPr>
          <w:iCs/>
          <w:snapToGrid w:val="0"/>
          <w:szCs w:val="22"/>
          <w:lang w:val="sr-Latn-ME"/>
        </w:rPr>
        <w:t>vidjeti</w:t>
      </w:r>
      <w:r w:rsidRPr="00D768EF">
        <w:rPr>
          <w:iCs/>
          <w:snapToGrid w:val="0"/>
          <w:szCs w:val="22"/>
          <w:lang w:val="sr-Latn-ME"/>
        </w:rPr>
        <w:t xml:space="preserve"> </w:t>
      </w:r>
      <w:r w:rsidR="00454E9F" w:rsidRPr="00D768EF">
        <w:rPr>
          <w:iCs/>
          <w:snapToGrid w:val="0"/>
          <w:szCs w:val="22"/>
          <w:lang w:val="sr-Latn-ME"/>
        </w:rPr>
        <w:t>dio</w:t>
      </w:r>
      <w:r w:rsidRPr="00D768EF">
        <w:rPr>
          <w:iCs/>
          <w:snapToGrid w:val="0"/>
          <w:szCs w:val="22"/>
          <w:lang w:val="sr-Latn-ME"/>
        </w:rPr>
        <w:t xml:space="preserve"> 4.4)</w:t>
      </w:r>
      <w:r w:rsidRPr="00D768EF">
        <w:rPr>
          <w:snapToGrid w:val="0"/>
          <w:szCs w:val="22"/>
          <w:lang w:val="sr-Latn-ME"/>
        </w:rPr>
        <w:t>.</w:t>
      </w:r>
      <w:r w:rsidRPr="00D768EF">
        <w:rPr>
          <w:iCs/>
          <w:szCs w:val="22"/>
          <w:lang w:val="sr-Latn-ME"/>
        </w:rPr>
        <w:t xml:space="preserve"> Prijavljeni su slučavevi prolaznog gubitka vida koji su se javili tokom ili do 2 sata posl</w:t>
      </w:r>
      <w:r w:rsidR="00CF5D59">
        <w:rPr>
          <w:iCs/>
          <w:szCs w:val="22"/>
          <w:lang w:val="sr-Latn-ME"/>
        </w:rPr>
        <w:t>ij</w:t>
      </w:r>
      <w:r w:rsidRPr="00D768EF">
        <w:rPr>
          <w:iCs/>
          <w:szCs w:val="22"/>
          <w:lang w:val="sr-Latn-ME"/>
        </w:rPr>
        <w:t>e primanja infuzije infliksimaba.</w:t>
      </w:r>
    </w:p>
    <w:p w14:paraId="3751292B" w14:textId="77777777" w:rsidR="00962FE0" w:rsidRPr="00D768EF" w:rsidRDefault="00962FE0" w:rsidP="00962FE0">
      <w:pPr>
        <w:rPr>
          <w:iCs/>
          <w:szCs w:val="22"/>
          <w:lang w:val="sr-Latn-ME"/>
        </w:rPr>
      </w:pPr>
    </w:p>
    <w:p w14:paraId="3FA51962" w14:textId="79536AA5" w:rsidR="00962FE0" w:rsidRPr="00D768EF" w:rsidRDefault="00962FE0" w:rsidP="00962FE0">
      <w:pPr>
        <w:rPr>
          <w:snapToGrid w:val="0"/>
          <w:szCs w:val="22"/>
          <w:lang w:val="sr-Latn-ME"/>
        </w:rPr>
      </w:pPr>
      <w:bookmarkStart w:id="4" w:name="_Hlk68680324"/>
      <w:r w:rsidRPr="00D768EF">
        <w:rPr>
          <w:iCs/>
          <w:szCs w:val="22"/>
          <w:lang w:val="sr-Latn-ME"/>
        </w:rPr>
        <w:t xml:space="preserve">Prijavljeni su slučajevi (neki sa smrtnim ishodom) ishemije miokarda/infarkta miokarda i aritmije, od kojih su neki bili vremenski </w:t>
      </w:r>
      <w:r w:rsidR="008664C7" w:rsidRPr="00D768EF">
        <w:rPr>
          <w:iCs/>
          <w:szCs w:val="22"/>
          <w:lang w:val="sr-Latn-ME"/>
        </w:rPr>
        <w:t>blisko</w:t>
      </w:r>
      <w:r w:rsidRPr="00D768EF">
        <w:rPr>
          <w:iCs/>
          <w:szCs w:val="22"/>
          <w:lang w:val="sr-Latn-ME"/>
        </w:rPr>
        <w:t xml:space="preserve"> povezani sa infuzijom infliksimaba</w:t>
      </w:r>
      <w:r w:rsidR="008664C7" w:rsidRPr="00D768EF">
        <w:rPr>
          <w:iCs/>
          <w:szCs w:val="22"/>
          <w:lang w:val="sr-Latn-ME"/>
        </w:rPr>
        <w:t>. P</w:t>
      </w:r>
      <w:r w:rsidR="00473AE6" w:rsidRPr="00D768EF">
        <w:rPr>
          <w:iCs/>
          <w:szCs w:val="22"/>
          <w:lang w:val="sr-Latn-ME"/>
        </w:rPr>
        <w:t>rijavljeni</w:t>
      </w:r>
      <w:r w:rsidR="008664C7" w:rsidRPr="00D768EF">
        <w:rPr>
          <w:iCs/>
          <w:szCs w:val="22"/>
          <w:lang w:val="sr-Latn-ME"/>
        </w:rPr>
        <w:t xml:space="preserve"> su</w:t>
      </w:r>
      <w:r w:rsidR="00473AE6" w:rsidRPr="00D768EF">
        <w:rPr>
          <w:iCs/>
          <w:szCs w:val="22"/>
          <w:lang w:val="sr-Latn-ME"/>
        </w:rPr>
        <w:t xml:space="preserve"> i </w:t>
      </w:r>
      <w:r w:rsidR="008664C7" w:rsidRPr="00D768EF">
        <w:rPr>
          <w:iCs/>
          <w:szCs w:val="22"/>
          <w:lang w:val="sr-Latn-ME"/>
        </w:rPr>
        <w:t xml:space="preserve">slučajevi </w:t>
      </w:r>
      <w:r w:rsidR="00473AE6" w:rsidRPr="00D768EF">
        <w:rPr>
          <w:iCs/>
          <w:szCs w:val="22"/>
          <w:lang w:val="sr-Latn-ME"/>
        </w:rPr>
        <w:t>cerebrovaskularni</w:t>
      </w:r>
      <w:r w:rsidR="008664C7" w:rsidRPr="00D768EF">
        <w:rPr>
          <w:iCs/>
          <w:szCs w:val="22"/>
          <w:lang w:val="sr-Latn-ME"/>
        </w:rPr>
        <w:t>h događaja</w:t>
      </w:r>
      <w:r w:rsidR="00473AE6" w:rsidRPr="00D768EF">
        <w:rPr>
          <w:iCs/>
          <w:szCs w:val="22"/>
          <w:lang w:val="sr-Latn-ME"/>
        </w:rPr>
        <w:t xml:space="preserve"> koji</w:t>
      </w:r>
      <w:r w:rsidR="00AF0770" w:rsidRPr="00D768EF">
        <w:rPr>
          <w:iCs/>
          <w:szCs w:val="22"/>
          <w:lang w:val="sr-Latn-ME"/>
        </w:rPr>
        <w:t xml:space="preserve"> su</w:t>
      </w:r>
      <w:r w:rsidR="00473AE6" w:rsidRPr="00D768EF">
        <w:rPr>
          <w:iCs/>
          <w:szCs w:val="22"/>
          <w:lang w:val="sr-Latn-ME"/>
        </w:rPr>
        <w:t xml:space="preserve"> vremenski </w:t>
      </w:r>
      <w:r w:rsidR="008664C7" w:rsidRPr="00D768EF">
        <w:rPr>
          <w:iCs/>
          <w:szCs w:val="22"/>
          <w:lang w:val="sr-Latn-ME"/>
        </w:rPr>
        <w:t>blisko</w:t>
      </w:r>
      <w:r w:rsidR="00473AE6" w:rsidRPr="00D768EF">
        <w:rPr>
          <w:iCs/>
          <w:szCs w:val="22"/>
          <w:lang w:val="sr-Latn-ME"/>
        </w:rPr>
        <w:t xml:space="preserve"> povezani sa infuzijom </w:t>
      </w:r>
      <w:r w:rsidR="009750F9" w:rsidRPr="00D768EF">
        <w:rPr>
          <w:iCs/>
          <w:szCs w:val="22"/>
          <w:lang w:val="sr-Latn-ME"/>
        </w:rPr>
        <w:t>infliksimaba</w:t>
      </w:r>
      <w:r w:rsidRPr="00D768EF">
        <w:rPr>
          <w:iCs/>
          <w:szCs w:val="22"/>
          <w:lang w:val="sr-Latn-ME"/>
        </w:rPr>
        <w:t>.</w:t>
      </w:r>
    </w:p>
    <w:p w14:paraId="3BCB985F" w14:textId="77777777" w:rsidR="00C175E4" w:rsidRPr="00D768EF" w:rsidRDefault="00C175E4" w:rsidP="00C175E4">
      <w:pPr>
        <w:rPr>
          <w:snapToGrid w:val="0"/>
          <w:color w:val="000000"/>
          <w:szCs w:val="22"/>
          <w:lang w:val="sr-Latn-ME"/>
        </w:rPr>
      </w:pPr>
    </w:p>
    <w:bookmarkEnd w:id="4"/>
    <w:p w14:paraId="0CA15134" w14:textId="31788DB5" w:rsidR="00C175E4" w:rsidRPr="00D768EF" w:rsidRDefault="00C175E4" w:rsidP="002C1E29">
      <w:pPr>
        <w:pStyle w:val="BodyText"/>
        <w:keepNext/>
        <w:jc w:val="both"/>
        <w:rPr>
          <w:i/>
          <w:iCs/>
          <w:color w:val="000000"/>
          <w:szCs w:val="22"/>
          <w:lang w:val="sr-Latn-ME" w:eastAsia="en-US"/>
        </w:rPr>
      </w:pPr>
      <w:r w:rsidRPr="00D768EF">
        <w:rPr>
          <w:b w:val="0"/>
          <w:i/>
          <w:iCs/>
          <w:color w:val="000000"/>
          <w:szCs w:val="22"/>
          <w:lang w:val="sr-Latn-ME" w:eastAsia="en-US"/>
        </w:rPr>
        <w:t>Reakcije na infuziju posl</w:t>
      </w:r>
      <w:r w:rsidR="00CF5D59">
        <w:rPr>
          <w:b w:val="0"/>
          <w:i/>
          <w:iCs/>
          <w:color w:val="000000"/>
          <w:szCs w:val="22"/>
          <w:lang w:val="sr-Latn-ME" w:eastAsia="en-US"/>
        </w:rPr>
        <w:t>ij</w:t>
      </w:r>
      <w:r w:rsidRPr="00D768EF">
        <w:rPr>
          <w:b w:val="0"/>
          <w:i/>
          <w:iCs/>
          <w:color w:val="000000"/>
          <w:szCs w:val="22"/>
          <w:lang w:val="sr-Latn-ME" w:eastAsia="en-US"/>
        </w:rPr>
        <w:t>e ponovne prim</w:t>
      </w:r>
      <w:r w:rsidR="00126595" w:rsidRPr="00D768EF">
        <w:rPr>
          <w:b w:val="0"/>
          <w:i/>
          <w:iCs/>
          <w:color w:val="000000"/>
          <w:szCs w:val="22"/>
          <w:lang w:val="sr-Latn-ME" w:eastAsia="en-US"/>
        </w:rPr>
        <w:t>j</w:t>
      </w:r>
      <w:r w:rsidRPr="00D768EF">
        <w:rPr>
          <w:b w:val="0"/>
          <w:i/>
          <w:iCs/>
          <w:color w:val="000000"/>
          <w:szCs w:val="22"/>
          <w:lang w:val="sr-Latn-ME" w:eastAsia="en-US"/>
        </w:rPr>
        <w:t>ene infliksimaba</w:t>
      </w:r>
      <w:r w:rsidRPr="00D768EF">
        <w:rPr>
          <w:i/>
          <w:iCs/>
          <w:color w:val="000000"/>
          <w:szCs w:val="22"/>
          <w:lang w:val="sr-Latn-ME" w:eastAsia="en-US"/>
        </w:rPr>
        <w:t xml:space="preserve"> </w:t>
      </w:r>
    </w:p>
    <w:p w14:paraId="23B4DF74" w14:textId="0EE384C5" w:rsidR="00C175E4" w:rsidRPr="00D768EF" w:rsidRDefault="00C175E4" w:rsidP="00C175E4">
      <w:pPr>
        <w:pStyle w:val="BodyText"/>
        <w:jc w:val="both"/>
        <w:rPr>
          <w:b w:val="0"/>
          <w:bCs/>
          <w:color w:val="000000"/>
          <w:szCs w:val="22"/>
          <w:lang w:val="sr-Latn-ME" w:eastAsia="en-US"/>
        </w:rPr>
      </w:pPr>
      <w:r w:rsidRPr="00D768EF">
        <w:rPr>
          <w:b w:val="0"/>
          <w:bCs/>
          <w:color w:val="000000"/>
          <w:szCs w:val="22"/>
          <w:lang w:val="sr-Latn-ME" w:eastAsia="en-US"/>
        </w:rPr>
        <w:t>Sprovedena je klinička studija na pacijentima sa um</w:t>
      </w:r>
      <w:r w:rsidR="001B0A77" w:rsidRPr="00D768EF">
        <w:rPr>
          <w:b w:val="0"/>
          <w:bCs/>
          <w:color w:val="000000"/>
          <w:szCs w:val="22"/>
          <w:lang w:val="sr-Latn-ME" w:eastAsia="en-US"/>
        </w:rPr>
        <w:t>j</w:t>
      </w:r>
      <w:r w:rsidRPr="00D768EF">
        <w:rPr>
          <w:b w:val="0"/>
          <w:bCs/>
          <w:color w:val="000000"/>
          <w:szCs w:val="22"/>
          <w:lang w:val="sr-Latn-ME" w:eastAsia="en-US"/>
        </w:rPr>
        <w:t>erenom do teškom psorijazom kako bi se proc</w:t>
      </w:r>
      <w:r w:rsidR="001B0A77" w:rsidRPr="00D768EF">
        <w:rPr>
          <w:b w:val="0"/>
          <w:bCs/>
          <w:color w:val="000000"/>
          <w:szCs w:val="22"/>
          <w:lang w:val="sr-Latn-ME" w:eastAsia="en-US"/>
        </w:rPr>
        <w:t>ij</w:t>
      </w:r>
      <w:r w:rsidRPr="00D768EF">
        <w:rPr>
          <w:b w:val="0"/>
          <w:bCs/>
          <w:color w:val="000000"/>
          <w:szCs w:val="22"/>
          <w:lang w:val="sr-Latn-ME" w:eastAsia="en-US"/>
        </w:rPr>
        <w:t xml:space="preserve">enili efikasnost i </w:t>
      </w:r>
      <w:r w:rsidR="00282A1E" w:rsidRPr="00D768EF">
        <w:rPr>
          <w:b w:val="0"/>
          <w:bCs/>
          <w:color w:val="000000"/>
          <w:szCs w:val="22"/>
          <w:lang w:val="sr-Latn-ME" w:eastAsia="en-US"/>
        </w:rPr>
        <w:t>bezbjedn</w:t>
      </w:r>
      <w:r w:rsidR="00220982" w:rsidRPr="00D768EF">
        <w:rPr>
          <w:b w:val="0"/>
          <w:bCs/>
          <w:color w:val="000000"/>
          <w:szCs w:val="22"/>
          <w:lang w:val="sr-Latn-ME" w:eastAsia="en-US"/>
        </w:rPr>
        <w:t>o</w:t>
      </w:r>
      <w:r w:rsidRPr="00D768EF">
        <w:rPr>
          <w:b w:val="0"/>
          <w:bCs/>
          <w:color w:val="000000"/>
          <w:szCs w:val="22"/>
          <w:lang w:val="sr-Latn-ME" w:eastAsia="en-US"/>
        </w:rPr>
        <w:t xml:space="preserve">st dugotrajne terapije održavanja u odnosu na ponovno davanje uvodnog režima </w:t>
      </w:r>
      <w:r w:rsidR="00D57936" w:rsidRPr="00D768EF">
        <w:rPr>
          <w:b w:val="0"/>
          <w:bCs/>
          <w:color w:val="000000"/>
          <w:szCs w:val="22"/>
          <w:lang w:val="sr-Latn-ME" w:eastAsia="en-US"/>
        </w:rPr>
        <w:t>liječe</w:t>
      </w:r>
      <w:r w:rsidRPr="00D768EF">
        <w:rPr>
          <w:b w:val="0"/>
          <w:bCs/>
          <w:color w:val="000000"/>
          <w:szCs w:val="22"/>
          <w:lang w:val="sr-Latn-ME" w:eastAsia="en-US"/>
        </w:rPr>
        <w:t xml:space="preserve">nja infliksimabom (maksimalno četiri infuzije na 0, 2, 6 i 14 </w:t>
      </w:r>
      <w:r w:rsidR="00D57936" w:rsidRPr="00D768EF">
        <w:rPr>
          <w:b w:val="0"/>
          <w:bCs/>
          <w:color w:val="000000"/>
          <w:szCs w:val="22"/>
          <w:lang w:val="sr-Latn-ME" w:eastAsia="en-US"/>
        </w:rPr>
        <w:t>nedjelj</w:t>
      </w:r>
      <w:r w:rsidRPr="00D768EF">
        <w:rPr>
          <w:b w:val="0"/>
          <w:bCs/>
          <w:color w:val="000000"/>
          <w:szCs w:val="22"/>
          <w:lang w:val="sr-Latn-ME" w:eastAsia="en-US"/>
        </w:rPr>
        <w:t>a) posl</w:t>
      </w:r>
      <w:r w:rsidR="00CF5D59">
        <w:rPr>
          <w:b w:val="0"/>
          <w:bCs/>
          <w:color w:val="000000"/>
          <w:szCs w:val="22"/>
          <w:lang w:val="sr-Latn-ME" w:eastAsia="en-US"/>
        </w:rPr>
        <w:t>ij</w:t>
      </w:r>
      <w:r w:rsidRPr="00D768EF">
        <w:rPr>
          <w:b w:val="0"/>
          <w:bCs/>
          <w:color w:val="000000"/>
          <w:szCs w:val="22"/>
          <w:lang w:val="sr-Latn-ME" w:eastAsia="en-US"/>
        </w:rPr>
        <w:t xml:space="preserve">e ponovnog izbijanja bolesti. Pacijenti nisu istovremeno primali terapiju imunosupresivima. U grupi </w:t>
      </w:r>
      <w:r w:rsidR="008664C7" w:rsidRPr="00D768EF">
        <w:rPr>
          <w:b w:val="0"/>
          <w:bCs/>
          <w:color w:val="000000"/>
          <w:szCs w:val="22"/>
          <w:lang w:val="sr-Latn-ME" w:eastAsia="en-US"/>
        </w:rPr>
        <w:t>pacijenata koji su primili uvodni režim l</w:t>
      </w:r>
      <w:r w:rsidR="009F3807" w:rsidRPr="00D768EF">
        <w:rPr>
          <w:b w:val="0"/>
          <w:bCs/>
          <w:color w:val="000000"/>
          <w:szCs w:val="22"/>
          <w:lang w:val="sr-Latn-ME" w:eastAsia="en-US"/>
        </w:rPr>
        <w:t>ij</w:t>
      </w:r>
      <w:r w:rsidR="008664C7" w:rsidRPr="00D768EF">
        <w:rPr>
          <w:b w:val="0"/>
          <w:bCs/>
          <w:color w:val="000000"/>
          <w:szCs w:val="22"/>
          <w:lang w:val="sr-Latn-ME" w:eastAsia="en-US"/>
        </w:rPr>
        <w:t>ečenja</w:t>
      </w:r>
      <w:r w:rsidRPr="00D768EF">
        <w:rPr>
          <w:b w:val="0"/>
          <w:bCs/>
          <w:color w:val="000000"/>
          <w:szCs w:val="22"/>
          <w:lang w:val="sr-Latn-ME" w:eastAsia="en-US"/>
        </w:rPr>
        <w:t xml:space="preserve">, 4% (8/219) pacijenata je imalo ozbiljnu reakciju na infuziju, u odnosu na &lt; 1% (1/222) pacijenata koji su primali terapiju održavanja. Većina ozbiljnih reakcija na infuziju javila se u toku druge infuzije u drugoj </w:t>
      </w:r>
      <w:r w:rsidR="00D57936" w:rsidRPr="00D768EF">
        <w:rPr>
          <w:b w:val="0"/>
          <w:bCs/>
          <w:color w:val="000000"/>
          <w:szCs w:val="22"/>
          <w:lang w:val="sr-Latn-ME" w:eastAsia="en-US"/>
        </w:rPr>
        <w:t>nedjelj</w:t>
      </w:r>
      <w:r w:rsidRPr="00D768EF">
        <w:rPr>
          <w:b w:val="0"/>
          <w:bCs/>
          <w:color w:val="000000"/>
          <w:szCs w:val="22"/>
          <w:lang w:val="sr-Latn-ME" w:eastAsia="en-US"/>
        </w:rPr>
        <w:t xml:space="preserve">i. Interval između poslednje doze održavanja i prve doze ponovljenog uvodnog režima </w:t>
      </w:r>
      <w:r w:rsidR="00D57936" w:rsidRPr="00D768EF">
        <w:rPr>
          <w:b w:val="0"/>
          <w:bCs/>
          <w:color w:val="000000"/>
          <w:szCs w:val="22"/>
          <w:lang w:val="sr-Latn-ME" w:eastAsia="en-US"/>
        </w:rPr>
        <w:t>liječe</w:t>
      </w:r>
      <w:r w:rsidRPr="00D768EF">
        <w:rPr>
          <w:b w:val="0"/>
          <w:bCs/>
          <w:color w:val="000000"/>
          <w:szCs w:val="22"/>
          <w:lang w:val="sr-Latn-ME" w:eastAsia="en-US"/>
        </w:rPr>
        <w:t>nja kretao se od 35 do 231 dan. Simptomi su uključivali, ali nisu bili ograničeni na</w:t>
      </w:r>
      <w:r w:rsidR="008664C7" w:rsidRPr="00D768EF">
        <w:rPr>
          <w:b w:val="0"/>
          <w:bCs/>
          <w:color w:val="000000"/>
          <w:szCs w:val="22"/>
          <w:lang w:val="sr-Latn-ME" w:eastAsia="en-US"/>
        </w:rPr>
        <w:t>,</w:t>
      </w:r>
      <w:r w:rsidRPr="00D768EF">
        <w:rPr>
          <w:b w:val="0"/>
          <w:bCs/>
          <w:color w:val="000000"/>
          <w:szCs w:val="22"/>
          <w:lang w:val="sr-Latn-ME" w:eastAsia="en-US"/>
        </w:rPr>
        <w:t xml:space="preserve"> dispneju, urtikariju, edem lica i hipotenziju. U svim slučajevima terapija infliksimabom je bila prekinuta i/ili je data druga terapija, uz potpun</w:t>
      </w:r>
      <w:r w:rsidR="008664C7" w:rsidRPr="00D768EF">
        <w:rPr>
          <w:b w:val="0"/>
          <w:bCs/>
          <w:color w:val="000000"/>
          <w:szCs w:val="22"/>
          <w:lang w:val="sr-Latn-ME" w:eastAsia="en-US"/>
        </w:rPr>
        <w:t>i nestanak</w:t>
      </w:r>
      <w:r w:rsidRPr="00D768EF">
        <w:rPr>
          <w:b w:val="0"/>
          <w:bCs/>
          <w:color w:val="000000"/>
          <w:szCs w:val="22"/>
          <w:lang w:val="sr-Latn-ME" w:eastAsia="en-US"/>
        </w:rPr>
        <w:t xml:space="preserve"> znakova i simptoma.</w:t>
      </w:r>
    </w:p>
    <w:p w14:paraId="6CED3B61" w14:textId="77777777" w:rsidR="00C175E4" w:rsidRPr="00D768EF" w:rsidRDefault="00C175E4" w:rsidP="00C175E4">
      <w:pPr>
        <w:pStyle w:val="BodyText"/>
        <w:jc w:val="both"/>
        <w:rPr>
          <w:b w:val="0"/>
          <w:bCs/>
          <w:color w:val="000000"/>
          <w:szCs w:val="22"/>
          <w:lang w:val="sr-Latn-ME" w:eastAsia="en-US"/>
        </w:rPr>
      </w:pPr>
    </w:p>
    <w:p w14:paraId="640BFB10" w14:textId="38B8B79C" w:rsidR="00C175E4" w:rsidRPr="00D768EF" w:rsidRDefault="00C175E4" w:rsidP="00C175E4">
      <w:pPr>
        <w:rPr>
          <w:i/>
          <w:iCs/>
          <w:color w:val="000000"/>
          <w:szCs w:val="22"/>
          <w:lang w:val="sr-Latn-ME"/>
        </w:rPr>
      </w:pPr>
      <w:r w:rsidRPr="00D768EF">
        <w:rPr>
          <w:i/>
          <w:iCs/>
          <w:color w:val="000000"/>
          <w:szCs w:val="22"/>
          <w:lang w:val="sr-Latn-ME"/>
        </w:rPr>
        <w:t xml:space="preserve">Reakcije kasne </w:t>
      </w:r>
      <w:r w:rsidR="001B0A77" w:rsidRPr="00D768EF">
        <w:rPr>
          <w:i/>
          <w:iCs/>
          <w:color w:val="000000"/>
          <w:szCs w:val="22"/>
          <w:lang w:val="sr-Latn-ME"/>
        </w:rPr>
        <w:t>preosje</w:t>
      </w:r>
      <w:r w:rsidRPr="00D768EF">
        <w:rPr>
          <w:i/>
          <w:iCs/>
          <w:color w:val="000000"/>
          <w:szCs w:val="22"/>
          <w:lang w:val="sr-Latn-ME"/>
        </w:rPr>
        <w:t xml:space="preserve">tljivosti </w:t>
      </w:r>
    </w:p>
    <w:p w14:paraId="3AAB7459" w14:textId="066B9A9F" w:rsidR="00C175E4" w:rsidRPr="00D768EF" w:rsidRDefault="00C175E4" w:rsidP="00C175E4">
      <w:pPr>
        <w:rPr>
          <w:color w:val="000000"/>
          <w:szCs w:val="22"/>
          <w:lang w:val="sr-Latn-ME"/>
        </w:rPr>
      </w:pPr>
      <w:r w:rsidRPr="00D768EF">
        <w:rPr>
          <w:color w:val="000000"/>
          <w:szCs w:val="22"/>
          <w:lang w:val="sr-Latn-ME"/>
        </w:rPr>
        <w:t xml:space="preserve">U kliničkim studijama reakcije kasne </w:t>
      </w:r>
      <w:r w:rsidR="001B0A77" w:rsidRPr="00D768EF">
        <w:rPr>
          <w:color w:val="000000"/>
          <w:szCs w:val="22"/>
          <w:lang w:val="sr-Latn-ME"/>
        </w:rPr>
        <w:t>preosje</w:t>
      </w:r>
      <w:r w:rsidRPr="00D768EF">
        <w:rPr>
          <w:color w:val="000000"/>
          <w:szCs w:val="22"/>
          <w:lang w:val="sr-Latn-ME"/>
        </w:rPr>
        <w:t>tljivosti su bile povremene i javljale su se nakon što se infliksimab nije prim</w:t>
      </w:r>
      <w:r w:rsidR="00126595" w:rsidRPr="00D768EF">
        <w:rPr>
          <w:color w:val="000000"/>
          <w:szCs w:val="22"/>
          <w:lang w:val="sr-Latn-ME"/>
        </w:rPr>
        <w:t>j</w:t>
      </w:r>
      <w:r w:rsidRPr="00D768EF">
        <w:rPr>
          <w:color w:val="000000"/>
          <w:szCs w:val="22"/>
          <w:lang w:val="sr-Latn-ME"/>
        </w:rPr>
        <w:t xml:space="preserve">enjivao u razdoblju kraćem od godinu dana. U ispitivanjima psorijaze reakcije kasne </w:t>
      </w:r>
      <w:r w:rsidR="001B0A77" w:rsidRPr="00D768EF">
        <w:rPr>
          <w:color w:val="000000"/>
          <w:szCs w:val="22"/>
          <w:lang w:val="sr-Latn-ME"/>
        </w:rPr>
        <w:t>preosje</w:t>
      </w:r>
      <w:r w:rsidRPr="00D768EF">
        <w:rPr>
          <w:color w:val="000000"/>
          <w:szCs w:val="22"/>
          <w:lang w:val="sr-Latn-ME"/>
        </w:rPr>
        <w:t xml:space="preserve">tljivosti događale su se u ranoj fazi </w:t>
      </w:r>
      <w:r w:rsidR="00D57936" w:rsidRPr="00D768EF">
        <w:rPr>
          <w:color w:val="000000"/>
          <w:szCs w:val="22"/>
          <w:lang w:val="sr-Latn-ME"/>
        </w:rPr>
        <w:t>liječe</w:t>
      </w:r>
      <w:r w:rsidRPr="00D768EF">
        <w:rPr>
          <w:color w:val="000000"/>
          <w:szCs w:val="22"/>
          <w:lang w:val="sr-Latn-ME"/>
        </w:rPr>
        <w:t>nja. Znaci i simptomi obuhvatali su mijalgiju i/ili artralgiju sa povišenom temperaturom i/ili osipom, dok se kod nekih pacijenata javio pruritus, edem lica, šaka ili usana, disfagija, urtikarija, bol u grlu i glavobolja.</w:t>
      </w:r>
    </w:p>
    <w:p w14:paraId="5E9B4482" w14:textId="77777777" w:rsidR="00C175E4" w:rsidRPr="00D768EF" w:rsidRDefault="00C175E4" w:rsidP="00C175E4">
      <w:pPr>
        <w:rPr>
          <w:color w:val="000000"/>
          <w:szCs w:val="22"/>
          <w:lang w:val="sr-Latn-ME"/>
        </w:rPr>
      </w:pPr>
    </w:p>
    <w:p w14:paraId="05A028B0" w14:textId="6B7D465D" w:rsidR="00C175E4" w:rsidRPr="00D768EF" w:rsidRDefault="00C175E4" w:rsidP="00C175E4">
      <w:pPr>
        <w:rPr>
          <w:color w:val="000000"/>
          <w:szCs w:val="22"/>
          <w:lang w:val="sr-Latn-ME"/>
        </w:rPr>
      </w:pPr>
      <w:r w:rsidRPr="00D768EF">
        <w:rPr>
          <w:color w:val="000000"/>
          <w:szCs w:val="22"/>
          <w:lang w:val="sr-Latn-ME"/>
        </w:rPr>
        <w:t xml:space="preserve">Nema dovoljno podataka o incidenci reakcija kasne </w:t>
      </w:r>
      <w:r w:rsidR="001B0A77" w:rsidRPr="00D768EF">
        <w:rPr>
          <w:color w:val="000000"/>
          <w:szCs w:val="22"/>
          <w:lang w:val="sr-Latn-ME"/>
        </w:rPr>
        <w:t>preosje</w:t>
      </w:r>
      <w:r w:rsidRPr="00D768EF">
        <w:rPr>
          <w:color w:val="000000"/>
          <w:szCs w:val="22"/>
          <w:lang w:val="sr-Latn-ME"/>
        </w:rPr>
        <w:t>tljivosti posl</w:t>
      </w:r>
      <w:r w:rsidR="00CF5D59">
        <w:rPr>
          <w:color w:val="000000"/>
          <w:szCs w:val="22"/>
          <w:lang w:val="sr-Latn-ME"/>
        </w:rPr>
        <w:t>ij</w:t>
      </w:r>
      <w:r w:rsidRPr="00D768EF">
        <w:rPr>
          <w:color w:val="000000"/>
          <w:szCs w:val="22"/>
          <w:lang w:val="sr-Latn-ME"/>
        </w:rPr>
        <w:t xml:space="preserve">e prekida davanja infliksimaba u periodu dužem od 1 godine, ali ograničeni podaci iz kliničkih studija ukazuju na povećanje rizika od kasne </w:t>
      </w:r>
      <w:r w:rsidR="001B0A77" w:rsidRPr="00D768EF">
        <w:rPr>
          <w:color w:val="000000"/>
          <w:szCs w:val="22"/>
          <w:lang w:val="sr-Latn-ME"/>
        </w:rPr>
        <w:t>preosje</w:t>
      </w:r>
      <w:r w:rsidRPr="00D768EF">
        <w:rPr>
          <w:color w:val="000000"/>
          <w:szCs w:val="22"/>
          <w:lang w:val="sr-Latn-ME"/>
        </w:rPr>
        <w:t xml:space="preserve">tljivosti što je duži period u kojem se infliksimab ne </w:t>
      </w:r>
      <w:r w:rsidR="00D57936" w:rsidRPr="00D768EF">
        <w:rPr>
          <w:color w:val="000000"/>
          <w:szCs w:val="22"/>
          <w:lang w:val="sr-Latn-ME"/>
        </w:rPr>
        <w:t>primjenju</w:t>
      </w:r>
      <w:r w:rsidRPr="00D768EF">
        <w:rPr>
          <w:color w:val="000000"/>
          <w:szCs w:val="22"/>
          <w:lang w:val="sr-Latn-ME"/>
        </w:rPr>
        <w:t xml:space="preserve">je </w:t>
      </w:r>
      <w:r w:rsidRPr="00D768EF">
        <w:rPr>
          <w:iCs/>
          <w:szCs w:val="22"/>
          <w:lang w:val="sr-Latn-ME"/>
        </w:rPr>
        <w:t>(</w:t>
      </w:r>
      <w:r w:rsidR="00282A1E" w:rsidRPr="00D768EF">
        <w:rPr>
          <w:iCs/>
          <w:szCs w:val="22"/>
          <w:lang w:val="sr-Latn-ME"/>
        </w:rPr>
        <w:t>vidjeti</w:t>
      </w:r>
      <w:r w:rsidRPr="00D768EF">
        <w:rPr>
          <w:iCs/>
          <w:szCs w:val="22"/>
          <w:lang w:val="sr-Latn-ME"/>
        </w:rPr>
        <w:t xml:space="preserve"> </w:t>
      </w:r>
      <w:r w:rsidR="00454E9F" w:rsidRPr="00D768EF">
        <w:rPr>
          <w:iCs/>
          <w:szCs w:val="22"/>
          <w:lang w:val="sr-Latn-ME"/>
        </w:rPr>
        <w:t>dio</w:t>
      </w:r>
      <w:r w:rsidRPr="00D768EF">
        <w:rPr>
          <w:iCs/>
          <w:szCs w:val="22"/>
          <w:lang w:val="sr-Latn-ME"/>
        </w:rPr>
        <w:t xml:space="preserve"> 4.4).</w:t>
      </w:r>
    </w:p>
    <w:p w14:paraId="6C45AC45" w14:textId="77777777" w:rsidR="00C175E4" w:rsidRPr="00D768EF" w:rsidRDefault="00C175E4" w:rsidP="00C175E4">
      <w:pPr>
        <w:rPr>
          <w:color w:val="000000"/>
          <w:szCs w:val="22"/>
          <w:lang w:val="sr-Latn-ME"/>
        </w:rPr>
      </w:pPr>
    </w:p>
    <w:p w14:paraId="47EEC615" w14:textId="102E93C7" w:rsidR="00C175E4" w:rsidRPr="00D768EF" w:rsidRDefault="00C175E4" w:rsidP="00C175E4">
      <w:pPr>
        <w:rPr>
          <w:strike/>
          <w:color w:val="000000"/>
          <w:szCs w:val="22"/>
          <w:lang w:val="sr-Latn-ME"/>
        </w:rPr>
      </w:pPr>
      <w:r w:rsidRPr="00D768EF">
        <w:rPr>
          <w:snapToGrid w:val="0"/>
          <w:color w:val="000000"/>
          <w:szCs w:val="22"/>
          <w:lang w:val="sr-Latn-ME"/>
        </w:rPr>
        <w:t>U jednogodišnjoj kliničkoj</w:t>
      </w:r>
      <w:r w:rsidRPr="00D768EF">
        <w:rPr>
          <w:color w:val="000000"/>
          <w:szCs w:val="22"/>
          <w:lang w:val="sr-Latn-ME"/>
        </w:rPr>
        <w:t xml:space="preserve"> studiji u kojoj se ispitivalo ponovljeno davanje infuzije pacijentima sa</w:t>
      </w:r>
      <w:r w:rsidRPr="00D768EF">
        <w:rPr>
          <w:snapToGrid w:val="0"/>
          <w:color w:val="000000"/>
          <w:szCs w:val="22"/>
          <w:lang w:val="sr-Latn-ME"/>
        </w:rPr>
        <w:t xml:space="preserve"> Kronovom bolešću (ACCENT I </w:t>
      </w:r>
      <w:r w:rsidRPr="00D768EF">
        <w:rPr>
          <w:color w:val="000000"/>
          <w:szCs w:val="22"/>
          <w:lang w:val="sr-Latn-ME"/>
        </w:rPr>
        <w:t>studija</w:t>
      </w:r>
      <w:r w:rsidRPr="00D768EF">
        <w:rPr>
          <w:snapToGrid w:val="0"/>
          <w:color w:val="000000"/>
          <w:szCs w:val="22"/>
          <w:lang w:val="sr-Latn-ME"/>
        </w:rPr>
        <w:t>), incidenca reakcija nalik serumskoj bolesti iznosila je 2,4%.</w:t>
      </w:r>
    </w:p>
    <w:p w14:paraId="2E31E693" w14:textId="77777777" w:rsidR="00C175E4" w:rsidRPr="00D768EF" w:rsidRDefault="00C175E4" w:rsidP="00C175E4">
      <w:pPr>
        <w:pStyle w:val="BodyText"/>
        <w:jc w:val="both"/>
        <w:rPr>
          <w:b w:val="0"/>
          <w:bCs/>
          <w:color w:val="000000"/>
          <w:szCs w:val="22"/>
          <w:lang w:val="sr-Latn-ME" w:eastAsia="en-US"/>
        </w:rPr>
      </w:pPr>
    </w:p>
    <w:p w14:paraId="4B67722A" w14:textId="77777777" w:rsidR="00C175E4" w:rsidRPr="00D768EF" w:rsidRDefault="00C175E4" w:rsidP="00C175E4">
      <w:pPr>
        <w:rPr>
          <w:i/>
          <w:iCs/>
          <w:szCs w:val="22"/>
          <w:lang w:val="sr-Latn-ME"/>
        </w:rPr>
      </w:pPr>
      <w:r w:rsidRPr="00D768EF">
        <w:rPr>
          <w:i/>
          <w:iCs/>
          <w:szCs w:val="22"/>
          <w:lang w:val="sr-Latn-ME"/>
        </w:rPr>
        <w:t xml:space="preserve">Imunogenost </w:t>
      </w:r>
    </w:p>
    <w:p w14:paraId="5A938A26" w14:textId="0E2D6DC9" w:rsidR="00C175E4" w:rsidRPr="00D768EF" w:rsidRDefault="00C175E4" w:rsidP="00C175E4">
      <w:pPr>
        <w:rPr>
          <w:szCs w:val="22"/>
          <w:lang w:val="sr-Latn-ME"/>
        </w:rPr>
      </w:pPr>
      <w:r w:rsidRPr="00D768EF">
        <w:rPr>
          <w:szCs w:val="22"/>
          <w:lang w:val="sr-Latn-ME"/>
        </w:rPr>
        <w:t xml:space="preserve">Kod pacijenata koji su razvili </w:t>
      </w:r>
      <w:r w:rsidR="00220982" w:rsidRPr="00D768EF">
        <w:rPr>
          <w:szCs w:val="22"/>
          <w:lang w:val="sr-Latn-ME"/>
        </w:rPr>
        <w:t>antitijel</w:t>
      </w:r>
      <w:r w:rsidRPr="00D768EF">
        <w:rPr>
          <w:szCs w:val="22"/>
          <w:lang w:val="sr-Latn-ME"/>
        </w:rPr>
        <w:t>a na infliksimab v</w:t>
      </w:r>
      <w:r w:rsidR="001B0A77" w:rsidRPr="00D768EF">
        <w:rPr>
          <w:szCs w:val="22"/>
          <w:lang w:val="sr-Latn-ME"/>
        </w:rPr>
        <w:t>j</w:t>
      </w:r>
      <w:r w:rsidRPr="00D768EF">
        <w:rPr>
          <w:szCs w:val="22"/>
          <w:lang w:val="sr-Latn-ME"/>
        </w:rPr>
        <w:t xml:space="preserve">erovatnoća pojave reakcija vezanih za infuziju bila je veća (oko 2-3 puta). Čini se da istovremena </w:t>
      </w:r>
      <w:r w:rsidR="00D57936" w:rsidRPr="00D768EF">
        <w:rPr>
          <w:szCs w:val="22"/>
          <w:lang w:val="sr-Latn-ME"/>
        </w:rPr>
        <w:t>primjena</w:t>
      </w:r>
      <w:r w:rsidRPr="00D768EF">
        <w:rPr>
          <w:szCs w:val="22"/>
          <w:lang w:val="sr-Latn-ME"/>
        </w:rPr>
        <w:t xml:space="preserve"> imunosupresiva smanjuje učestalost reakcija vezanih za infuziju.</w:t>
      </w:r>
    </w:p>
    <w:p w14:paraId="6927CC4A" w14:textId="77777777" w:rsidR="00C175E4" w:rsidRPr="00D768EF" w:rsidRDefault="00C175E4" w:rsidP="00C175E4">
      <w:pPr>
        <w:rPr>
          <w:szCs w:val="22"/>
          <w:lang w:val="sr-Latn-ME"/>
        </w:rPr>
      </w:pPr>
    </w:p>
    <w:p w14:paraId="36D50FB8" w14:textId="2E8CB26D" w:rsidR="00C175E4" w:rsidRPr="00D768EF" w:rsidRDefault="00C175E4" w:rsidP="00C175E4">
      <w:pPr>
        <w:rPr>
          <w:szCs w:val="22"/>
          <w:lang w:val="sr-Latn-ME"/>
        </w:rPr>
      </w:pPr>
      <w:r w:rsidRPr="00D768EF">
        <w:rPr>
          <w:szCs w:val="22"/>
          <w:lang w:val="sr-Latn-ME"/>
        </w:rPr>
        <w:lastRenderedPageBreak/>
        <w:t xml:space="preserve">U kliničkim </w:t>
      </w:r>
      <w:r w:rsidRPr="00D768EF">
        <w:rPr>
          <w:color w:val="000000"/>
          <w:szCs w:val="22"/>
          <w:lang w:val="sr-Latn-ME"/>
        </w:rPr>
        <w:t xml:space="preserve">studijama </w:t>
      </w:r>
      <w:r w:rsidRPr="00D768EF">
        <w:rPr>
          <w:szCs w:val="22"/>
          <w:lang w:val="sr-Latn-ME"/>
        </w:rPr>
        <w:t>prim</w:t>
      </w:r>
      <w:r w:rsidR="00126595" w:rsidRPr="00D768EF">
        <w:rPr>
          <w:szCs w:val="22"/>
          <w:lang w:val="sr-Latn-ME"/>
        </w:rPr>
        <w:t>j</w:t>
      </w:r>
      <w:r w:rsidRPr="00D768EF">
        <w:rPr>
          <w:szCs w:val="22"/>
          <w:lang w:val="sr-Latn-ME"/>
        </w:rPr>
        <w:t xml:space="preserve">ene pojedinačnih i višestrukih doza infliksimaba u opsegu od 1 do 20 mg/kg, </w:t>
      </w:r>
      <w:r w:rsidR="00220982" w:rsidRPr="00D768EF">
        <w:rPr>
          <w:szCs w:val="22"/>
          <w:lang w:val="sr-Latn-ME"/>
        </w:rPr>
        <w:t>antitijel</w:t>
      </w:r>
      <w:r w:rsidRPr="00D768EF">
        <w:rPr>
          <w:szCs w:val="22"/>
          <w:lang w:val="sr-Latn-ME"/>
        </w:rPr>
        <w:t xml:space="preserve">a na infliksimab otkrivena su kod 14% pacijenata koji su primali neku imunosupresivnu terapiju i kod 24% pacijenata koji nisu primali imunosupresivnu terapiju. </w:t>
      </w:r>
      <w:r w:rsidR="00220982" w:rsidRPr="00D768EF">
        <w:rPr>
          <w:szCs w:val="22"/>
          <w:lang w:val="sr-Latn-ME"/>
        </w:rPr>
        <w:t>Antitijel</w:t>
      </w:r>
      <w:r w:rsidRPr="00D768EF">
        <w:rPr>
          <w:szCs w:val="22"/>
          <w:lang w:val="sr-Latn-ME"/>
        </w:rPr>
        <w:t xml:space="preserve">a na infliksimab su se razvila kod 8% pacijenata sa reumatoidnim artritisom koji su </w:t>
      </w:r>
      <w:r w:rsidR="00D57936" w:rsidRPr="00D768EF">
        <w:rPr>
          <w:szCs w:val="22"/>
          <w:lang w:val="sr-Latn-ME"/>
        </w:rPr>
        <w:t>liječe</w:t>
      </w:r>
      <w:r w:rsidRPr="00D768EF">
        <w:rPr>
          <w:szCs w:val="22"/>
          <w:lang w:val="sr-Latn-ME"/>
        </w:rPr>
        <w:t>ni po preporučenom režimu ponavljane prim</w:t>
      </w:r>
      <w:r w:rsidR="00126595" w:rsidRPr="00D768EF">
        <w:rPr>
          <w:szCs w:val="22"/>
          <w:lang w:val="sr-Latn-ME"/>
        </w:rPr>
        <w:t>j</w:t>
      </w:r>
      <w:r w:rsidRPr="00D768EF">
        <w:rPr>
          <w:szCs w:val="22"/>
          <w:lang w:val="sr-Latn-ME"/>
        </w:rPr>
        <w:t xml:space="preserve">ene sa metotreksatom. Kod pacijenata sa psorijatičnim artritisom koji su primali dozu od 5 mg/kg sa i bez metotreksata, </w:t>
      </w:r>
      <w:r w:rsidR="00220982" w:rsidRPr="00D768EF">
        <w:rPr>
          <w:szCs w:val="22"/>
          <w:lang w:val="sr-Latn-ME"/>
        </w:rPr>
        <w:t>antitijel</w:t>
      </w:r>
      <w:r w:rsidRPr="00D768EF">
        <w:rPr>
          <w:szCs w:val="22"/>
          <w:lang w:val="sr-Latn-ME"/>
        </w:rPr>
        <w:t>a su se javila kod ukupno 15% pacijenata (</w:t>
      </w:r>
      <w:r w:rsidR="00220982" w:rsidRPr="00D768EF">
        <w:rPr>
          <w:szCs w:val="22"/>
          <w:lang w:val="sr-Latn-ME"/>
        </w:rPr>
        <w:t>antitijel</w:t>
      </w:r>
      <w:r w:rsidRPr="00D768EF">
        <w:rPr>
          <w:szCs w:val="22"/>
          <w:lang w:val="sr-Latn-ME"/>
        </w:rPr>
        <w:t>a su se javila kod 4% pacijenata koji su primali metotreksat i kod 26% pacijenata koji nisu primali metotreksat</w:t>
      </w:r>
      <w:r w:rsidR="00A520FD" w:rsidRPr="00D768EF">
        <w:rPr>
          <w:szCs w:val="22"/>
          <w:lang w:val="sr-Latn-ME"/>
        </w:rPr>
        <w:t xml:space="preserve"> na početku</w:t>
      </w:r>
      <w:r w:rsidRPr="00D768EF">
        <w:rPr>
          <w:szCs w:val="22"/>
          <w:lang w:val="sr-Latn-ME"/>
        </w:rPr>
        <w:t xml:space="preserve">). Među pacijentima sa Kronovom bolešću koji su primali terapiju održavanja, </w:t>
      </w:r>
      <w:r w:rsidR="00220982" w:rsidRPr="00D768EF">
        <w:rPr>
          <w:szCs w:val="22"/>
          <w:lang w:val="sr-Latn-ME"/>
        </w:rPr>
        <w:t>antitijel</w:t>
      </w:r>
      <w:r w:rsidRPr="00D768EF">
        <w:rPr>
          <w:szCs w:val="22"/>
          <w:lang w:val="sr-Latn-ME"/>
        </w:rPr>
        <w:t xml:space="preserve">a na infliksimab su se javila kod ukupno 3,3% pacijenata koji su primali imunosupresive i kod 13,3% pacijenata koji nisu primali imunosupresive. Pojava </w:t>
      </w:r>
      <w:r w:rsidR="00220982" w:rsidRPr="00D768EF">
        <w:rPr>
          <w:szCs w:val="22"/>
          <w:lang w:val="sr-Latn-ME"/>
        </w:rPr>
        <w:t>antitijel</w:t>
      </w:r>
      <w:r w:rsidRPr="00D768EF">
        <w:rPr>
          <w:szCs w:val="22"/>
          <w:lang w:val="sr-Latn-ME"/>
        </w:rPr>
        <w:t xml:space="preserve">a je bila 2-3 puta veća kod pacijenata koji su primali terapiju u epizodama. Zbog metodoloških ograničenja, negativan rezultat ispitivanja nije isključivao prisustvo </w:t>
      </w:r>
      <w:r w:rsidR="00220982" w:rsidRPr="00D768EF">
        <w:rPr>
          <w:szCs w:val="22"/>
          <w:lang w:val="sr-Latn-ME"/>
        </w:rPr>
        <w:t>antitijel</w:t>
      </w:r>
      <w:r w:rsidRPr="00D768EF">
        <w:rPr>
          <w:szCs w:val="22"/>
          <w:lang w:val="sr-Latn-ME"/>
        </w:rPr>
        <w:t xml:space="preserve">a na infliksimab. Kod pojedinih pacijenata koji su razvili visoki titar </w:t>
      </w:r>
      <w:r w:rsidR="00220982" w:rsidRPr="00D768EF">
        <w:rPr>
          <w:szCs w:val="22"/>
          <w:lang w:val="sr-Latn-ME"/>
        </w:rPr>
        <w:t>antitijel</w:t>
      </w:r>
      <w:r w:rsidRPr="00D768EF">
        <w:rPr>
          <w:szCs w:val="22"/>
          <w:lang w:val="sr-Latn-ME"/>
        </w:rPr>
        <w:t>a na infliksimab postojali su dokazi o smanjenoj efikasnosti l</w:t>
      </w:r>
      <w:r w:rsidR="001B0A77" w:rsidRPr="00D768EF">
        <w:rPr>
          <w:szCs w:val="22"/>
          <w:lang w:val="sr-Latn-ME"/>
        </w:rPr>
        <w:t>ij</w:t>
      </w:r>
      <w:r w:rsidRPr="00D768EF">
        <w:rPr>
          <w:szCs w:val="22"/>
          <w:lang w:val="sr-Latn-ME"/>
        </w:rPr>
        <w:t>eka. Kod pacijenata sa psorijazom koji su primali infliksimab kao terapiju održavanja bez istovremene prim</w:t>
      </w:r>
      <w:r w:rsidR="00126595" w:rsidRPr="00D768EF">
        <w:rPr>
          <w:szCs w:val="22"/>
          <w:lang w:val="sr-Latn-ME"/>
        </w:rPr>
        <w:t>j</w:t>
      </w:r>
      <w:r w:rsidRPr="00D768EF">
        <w:rPr>
          <w:szCs w:val="22"/>
          <w:lang w:val="sr-Latn-ME"/>
        </w:rPr>
        <w:t xml:space="preserve">ene imunomodulatora, oko 28% njih je razvilo </w:t>
      </w:r>
      <w:r w:rsidR="00220982" w:rsidRPr="00D768EF">
        <w:rPr>
          <w:szCs w:val="22"/>
          <w:lang w:val="sr-Latn-ME"/>
        </w:rPr>
        <w:t>antitijel</w:t>
      </w:r>
      <w:r w:rsidRPr="00D768EF">
        <w:rPr>
          <w:szCs w:val="22"/>
          <w:lang w:val="sr-Latn-ME"/>
        </w:rPr>
        <w:t>a na infliksimab (</w:t>
      </w:r>
      <w:r w:rsidR="00282A1E" w:rsidRPr="00D768EF">
        <w:rPr>
          <w:szCs w:val="22"/>
          <w:lang w:val="sr-Latn-ME"/>
        </w:rPr>
        <w:t>vidjeti</w:t>
      </w:r>
      <w:r w:rsidRPr="00D768EF">
        <w:rPr>
          <w:szCs w:val="22"/>
          <w:lang w:val="sr-Latn-ME"/>
        </w:rPr>
        <w:t xml:space="preserve"> </w:t>
      </w:r>
      <w:r w:rsidR="00454E9F" w:rsidRPr="00D768EF">
        <w:rPr>
          <w:szCs w:val="22"/>
          <w:lang w:val="sr-Latn-ME"/>
        </w:rPr>
        <w:t>dio</w:t>
      </w:r>
      <w:r w:rsidRPr="00D768EF">
        <w:rPr>
          <w:szCs w:val="22"/>
          <w:lang w:val="sr-Latn-ME"/>
        </w:rPr>
        <w:t xml:space="preserve"> 4.4: "Reakcije na infuziju i </w:t>
      </w:r>
      <w:r w:rsidR="001B0A77" w:rsidRPr="00D768EF">
        <w:rPr>
          <w:szCs w:val="22"/>
          <w:lang w:val="sr-Latn-ME"/>
        </w:rPr>
        <w:t>preosje</w:t>
      </w:r>
      <w:r w:rsidRPr="00D768EF">
        <w:rPr>
          <w:szCs w:val="22"/>
          <w:lang w:val="sr-Latn-ME"/>
        </w:rPr>
        <w:t>tljivost").</w:t>
      </w:r>
    </w:p>
    <w:p w14:paraId="26C8E1B5" w14:textId="77777777" w:rsidR="00C175E4" w:rsidRPr="00D768EF" w:rsidRDefault="00C175E4" w:rsidP="00C175E4">
      <w:pPr>
        <w:pStyle w:val="BodyText"/>
        <w:jc w:val="both"/>
        <w:rPr>
          <w:b w:val="0"/>
          <w:bCs/>
          <w:color w:val="000000"/>
          <w:szCs w:val="22"/>
          <w:lang w:val="sr-Latn-ME" w:eastAsia="en-US"/>
        </w:rPr>
      </w:pPr>
    </w:p>
    <w:p w14:paraId="0387AAC2" w14:textId="77777777" w:rsidR="00C175E4" w:rsidRPr="00D768EF" w:rsidRDefault="00C175E4" w:rsidP="00C175E4">
      <w:pPr>
        <w:rPr>
          <w:color w:val="000000"/>
          <w:szCs w:val="22"/>
          <w:lang w:val="sr-Latn-ME"/>
        </w:rPr>
      </w:pPr>
      <w:r w:rsidRPr="00D768EF">
        <w:rPr>
          <w:color w:val="000000"/>
          <w:szCs w:val="22"/>
          <w:u w:val="single"/>
          <w:lang w:val="sr-Latn-ME"/>
        </w:rPr>
        <w:t>Infekcije</w:t>
      </w:r>
      <w:r w:rsidRPr="00D768EF">
        <w:rPr>
          <w:color w:val="000000"/>
          <w:szCs w:val="22"/>
          <w:lang w:val="sr-Latn-ME"/>
        </w:rPr>
        <w:t xml:space="preserve"> </w:t>
      </w:r>
    </w:p>
    <w:p w14:paraId="06AE8B54" w14:textId="29B0B6EB" w:rsidR="00C175E4" w:rsidRPr="00D768EF" w:rsidRDefault="00C175E4" w:rsidP="00C175E4">
      <w:pPr>
        <w:rPr>
          <w:color w:val="000000"/>
          <w:szCs w:val="22"/>
          <w:lang w:val="sr-Latn-ME"/>
        </w:rPr>
      </w:pPr>
      <w:r w:rsidRPr="00D768EF">
        <w:rPr>
          <w:color w:val="000000"/>
          <w:szCs w:val="22"/>
          <w:lang w:val="sr-Latn-ME"/>
        </w:rPr>
        <w:t xml:space="preserve">Kod pacijenata </w:t>
      </w:r>
      <w:r w:rsidR="00D57936" w:rsidRPr="00D768EF">
        <w:rPr>
          <w:color w:val="000000"/>
          <w:szCs w:val="22"/>
          <w:lang w:val="sr-Latn-ME"/>
        </w:rPr>
        <w:t>liječe</w:t>
      </w:r>
      <w:r w:rsidRPr="00D768EF">
        <w:rPr>
          <w:color w:val="000000"/>
          <w:szCs w:val="22"/>
          <w:lang w:val="sr-Latn-ME"/>
        </w:rPr>
        <w:t xml:space="preserve">nih infliksimabom uočeni su tuberkuloza, bakterijske infekcije, uključujući sepsu i pneumoniju, invazivne gljivične, virusne i druge oportunističke infekcije. Neke od tih infekcija su imale smrtni ishod; najčešće prijavljene oportunističke infekcije </w:t>
      </w:r>
      <w:r w:rsidRPr="00D768EF">
        <w:rPr>
          <w:szCs w:val="22"/>
          <w:lang w:val="sr-Latn-ME" w:eastAsia="sv-SE"/>
        </w:rPr>
        <w:t xml:space="preserve">sa stopom smrtnosti &gt; 5% </w:t>
      </w:r>
      <w:r w:rsidRPr="00D768EF">
        <w:rPr>
          <w:color w:val="000000"/>
          <w:szCs w:val="22"/>
          <w:lang w:val="sr-Latn-ME"/>
        </w:rPr>
        <w:t>uključuju pneumocistozu, kandidijazu, listeriozu i aspergilozu (</w:t>
      </w:r>
      <w:r w:rsidR="00282A1E" w:rsidRPr="00D768EF">
        <w:rPr>
          <w:color w:val="000000"/>
          <w:szCs w:val="22"/>
          <w:lang w:val="sr-Latn-ME"/>
        </w:rPr>
        <w:t>vidjeti</w:t>
      </w:r>
      <w:r w:rsidRPr="00D768EF">
        <w:rPr>
          <w:color w:val="000000"/>
          <w:szCs w:val="22"/>
          <w:lang w:val="sr-Latn-ME"/>
        </w:rPr>
        <w:t xml:space="preserve"> </w:t>
      </w:r>
      <w:r w:rsidR="00454E9F" w:rsidRPr="00D768EF">
        <w:rPr>
          <w:color w:val="000000"/>
          <w:szCs w:val="22"/>
          <w:lang w:val="sr-Latn-ME"/>
        </w:rPr>
        <w:t>dio</w:t>
      </w:r>
      <w:r w:rsidRPr="00D768EF">
        <w:rPr>
          <w:color w:val="000000"/>
          <w:szCs w:val="22"/>
          <w:lang w:val="sr-Latn-ME"/>
        </w:rPr>
        <w:t xml:space="preserve"> 4.4).</w:t>
      </w:r>
    </w:p>
    <w:p w14:paraId="7123C77D" w14:textId="77777777" w:rsidR="00C175E4" w:rsidRPr="00D768EF" w:rsidRDefault="00C175E4" w:rsidP="00C175E4">
      <w:pPr>
        <w:rPr>
          <w:color w:val="000000"/>
          <w:szCs w:val="22"/>
          <w:lang w:val="sr-Latn-ME"/>
        </w:rPr>
      </w:pPr>
    </w:p>
    <w:p w14:paraId="04A90C89" w14:textId="73F52C28" w:rsidR="00C175E4" w:rsidRPr="00D768EF" w:rsidRDefault="00C175E4" w:rsidP="00C175E4">
      <w:pPr>
        <w:rPr>
          <w:color w:val="000000"/>
          <w:szCs w:val="22"/>
          <w:lang w:val="sr-Latn-ME"/>
        </w:rPr>
      </w:pPr>
      <w:r w:rsidRPr="00D768EF">
        <w:rPr>
          <w:color w:val="000000"/>
          <w:szCs w:val="22"/>
          <w:lang w:val="sr-Latn-ME"/>
        </w:rPr>
        <w:t xml:space="preserve">U kliničkim studijama su se pojavile infekcije kod 36% </w:t>
      </w:r>
      <w:r w:rsidRPr="00D768EF">
        <w:rPr>
          <w:szCs w:val="22"/>
          <w:lang w:val="sr-Latn-ME"/>
        </w:rPr>
        <w:t xml:space="preserve">pacijenata </w:t>
      </w:r>
      <w:r w:rsidR="00D57936" w:rsidRPr="00D768EF">
        <w:rPr>
          <w:szCs w:val="22"/>
          <w:lang w:val="sr-Latn-ME"/>
        </w:rPr>
        <w:t>liječe</w:t>
      </w:r>
      <w:r w:rsidRPr="00D768EF">
        <w:rPr>
          <w:szCs w:val="22"/>
          <w:lang w:val="sr-Latn-ME"/>
        </w:rPr>
        <w:t xml:space="preserve">nih </w:t>
      </w:r>
      <w:r w:rsidRPr="00D768EF">
        <w:rPr>
          <w:color w:val="000000"/>
          <w:szCs w:val="22"/>
          <w:lang w:val="sr-Latn-ME"/>
        </w:rPr>
        <w:t xml:space="preserve">infliksimabom, u poređenju sa 25% </w:t>
      </w:r>
      <w:r w:rsidRPr="00D768EF">
        <w:rPr>
          <w:szCs w:val="22"/>
          <w:lang w:val="sr-Latn-ME"/>
        </w:rPr>
        <w:t>pacijenata</w:t>
      </w:r>
      <w:r w:rsidRPr="00D768EF" w:rsidDel="00F656F5">
        <w:rPr>
          <w:color w:val="000000"/>
          <w:szCs w:val="22"/>
          <w:lang w:val="sr-Latn-ME"/>
        </w:rPr>
        <w:t xml:space="preserve"> </w:t>
      </w:r>
      <w:r w:rsidRPr="00D768EF">
        <w:rPr>
          <w:color w:val="000000"/>
          <w:szCs w:val="22"/>
          <w:lang w:val="sr-Latn-ME"/>
        </w:rPr>
        <w:t xml:space="preserve">koji su primali placebo. </w:t>
      </w:r>
    </w:p>
    <w:p w14:paraId="64529CA3" w14:textId="77777777" w:rsidR="00C175E4" w:rsidRPr="00D768EF" w:rsidRDefault="00C175E4" w:rsidP="00C175E4">
      <w:pPr>
        <w:rPr>
          <w:color w:val="000000"/>
          <w:szCs w:val="22"/>
          <w:lang w:val="sr-Latn-ME"/>
        </w:rPr>
      </w:pPr>
    </w:p>
    <w:p w14:paraId="5050143F" w14:textId="373A9371" w:rsidR="00C175E4" w:rsidRPr="00D768EF" w:rsidRDefault="00C175E4" w:rsidP="00C175E4">
      <w:pPr>
        <w:rPr>
          <w:color w:val="000000"/>
          <w:szCs w:val="22"/>
          <w:lang w:val="sr-Latn-ME"/>
        </w:rPr>
      </w:pPr>
      <w:r w:rsidRPr="00D768EF">
        <w:rPr>
          <w:color w:val="000000"/>
          <w:szCs w:val="22"/>
          <w:lang w:val="sr-Latn-ME"/>
        </w:rPr>
        <w:t xml:space="preserve">U kliničkim ispitivanjima reumatoidnog artritisa, incidenca ozbiljnih infekcija, uključujući pneumoniju, bila je veća kod pacijenata </w:t>
      </w:r>
      <w:r w:rsidR="00D57936" w:rsidRPr="00D768EF">
        <w:rPr>
          <w:color w:val="000000"/>
          <w:szCs w:val="22"/>
          <w:lang w:val="sr-Latn-ME"/>
        </w:rPr>
        <w:t>liječe</w:t>
      </w:r>
      <w:r w:rsidRPr="00D768EF">
        <w:rPr>
          <w:color w:val="000000"/>
          <w:szCs w:val="22"/>
          <w:lang w:val="sr-Latn-ME"/>
        </w:rPr>
        <w:t>nih infliksimabom i metotreksatom u poređenju sa pacijentima koji su primali samo metotreksat, naročito u dozama od 6 mg/kg ili višim (</w:t>
      </w:r>
      <w:r w:rsidR="00282A1E" w:rsidRPr="00D768EF">
        <w:rPr>
          <w:color w:val="000000"/>
          <w:szCs w:val="22"/>
          <w:lang w:val="sr-Latn-ME"/>
        </w:rPr>
        <w:t>vidjeti</w:t>
      </w:r>
      <w:r w:rsidRPr="00D768EF">
        <w:rPr>
          <w:color w:val="000000"/>
          <w:szCs w:val="22"/>
          <w:lang w:val="sr-Latn-ME"/>
        </w:rPr>
        <w:t xml:space="preserve"> </w:t>
      </w:r>
      <w:r w:rsidR="00454E9F" w:rsidRPr="00D768EF">
        <w:rPr>
          <w:color w:val="000000"/>
          <w:szCs w:val="22"/>
          <w:lang w:val="sr-Latn-ME"/>
        </w:rPr>
        <w:t>dio</w:t>
      </w:r>
      <w:r w:rsidRPr="00D768EF">
        <w:rPr>
          <w:color w:val="000000"/>
          <w:szCs w:val="22"/>
          <w:lang w:val="sr-Latn-ME"/>
        </w:rPr>
        <w:t xml:space="preserve"> 4.4).</w:t>
      </w:r>
    </w:p>
    <w:p w14:paraId="2B259878" w14:textId="77777777" w:rsidR="00C175E4" w:rsidRPr="00D768EF" w:rsidRDefault="00C175E4" w:rsidP="00C175E4">
      <w:pPr>
        <w:rPr>
          <w:color w:val="000000"/>
          <w:szCs w:val="22"/>
          <w:lang w:val="sr-Latn-ME"/>
        </w:rPr>
      </w:pPr>
    </w:p>
    <w:p w14:paraId="5C56F66E" w14:textId="02090848" w:rsidR="00C175E4" w:rsidRPr="00D768EF" w:rsidRDefault="00C175E4" w:rsidP="00C175E4">
      <w:pPr>
        <w:rPr>
          <w:color w:val="000000"/>
          <w:szCs w:val="22"/>
          <w:lang w:val="sr-Latn-ME"/>
        </w:rPr>
      </w:pPr>
      <w:r w:rsidRPr="00D768EF">
        <w:rPr>
          <w:color w:val="000000"/>
          <w:szCs w:val="22"/>
          <w:lang w:val="sr-Latn-ME"/>
        </w:rPr>
        <w:t>Posl</w:t>
      </w:r>
      <w:r w:rsidR="00CF5D59">
        <w:rPr>
          <w:color w:val="000000"/>
          <w:szCs w:val="22"/>
          <w:lang w:val="sr-Latn-ME"/>
        </w:rPr>
        <w:t>ij</w:t>
      </w:r>
      <w:r w:rsidRPr="00D768EF">
        <w:rPr>
          <w:color w:val="000000"/>
          <w:szCs w:val="22"/>
          <w:lang w:val="sr-Latn-ME"/>
        </w:rPr>
        <w:t>e stavljanja l</w:t>
      </w:r>
      <w:r w:rsidR="001B0A77" w:rsidRPr="00D768EF">
        <w:rPr>
          <w:color w:val="000000"/>
          <w:szCs w:val="22"/>
          <w:lang w:val="sr-Latn-ME"/>
        </w:rPr>
        <w:t>ij</w:t>
      </w:r>
      <w:r w:rsidRPr="00D768EF">
        <w:rPr>
          <w:color w:val="000000"/>
          <w:szCs w:val="22"/>
          <w:lang w:val="sr-Latn-ME"/>
        </w:rPr>
        <w:t>eka u promet, infekcije su bile najčešć</w:t>
      </w:r>
      <w:r w:rsidR="00D75020" w:rsidRPr="00D768EF">
        <w:rPr>
          <w:color w:val="000000"/>
          <w:szCs w:val="22"/>
          <w:lang w:val="sr-Latn-ME"/>
        </w:rPr>
        <w:t>e</w:t>
      </w:r>
      <w:r w:rsidRPr="00D768EF">
        <w:rPr>
          <w:color w:val="000000"/>
          <w:szCs w:val="22"/>
          <w:lang w:val="sr-Latn-ME"/>
        </w:rPr>
        <w:t xml:space="preserve"> spontano prijavljivan</w:t>
      </w:r>
      <w:r w:rsidR="00D75020" w:rsidRPr="00D768EF">
        <w:rPr>
          <w:color w:val="000000"/>
          <w:szCs w:val="22"/>
          <w:lang w:val="sr-Latn-ME"/>
        </w:rPr>
        <w:t>e</w:t>
      </w:r>
      <w:r w:rsidRPr="00D768EF">
        <w:rPr>
          <w:color w:val="000000"/>
          <w:szCs w:val="22"/>
          <w:lang w:val="sr-Latn-ME"/>
        </w:rPr>
        <w:t xml:space="preserve"> ozbiljn</w:t>
      </w:r>
      <w:r w:rsidR="00D75020" w:rsidRPr="00D768EF">
        <w:rPr>
          <w:color w:val="000000"/>
          <w:szCs w:val="22"/>
          <w:lang w:val="sr-Latn-ME"/>
        </w:rPr>
        <w:t>e</w:t>
      </w:r>
      <w:r w:rsidRPr="00D768EF">
        <w:rPr>
          <w:color w:val="000000"/>
          <w:szCs w:val="22"/>
          <w:lang w:val="sr-Latn-ME"/>
        </w:rPr>
        <w:t xml:space="preserve"> neželjen</w:t>
      </w:r>
      <w:r w:rsidR="00D75020" w:rsidRPr="00D768EF">
        <w:rPr>
          <w:color w:val="000000"/>
          <w:szCs w:val="22"/>
          <w:lang w:val="sr-Latn-ME"/>
        </w:rPr>
        <w:t>e</w:t>
      </w:r>
      <w:r w:rsidRPr="00D768EF">
        <w:rPr>
          <w:color w:val="000000"/>
          <w:szCs w:val="22"/>
          <w:lang w:val="sr-Latn-ME"/>
        </w:rPr>
        <w:t xml:space="preserve"> </w:t>
      </w:r>
      <w:r w:rsidR="00D75020" w:rsidRPr="00D768EF">
        <w:rPr>
          <w:color w:val="000000"/>
          <w:szCs w:val="22"/>
          <w:lang w:val="sr-Latn-ME"/>
        </w:rPr>
        <w:t>reakcije</w:t>
      </w:r>
      <w:r w:rsidRPr="00D768EF">
        <w:rPr>
          <w:color w:val="000000"/>
          <w:szCs w:val="22"/>
          <w:lang w:val="sr-Latn-ME"/>
        </w:rPr>
        <w:t>. U pojedinim slučajevima ove infekcije su imale smrtni ishod. Skoro 50% prijavljenih smrtnih slučajeva bilo je povezano sa infekcijom. Prijavljeni su slučajevi tuberkuloze, ponekad sa smrtnim ishodom, uključujući milijarnu i ekstrapulmonalnu tuberkulozu (</w:t>
      </w:r>
      <w:r w:rsidR="00282A1E" w:rsidRPr="00D768EF">
        <w:rPr>
          <w:color w:val="000000"/>
          <w:szCs w:val="22"/>
          <w:lang w:val="sr-Latn-ME"/>
        </w:rPr>
        <w:t>vidjeti</w:t>
      </w:r>
      <w:r w:rsidRPr="00D768EF">
        <w:rPr>
          <w:color w:val="000000"/>
          <w:szCs w:val="22"/>
          <w:lang w:val="sr-Latn-ME"/>
        </w:rPr>
        <w:t xml:space="preserve"> </w:t>
      </w:r>
      <w:r w:rsidR="00454E9F" w:rsidRPr="00D768EF">
        <w:rPr>
          <w:color w:val="000000"/>
          <w:szCs w:val="22"/>
          <w:lang w:val="sr-Latn-ME"/>
        </w:rPr>
        <w:t>dio</w:t>
      </w:r>
      <w:r w:rsidRPr="00D768EF">
        <w:rPr>
          <w:color w:val="000000"/>
          <w:szCs w:val="22"/>
          <w:lang w:val="sr-Latn-ME"/>
        </w:rPr>
        <w:t xml:space="preserve"> 4.4).</w:t>
      </w:r>
    </w:p>
    <w:p w14:paraId="0F38B4B4" w14:textId="77777777" w:rsidR="00C175E4" w:rsidRPr="00D768EF" w:rsidRDefault="00C175E4" w:rsidP="00C175E4">
      <w:pPr>
        <w:rPr>
          <w:color w:val="000000"/>
          <w:szCs w:val="22"/>
          <w:lang w:val="sr-Latn-ME"/>
        </w:rPr>
      </w:pPr>
    </w:p>
    <w:p w14:paraId="0D790F99" w14:textId="77777777" w:rsidR="00C175E4" w:rsidRPr="00D768EF" w:rsidRDefault="00C175E4" w:rsidP="00C175E4">
      <w:pPr>
        <w:autoSpaceDE w:val="0"/>
        <w:autoSpaceDN w:val="0"/>
        <w:adjustRightInd w:val="0"/>
        <w:rPr>
          <w:i/>
          <w:iCs/>
          <w:color w:val="000000"/>
          <w:szCs w:val="22"/>
          <w:lang w:val="sr-Latn-ME"/>
        </w:rPr>
      </w:pPr>
      <w:r w:rsidRPr="00D768EF">
        <w:rPr>
          <w:i/>
          <w:iCs/>
          <w:color w:val="000000"/>
          <w:szCs w:val="22"/>
          <w:lang w:val="sr-Latn-ME"/>
        </w:rPr>
        <w:t xml:space="preserve">Maligniteti i limfoproliferativni poremećaji </w:t>
      </w:r>
    </w:p>
    <w:p w14:paraId="78580884" w14:textId="47B9BBD1" w:rsidR="00C175E4" w:rsidRPr="00D768EF" w:rsidRDefault="00C175E4" w:rsidP="00C175E4">
      <w:pPr>
        <w:autoSpaceDE w:val="0"/>
        <w:autoSpaceDN w:val="0"/>
        <w:adjustRightInd w:val="0"/>
        <w:rPr>
          <w:snapToGrid w:val="0"/>
          <w:color w:val="000000"/>
          <w:szCs w:val="22"/>
          <w:lang w:val="sr-Latn-ME" w:eastAsia="sv-SE"/>
        </w:rPr>
      </w:pPr>
      <w:r w:rsidRPr="00D768EF">
        <w:rPr>
          <w:snapToGrid w:val="0"/>
          <w:color w:val="000000"/>
          <w:szCs w:val="22"/>
          <w:lang w:val="sr-Latn-ME" w:eastAsia="sv-SE"/>
        </w:rPr>
        <w:t xml:space="preserve">U </w:t>
      </w:r>
      <w:r w:rsidRPr="00D768EF">
        <w:rPr>
          <w:color w:val="000000"/>
          <w:szCs w:val="22"/>
          <w:lang w:val="sr-Latn-ME"/>
        </w:rPr>
        <w:t>kliničkim studijama</w:t>
      </w:r>
      <w:r w:rsidRPr="00D768EF">
        <w:rPr>
          <w:snapToGrid w:val="0"/>
          <w:color w:val="000000"/>
          <w:szCs w:val="22"/>
          <w:lang w:val="sr-Latn-ME" w:eastAsia="sv-SE"/>
        </w:rPr>
        <w:t xml:space="preserve"> sa infliksimabom u kojima je </w:t>
      </w:r>
      <w:r w:rsidR="00D57936" w:rsidRPr="00D768EF">
        <w:rPr>
          <w:snapToGrid w:val="0"/>
          <w:color w:val="000000"/>
          <w:szCs w:val="22"/>
          <w:lang w:val="sr-Latn-ME" w:eastAsia="sv-SE"/>
        </w:rPr>
        <w:t>liječe</w:t>
      </w:r>
      <w:r w:rsidRPr="00D768EF">
        <w:rPr>
          <w:snapToGrid w:val="0"/>
          <w:color w:val="000000"/>
          <w:szCs w:val="22"/>
          <w:lang w:val="sr-Latn-ME" w:eastAsia="sv-SE"/>
        </w:rPr>
        <w:t>no</w:t>
      </w:r>
      <w:r w:rsidRPr="00D768EF">
        <w:rPr>
          <w:color w:val="000000"/>
          <w:szCs w:val="22"/>
          <w:lang w:val="sr-Latn-ME"/>
        </w:rPr>
        <w:t xml:space="preserve"> 5780 pacijenata,</w:t>
      </w:r>
      <w:r w:rsidRPr="00D768EF">
        <w:rPr>
          <w:snapToGrid w:val="0"/>
          <w:color w:val="000000"/>
          <w:szCs w:val="22"/>
          <w:lang w:val="sr-Latn-ME" w:eastAsia="sv-SE"/>
        </w:rPr>
        <w:t xml:space="preserve"> što predstavlja </w:t>
      </w:r>
      <w:r w:rsidRPr="00D768EF">
        <w:rPr>
          <w:color w:val="000000"/>
          <w:szCs w:val="22"/>
          <w:lang w:val="sr-Latn-ME"/>
        </w:rPr>
        <w:t>5494</w:t>
      </w:r>
      <w:r w:rsidRPr="00D768EF">
        <w:rPr>
          <w:snapToGrid w:val="0"/>
          <w:color w:val="000000"/>
          <w:szCs w:val="22"/>
          <w:lang w:val="sr-Latn-ME" w:eastAsia="sv-SE"/>
        </w:rPr>
        <w:t xml:space="preserve"> pacijent-godina, otkriveno je </w:t>
      </w:r>
      <w:r w:rsidRPr="00D768EF">
        <w:rPr>
          <w:color w:val="000000"/>
          <w:szCs w:val="22"/>
          <w:lang w:val="sr-Latn-ME"/>
        </w:rPr>
        <w:t>5</w:t>
      </w:r>
      <w:r w:rsidRPr="00D768EF">
        <w:rPr>
          <w:snapToGrid w:val="0"/>
          <w:color w:val="000000"/>
          <w:szCs w:val="22"/>
          <w:lang w:val="sr-Latn-ME" w:eastAsia="sv-SE"/>
        </w:rPr>
        <w:t xml:space="preserve"> slučajeva limfoma i </w:t>
      </w:r>
      <w:r w:rsidRPr="00D768EF">
        <w:rPr>
          <w:color w:val="000000"/>
          <w:szCs w:val="22"/>
          <w:lang w:val="sr-Latn-ME"/>
        </w:rPr>
        <w:t xml:space="preserve">26 slučajeva nelimfomskih maligniteta, </w:t>
      </w:r>
      <w:r w:rsidRPr="00D768EF">
        <w:rPr>
          <w:snapToGrid w:val="0"/>
          <w:color w:val="000000"/>
          <w:szCs w:val="22"/>
          <w:lang w:val="sr-Latn-ME" w:eastAsia="sv-SE"/>
        </w:rPr>
        <w:t>u poređenju sa 0 limfoma i</w:t>
      </w:r>
      <w:r w:rsidRPr="00D768EF">
        <w:rPr>
          <w:color w:val="000000"/>
          <w:szCs w:val="22"/>
          <w:lang w:val="sr-Latn-ME"/>
        </w:rPr>
        <w:t xml:space="preserve"> 1 slučajem nelimfomskih maligniteta</w:t>
      </w:r>
      <w:r w:rsidRPr="00D768EF">
        <w:rPr>
          <w:snapToGrid w:val="0"/>
          <w:color w:val="000000"/>
          <w:szCs w:val="22"/>
          <w:lang w:val="sr-Latn-ME" w:eastAsia="sv-SE"/>
        </w:rPr>
        <w:t xml:space="preserve"> </w:t>
      </w:r>
      <w:r w:rsidRPr="00D768EF">
        <w:rPr>
          <w:color w:val="000000"/>
          <w:szCs w:val="22"/>
          <w:lang w:val="sr-Latn-ME"/>
        </w:rPr>
        <w:t>kod</w:t>
      </w:r>
      <w:r w:rsidRPr="00D768EF">
        <w:rPr>
          <w:snapToGrid w:val="0"/>
          <w:color w:val="000000"/>
          <w:szCs w:val="22"/>
          <w:lang w:val="sr-Latn-ME" w:eastAsia="sv-SE"/>
        </w:rPr>
        <w:t xml:space="preserve"> 1600 </w:t>
      </w:r>
      <w:r w:rsidRPr="00D768EF">
        <w:rPr>
          <w:color w:val="000000"/>
          <w:szCs w:val="22"/>
          <w:lang w:val="sr-Latn-ME"/>
        </w:rPr>
        <w:t>pacijenata</w:t>
      </w:r>
      <w:r w:rsidRPr="00D768EF">
        <w:rPr>
          <w:snapToGrid w:val="0"/>
          <w:color w:val="000000"/>
          <w:szCs w:val="22"/>
          <w:lang w:val="sr-Latn-ME" w:eastAsia="sv-SE"/>
        </w:rPr>
        <w:t xml:space="preserve"> koji su primali placebo, što predstavlja </w:t>
      </w:r>
      <w:r w:rsidRPr="00D768EF">
        <w:rPr>
          <w:color w:val="000000"/>
          <w:szCs w:val="22"/>
          <w:lang w:val="sr-Latn-ME"/>
        </w:rPr>
        <w:t>941</w:t>
      </w:r>
      <w:r w:rsidRPr="00D768EF">
        <w:rPr>
          <w:snapToGrid w:val="0"/>
          <w:color w:val="000000"/>
          <w:szCs w:val="22"/>
          <w:lang w:val="sr-Latn-ME" w:eastAsia="sv-SE"/>
        </w:rPr>
        <w:t> pacijent-godinu.</w:t>
      </w:r>
    </w:p>
    <w:p w14:paraId="644BA909" w14:textId="77777777" w:rsidR="00C175E4" w:rsidRPr="00D768EF" w:rsidRDefault="00C175E4" w:rsidP="00C175E4">
      <w:pPr>
        <w:autoSpaceDE w:val="0"/>
        <w:autoSpaceDN w:val="0"/>
        <w:adjustRightInd w:val="0"/>
        <w:rPr>
          <w:color w:val="000000"/>
          <w:szCs w:val="22"/>
          <w:lang w:val="sr-Latn-ME"/>
        </w:rPr>
      </w:pPr>
    </w:p>
    <w:p w14:paraId="45A0AC7D" w14:textId="044D8BC1" w:rsidR="00C175E4" w:rsidRPr="00D768EF" w:rsidRDefault="00C175E4" w:rsidP="00C175E4">
      <w:pPr>
        <w:autoSpaceDE w:val="0"/>
        <w:autoSpaceDN w:val="0"/>
        <w:adjustRightInd w:val="0"/>
        <w:rPr>
          <w:color w:val="000000"/>
          <w:szCs w:val="22"/>
          <w:lang w:val="sr-Latn-ME"/>
        </w:rPr>
      </w:pPr>
      <w:r w:rsidRPr="00D768EF">
        <w:rPr>
          <w:color w:val="000000"/>
          <w:szCs w:val="22"/>
          <w:lang w:val="sr-Latn-ME"/>
        </w:rPr>
        <w:t xml:space="preserve">U dugoročnom praćenju </w:t>
      </w:r>
      <w:r w:rsidR="00282A1E" w:rsidRPr="00D768EF">
        <w:rPr>
          <w:color w:val="000000"/>
          <w:szCs w:val="22"/>
          <w:lang w:val="sr-Latn-ME"/>
        </w:rPr>
        <w:t>bezbjedn</w:t>
      </w:r>
      <w:r w:rsidR="00220982" w:rsidRPr="00D768EF">
        <w:rPr>
          <w:color w:val="000000"/>
          <w:szCs w:val="22"/>
          <w:lang w:val="sr-Latn-ME"/>
        </w:rPr>
        <w:t>o</w:t>
      </w:r>
      <w:r w:rsidRPr="00D768EF">
        <w:rPr>
          <w:color w:val="000000"/>
          <w:szCs w:val="22"/>
          <w:lang w:val="sr-Latn-ME"/>
        </w:rPr>
        <w:t xml:space="preserve">sti u nastavku kliničkih ispitivanja infliksimaba u trajanju do 5 godina, </w:t>
      </w:r>
      <w:r w:rsidRPr="00D768EF">
        <w:rPr>
          <w:snapToGrid w:val="0"/>
          <w:color w:val="000000"/>
          <w:szCs w:val="22"/>
          <w:lang w:val="sr-Latn-ME" w:eastAsia="sv-SE"/>
        </w:rPr>
        <w:t xml:space="preserve">što predstavlja </w:t>
      </w:r>
      <w:r w:rsidRPr="00D768EF">
        <w:rPr>
          <w:color w:val="000000"/>
          <w:szCs w:val="22"/>
          <w:lang w:val="sr-Latn-ME"/>
        </w:rPr>
        <w:t xml:space="preserve">6234 </w:t>
      </w:r>
      <w:r w:rsidRPr="00D768EF">
        <w:rPr>
          <w:snapToGrid w:val="0"/>
          <w:color w:val="000000"/>
          <w:szCs w:val="22"/>
          <w:lang w:val="sr-Latn-ME" w:eastAsia="sv-SE"/>
        </w:rPr>
        <w:t>pacijent-godina</w:t>
      </w:r>
      <w:r w:rsidRPr="00D768EF">
        <w:rPr>
          <w:color w:val="000000"/>
          <w:szCs w:val="22"/>
          <w:lang w:val="sr-Latn-ME"/>
        </w:rPr>
        <w:t xml:space="preserve"> (3210 pacijenata), prijavljeno je 5 slučajeva limfoma i 38 slučajeva maligniteta koji nisu bili limfom.</w:t>
      </w:r>
    </w:p>
    <w:p w14:paraId="400618AB" w14:textId="77777777" w:rsidR="00C175E4" w:rsidRPr="00D768EF" w:rsidRDefault="00C175E4" w:rsidP="00C175E4">
      <w:pPr>
        <w:autoSpaceDE w:val="0"/>
        <w:autoSpaceDN w:val="0"/>
        <w:adjustRightInd w:val="0"/>
        <w:rPr>
          <w:color w:val="000000"/>
          <w:szCs w:val="22"/>
          <w:u w:val="double"/>
          <w:lang w:val="sr-Latn-ME"/>
        </w:rPr>
      </w:pPr>
    </w:p>
    <w:p w14:paraId="44ED291E" w14:textId="7D17524C" w:rsidR="00C175E4" w:rsidRPr="00D768EF" w:rsidRDefault="00C175E4" w:rsidP="00C175E4">
      <w:pPr>
        <w:autoSpaceDE w:val="0"/>
        <w:autoSpaceDN w:val="0"/>
        <w:adjustRightInd w:val="0"/>
        <w:rPr>
          <w:color w:val="000000"/>
          <w:szCs w:val="22"/>
          <w:lang w:val="sr-Latn-ME"/>
        </w:rPr>
      </w:pPr>
      <w:r w:rsidRPr="00D768EF">
        <w:rPr>
          <w:snapToGrid w:val="0"/>
          <w:color w:val="000000"/>
          <w:szCs w:val="22"/>
          <w:lang w:val="sr-Latn-ME" w:eastAsia="sv-SE"/>
        </w:rPr>
        <w:t>Slučajevi maligniteta, uključujući limfom, prijavljeni su i posle stavljanja l</w:t>
      </w:r>
      <w:r w:rsidR="001B0A77" w:rsidRPr="00D768EF">
        <w:rPr>
          <w:snapToGrid w:val="0"/>
          <w:color w:val="000000"/>
          <w:szCs w:val="22"/>
          <w:lang w:val="sr-Latn-ME" w:eastAsia="sv-SE"/>
        </w:rPr>
        <w:t>ij</w:t>
      </w:r>
      <w:r w:rsidRPr="00D768EF">
        <w:rPr>
          <w:snapToGrid w:val="0"/>
          <w:color w:val="000000"/>
          <w:szCs w:val="22"/>
          <w:lang w:val="sr-Latn-ME" w:eastAsia="sv-SE"/>
        </w:rPr>
        <w:t xml:space="preserve">eka u promet </w:t>
      </w:r>
      <w:r w:rsidRPr="00D768EF">
        <w:rPr>
          <w:color w:val="000000"/>
          <w:szCs w:val="22"/>
          <w:lang w:val="sr-Latn-ME"/>
        </w:rPr>
        <w:t>(</w:t>
      </w:r>
      <w:r w:rsidR="00282A1E" w:rsidRPr="00D768EF">
        <w:rPr>
          <w:color w:val="000000"/>
          <w:szCs w:val="22"/>
          <w:lang w:val="sr-Latn-ME"/>
        </w:rPr>
        <w:t>vidjeti</w:t>
      </w:r>
      <w:r w:rsidRPr="00D768EF">
        <w:rPr>
          <w:color w:val="000000"/>
          <w:szCs w:val="22"/>
          <w:lang w:val="sr-Latn-ME"/>
        </w:rPr>
        <w:t xml:space="preserve"> </w:t>
      </w:r>
      <w:r w:rsidR="00454E9F" w:rsidRPr="00D768EF">
        <w:rPr>
          <w:color w:val="000000"/>
          <w:szCs w:val="22"/>
          <w:lang w:val="sr-Latn-ME"/>
        </w:rPr>
        <w:t>dio</w:t>
      </w:r>
      <w:r w:rsidRPr="00D768EF">
        <w:rPr>
          <w:color w:val="000000"/>
          <w:szCs w:val="22"/>
          <w:lang w:val="sr-Latn-ME"/>
        </w:rPr>
        <w:t xml:space="preserve"> 4.4).</w:t>
      </w:r>
    </w:p>
    <w:p w14:paraId="594F4B4C" w14:textId="77777777" w:rsidR="00C175E4" w:rsidRPr="00D768EF" w:rsidRDefault="00C175E4" w:rsidP="00C175E4">
      <w:pPr>
        <w:autoSpaceDE w:val="0"/>
        <w:autoSpaceDN w:val="0"/>
        <w:adjustRightInd w:val="0"/>
        <w:rPr>
          <w:color w:val="000000"/>
          <w:szCs w:val="22"/>
          <w:lang w:val="sr-Latn-ME"/>
        </w:rPr>
      </w:pPr>
    </w:p>
    <w:p w14:paraId="520895EC" w14:textId="79BA7E81" w:rsidR="00C175E4" w:rsidRPr="00D768EF" w:rsidRDefault="00C175E4" w:rsidP="00C175E4">
      <w:pPr>
        <w:autoSpaceDE w:val="0"/>
        <w:autoSpaceDN w:val="0"/>
        <w:adjustRightInd w:val="0"/>
        <w:rPr>
          <w:color w:val="000000"/>
          <w:szCs w:val="22"/>
          <w:lang w:val="sr-Latn-ME"/>
        </w:rPr>
      </w:pPr>
      <w:r w:rsidRPr="00D768EF">
        <w:rPr>
          <w:color w:val="000000"/>
          <w:szCs w:val="22"/>
          <w:lang w:val="sr-Latn-ME"/>
        </w:rPr>
        <w:t>U eksplorativnom kliničkom ispitivanju na pacijentima sa um</w:t>
      </w:r>
      <w:r w:rsidR="009E46CC" w:rsidRPr="00D768EF">
        <w:rPr>
          <w:color w:val="000000"/>
          <w:szCs w:val="22"/>
          <w:lang w:val="sr-Latn-ME"/>
        </w:rPr>
        <w:t>j</w:t>
      </w:r>
      <w:r w:rsidRPr="00D768EF">
        <w:rPr>
          <w:color w:val="000000"/>
          <w:szCs w:val="22"/>
          <w:lang w:val="sr-Latn-ME"/>
        </w:rPr>
        <w:t xml:space="preserve">erenim do teškim HOBP (hronična opstruktivna bolest pluća) koji su bili aktivni ili bivši pušači, 157 odraslih pacijenata je primalo infliksimab u dozama sličnim onima koje su se davale pacijentima sa reumatoidnim artritisom i pacijentima sa Kronovom bolešću. Kod devet od tih pacijenata se razvio malignitet, uključujući limfom u jednom slučaju. Medijana trajanja praćenja iznosila je 0,8 godina (učestalost 5,7% [95% CI 2,65%-10,6%]). U kontrolnoj grupi od 77 pacijenata </w:t>
      </w:r>
      <w:r w:rsidR="001B0A77" w:rsidRPr="00D768EF">
        <w:rPr>
          <w:color w:val="000000"/>
          <w:szCs w:val="22"/>
          <w:lang w:val="sr-Latn-ME"/>
        </w:rPr>
        <w:t>zabilje</w:t>
      </w:r>
      <w:r w:rsidRPr="00D768EF">
        <w:rPr>
          <w:color w:val="000000"/>
          <w:szCs w:val="22"/>
          <w:lang w:val="sr-Latn-ME"/>
        </w:rPr>
        <w:t xml:space="preserve">žen je jedan slučaj maligniteta (medijana trajanja </w:t>
      </w:r>
      <w:r w:rsidRPr="00D768EF">
        <w:rPr>
          <w:color w:val="000000"/>
          <w:szCs w:val="22"/>
          <w:lang w:val="sr-Latn-ME"/>
        </w:rPr>
        <w:lastRenderedPageBreak/>
        <w:t xml:space="preserve">praćenja bila je 0,8 godina; učestalost 1,3% [95% CI 0,03%-7,0%]). Većina maligniteta razvila se na plućima ili glavi i vratu. </w:t>
      </w:r>
    </w:p>
    <w:p w14:paraId="2E6C6D7B" w14:textId="77777777" w:rsidR="00C175E4" w:rsidRPr="00D768EF" w:rsidRDefault="00C175E4" w:rsidP="00C175E4">
      <w:pPr>
        <w:rPr>
          <w:snapToGrid w:val="0"/>
          <w:color w:val="000000"/>
          <w:szCs w:val="22"/>
          <w:lang w:val="sr-Latn-ME" w:eastAsia="sv-SE"/>
        </w:rPr>
      </w:pPr>
    </w:p>
    <w:p w14:paraId="10B0CCFF" w14:textId="71795A98" w:rsidR="00C175E4" w:rsidRPr="00D768EF" w:rsidRDefault="00C175E4" w:rsidP="00C175E4">
      <w:pPr>
        <w:rPr>
          <w:snapToGrid w:val="0"/>
          <w:color w:val="000000"/>
          <w:szCs w:val="22"/>
          <w:lang w:val="sr-Latn-ME" w:eastAsia="sv-SE"/>
        </w:rPr>
      </w:pPr>
      <w:r w:rsidRPr="00D768EF">
        <w:rPr>
          <w:snapToGrid w:val="0"/>
          <w:color w:val="000000"/>
          <w:szCs w:val="22"/>
          <w:lang w:val="sr-Latn-ME" w:eastAsia="sv-SE"/>
        </w:rPr>
        <w:t xml:space="preserve">Populaciona retrospektivna kohortna studija pokazala je povećanu incidencu raka grlića materice kod žena obolelih od reumatoidnog artritisa koje su </w:t>
      </w:r>
      <w:r w:rsidR="00D57936" w:rsidRPr="00D768EF">
        <w:rPr>
          <w:snapToGrid w:val="0"/>
          <w:color w:val="000000"/>
          <w:szCs w:val="22"/>
          <w:lang w:val="sr-Latn-ME" w:eastAsia="sv-SE"/>
        </w:rPr>
        <w:t>liječe</w:t>
      </w:r>
      <w:r w:rsidRPr="00D768EF">
        <w:rPr>
          <w:snapToGrid w:val="0"/>
          <w:color w:val="000000"/>
          <w:szCs w:val="22"/>
          <w:lang w:val="sr-Latn-ME" w:eastAsia="sv-SE"/>
        </w:rPr>
        <w:t>ne infliksimabom, u poređenju sa pacijentkinjama koje nisu primale biološke l</w:t>
      </w:r>
      <w:r w:rsidR="00830369" w:rsidRPr="00D768EF">
        <w:rPr>
          <w:snapToGrid w:val="0"/>
          <w:color w:val="000000"/>
          <w:szCs w:val="22"/>
          <w:lang w:val="sr-Latn-ME" w:eastAsia="sv-SE"/>
        </w:rPr>
        <w:t>j</w:t>
      </w:r>
      <w:r w:rsidRPr="00D768EF">
        <w:rPr>
          <w:snapToGrid w:val="0"/>
          <w:color w:val="000000"/>
          <w:szCs w:val="22"/>
          <w:lang w:val="sr-Latn-ME" w:eastAsia="sv-SE"/>
        </w:rPr>
        <w:t>ekove ili opštom populacijom, uključujući i one starije od 60 godina (</w:t>
      </w:r>
      <w:r w:rsidR="00282A1E" w:rsidRPr="00D768EF">
        <w:rPr>
          <w:snapToGrid w:val="0"/>
          <w:color w:val="000000"/>
          <w:szCs w:val="22"/>
          <w:lang w:val="sr-Latn-ME" w:eastAsia="sv-SE"/>
        </w:rPr>
        <w:t>vidjeti</w:t>
      </w:r>
      <w:r w:rsidRPr="00D768EF">
        <w:rPr>
          <w:snapToGrid w:val="0"/>
          <w:color w:val="000000"/>
          <w:szCs w:val="22"/>
          <w:lang w:val="sr-Latn-ME" w:eastAsia="sv-SE"/>
        </w:rPr>
        <w:t xml:space="preserve"> </w:t>
      </w:r>
      <w:r w:rsidR="00454E9F" w:rsidRPr="00D768EF">
        <w:rPr>
          <w:snapToGrid w:val="0"/>
          <w:color w:val="000000"/>
          <w:szCs w:val="22"/>
          <w:lang w:val="sr-Latn-ME" w:eastAsia="sv-SE"/>
        </w:rPr>
        <w:t>dio</w:t>
      </w:r>
      <w:r w:rsidRPr="00D768EF">
        <w:rPr>
          <w:snapToGrid w:val="0"/>
          <w:color w:val="000000"/>
          <w:szCs w:val="22"/>
          <w:lang w:val="sr-Latn-ME" w:eastAsia="sv-SE"/>
        </w:rPr>
        <w:t xml:space="preserve"> 4.4). </w:t>
      </w:r>
    </w:p>
    <w:p w14:paraId="69B506C9" w14:textId="77777777" w:rsidR="00C175E4" w:rsidRPr="00D768EF" w:rsidRDefault="00C175E4" w:rsidP="00C175E4">
      <w:pPr>
        <w:rPr>
          <w:snapToGrid w:val="0"/>
          <w:color w:val="000000"/>
          <w:szCs w:val="22"/>
          <w:lang w:val="sr-Latn-ME" w:eastAsia="sv-SE"/>
        </w:rPr>
      </w:pPr>
    </w:p>
    <w:p w14:paraId="60D2370B" w14:textId="7D7464D4" w:rsidR="00C175E4" w:rsidRPr="00D768EF" w:rsidRDefault="00C175E4" w:rsidP="00C175E4">
      <w:pPr>
        <w:rPr>
          <w:szCs w:val="22"/>
          <w:lang w:val="sr-Latn-ME"/>
        </w:rPr>
      </w:pPr>
      <w:r w:rsidRPr="00D768EF">
        <w:rPr>
          <w:szCs w:val="22"/>
          <w:lang w:val="sr-Latn-ME"/>
        </w:rPr>
        <w:t>Dodatno, posl</w:t>
      </w:r>
      <w:r w:rsidR="00CF5D59">
        <w:rPr>
          <w:szCs w:val="22"/>
          <w:lang w:val="sr-Latn-ME"/>
        </w:rPr>
        <w:t>ij</w:t>
      </w:r>
      <w:r w:rsidRPr="00D768EF">
        <w:rPr>
          <w:szCs w:val="22"/>
          <w:lang w:val="sr-Latn-ME"/>
        </w:rPr>
        <w:t>e stavljanj</w:t>
      </w:r>
      <w:r w:rsidR="00EB41AB" w:rsidRPr="00D768EF">
        <w:rPr>
          <w:szCs w:val="22"/>
          <w:lang w:val="sr-Latn-ME"/>
        </w:rPr>
        <w:t>a l</w:t>
      </w:r>
      <w:r w:rsidR="00830369" w:rsidRPr="00D768EF">
        <w:rPr>
          <w:szCs w:val="22"/>
          <w:lang w:val="sr-Latn-ME"/>
        </w:rPr>
        <w:t>ij</w:t>
      </w:r>
      <w:r w:rsidR="00EB41AB" w:rsidRPr="00D768EF">
        <w:rPr>
          <w:szCs w:val="22"/>
          <w:lang w:val="sr-Latn-ME"/>
        </w:rPr>
        <w:t>eka u promet prijavljeni su</w:t>
      </w:r>
      <w:r w:rsidRPr="00D768EF">
        <w:rPr>
          <w:szCs w:val="22"/>
          <w:lang w:val="sr-Latn-ME"/>
        </w:rPr>
        <w:t xml:space="preserve"> slučajevi </w:t>
      </w:r>
      <w:r w:rsidRPr="00D768EF">
        <w:rPr>
          <w:iCs/>
          <w:szCs w:val="22"/>
          <w:lang w:val="sr-Latn-ME" w:eastAsia="sv-SE"/>
        </w:rPr>
        <w:t xml:space="preserve">hepatospleničnog T-celularnog limfoma </w:t>
      </w:r>
      <w:r w:rsidRPr="00D768EF">
        <w:rPr>
          <w:szCs w:val="22"/>
          <w:lang w:val="sr-Latn-ME"/>
        </w:rPr>
        <w:t xml:space="preserve">kod pacijenata koji su </w:t>
      </w:r>
      <w:r w:rsidR="00D57936" w:rsidRPr="00D768EF">
        <w:rPr>
          <w:szCs w:val="22"/>
          <w:lang w:val="sr-Latn-ME"/>
        </w:rPr>
        <w:t>liječe</w:t>
      </w:r>
      <w:r w:rsidRPr="00D768EF">
        <w:rPr>
          <w:szCs w:val="22"/>
          <w:lang w:val="sr-Latn-ME"/>
        </w:rPr>
        <w:t>ni infliksimabom od kojih je najveći d</w:t>
      </w:r>
      <w:r w:rsidR="00830369" w:rsidRPr="00D768EF">
        <w:rPr>
          <w:szCs w:val="22"/>
          <w:lang w:val="sr-Latn-ME"/>
        </w:rPr>
        <w:t>i</w:t>
      </w:r>
      <w:r w:rsidRPr="00D768EF">
        <w:rPr>
          <w:szCs w:val="22"/>
          <w:lang w:val="sr-Latn-ME"/>
        </w:rPr>
        <w:t>o slučajeva kod pacijenata sa Kronovom bolešću i ulceroznim kolitisom, a većina su bili adolescenti ili mlađi odrasli muškarci (</w:t>
      </w:r>
      <w:r w:rsidR="00282A1E" w:rsidRPr="00D768EF">
        <w:rPr>
          <w:szCs w:val="22"/>
          <w:lang w:val="sr-Latn-ME"/>
        </w:rPr>
        <w:t>vidjeti</w:t>
      </w:r>
      <w:r w:rsidRPr="00D768EF">
        <w:rPr>
          <w:szCs w:val="22"/>
          <w:lang w:val="sr-Latn-ME"/>
        </w:rPr>
        <w:t xml:space="preserve"> </w:t>
      </w:r>
      <w:r w:rsidR="00454E9F" w:rsidRPr="00D768EF">
        <w:rPr>
          <w:szCs w:val="22"/>
          <w:lang w:val="sr-Latn-ME"/>
        </w:rPr>
        <w:t>dio</w:t>
      </w:r>
      <w:r w:rsidRPr="00D768EF">
        <w:rPr>
          <w:szCs w:val="22"/>
          <w:lang w:val="sr-Latn-ME"/>
        </w:rPr>
        <w:t xml:space="preserve"> 4.4). </w:t>
      </w:r>
    </w:p>
    <w:p w14:paraId="7B967BA8" w14:textId="77777777" w:rsidR="00C175E4" w:rsidRPr="00D768EF" w:rsidRDefault="00C175E4" w:rsidP="00C175E4">
      <w:pPr>
        <w:rPr>
          <w:i/>
          <w:iCs/>
          <w:color w:val="000000"/>
          <w:szCs w:val="22"/>
          <w:lang w:val="sr-Latn-ME"/>
        </w:rPr>
      </w:pPr>
    </w:p>
    <w:p w14:paraId="5712D3FE" w14:textId="16F41FA2" w:rsidR="00C175E4" w:rsidRPr="00D768EF" w:rsidRDefault="00C175E4" w:rsidP="00C175E4">
      <w:pPr>
        <w:rPr>
          <w:i/>
          <w:iCs/>
          <w:color w:val="000000"/>
          <w:szCs w:val="22"/>
          <w:lang w:val="sr-Latn-ME"/>
        </w:rPr>
      </w:pPr>
      <w:r w:rsidRPr="00D768EF">
        <w:rPr>
          <w:i/>
          <w:iCs/>
          <w:color w:val="000000"/>
          <w:szCs w:val="22"/>
          <w:lang w:val="sr-Latn-ME"/>
        </w:rPr>
        <w:t>Srčana insuficijencija</w:t>
      </w:r>
    </w:p>
    <w:p w14:paraId="085B89C6" w14:textId="72DC2030" w:rsidR="00C175E4" w:rsidRPr="00D768EF" w:rsidRDefault="00C175E4" w:rsidP="00C175E4">
      <w:pPr>
        <w:rPr>
          <w:color w:val="000000"/>
          <w:szCs w:val="22"/>
          <w:lang w:val="sr-Latn-ME"/>
        </w:rPr>
      </w:pPr>
      <w:r w:rsidRPr="00D768EF">
        <w:rPr>
          <w:color w:val="000000"/>
          <w:szCs w:val="22"/>
          <w:lang w:val="sr-Latn-ME"/>
        </w:rPr>
        <w:t>U fazi II</w:t>
      </w:r>
      <w:bookmarkStart w:id="5" w:name="OLE_LINK6"/>
      <w:bookmarkStart w:id="6" w:name="OLE_LINK9"/>
      <w:r w:rsidRPr="00D768EF">
        <w:rPr>
          <w:color w:val="000000"/>
          <w:szCs w:val="22"/>
          <w:lang w:val="sr-Latn-ME"/>
        </w:rPr>
        <w:t xml:space="preserve"> kliničke studije</w:t>
      </w:r>
      <w:bookmarkEnd w:id="5"/>
      <w:bookmarkEnd w:id="6"/>
      <w:r w:rsidRPr="00D768EF">
        <w:rPr>
          <w:color w:val="000000"/>
          <w:szCs w:val="22"/>
          <w:lang w:val="sr-Latn-ME"/>
        </w:rPr>
        <w:t>, koja je bila usm</w:t>
      </w:r>
      <w:r w:rsidR="00830369" w:rsidRPr="00D768EF">
        <w:rPr>
          <w:color w:val="000000"/>
          <w:szCs w:val="22"/>
          <w:lang w:val="sr-Latn-ME"/>
        </w:rPr>
        <w:t>j</w:t>
      </w:r>
      <w:r w:rsidRPr="00D768EF">
        <w:rPr>
          <w:color w:val="000000"/>
          <w:szCs w:val="22"/>
          <w:lang w:val="sr-Latn-ME"/>
        </w:rPr>
        <w:t>erena ka proc</w:t>
      </w:r>
      <w:r w:rsidR="00830369" w:rsidRPr="00D768EF">
        <w:rPr>
          <w:color w:val="000000"/>
          <w:szCs w:val="22"/>
          <w:lang w:val="sr-Latn-ME"/>
        </w:rPr>
        <w:t>j</w:t>
      </w:r>
      <w:r w:rsidRPr="00D768EF">
        <w:rPr>
          <w:color w:val="000000"/>
          <w:szCs w:val="22"/>
          <w:lang w:val="sr-Latn-ME"/>
        </w:rPr>
        <w:t>eni infliksimaba u terapiji kongestivne srčane insuficijencije  uočen je veći stepen smrtnosti zbog pogoršanja srčane insuficijencije kod pacijenata koji su primali infliksimab, naročito kod onih koji su primali dozu veću od 10 mg/kg (tj. dva puta veću od maksimalne odobrene doze). U ovoj studiji je 150 pacijenata sa kongestivnom srčanom insuficijencijom NYHA Klasa III-IV (l</w:t>
      </w:r>
      <w:r w:rsidR="00830369" w:rsidRPr="00D768EF">
        <w:rPr>
          <w:color w:val="000000"/>
          <w:szCs w:val="22"/>
          <w:lang w:val="sr-Latn-ME"/>
        </w:rPr>
        <w:t>ij</w:t>
      </w:r>
      <w:r w:rsidRPr="00D768EF">
        <w:rPr>
          <w:color w:val="000000"/>
          <w:szCs w:val="22"/>
          <w:lang w:val="sr-Latn-ME"/>
        </w:rPr>
        <w:t xml:space="preserve">eva ventrikularna ejekciona frakcija ≤35%) primilo 3 infuzije infliksimaba od 5 mg/kg, odnosno 10 mg/kg ili placebo tokom 6 </w:t>
      </w:r>
      <w:r w:rsidR="00D57936" w:rsidRPr="00D768EF">
        <w:rPr>
          <w:color w:val="000000"/>
          <w:szCs w:val="22"/>
          <w:lang w:val="sr-Latn-ME"/>
        </w:rPr>
        <w:t>nedjelj</w:t>
      </w:r>
      <w:r w:rsidRPr="00D768EF">
        <w:rPr>
          <w:color w:val="000000"/>
          <w:szCs w:val="22"/>
          <w:lang w:val="sr-Latn-ME"/>
        </w:rPr>
        <w:t>a. Posl</w:t>
      </w:r>
      <w:r w:rsidR="00CF5D59">
        <w:rPr>
          <w:color w:val="000000"/>
          <w:szCs w:val="22"/>
          <w:lang w:val="sr-Latn-ME"/>
        </w:rPr>
        <w:t>ij</w:t>
      </w:r>
      <w:r w:rsidRPr="00D768EF">
        <w:rPr>
          <w:color w:val="000000"/>
          <w:szCs w:val="22"/>
          <w:lang w:val="sr-Latn-ME"/>
        </w:rPr>
        <w:t>e 38 </w:t>
      </w:r>
      <w:r w:rsidR="00D57936" w:rsidRPr="00D768EF">
        <w:rPr>
          <w:color w:val="000000"/>
          <w:szCs w:val="22"/>
          <w:lang w:val="sr-Latn-ME"/>
        </w:rPr>
        <w:t>nedjelj</w:t>
      </w:r>
      <w:r w:rsidRPr="00D768EF">
        <w:rPr>
          <w:color w:val="000000"/>
          <w:szCs w:val="22"/>
          <w:lang w:val="sr-Latn-ME"/>
        </w:rPr>
        <w:t xml:space="preserve">a umrlo je 9 od 101 pacijenata </w:t>
      </w:r>
      <w:r w:rsidR="00D57936" w:rsidRPr="00D768EF">
        <w:rPr>
          <w:color w:val="000000"/>
          <w:szCs w:val="22"/>
          <w:lang w:val="sr-Latn-ME"/>
        </w:rPr>
        <w:t>liječe</w:t>
      </w:r>
      <w:r w:rsidRPr="00D768EF">
        <w:rPr>
          <w:color w:val="000000"/>
          <w:szCs w:val="22"/>
          <w:lang w:val="sr-Latn-ME"/>
        </w:rPr>
        <w:t xml:space="preserve">nih infliksimabom (dvoje koji su primali dozu od 5 mg/kg i sedmoro koji su primali dozu od 10 mg/kg), dok je među 49 pacijenata koji su primali placebo </w:t>
      </w:r>
      <w:r w:rsidR="001B0A77" w:rsidRPr="00D768EF">
        <w:rPr>
          <w:color w:val="000000"/>
          <w:szCs w:val="22"/>
          <w:lang w:val="sr-Latn-ME"/>
        </w:rPr>
        <w:t>zabilje</w:t>
      </w:r>
      <w:r w:rsidRPr="00D768EF">
        <w:rPr>
          <w:color w:val="000000"/>
          <w:szCs w:val="22"/>
          <w:lang w:val="sr-Latn-ME"/>
        </w:rPr>
        <w:t>žen samo jedan smrtni slučaj.</w:t>
      </w:r>
    </w:p>
    <w:p w14:paraId="3AC123E2" w14:textId="5F5439F3" w:rsidR="00C175E4" w:rsidRPr="00D768EF" w:rsidRDefault="00C175E4" w:rsidP="00C175E4">
      <w:pPr>
        <w:rPr>
          <w:color w:val="000000"/>
          <w:szCs w:val="22"/>
          <w:lang w:val="sr-Latn-ME"/>
        </w:rPr>
      </w:pPr>
    </w:p>
    <w:p w14:paraId="1E8A5C5C" w14:textId="23E8E5D3" w:rsidR="00C175E4" w:rsidRPr="00D768EF" w:rsidRDefault="00C175E4" w:rsidP="00C175E4">
      <w:pPr>
        <w:rPr>
          <w:color w:val="000000"/>
          <w:szCs w:val="22"/>
          <w:lang w:val="sr-Latn-ME"/>
        </w:rPr>
      </w:pPr>
      <w:r w:rsidRPr="00D768EF">
        <w:rPr>
          <w:color w:val="000000"/>
          <w:szCs w:val="22"/>
          <w:lang w:val="sr-Latn-ME"/>
        </w:rPr>
        <w:t>Posl</w:t>
      </w:r>
      <w:r w:rsidR="00CF5D59">
        <w:rPr>
          <w:color w:val="000000"/>
          <w:szCs w:val="22"/>
          <w:lang w:val="sr-Latn-ME"/>
        </w:rPr>
        <w:t>ij</w:t>
      </w:r>
      <w:r w:rsidRPr="00D768EF">
        <w:rPr>
          <w:color w:val="000000"/>
          <w:szCs w:val="22"/>
          <w:lang w:val="sr-Latn-ME"/>
        </w:rPr>
        <w:t>e stavljanja l</w:t>
      </w:r>
      <w:r w:rsidR="00830369" w:rsidRPr="00D768EF">
        <w:rPr>
          <w:color w:val="000000"/>
          <w:szCs w:val="22"/>
          <w:lang w:val="sr-Latn-ME"/>
        </w:rPr>
        <w:t>ij</w:t>
      </w:r>
      <w:r w:rsidRPr="00D768EF">
        <w:rPr>
          <w:color w:val="000000"/>
          <w:szCs w:val="22"/>
          <w:lang w:val="sr-Latn-ME"/>
        </w:rPr>
        <w:t xml:space="preserve">eka u promet prijavljeni su slučajevi pogoršanja srčane insuficijencije sa ili bez utvrđenih precipitirajućih faktora, kod pacijenata </w:t>
      </w:r>
      <w:r w:rsidR="00D57936" w:rsidRPr="00D768EF">
        <w:rPr>
          <w:color w:val="000000"/>
          <w:szCs w:val="22"/>
          <w:lang w:val="sr-Latn-ME"/>
        </w:rPr>
        <w:t>liječe</w:t>
      </w:r>
      <w:r w:rsidRPr="00D768EF">
        <w:rPr>
          <w:color w:val="000000"/>
          <w:szCs w:val="22"/>
          <w:lang w:val="sr-Latn-ME"/>
        </w:rPr>
        <w:t>nih infliksimabom. Takođe, posl</w:t>
      </w:r>
      <w:r w:rsidR="00CF5D59">
        <w:rPr>
          <w:color w:val="000000"/>
          <w:szCs w:val="22"/>
          <w:lang w:val="sr-Latn-ME"/>
        </w:rPr>
        <w:t>ij</w:t>
      </w:r>
      <w:r w:rsidRPr="00D768EF">
        <w:rPr>
          <w:color w:val="000000"/>
          <w:szCs w:val="22"/>
          <w:lang w:val="sr-Latn-ME"/>
        </w:rPr>
        <w:t>e stavljanja l</w:t>
      </w:r>
      <w:r w:rsidR="00830369" w:rsidRPr="00D768EF">
        <w:rPr>
          <w:color w:val="000000"/>
          <w:szCs w:val="22"/>
          <w:lang w:val="sr-Latn-ME"/>
        </w:rPr>
        <w:t>ij</w:t>
      </w:r>
      <w:r w:rsidRPr="00D768EF">
        <w:rPr>
          <w:color w:val="000000"/>
          <w:szCs w:val="22"/>
          <w:lang w:val="sr-Latn-ME"/>
        </w:rPr>
        <w:t>eka u promet prijavljena</w:t>
      </w:r>
      <w:r w:rsidR="00EB41AB" w:rsidRPr="00D768EF">
        <w:rPr>
          <w:color w:val="000000"/>
          <w:szCs w:val="22"/>
          <w:lang w:val="sr-Latn-ME"/>
        </w:rPr>
        <w:t xml:space="preserve"> je</w:t>
      </w:r>
      <w:r w:rsidRPr="00D768EF">
        <w:rPr>
          <w:color w:val="000000"/>
          <w:szCs w:val="22"/>
          <w:lang w:val="sr-Latn-ME"/>
        </w:rPr>
        <w:t xml:space="preserve"> novonastala srčana insuficijencija, uključujući srčanu insuficijenciju kod pacijenata kod kojih prethodno nije utvrđeno kardiovaskularno oboljenje. Neki od tih pacijenata su bili mlađi od 50 godina. </w:t>
      </w:r>
    </w:p>
    <w:p w14:paraId="3D06054C" w14:textId="0AF1DD96" w:rsidR="00C175E4" w:rsidRPr="00D768EF" w:rsidRDefault="00C175E4" w:rsidP="00C175E4">
      <w:pPr>
        <w:rPr>
          <w:color w:val="000000"/>
          <w:szCs w:val="22"/>
          <w:lang w:val="sr-Latn-ME"/>
        </w:rPr>
      </w:pPr>
    </w:p>
    <w:p w14:paraId="2B060037" w14:textId="77777777" w:rsidR="00C175E4" w:rsidRPr="00D768EF" w:rsidRDefault="00C175E4" w:rsidP="00C175E4">
      <w:pPr>
        <w:rPr>
          <w:i/>
          <w:iCs/>
          <w:color w:val="000000"/>
          <w:szCs w:val="22"/>
          <w:lang w:val="sr-Latn-ME"/>
        </w:rPr>
      </w:pPr>
      <w:r w:rsidRPr="00D768EF">
        <w:rPr>
          <w:i/>
          <w:iCs/>
          <w:color w:val="000000"/>
          <w:szCs w:val="22"/>
          <w:lang w:val="sr-Latn-ME"/>
        </w:rPr>
        <w:t xml:space="preserve">Hepatobilijarni događaji </w:t>
      </w:r>
    </w:p>
    <w:p w14:paraId="2042FC06" w14:textId="2A796B02" w:rsidR="00C175E4" w:rsidRPr="00D768EF" w:rsidRDefault="00C175E4" w:rsidP="00C175E4">
      <w:pPr>
        <w:rPr>
          <w:color w:val="000000"/>
          <w:szCs w:val="22"/>
          <w:lang w:val="sr-Latn-ME"/>
        </w:rPr>
      </w:pPr>
      <w:r w:rsidRPr="00D768EF">
        <w:rPr>
          <w:color w:val="000000"/>
          <w:szCs w:val="22"/>
          <w:lang w:val="sr-Latn-ME"/>
        </w:rPr>
        <w:t>U kliničkim studijama prim</w:t>
      </w:r>
      <w:r w:rsidR="00C3214E" w:rsidRPr="00D768EF">
        <w:rPr>
          <w:color w:val="000000"/>
          <w:szCs w:val="22"/>
          <w:lang w:val="sr-Latn-ME"/>
        </w:rPr>
        <w:t>ij</w:t>
      </w:r>
      <w:r w:rsidRPr="00D768EF">
        <w:rPr>
          <w:color w:val="000000"/>
          <w:szCs w:val="22"/>
          <w:lang w:val="sr-Latn-ME"/>
        </w:rPr>
        <w:t>ećen je blagi ili um</w:t>
      </w:r>
      <w:r w:rsidR="00830369" w:rsidRPr="00D768EF">
        <w:rPr>
          <w:color w:val="000000"/>
          <w:szCs w:val="22"/>
          <w:lang w:val="sr-Latn-ME"/>
        </w:rPr>
        <w:t>j</w:t>
      </w:r>
      <w:r w:rsidRPr="00D768EF">
        <w:rPr>
          <w:color w:val="000000"/>
          <w:szCs w:val="22"/>
          <w:lang w:val="sr-Latn-ME"/>
        </w:rPr>
        <w:t xml:space="preserve">eren porast </w:t>
      </w:r>
      <w:r w:rsidR="008A0A5C" w:rsidRPr="00D768EF">
        <w:rPr>
          <w:color w:val="000000"/>
          <w:szCs w:val="22"/>
          <w:lang w:val="sr-Latn-ME"/>
        </w:rPr>
        <w:t>vrijedno</w:t>
      </w:r>
      <w:r w:rsidRPr="00D768EF">
        <w:rPr>
          <w:color w:val="000000"/>
          <w:szCs w:val="22"/>
          <w:lang w:val="sr-Latn-ME"/>
        </w:rPr>
        <w:t>sti ALT i AST kod pacijenata koji su primali infliksimab, ali nije došlo do progresije u teško oštećenje jetre. Prim</w:t>
      </w:r>
      <w:r w:rsidR="00830369" w:rsidRPr="00D768EF">
        <w:rPr>
          <w:color w:val="000000"/>
          <w:szCs w:val="22"/>
          <w:lang w:val="sr-Latn-ME"/>
        </w:rPr>
        <w:t>ij</w:t>
      </w:r>
      <w:r w:rsidRPr="00D768EF">
        <w:rPr>
          <w:color w:val="000000"/>
          <w:szCs w:val="22"/>
          <w:lang w:val="sr-Latn-ME"/>
        </w:rPr>
        <w:t>ećeni su pov</w:t>
      </w:r>
      <w:r w:rsidR="00833505" w:rsidRPr="00D768EF">
        <w:rPr>
          <w:color w:val="000000"/>
          <w:szCs w:val="22"/>
          <w:lang w:val="sr-Latn-ME"/>
        </w:rPr>
        <w:t>ećane</w:t>
      </w:r>
      <w:r w:rsidRPr="00D768EF">
        <w:rPr>
          <w:color w:val="000000"/>
          <w:szCs w:val="22"/>
          <w:lang w:val="sr-Latn-ME"/>
        </w:rPr>
        <w:t xml:space="preserve"> </w:t>
      </w:r>
      <w:r w:rsidR="00833505" w:rsidRPr="00D768EF">
        <w:rPr>
          <w:color w:val="000000"/>
          <w:szCs w:val="22"/>
          <w:lang w:val="sr-Latn-ME"/>
        </w:rPr>
        <w:t>vr</w:t>
      </w:r>
      <w:r w:rsidR="00E72128" w:rsidRPr="00D768EF">
        <w:rPr>
          <w:color w:val="000000"/>
          <w:szCs w:val="22"/>
          <w:lang w:val="sr-Latn-ME"/>
        </w:rPr>
        <w:t>ij</w:t>
      </w:r>
      <w:r w:rsidR="00833505" w:rsidRPr="00D768EF">
        <w:rPr>
          <w:color w:val="000000"/>
          <w:szCs w:val="22"/>
          <w:lang w:val="sr-Latn-ME"/>
        </w:rPr>
        <w:t>ednosti</w:t>
      </w:r>
      <w:r w:rsidRPr="00D768EF">
        <w:rPr>
          <w:color w:val="000000"/>
          <w:szCs w:val="22"/>
          <w:lang w:val="sr-Latn-ME"/>
        </w:rPr>
        <w:t xml:space="preserve"> ALT ≥ 5 puta iznad gornje granice normalne </w:t>
      </w:r>
      <w:r w:rsidR="008A0A5C" w:rsidRPr="00D768EF">
        <w:rPr>
          <w:color w:val="000000"/>
          <w:szCs w:val="22"/>
          <w:lang w:val="sr-Latn-ME"/>
        </w:rPr>
        <w:t>vrijedno</w:t>
      </w:r>
      <w:r w:rsidRPr="00D768EF">
        <w:rPr>
          <w:color w:val="000000"/>
          <w:szCs w:val="22"/>
          <w:lang w:val="sr-Latn-ME"/>
        </w:rPr>
        <w:t>sti (eng</w:t>
      </w:r>
      <w:r w:rsidR="00D77C15" w:rsidRPr="00D768EF">
        <w:rPr>
          <w:color w:val="000000"/>
          <w:szCs w:val="22"/>
          <w:lang w:val="sr-Latn-ME"/>
        </w:rPr>
        <w:t>l</w:t>
      </w:r>
      <w:r w:rsidRPr="00D768EF">
        <w:rPr>
          <w:color w:val="000000"/>
          <w:szCs w:val="22"/>
          <w:lang w:val="sr-Latn-ME"/>
        </w:rPr>
        <w:t xml:space="preserve">. </w:t>
      </w:r>
      <w:r w:rsidRPr="00D768EF">
        <w:rPr>
          <w:i/>
          <w:color w:val="000000"/>
          <w:szCs w:val="22"/>
          <w:lang w:val="sr-Latn-ME"/>
        </w:rPr>
        <w:t>Upper Limit of Normal</w:t>
      </w:r>
      <w:r w:rsidRPr="00D768EF">
        <w:rPr>
          <w:color w:val="000000"/>
          <w:szCs w:val="22"/>
          <w:lang w:val="sr-Latn-ME"/>
        </w:rPr>
        <w:t>-ULN) (</w:t>
      </w:r>
      <w:r w:rsidR="00282A1E" w:rsidRPr="00D768EF">
        <w:rPr>
          <w:color w:val="000000"/>
          <w:szCs w:val="22"/>
          <w:lang w:val="sr-Latn-ME"/>
        </w:rPr>
        <w:t>vidjeti</w:t>
      </w:r>
      <w:r w:rsidRPr="00D768EF">
        <w:rPr>
          <w:color w:val="000000"/>
          <w:szCs w:val="22"/>
          <w:lang w:val="sr-Latn-ME"/>
        </w:rPr>
        <w:t xml:space="preserve"> Tabelu 2). Prim</w:t>
      </w:r>
      <w:r w:rsidR="00830369" w:rsidRPr="00D768EF">
        <w:rPr>
          <w:color w:val="000000"/>
          <w:szCs w:val="22"/>
          <w:lang w:val="sr-Latn-ME"/>
        </w:rPr>
        <w:t>ij</w:t>
      </w:r>
      <w:r w:rsidRPr="00D768EF">
        <w:rPr>
          <w:color w:val="000000"/>
          <w:szCs w:val="22"/>
          <w:lang w:val="sr-Latn-ME"/>
        </w:rPr>
        <w:t>ećeni su povećan</w:t>
      </w:r>
      <w:r w:rsidR="00833505" w:rsidRPr="00D768EF">
        <w:rPr>
          <w:color w:val="000000"/>
          <w:szCs w:val="22"/>
          <w:lang w:val="sr-Latn-ME"/>
        </w:rPr>
        <w:t>e vr</w:t>
      </w:r>
      <w:r w:rsidR="00E72128" w:rsidRPr="00D768EF">
        <w:rPr>
          <w:color w:val="000000"/>
          <w:szCs w:val="22"/>
          <w:lang w:val="sr-Latn-ME"/>
        </w:rPr>
        <w:t>ij</w:t>
      </w:r>
      <w:r w:rsidR="00833505" w:rsidRPr="00D768EF">
        <w:rPr>
          <w:color w:val="000000"/>
          <w:szCs w:val="22"/>
          <w:lang w:val="sr-Latn-ME"/>
        </w:rPr>
        <w:t>ednosti</w:t>
      </w:r>
      <w:r w:rsidRPr="00D768EF">
        <w:rPr>
          <w:color w:val="000000"/>
          <w:szCs w:val="22"/>
          <w:lang w:val="sr-Latn-ME"/>
        </w:rPr>
        <w:t xml:space="preserve"> aminotransferaza (češće ALT nego AST) u većem procentu kod pacijenata koji su primali infliksimab nego u kontrolnim grupama, kako pri prim</w:t>
      </w:r>
      <w:r w:rsidR="00126595" w:rsidRPr="00D768EF">
        <w:rPr>
          <w:color w:val="000000"/>
          <w:szCs w:val="22"/>
          <w:lang w:val="sr-Latn-ME"/>
        </w:rPr>
        <w:t>j</w:t>
      </w:r>
      <w:r w:rsidRPr="00D768EF">
        <w:rPr>
          <w:color w:val="000000"/>
          <w:szCs w:val="22"/>
          <w:lang w:val="sr-Latn-ME"/>
        </w:rPr>
        <w:t>eni infliksimaba kao monoterapije, tako i pri prim</w:t>
      </w:r>
      <w:r w:rsidR="00126595" w:rsidRPr="00D768EF">
        <w:rPr>
          <w:color w:val="000000"/>
          <w:szCs w:val="22"/>
          <w:lang w:val="sr-Latn-ME"/>
        </w:rPr>
        <w:t>j</w:t>
      </w:r>
      <w:r w:rsidRPr="00D768EF">
        <w:rPr>
          <w:color w:val="000000"/>
          <w:szCs w:val="22"/>
          <w:lang w:val="sr-Latn-ME"/>
        </w:rPr>
        <w:t xml:space="preserve">eni u kombinaciji sa drugim imunosupresivima. Poremećaji </w:t>
      </w:r>
      <w:r w:rsidR="008A0A5C" w:rsidRPr="00D768EF">
        <w:rPr>
          <w:color w:val="000000"/>
          <w:szCs w:val="22"/>
          <w:lang w:val="sr-Latn-ME"/>
        </w:rPr>
        <w:t>vrijedno</w:t>
      </w:r>
      <w:r w:rsidRPr="00D768EF">
        <w:rPr>
          <w:color w:val="000000"/>
          <w:szCs w:val="22"/>
          <w:lang w:val="sr-Latn-ME"/>
        </w:rPr>
        <w:t xml:space="preserve">sti aminotransferaza većinom su bili prolaznog karaktera; međutim, kod manjeg broja pacijenata povišeni nivoi tih enzima trajali su u dužem periodu. Generalno, pacijenti kod kojih je došlo do </w:t>
      </w:r>
      <w:r w:rsidR="00833505" w:rsidRPr="00D768EF">
        <w:rPr>
          <w:color w:val="000000"/>
          <w:szCs w:val="22"/>
          <w:lang w:val="sr-Latn-ME"/>
        </w:rPr>
        <w:t>povećanja vr</w:t>
      </w:r>
      <w:r w:rsidR="00E72128" w:rsidRPr="00D768EF">
        <w:rPr>
          <w:color w:val="000000"/>
          <w:szCs w:val="22"/>
          <w:lang w:val="sr-Latn-ME"/>
        </w:rPr>
        <w:t>ij</w:t>
      </w:r>
      <w:r w:rsidR="00833505" w:rsidRPr="00D768EF">
        <w:rPr>
          <w:color w:val="000000"/>
          <w:szCs w:val="22"/>
          <w:lang w:val="sr-Latn-ME"/>
        </w:rPr>
        <w:t xml:space="preserve">ednosti </w:t>
      </w:r>
      <w:r w:rsidRPr="00D768EF">
        <w:rPr>
          <w:color w:val="000000"/>
          <w:szCs w:val="22"/>
          <w:lang w:val="sr-Latn-ME"/>
        </w:rPr>
        <w:t xml:space="preserve">ALT-a i AST-a bili su asimptomatični, a odstupanja bi se smanjila ili vratila na normalne </w:t>
      </w:r>
      <w:r w:rsidR="008A0A5C" w:rsidRPr="00D768EF">
        <w:rPr>
          <w:color w:val="000000"/>
          <w:szCs w:val="22"/>
          <w:lang w:val="sr-Latn-ME"/>
        </w:rPr>
        <w:t>vrijedno</w:t>
      </w:r>
      <w:r w:rsidRPr="00D768EF">
        <w:rPr>
          <w:color w:val="000000"/>
          <w:szCs w:val="22"/>
          <w:lang w:val="sr-Latn-ME"/>
        </w:rPr>
        <w:t>sti bilo u slučaju nastavka ili prekida terapije infliksimabom ili u slučaju modifikacije istovremeno prim</w:t>
      </w:r>
      <w:r w:rsidR="00126595" w:rsidRPr="00D768EF">
        <w:rPr>
          <w:color w:val="000000"/>
          <w:szCs w:val="22"/>
          <w:lang w:val="sr-Latn-ME"/>
        </w:rPr>
        <w:t>ij</w:t>
      </w:r>
      <w:r w:rsidRPr="00D768EF">
        <w:rPr>
          <w:color w:val="000000"/>
          <w:szCs w:val="22"/>
          <w:lang w:val="sr-Latn-ME"/>
        </w:rPr>
        <w:t>enjenih l</w:t>
      </w:r>
      <w:r w:rsidR="00126595" w:rsidRPr="00D768EF">
        <w:rPr>
          <w:color w:val="000000"/>
          <w:szCs w:val="22"/>
          <w:lang w:val="sr-Latn-ME"/>
        </w:rPr>
        <w:t>j</w:t>
      </w:r>
      <w:r w:rsidRPr="00D768EF">
        <w:rPr>
          <w:color w:val="000000"/>
          <w:szCs w:val="22"/>
          <w:lang w:val="sr-Latn-ME"/>
        </w:rPr>
        <w:t>ekova.</w:t>
      </w:r>
      <w:r w:rsidRPr="00D768EF">
        <w:rPr>
          <w:i/>
          <w:iCs/>
          <w:color w:val="000000"/>
          <w:szCs w:val="22"/>
          <w:lang w:val="sr-Latn-ME"/>
        </w:rPr>
        <w:t xml:space="preserve"> </w:t>
      </w:r>
      <w:r w:rsidRPr="00D768EF">
        <w:rPr>
          <w:iCs/>
          <w:color w:val="000000"/>
          <w:szCs w:val="22"/>
          <w:lang w:val="sr-Latn-ME"/>
        </w:rPr>
        <w:t>Posl</w:t>
      </w:r>
      <w:r w:rsidR="00CF5D59">
        <w:rPr>
          <w:iCs/>
          <w:color w:val="000000"/>
          <w:szCs w:val="22"/>
          <w:lang w:val="sr-Latn-ME"/>
        </w:rPr>
        <w:t>ij</w:t>
      </w:r>
      <w:r w:rsidRPr="00D768EF">
        <w:rPr>
          <w:iCs/>
          <w:color w:val="000000"/>
          <w:szCs w:val="22"/>
          <w:lang w:val="sr-Latn-ME"/>
        </w:rPr>
        <w:t>e</w:t>
      </w:r>
      <w:r w:rsidRPr="00D768EF">
        <w:rPr>
          <w:color w:val="000000"/>
          <w:szCs w:val="22"/>
          <w:lang w:val="sr-Latn-ME"/>
        </w:rPr>
        <w:t xml:space="preserve"> stavljanja l</w:t>
      </w:r>
      <w:r w:rsidR="00830369" w:rsidRPr="00D768EF">
        <w:rPr>
          <w:color w:val="000000"/>
          <w:szCs w:val="22"/>
          <w:lang w:val="sr-Latn-ME"/>
        </w:rPr>
        <w:t>ij</w:t>
      </w:r>
      <w:r w:rsidRPr="00D768EF">
        <w:rPr>
          <w:color w:val="000000"/>
          <w:szCs w:val="22"/>
          <w:lang w:val="sr-Latn-ME"/>
        </w:rPr>
        <w:t>eka u promet, kod pacijenata koji su primali infliksimab prijavljeni su slučajevi žutice i hepatitisa, koji je u nekim slučajevima imao karakteristike autoimunog hepatitisa (</w:t>
      </w:r>
      <w:r w:rsidR="00282A1E" w:rsidRPr="00D768EF">
        <w:rPr>
          <w:color w:val="000000"/>
          <w:szCs w:val="22"/>
          <w:lang w:val="sr-Latn-ME"/>
        </w:rPr>
        <w:t>vidjeti</w:t>
      </w:r>
      <w:r w:rsidRPr="00D768EF">
        <w:rPr>
          <w:color w:val="000000"/>
          <w:szCs w:val="22"/>
          <w:lang w:val="sr-Latn-ME"/>
        </w:rPr>
        <w:t xml:space="preserve"> </w:t>
      </w:r>
      <w:r w:rsidR="00454E9F" w:rsidRPr="00D768EF">
        <w:rPr>
          <w:color w:val="000000"/>
          <w:szCs w:val="22"/>
          <w:lang w:val="sr-Latn-ME"/>
        </w:rPr>
        <w:t>dio</w:t>
      </w:r>
      <w:r w:rsidRPr="00D768EF">
        <w:rPr>
          <w:color w:val="000000"/>
          <w:szCs w:val="22"/>
          <w:lang w:val="sr-Latn-ME"/>
        </w:rPr>
        <w:t xml:space="preserve"> 4.4).</w:t>
      </w:r>
    </w:p>
    <w:p w14:paraId="44CB34F1" w14:textId="77777777" w:rsidR="00C175E4" w:rsidRPr="00D768EF" w:rsidRDefault="00C175E4" w:rsidP="00C175E4">
      <w:pPr>
        <w:rPr>
          <w:b/>
          <w:szCs w:val="22"/>
          <w:lang w:val="sr-Latn-ME"/>
        </w:rPr>
      </w:pPr>
    </w:p>
    <w:p w14:paraId="42BAD552" w14:textId="77777777" w:rsidR="00C175E4" w:rsidRPr="00D768EF" w:rsidRDefault="00C175E4" w:rsidP="00C175E4">
      <w:pPr>
        <w:jc w:val="center"/>
        <w:rPr>
          <w:b/>
          <w:szCs w:val="22"/>
          <w:lang w:val="sr-Latn-ME"/>
        </w:rPr>
      </w:pPr>
      <w:r w:rsidRPr="00D768EF">
        <w:rPr>
          <w:b/>
          <w:szCs w:val="22"/>
          <w:lang w:val="sr-Latn-ME"/>
        </w:rPr>
        <w:t>Tabela 2</w:t>
      </w:r>
    </w:p>
    <w:p w14:paraId="1496877A" w14:textId="77777777" w:rsidR="00C175E4" w:rsidRPr="00D768EF" w:rsidRDefault="00C175E4" w:rsidP="00C175E4">
      <w:pPr>
        <w:jc w:val="left"/>
        <w:rPr>
          <w:b/>
          <w:color w:val="000000"/>
          <w:szCs w:val="22"/>
          <w:lang w:val="sr-Latn-ME"/>
        </w:rPr>
      </w:pPr>
      <w:r w:rsidRPr="00D768EF">
        <w:rPr>
          <w:b/>
          <w:szCs w:val="22"/>
          <w:lang w:val="sr-Latn-ME"/>
        </w:rPr>
        <w:t xml:space="preserve">Procenat pacijenata sa povećanom ALT aktivnošću u kliničkim </w:t>
      </w:r>
      <w:r w:rsidRPr="00D768EF">
        <w:rPr>
          <w:b/>
          <w:color w:val="000000"/>
          <w:szCs w:val="22"/>
          <w:lang w:val="sr-Latn-ME"/>
        </w:rPr>
        <w:t>studijama</w:t>
      </w:r>
    </w:p>
    <w:p w14:paraId="6DD8213E" w14:textId="77777777" w:rsidR="00C175E4" w:rsidRPr="00D768EF" w:rsidRDefault="00C175E4" w:rsidP="00C175E4">
      <w:pPr>
        <w:jc w:val="left"/>
        <w:rPr>
          <w:b/>
          <w:szCs w:val="22"/>
          <w:lang w:val="sr-Latn-ME"/>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850"/>
        <w:gridCol w:w="1134"/>
        <w:gridCol w:w="889"/>
        <w:gridCol w:w="1142"/>
        <w:gridCol w:w="838"/>
        <w:gridCol w:w="1142"/>
        <w:gridCol w:w="899"/>
        <w:gridCol w:w="1171"/>
      </w:tblGrid>
      <w:tr w:rsidR="00C175E4" w:rsidRPr="00D768EF" w14:paraId="41AE1FEE" w14:textId="77777777" w:rsidTr="00622285">
        <w:trPr>
          <w:cantSplit/>
        </w:trPr>
        <w:tc>
          <w:tcPr>
            <w:tcW w:w="1560" w:type="dxa"/>
            <w:vMerge w:val="restart"/>
            <w:vAlign w:val="center"/>
          </w:tcPr>
          <w:p w14:paraId="17804422" w14:textId="77777777" w:rsidR="00C175E4" w:rsidRPr="00D768EF" w:rsidRDefault="00C175E4" w:rsidP="00622285">
            <w:pPr>
              <w:jc w:val="left"/>
              <w:rPr>
                <w:color w:val="000000"/>
                <w:sz w:val="21"/>
                <w:szCs w:val="21"/>
                <w:lang w:val="sr-Latn-ME"/>
              </w:rPr>
            </w:pPr>
            <w:r w:rsidRPr="00D768EF">
              <w:rPr>
                <w:color w:val="000000"/>
                <w:sz w:val="21"/>
                <w:szCs w:val="21"/>
                <w:lang w:val="sr-Latn-ME"/>
              </w:rPr>
              <w:t>Indikacija</w:t>
            </w:r>
          </w:p>
        </w:tc>
        <w:tc>
          <w:tcPr>
            <w:tcW w:w="1984" w:type="dxa"/>
            <w:gridSpan w:val="2"/>
            <w:vAlign w:val="center"/>
          </w:tcPr>
          <w:p w14:paraId="2EC28287" w14:textId="77777777" w:rsidR="00C175E4" w:rsidRPr="00D768EF" w:rsidRDefault="00C175E4" w:rsidP="00622285">
            <w:pPr>
              <w:jc w:val="left"/>
              <w:rPr>
                <w:color w:val="000000"/>
                <w:sz w:val="21"/>
                <w:szCs w:val="21"/>
                <w:lang w:val="sr-Latn-ME"/>
              </w:rPr>
            </w:pPr>
            <w:r w:rsidRPr="00D768EF">
              <w:rPr>
                <w:color w:val="000000"/>
                <w:sz w:val="21"/>
                <w:szCs w:val="21"/>
                <w:lang w:val="sr-Latn-ME"/>
              </w:rPr>
              <w:t>Broj pacijenata</w:t>
            </w:r>
            <w:r w:rsidRPr="00D768EF">
              <w:rPr>
                <w:color w:val="000000"/>
                <w:sz w:val="21"/>
                <w:szCs w:val="21"/>
                <w:vertAlign w:val="superscript"/>
                <w:lang w:val="sr-Latn-ME"/>
              </w:rPr>
              <w:t>3</w:t>
            </w:r>
          </w:p>
        </w:tc>
        <w:tc>
          <w:tcPr>
            <w:tcW w:w="2031" w:type="dxa"/>
            <w:gridSpan w:val="2"/>
            <w:vAlign w:val="center"/>
          </w:tcPr>
          <w:p w14:paraId="77163507" w14:textId="0D7BBB63" w:rsidR="00C175E4" w:rsidRPr="00D768EF" w:rsidRDefault="00C175E4" w:rsidP="00622285">
            <w:pPr>
              <w:jc w:val="left"/>
              <w:rPr>
                <w:color w:val="000000"/>
                <w:sz w:val="21"/>
                <w:szCs w:val="21"/>
                <w:lang w:val="sr-Latn-ME"/>
              </w:rPr>
            </w:pPr>
            <w:r w:rsidRPr="00D768EF">
              <w:rPr>
                <w:color w:val="000000"/>
                <w:sz w:val="21"/>
                <w:szCs w:val="21"/>
                <w:lang w:val="sr-Latn-ME"/>
              </w:rPr>
              <w:t>Medijana trajanja praćenja (</w:t>
            </w:r>
            <w:r w:rsidR="00D57936" w:rsidRPr="00D768EF">
              <w:rPr>
                <w:color w:val="000000"/>
                <w:sz w:val="21"/>
                <w:szCs w:val="21"/>
                <w:lang w:val="sr-Latn-ME"/>
              </w:rPr>
              <w:t>nedjelj</w:t>
            </w:r>
            <w:r w:rsidRPr="00D768EF">
              <w:rPr>
                <w:color w:val="000000"/>
                <w:sz w:val="21"/>
                <w:szCs w:val="21"/>
                <w:lang w:val="sr-Latn-ME"/>
              </w:rPr>
              <w:t>e)</w:t>
            </w:r>
            <w:r w:rsidRPr="00D768EF">
              <w:rPr>
                <w:color w:val="000000"/>
                <w:sz w:val="21"/>
                <w:szCs w:val="21"/>
                <w:vertAlign w:val="superscript"/>
                <w:lang w:val="sr-Latn-ME"/>
              </w:rPr>
              <w:t>4</w:t>
            </w:r>
          </w:p>
        </w:tc>
        <w:tc>
          <w:tcPr>
            <w:tcW w:w="1980" w:type="dxa"/>
            <w:gridSpan w:val="2"/>
            <w:vAlign w:val="center"/>
          </w:tcPr>
          <w:p w14:paraId="29FD5264" w14:textId="77777777" w:rsidR="00C175E4" w:rsidRPr="00D768EF" w:rsidRDefault="00C175E4" w:rsidP="00622285">
            <w:pPr>
              <w:jc w:val="left"/>
              <w:rPr>
                <w:color w:val="000000"/>
                <w:sz w:val="21"/>
                <w:szCs w:val="21"/>
                <w:lang w:val="sr-Latn-ME"/>
              </w:rPr>
            </w:pPr>
            <w:r w:rsidRPr="00D768EF">
              <w:rPr>
                <w:color w:val="000000"/>
                <w:sz w:val="21"/>
                <w:szCs w:val="21"/>
                <w:lang w:val="sr-Latn-ME"/>
              </w:rPr>
              <w:t>≥ 3 x ULN</w:t>
            </w:r>
          </w:p>
        </w:tc>
        <w:tc>
          <w:tcPr>
            <w:tcW w:w="2070" w:type="dxa"/>
            <w:gridSpan w:val="2"/>
            <w:vAlign w:val="center"/>
          </w:tcPr>
          <w:p w14:paraId="764EA21D" w14:textId="77777777" w:rsidR="00C175E4" w:rsidRPr="00D768EF" w:rsidRDefault="00C175E4" w:rsidP="00622285">
            <w:pPr>
              <w:jc w:val="left"/>
              <w:rPr>
                <w:color w:val="000000"/>
                <w:sz w:val="21"/>
                <w:szCs w:val="21"/>
                <w:lang w:val="sr-Latn-ME"/>
              </w:rPr>
            </w:pPr>
            <w:r w:rsidRPr="00D768EF">
              <w:rPr>
                <w:color w:val="000000"/>
                <w:sz w:val="21"/>
                <w:szCs w:val="21"/>
                <w:lang w:val="sr-Latn-ME"/>
              </w:rPr>
              <w:t>≥ 5 x ULN</w:t>
            </w:r>
          </w:p>
        </w:tc>
      </w:tr>
      <w:tr w:rsidR="00C175E4" w:rsidRPr="00D768EF" w14:paraId="6E33FCF7" w14:textId="77777777" w:rsidTr="00622285">
        <w:trPr>
          <w:cantSplit/>
        </w:trPr>
        <w:tc>
          <w:tcPr>
            <w:tcW w:w="1560" w:type="dxa"/>
            <w:vMerge/>
            <w:vAlign w:val="center"/>
          </w:tcPr>
          <w:p w14:paraId="500BCECB" w14:textId="77777777" w:rsidR="00C175E4" w:rsidRPr="00D768EF" w:rsidRDefault="00C175E4" w:rsidP="00622285">
            <w:pPr>
              <w:jc w:val="left"/>
              <w:rPr>
                <w:color w:val="000000"/>
                <w:sz w:val="21"/>
                <w:szCs w:val="21"/>
                <w:lang w:val="sr-Latn-ME"/>
              </w:rPr>
            </w:pPr>
          </w:p>
        </w:tc>
        <w:tc>
          <w:tcPr>
            <w:tcW w:w="850" w:type="dxa"/>
            <w:vAlign w:val="center"/>
          </w:tcPr>
          <w:p w14:paraId="700919B6" w14:textId="77777777" w:rsidR="00C175E4" w:rsidRPr="00D768EF" w:rsidRDefault="00C175E4" w:rsidP="00622285">
            <w:pPr>
              <w:jc w:val="left"/>
              <w:rPr>
                <w:color w:val="000000"/>
                <w:sz w:val="20"/>
                <w:szCs w:val="20"/>
                <w:lang w:val="sr-Latn-ME"/>
              </w:rPr>
            </w:pPr>
            <w:r w:rsidRPr="00D768EF">
              <w:rPr>
                <w:color w:val="000000"/>
                <w:sz w:val="20"/>
                <w:szCs w:val="20"/>
                <w:lang w:val="sr-Latn-ME"/>
              </w:rPr>
              <w:t>placebo</w:t>
            </w:r>
          </w:p>
        </w:tc>
        <w:tc>
          <w:tcPr>
            <w:tcW w:w="1134" w:type="dxa"/>
            <w:vAlign w:val="center"/>
          </w:tcPr>
          <w:p w14:paraId="282C3E66" w14:textId="299499A8" w:rsidR="00C175E4" w:rsidRPr="00D768EF" w:rsidRDefault="00C175E4" w:rsidP="00622285">
            <w:pPr>
              <w:jc w:val="left"/>
              <w:rPr>
                <w:color w:val="000000"/>
                <w:sz w:val="20"/>
                <w:szCs w:val="20"/>
                <w:lang w:val="sr-Latn-ME"/>
              </w:rPr>
            </w:pPr>
            <w:r w:rsidRPr="00D768EF">
              <w:rPr>
                <w:color w:val="000000"/>
                <w:sz w:val="20"/>
                <w:szCs w:val="20"/>
                <w:lang w:val="sr-Latn-ME"/>
              </w:rPr>
              <w:t>infliksimab</w:t>
            </w:r>
          </w:p>
        </w:tc>
        <w:tc>
          <w:tcPr>
            <w:tcW w:w="889" w:type="dxa"/>
            <w:vAlign w:val="center"/>
          </w:tcPr>
          <w:p w14:paraId="44629C75" w14:textId="77777777" w:rsidR="00C175E4" w:rsidRPr="00D768EF" w:rsidRDefault="00C175E4" w:rsidP="00622285">
            <w:pPr>
              <w:jc w:val="left"/>
              <w:rPr>
                <w:color w:val="000000"/>
                <w:sz w:val="20"/>
                <w:szCs w:val="20"/>
                <w:lang w:val="sr-Latn-ME"/>
              </w:rPr>
            </w:pPr>
            <w:r w:rsidRPr="00D768EF">
              <w:rPr>
                <w:color w:val="000000"/>
                <w:sz w:val="20"/>
                <w:szCs w:val="20"/>
                <w:lang w:val="sr-Latn-ME"/>
              </w:rPr>
              <w:t>placebo</w:t>
            </w:r>
          </w:p>
        </w:tc>
        <w:tc>
          <w:tcPr>
            <w:tcW w:w="1142" w:type="dxa"/>
            <w:vAlign w:val="center"/>
          </w:tcPr>
          <w:p w14:paraId="16190056" w14:textId="77777777" w:rsidR="00C175E4" w:rsidRPr="00D768EF" w:rsidRDefault="00C175E4" w:rsidP="00622285">
            <w:pPr>
              <w:jc w:val="left"/>
              <w:rPr>
                <w:color w:val="000000"/>
                <w:sz w:val="20"/>
                <w:szCs w:val="20"/>
                <w:lang w:val="sr-Latn-ME"/>
              </w:rPr>
            </w:pPr>
            <w:r w:rsidRPr="00D768EF">
              <w:rPr>
                <w:color w:val="000000"/>
                <w:sz w:val="20"/>
                <w:szCs w:val="20"/>
                <w:lang w:val="sr-Latn-ME"/>
              </w:rPr>
              <w:t>infliksimab</w:t>
            </w:r>
          </w:p>
        </w:tc>
        <w:tc>
          <w:tcPr>
            <w:tcW w:w="838" w:type="dxa"/>
            <w:vAlign w:val="center"/>
          </w:tcPr>
          <w:p w14:paraId="582E8FD3" w14:textId="77777777" w:rsidR="00C175E4" w:rsidRPr="00D768EF" w:rsidRDefault="00C175E4" w:rsidP="00622285">
            <w:pPr>
              <w:jc w:val="left"/>
              <w:rPr>
                <w:color w:val="000000"/>
                <w:sz w:val="20"/>
                <w:szCs w:val="20"/>
                <w:lang w:val="sr-Latn-ME"/>
              </w:rPr>
            </w:pPr>
            <w:r w:rsidRPr="00D768EF">
              <w:rPr>
                <w:color w:val="000000"/>
                <w:sz w:val="20"/>
                <w:szCs w:val="20"/>
                <w:lang w:val="sr-Latn-ME"/>
              </w:rPr>
              <w:t>placebo</w:t>
            </w:r>
          </w:p>
        </w:tc>
        <w:tc>
          <w:tcPr>
            <w:tcW w:w="1142" w:type="dxa"/>
            <w:vAlign w:val="center"/>
          </w:tcPr>
          <w:p w14:paraId="0D506E6B" w14:textId="77777777" w:rsidR="00C175E4" w:rsidRPr="00D768EF" w:rsidRDefault="00C175E4" w:rsidP="00622285">
            <w:pPr>
              <w:jc w:val="left"/>
              <w:rPr>
                <w:color w:val="000000"/>
                <w:sz w:val="20"/>
                <w:szCs w:val="20"/>
                <w:lang w:val="sr-Latn-ME"/>
              </w:rPr>
            </w:pPr>
            <w:r w:rsidRPr="00D768EF">
              <w:rPr>
                <w:color w:val="000000"/>
                <w:sz w:val="20"/>
                <w:szCs w:val="20"/>
                <w:lang w:val="sr-Latn-ME"/>
              </w:rPr>
              <w:t>infliksimab</w:t>
            </w:r>
          </w:p>
        </w:tc>
        <w:tc>
          <w:tcPr>
            <w:tcW w:w="899" w:type="dxa"/>
            <w:vAlign w:val="center"/>
          </w:tcPr>
          <w:p w14:paraId="61A8AD66" w14:textId="77777777" w:rsidR="00C175E4" w:rsidRPr="00D768EF" w:rsidRDefault="00C175E4" w:rsidP="00622285">
            <w:pPr>
              <w:jc w:val="left"/>
              <w:rPr>
                <w:color w:val="000000"/>
                <w:sz w:val="20"/>
                <w:szCs w:val="20"/>
                <w:lang w:val="sr-Latn-ME"/>
              </w:rPr>
            </w:pPr>
            <w:r w:rsidRPr="00D768EF">
              <w:rPr>
                <w:color w:val="000000"/>
                <w:sz w:val="20"/>
                <w:szCs w:val="20"/>
                <w:lang w:val="sr-Latn-ME"/>
              </w:rPr>
              <w:t>placebo</w:t>
            </w:r>
          </w:p>
        </w:tc>
        <w:tc>
          <w:tcPr>
            <w:tcW w:w="1171" w:type="dxa"/>
            <w:vAlign w:val="center"/>
          </w:tcPr>
          <w:p w14:paraId="1F111A8B" w14:textId="77777777" w:rsidR="00C175E4" w:rsidRPr="00D768EF" w:rsidRDefault="00C175E4" w:rsidP="00622285">
            <w:pPr>
              <w:jc w:val="left"/>
              <w:rPr>
                <w:color w:val="000000"/>
                <w:sz w:val="20"/>
                <w:szCs w:val="20"/>
                <w:lang w:val="sr-Latn-ME"/>
              </w:rPr>
            </w:pPr>
            <w:r w:rsidRPr="00D768EF">
              <w:rPr>
                <w:color w:val="000000"/>
                <w:sz w:val="20"/>
                <w:szCs w:val="20"/>
                <w:lang w:val="sr-Latn-ME"/>
              </w:rPr>
              <w:t>infliksimab</w:t>
            </w:r>
          </w:p>
        </w:tc>
      </w:tr>
      <w:tr w:rsidR="00C175E4" w:rsidRPr="00D768EF" w14:paraId="21D3E0CF" w14:textId="77777777" w:rsidTr="00622285">
        <w:trPr>
          <w:cantSplit/>
        </w:trPr>
        <w:tc>
          <w:tcPr>
            <w:tcW w:w="1560" w:type="dxa"/>
            <w:vAlign w:val="center"/>
          </w:tcPr>
          <w:p w14:paraId="5B7C91F4" w14:textId="77777777" w:rsidR="00C175E4" w:rsidRPr="00D768EF" w:rsidRDefault="00C175E4" w:rsidP="00622285">
            <w:pPr>
              <w:spacing w:after="20"/>
              <w:jc w:val="left"/>
              <w:rPr>
                <w:color w:val="000000"/>
                <w:sz w:val="21"/>
                <w:szCs w:val="21"/>
                <w:lang w:val="sr-Latn-ME"/>
              </w:rPr>
            </w:pPr>
            <w:r w:rsidRPr="00D768EF">
              <w:rPr>
                <w:color w:val="000000"/>
                <w:sz w:val="21"/>
                <w:szCs w:val="21"/>
                <w:lang w:val="sr-Latn-ME"/>
              </w:rPr>
              <w:t>Reumatoidni artritis</w:t>
            </w:r>
            <w:r w:rsidRPr="00D768EF">
              <w:rPr>
                <w:color w:val="000000"/>
                <w:sz w:val="21"/>
                <w:szCs w:val="21"/>
                <w:vertAlign w:val="superscript"/>
                <w:lang w:val="sr-Latn-ME"/>
              </w:rPr>
              <w:t>1</w:t>
            </w:r>
          </w:p>
        </w:tc>
        <w:tc>
          <w:tcPr>
            <w:tcW w:w="850" w:type="dxa"/>
            <w:vAlign w:val="center"/>
          </w:tcPr>
          <w:p w14:paraId="54F83227" w14:textId="77777777" w:rsidR="00C175E4" w:rsidRPr="00D768EF" w:rsidRDefault="00C175E4" w:rsidP="00622285">
            <w:pPr>
              <w:jc w:val="left"/>
              <w:rPr>
                <w:color w:val="000000"/>
                <w:sz w:val="21"/>
                <w:szCs w:val="21"/>
                <w:lang w:val="sr-Latn-ME"/>
              </w:rPr>
            </w:pPr>
            <w:r w:rsidRPr="00D768EF">
              <w:rPr>
                <w:color w:val="000000"/>
                <w:sz w:val="21"/>
                <w:szCs w:val="21"/>
                <w:lang w:val="sr-Latn-ME"/>
              </w:rPr>
              <w:t>375</w:t>
            </w:r>
          </w:p>
        </w:tc>
        <w:tc>
          <w:tcPr>
            <w:tcW w:w="1134" w:type="dxa"/>
            <w:vAlign w:val="center"/>
          </w:tcPr>
          <w:p w14:paraId="50A8ED51" w14:textId="77777777" w:rsidR="00C175E4" w:rsidRPr="00D768EF" w:rsidRDefault="00C175E4" w:rsidP="00622285">
            <w:pPr>
              <w:jc w:val="left"/>
              <w:rPr>
                <w:color w:val="000000"/>
                <w:sz w:val="21"/>
                <w:szCs w:val="21"/>
                <w:lang w:val="sr-Latn-ME"/>
              </w:rPr>
            </w:pPr>
            <w:r w:rsidRPr="00D768EF">
              <w:rPr>
                <w:color w:val="000000"/>
                <w:sz w:val="21"/>
                <w:szCs w:val="21"/>
                <w:lang w:val="sr-Latn-ME"/>
              </w:rPr>
              <w:t>1087</w:t>
            </w:r>
          </w:p>
        </w:tc>
        <w:tc>
          <w:tcPr>
            <w:tcW w:w="889" w:type="dxa"/>
            <w:vAlign w:val="center"/>
          </w:tcPr>
          <w:p w14:paraId="7BA50C85" w14:textId="77777777" w:rsidR="00C175E4" w:rsidRPr="00D768EF" w:rsidRDefault="00C175E4" w:rsidP="00622285">
            <w:pPr>
              <w:jc w:val="left"/>
              <w:rPr>
                <w:color w:val="000000"/>
                <w:sz w:val="21"/>
                <w:szCs w:val="21"/>
                <w:lang w:val="sr-Latn-ME"/>
              </w:rPr>
            </w:pPr>
            <w:r w:rsidRPr="00D768EF">
              <w:rPr>
                <w:color w:val="000000"/>
                <w:sz w:val="21"/>
                <w:szCs w:val="21"/>
                <w:lang w:val="sr-Latn-ME"/>
              </w:rPr>
              <w:t>58,1</w:t>
            </w:r>
          </w:p>
        </w:tc>
        <w:tc>
          <w:tcPr>
            <w:tcW w:w="1142" w:type="dxa"/>
            <w:vAlign w:val="center"/>
          </w:tcPr>
          <w:p w14:paraId="05DE5131" w14:textId="44D78731" w:rsidR="00C175E4" w:rsidRPr="00D768EF" w:rsidRDefault="00C175E4" w:rsidP="00622285">
            <w:pPr>
              <w:jc w:val="left"/>
              <w:rPr>
                <w:color w:val="000000"/>
                <w:sz w:val="21"/>
                <w:szCs w:val="21"/>
                <w:lang w:val="sr-Latn-ME"/>
              </w:rPr>
            </w:pPr>
            <w:r w:rsidRPr="00D768EF">
              <w:rPr>
                <w:color w:val="000000"/>
                <w:sz w:val="21"/>
                <w:szCs w:val="21"/>
                <w:lang w:val="sr-Latn-ME"/>
              </w:rPr>
              <w:t>58,3</w:t>
            </w:r>
          </w:p>
        </w:tc>
        <w:tc>
          <w:tcPr>
            <w:tcW w:w="838" w:type="dxa"/>
            <w:vAlign w:val="center"/>
          </w:tcPr>
          <w:p w14:paraId="3CDD767B" w14:textId="77777777" w:rsidR="00C175E4" w:rsidRPr="00D768EF" w:rsidRDefault="00C175E4" w:rsidP="00622285">
            <w:pPr>
              <w:jc w:val="left"/>
              <w:rPr>
                <w:color w:val="000000"/>
                <w:sz w:val="21"/>
                <w:szCs w:val="21"/>
                <w:lang w:val="sr-Latn-ME"/>
              </w:rPr>
            </w:pPr>
            <w:r w:rsidRPr="00D768EF">
              <w:rPr>
                <w:color w:val="000000"/>
                <w:sz w:val="21"/>
                <w:szCs w:val="21"/>
                <w:lang w:val="sr-Latn-ME"/>
              </w:rPr>
              <w:t>3,2%</w:t>
            </w:r>
          </w:p>
        </w:tc>
        <w:tc>
          <w:tcPr>
            <w:tcW w:w="1142" w:type="dxa"/>
            <w:vAlign w:val="center"/>
          </w:tcPr>
          <w:p w14:paraId="17171092" w14:textId="77777777" w:rsidR="00C175E4" w:rsidRPr="00D768EF" w:rsidRDefault="00C175E4" w:rsidP="00622285">
            <w:pPr>
              <w:jc w:val="left"/>
              <w:rPr>
                <w:color w:val="000000"/>
                <w:sz w:val="21"/>
                <w:szCs w:val="21"/>
                <w:lang w:val="sr-Latn-ME"/>
              </w:rPr>
            </w:pPr>
            <w:r w:rsidRPr="00D768EF">
              <w:rPr>
                <w:color w:val="000000"/>
                <w:sz w:val="21"/>
                <w:szCs w:val="21"/>
                <w:lang w:val="sr-Latn-ME"/>
              </w:rPr>
              <w:t>3,9%</w:t>
            </w:r>
          </w:p>
        </w:tc>
        <w:tc>
          <w:tcPr>
            <w:tcW w:w="899" w:type="dxa"/>
            <w:vAlign w:val="center"/>
          </w:tcPr>
          <w:p w14:paraId="6AE37A3E" w14:textId="77777777" w:rsidR="00C175E4" w:rsidRPr="00D768EF" w:rsidRDefault="00C175E4" w:rsidP="00622285">
            <w:pPr>
              <w:jc w:val="left"/>
              <w:rPr>
                <w:color w:val="000000"/>
                <w:sz w:val="21"/>
                <w:szCs w:val="21"/>
                <w:lang w:val="sr-Latn-ME"/>
              </w:rPr>
            </w:pPr>
            <w:r w:rsidRPr="00D768EF">
              <w:rPr>
                <w:color w:val="000000"/>
                <w:sz w:val="21"/>
                <w:szCs w:val="21"/>
                <w:lang w:val="sr-Latn-ME"/>
              </w:rPr>
              <w:t>0,8%</w:t>
            </w:r>
          </w:p>
        </w:tc>
        <w:tc>
          <w:tcPr>
            <w:tcW w:w="1171" w:type="dxa"/>
            <w:vAlign w:val="center"/>
          </w:tcPr>
          <w:p w14:paraId="33D5881F" w14:textId="77777777" w:rsidR="00C175E4" w:rsidRPr="00D768EF" w:rsidRDefault="00C175E4" w:rsidP="00622285">
            <w:pPr>
              <w:jc w:val="left"/>
              <w:rPr>
                <w:color w:val="000000"/>
                <w:sz w:val="21"/>
                <w:szCs w:val="21"/>
                <w:lang w:val="sr-Latn-ME"/>
              </w:rPr>
            </w:pPr>
            <w:r w:rsidRPr="00D768EF">
              <w:rPr>
                <w:color w:val="000000"/>
                <w:sz w:val="21"/>
                <w:szCs w:val="21"/>
                <w:lang w:val="sr-Latn-ME"/>
              </w:rPr>
              <w:t>0,9%</w:t>
            </w:r>
          </w:p>
        </w:tc>
      </w:tr>
      <w:tr w:rsidR="00C175E4" w:rsidRPr="00D768EF" w14:paraId="51818E22" w14:textId="77777777" w:rsidTr="00622285">
        <w:trPr>
          <w:cantSplit/>
        </w:trPr>
        <w:tc>
          <w:tcPr>
            <w:tcW w:w="1560" w:type="dxa"/>
            <w:vAlign w:val="center"/>
          </w:tcPr>
          <w:p w14:paraId="58642CFB" w14:textId="77777777" w:rsidR="00C175E4" w:rsidRPr="00D768EF" w:rsidRDefault="00C175E4" w:rsidP="00622285">
            <w:pPr>
              <w:spacing w:after="20"/>
              <w:jc w:val="left"/>
              <w:rPr>
                <w:color w:val="000000"/>
                <w:sz w:val="21"/>
                <w:szCs w:val="21"/>
                <w:lang w:val="sr-Latn-ME"/>
              </w:rPr>
            </w:pPr>
            <w:r w:rsidRPr="00D768EF">
              <w:rPr>
                <w:color w:val="000000"/>
                <w:sz w:val="21"/>
                <w:szCs w:val="21"/>
                <w:lang w:val="sr-Latn-ME"/>
              </w:rPr>
              <w:lastRenderedPageBreak/>
              <w:t>Kronova bolest</w:t>
            </w:r>
            <w:r w:rsidRPr="00D768EF">
              <w:rPr>
                <w:color w:val="000000"/>
                <w:sz w:val="21"/>
                <w:szCs w:val="21"/>
                <w:vertAlign w:val="superscript"/>
                <w:lang w:val="sr-Latn-ME"/>
              </w:rPr>
              <w:t xml:space="preserve">2 </w:t>
            </w:r>
          </w:p>
        </w:tc>
        <w:tc>
          <w:tcPr>
            <w:tcW w:w="850" w:type="dxa"/>
            <w:vAlign w:val="center"/>
          </w:tcPr>
          <w:p w14:paraId="161E737A" w14:textId="77777777" w:rsidR="00C175E4" w:rsidRPr="00D768EF" w:rsidRDefault="00C175E4" w:rsidP="00622285">
            <w:pPr>
              <w:jc w:val="left"/>
              <w:rPr>
                <w:color w:val="000000"/>
                <w:sz w:val="21"/>
                <w:szCs w:val="21"/>
                <w:lang w:val="sr-Latn-ME"/>
              </w:rPr>
            </w:pPr>
            <w:r w:rsidRPr="00D768EF">
              <w:rPr>
                <w:color w:val="000000"/>
                <w:sz w:val="21"/>
                <w:szCs w:val="21"/>
                <w:lang w:val="sr-Latn-ME"/>
              </w:rPr>
              <w:t>324</w:t>
            </w:r>
          </w:p>
        </w:tc>
        <w:tc>
          <w:tcPr>
            <w:tcW w:w="1134" w:type="dxa"/>
            <w:vAlign w:val="center"/>
          </w:tcPr>
          <w:p w14:paraId="2940BE14" w14:textId="77777777" w:rsidR="00C175E4" w:rsidRPr="00D768EF" w:rsidRDefault="00C175E4" w:rsidP="00622285">
            <w:pPr>
              <w:jc w:val="left"/>
              <w:rPr>
                <w:color w:val="000000"/>
                <w:sz w:val="21"/>
                <w:szCs w:val="21"/>
                <w:lang w:val="sr-Latn-ME"/>
              </w:rPr>
            </w:pPr>
            <w:r w:rsidRPr="00D768EF">
              <w:rPr>
                <w:color w:val="000000"/>
                <w:sz w:val="21"/>
                <w:szCs w:val="21"/>
                <w:lang w:val="sr-Latn-ME"/>
              </w:rPr>
              <w:t>1034</w:t>
            </w:r>
          </w:p>
        </w:tc>
        <w:tc>
          <w:tcPr>
            <w:tcW w:w="889" w:type="dxa"/>
            <w:vAlign w:val="center"/>
          </w:tcPr>
          <w:p w14:paraId="33C8C5EE" w14:textId="77777777" w:rsidR="00C175E4" w:rsidRPr="00D768EF" w:rsidRDefault="00C175E4" w:rsidP="00622285">
            <w:pPr>
              <w:jc w:val="left"/>
              <w:rPr>
                <w:color w:val="000000"/>
                <w:sz w:val="21"/>
                <w:szCs w:val="21"/>
                <w:lang w:val="sr-Latn-ME"/>
              </w:rPr>
            </w:pPr>
            <w:r w:rsidRPr="00D768EF">
              <w:rPr>
                <w:color w:val="000000"/>
                <w:sz w:val="21"/>
                <w:szCs w:val="21"/>
                <w:lang w:val="sr-Latn-ME"/>
              </w:rPr>
              <w:t>53,7</w:t>
            </w:r>
          </w:p>
        </w:tc>
        <w:tc>
          <w:tcPr>
            <w:tcW w:w="1142" w:type="dxa"/>
            <w:vAlign w:val="center"/>
          </w:tcPr>
          <w:p w14:paraId="385E0BEF" w14:textId="77777777" w:rsidR="00C175E4" w:rsidRPr="00D768EF" w:rsidRDefault="00C175E4" w:rsidP="00622285">
            <w:pPr>
              <w:jc w:val="left"/>
              <w:rPr>
                <w:color w:val="000000"/>
                <w:sz w:val="21"/>
                <w:szCs w:val="21"/>
                <w:lang w:val="sr-Latn-ME"/>
              </w:rPr>
            </w:pPr>
            <w:r w:rsidRPr="00D768EF">
              <w:rPr>
                <w:color w:val="000000"/>
                <w:sz w:val="21"/>
                <w:szCs w:val="21"/>
                <w:lang w:val="sr-Latn-ME"/>
              </w:rPr>
              <w:t>54,0</w:t>
            </w:r>
          </w:p>
        </w:tc>
        <w:tc>
          <w:tcPr>
            <w:tcW w:w="838" w:type="dxa"/>
            <w:vAlign w:val="center"/>
          </w:tcPr>
          <w:p w14:paraId="0AFCACD0" w14:textId="77777777" w:rsidR="00C175E4" w:rsidRPr="00D768EF" w:rsidRDefault="00C175E4" w:rsidP="00622285">
            <w:pPr>
              <w:jc w:val="left"/>
              <w:rPr>
                <w:color w:val="000000"/>
                <w:sz w:val="21"/>
                <w:szCs w:val="21"/>
                <w:u w:val="single"/>
                <w:lang w:val="sr-Latn-ME"/>
              </w:rPr>
            </w:pPr>
            <w:r w:rsidRPr="00D768EF">
              <w:rPr>
                <w:color w:val="000000"/>
                <w:sz w:val="21"/>
                <w:szCs w:val="21"/>
                <w:lang w:val="sr-Latn-ME"/>
              </w:rPr>
              <w:t>2,2%</w:t>
            </w:r>
          </w:p>
        </w:tc>
        <w:tc>
          <w:tcPr>
            <w:tcW w:w="1142" w:type="dxa"/>
            <w:vAlign w:val="center"/>
          </w:tcPr>
          <w:p w14:paraId="1A7E6B00" w14:textId="77777777" w:rsidR="00C175E4" w:rsidRPr="00D768EF" w:rsidRDefault="00C175E4" w:rsidP="00622285">
            <w:pPr>
              <w:jc w:val="left"/>
              <w:rPr>
                <w:color w:val="000000"/>
                <w:sz w:val="21"/>
                <w:szCs w:val="21"/>
                <w:u w:val="single"/>
                <w:lang w:val="sr-Latn-ME"/>
              </w:rPr>
            </w:pPr>
            <w:r w:rsidRPr="00D768EF">
              <w:rPr>
                <w:color w:val="000000"/>
                <w:sz w:val="21"/>
                <w:szCs w:val="21"/>
                <w:lang w:val="sr-Latn-ME"/>
              </w:rPr>
              <w:t>4,9%</w:t>
            </w:r>
          </w:p>
        </w:tc>
        <w:tc>
          <w:tcPr>
            <w:tcW w:w="899" w:type="dxa"/>
            <w:vAlign w:val="center"/>
          </w:tcPr>
          <w:p w14:paraId="7EDBA4C1" w14:textId="77777777" w:rsidR="00C175E4" w:rsidRPr="00D768EF" w:rsidRDefault="00C175E4" w:rsidP="00622285">
            <w:pPr>
              <w:jc w:val="left"/>
              <w:rPr>
                <w:color w:val="000000"/>
                <w:sz w:val="21"/>
                <w:szCs w:val="21"/>
                <w:u w:val="single"/>
                <w:lang w:val="sr-Latn-ME"/>
              </w:rPr>
            </w:pPr>
            <w:r w:rsidRPr="00D768EF">
              <w:rPr>
                <w:color w:val="000000"/>
                <w:sz w:val="21"/>
                <w:szCs w:val="21"/>
                <w:lang w:val="sr-Latn-ME"/>
              </w:rPr>
              <w:t>0,0%</w:t>
            </w:r>
          </w:p>
        </w:tc>
        <w:tc>
          <w:tcPr>
            <w:tcW w:w="1171" w:type="dxa"/>
            <w:vAlign w:val="center"/>
          </w:tcPr>
          <w:p w14:paraId="4B4C8470" w14:textId="77777777" w:rsidR="00C175E4" w:rsidRPr="00D768EF" w:rsidRDefault="00C175E4" w:rsidP="00622285">
            <w:pPr>
              <w:jc w:val="left"/>
              <w:rPr>
                <w:color w:val="000000"/>
                <w:sz w:val="21"/>
                <w:szCs w:val="21"/>
                <w:u w:val="single"/>
                <w:lang w:val="sr-Latn-ME"/>
              </w:rPr>
            </w:pPr>
            <w:r w:rsidRPr="00D768EF">
              <w:rPr>
                <w:color w:val="000000"/>
                <w:sz w:val="21"/>
                <w:szCs w:val="21"/>
                <w:lang w:val="sr-Latn-ME"/>
              </w:rPr>
              <w:t>1,5%</w:t>
            </w:r>
          </w:p>
        </w:tc>
      </w:tr>
      <w:tr w:rsidR="00C175E4" w:rsidRPr="00D768EF" w14:paraId="526CE971" w14:textId="77777777" w:rsidTr="00622285">
        <w:trPr>
          <w:cantSplit/>
        </w:trPr>
        <w:tc>
          <w:tcPr>
            <w:tcW w:w="1560" w:type="dxa"/>
            <w:vAlign w:val="center"/>
          </w:tcPr>
          <w:p w14:paraId="72369932" w14:textId="1B6A4662" w:rsidR="00C175E4" w:rsidRPr="00D768EF" w:rsidRDefault="00C175E4" w:rsidP="00622285">
            <w:pPr>
              <w:spacing w:after="20"/>
              <w:jc w:val="left"/>
              <w:rPr>
                <w:color w:val="000000"/>
                <w:sz w:val="21"/>
                <w:szCs w:val="21"/>
                <w:lang w:val="sr-Latn-ME"/>
              </w:rPr>
            </w:pPr>
            <w:r w:rsidRPr="00D768EF">
              <w:rPr>
                <w:color w:val="000000"/>
                <w:sz w:val="21"/>
                <w:szCs w:val="21"/>
                <w:lang w:val="sr-Latn-ME"/>
              </w:rPr>
              <w:t>Kronova bolest kod pedijatrijskih pacijenata</w:t>
            </w:r>
          </w:p>
        </w:tc>
        <w:tc>
          <w:tcPr>
            <w:tcW w:w="850" w:type="dxa"/>
            <w:vAlign w:val="center"/>
          </w:tcPr>
          <w:p w14:paraId="33A0141E" w14:textId="77777777" w:rsidR="00C175E4" w:rsidRPr="00D768EF" w:rsidRDefault="00C175E4" w:rsidP="00622285">
            <w:pPr>
              <w:jc w:val="left"/>
              <w:rPr>
                <w:color w:val="000000"/>
                <w:sz w:val="21"/>
                <w:szCs w:val="21"/>
                <w:lang w:val="sr-Latn-ME"/>
              </w:rPr>
            </w:pPr>
            <w:r w:rsidRPr="00D768EF">
              <w:rPr>
                <w:color w:val="000000"/>
                <w:sz w:val="21"/>
                <w:szCs w:val="21"/>
                <w:lang w:val="sr-Latn-ME"/>
              </w:rPr>
              <w:t>N/A</w:t>
            </w:r>
          </w:p>
        </w:tc>
        <w:tc>
          <w:tcPr>
            <w:tcW w:w="1134" w:type="dxa"/>
            <w:vAlign w:val="center"/>
          </w:tcPr>
          <w:p w14:paraId="1F308D9B" w14:textId="77777777" w:rsidR="00C175E4" w:rsidRPr="00D768EF" w:rsidRDefault="00C175E4" w:rsidP="00622285">
            <w:pPr>
              <w:jc w:val="left"/>
              <w:rPr>
                <w:color w:val="000000"/>
                <w:sz w:val="21"/>
                <w:szCs w:val="21"/>
                <w:lang w:val="sr-Latn-ME"/>
              </w:rPr>
            </w:pPr>
            <w:r w:rsidRPr="00D768EF">
              <w:rPr>
                <w:color w:val="000000"/>
                <w:sz w:val="21"/>
                <w:szCs w:val="21"/>
                <w:lang w:val="sr-Latn-ME"/>
              </w:rPr>
              <w:t>139</w:t>
            </w:r>
          </w:p>
        </w:tc>
        <w:tc>
          <w:tcPr>
            <w:tcW w:w="889" w:type="dxa"/>
            <w:vAlign w:val="center"/>
          </w:tcPr>
          <w:p w14:paraId="24B52A75" w14:textId="77777777" w:rsidR="00C175E4" w:rsidRPr="00D768EF" w:rsidRDefault="00C175E4" w:rsidP="00622285">
            <w:pPr>
              <w:jc w:val="left"/>
              <w:rPr>
                <w:color w:val="000000"/>
                <w:sz w:val="21"/>
                <w:szCs w:val="21"/>
                <w:lang w:val="sr-Latn-ME"/>
              </w:rPr>
            </w:pPr>
            <w:r w:rsidRPr="00D768EF">
              <w:rPr>
                <w:color w:val="000000"/>
                <w:sz w:val="21"/>
                <w:szCs w:val="21"/>
                <w:lang w:val="sr-Latn-ME"/>
              </w:rPr>
              <w:t>N/A</w:t>
            </w:r>
          </w:p>
        </w:tc>
        <w:tc>
          <w:tcPr>
            <w:tcW w:w="1142" w:type="dxa"/>
            <w:vAlign w:val="center"/>
          </w:tcPr>
          <w:p w14:paraId="552A985A" w14:textId="77777777" w:rsidR="00C175E4" w:rsidRPr="00D768EF" w:rsidRDefault="00C175E4" w:rsidP="00622285">
            <w:pPr>
              <w:jc w:val="left"/>
              <w:rPr>
                <w:color w:val="000000"/>
                <w:sz w:val="21"/>
                <w:szCs w:val="21"/>
                <w:lang w:val="sr-Latn-ME"/>
              </w:rPr>
            </w:pPr>
            <w:r w:rsidRPr="00D768EF">
              <w:rPr>
                <w:color w:val="000000"/>
                <w:sz w:val="21"/>
                <w:szCs w:val="21"/>
                <w:lang w:val="sr-Latn-ME"/>
              </w:rPr>
              <w:t>53,0</w:t>
            </w:r>
          </w:p>
        </w:tc>
        <w:tc>
          <w:tcPr>
            <w:tcW w:w="838" w:type="dxa"/>
            <w:vAlign w:val="center"/>
          </w:tcPr>
          <w:p w14:paraId="5E23AA55" w14:textId="77777777" w:rsidR="00C175E4" w:rsidRPr="00D768EF" w:rsidRDefault="00C175E4" w:rsidP="00622285">
            <w:pPr>
              <w:jc w:val="left"/>
              <w:rPr>
                <w:color w:val="000000"/>
                <w:sz w:val="21"/>
                <w:szCs w:val="21"/>
                <w:u w:val="single"/>
                <w:lang w:val="sr-Latn-ME"/>
              </w:rPr>
            </w:pPr>
            <w:r w:rsidRPr="00D768EF">
              <w:rPr>
                <w:color w:val="000000"/>
                <w:sz w:val="21"/>
                <w:szCs w:val="21"/>
                <w:lang w:val="sr-Latn-ME"/>
              </w:rPr>
              <w:t>N/A</w:t>
            </w:r>
          </w:p>
        </w:tc>
        <w:tc>
          <w:tcPr>
            <w:tcW w:w="1142" w:type="dxa"/>
            <w:vAlign w:val="center"/>
          </w:tcPr>
          <w:p w14:paraId="194A5F77" w14:textId="77777777" w:rsidR="00C175E4" w:rsidRPr="00D768EF" w:rsidRDefault="00C175E4" w:rsidP="00622285">
            <w:pPr>
              <w:jc w:val="left"/>
              <w:rPr>
                <w:color w:val="000000"/>
                <w:sz w:val="21"/>
                <w:szCs w:val="21"/>
                <w:u w:val="single"/>
                <w:lang w:val="sr-Latn-ME"/>
              </w:rPr>
            </w:pPr>
            <w:r w:rsidRPr="00D768EF">
              <w:rPr>
                <w:color w:val="000000"/>
                <w:sz w:val="21"/>
                <w:szCs w:val="21"/>
                <w:lang w:val="sr-Latn-ME"/>
              </w:rPr>
              <w:t>4,4%</w:t>
            </w:r>
          </w:p>
        </w:tc>
        <w:tc>
          <w:tcPr>
            <w:tcW w:w="899" w:type="dxa"/>
            <w:vAlign w:val="center"/>
          </w:tcPr>
          <w:p w14:paraId="553D10E0" w14:textId="77777777" w:rsidR="00C175E4" w:rsidRPr="00D768EF" w:rsidRDefault="00C175E4" w:rsidP="00622285">
            <w:pPr>
              <w:jc w:val="left"/>
              <w:rPr>
                <w:color w:val="000000"/>
                <w:sz w:val="21"/>
                <w:szCs w:val="21"/>
                <w:u w:val="single"/>
                <w:lang w:val="sr-Latn-ME"/>
              </w:rPr>
            </w:pPr>
            <w:r w:rsidRPr="00D768EF">
              <w:rPr>
                <w:color w:val="000000"/>
                <w:sz w:val="21"/>
                <w:szCs w:val="21"/>
                <w:lang w:val="sr-Latn-ME"/>
              </w:rPr>
              <w:t>N/A</w:t>
            </w:r>
          </w:p>
        </w:tc>
        <w:tc>
          <w:tcPr>
            <w:tcW w:w="1171" w:type="dxa"/>
            <w:vAlign w:val="center"/>
          </w:tcPr>
          <w:p w14:paraId="22BD4781" w14:textId="77777777" w:rsidR="00C175E4" w:rsidRPr="00D768EF" w:rsidRDefault="00C175E4" w:rsidP="00622285">
            <w:pPr>
              <w:jc w:val="left"/>
              <w:rPr>
                <w:color w:val="000000"/>
                <w:sz w:val="21"/>
                <w:szCs w:val="21"/>
                <w:u w:val="single"/>
                <w:lang w:val="sr-Latn-ME"/>
              </w:rPr>
            </w:pPr>
            <w:r w:rsidRPr="00D768EF">
              <w:rPr>
                <w:color w:val="000000"/>
                <w:sz w:val="21"/>
                <w:szCs w:val="21"/>
                <w:lang w:val="sr-Latn-ME"/>
              </w:rPr>
              <w:t>1,5%</w:t>
            </w:r>
          </w:p>
        </w:tc>
      </w:tr>
      <w:tr w:rsidR="00C175E4" w:rsidRPr="00D768EF" w14:paraId="50B51F55" w14:textId="77777777" w:rsidTr="00622285">
        <w:trPr>
          <w:cantSplit/>
        </w:trPr>
        <w:tc>
          <w:tcPr>
            <w:tcW w:w="1560" w:type="dxa"/>
            <w:vAlign w:val="center"/>
          </w:tcPr>
          <w:p w14:paraId="37447C21" w14:textId="77777777" w:rsidR="00C175E4" w:rsidRPr="00D768EF" w:rsidRDefault="00C175E4" w:rsidP="00622285">
            <w:pPr>
              <w:spacing w:after="20"/>
              <w:jc w:val="left"/>
              <w:rPr>
                <w:color w:val="000000"/>
                <w:sz w:val="21"/>
                <w:szCs w:val="21"/>
                <w:lang w:val="sr-Latn-ME"/>
              </w:rPr>
            </w:pPr>
            <w:r w:rsidRPr="00D768EF">
              <w:rPr>
                <w:color w:val="000000"/>
                <w:sz w:val="21"/>
                <w:szCs w:val="21"/>
                <w:lang w:val="sr-Latn-ME"/>
              </w:rPr>
              <w:t>Ulcerozni kolitis</w:t>
            </w:r>
          </w:p>
        </w:tc>
        <w:tc>
          <w:tcPr>
            <w:tcW w:w="850" w:type="dxa"/>
            <w:vAlign w:val="center"/>
          </w:tcPr>
          <w:p w14:paraId="595ABCED" w14:textId="77777777" w:rsidR="00C175E4" w:rsidRPr="00D768EF" w:rsidRDefault="00C175E4" w:rsidP="00622285">
            <w:pPr>
              <w:jc w:val="left"/>
              <w:rPr>
                <w:color w:val="000000"/>
                <w:sz w:val="21"/>
                <w:szCs w:val="21"/>
                <w:lang w:val="sr-Latn-ME"/>
              </w:rPr>
            </w:pPr>
            <w:r w:rsidRPr="00D768EF">
              <w:rPr>
                <w:color w:val="000000"/>
                <w:sz w:val="21"/>
                <w:szCs w:val="21"/>
                <w:lang w:val="sr-Latn-ME"/>
              </w:rPr>
              <w:t>242</w:t>
            </w:r>
          </w:p>
        </w:tc>
        <w:tc>
          <w:tcPr>
            <w:tcW w:w="1134" w:type="dxa"/>
            <w:vAlign w:val="center"/>
          </w:tcPr>
          <w:p w14:paraId="090EC01E" w14:textId="77777777" w:rsidR="00C175E4" w:rsidRPr="00D768EF" w:rsidRDefault="00C175E4" w:rsidP="00622285">
            <w:pPr>
              <w:jc w:val="left"/>
              <w:rPr>
                <w:color w:val="000000"/>
                <w:sz w:val="21"/>
                <w:szCs w:val="21"/>
                <w:lang w:val="sr-Latn-ME"/>
              </w:rPr>
            </w:pPr>
            <w:r w:rsidRPr="00D768EF">
              <w:rPr>
                <w:color w:val="000000"/>
                <w:sz w:val="21"/>
                <w:szCs w:val="21"/>
                <w:lang w:val="sr-Latn-ME"/>
              </w:rPr>
              <w:t>482</w:t>
            </w:r>
          </w:p>
        </w:tc>
        <w:tc>
          <w:tcPr>
            <w:tcW w:w="889" w:type="dxa"/>
            <w:vAlign w:val="center"/>
          </w:tcPr>
          <w:p w14:paraId="15ED0795" w14:textId="77777777" w:rsidR="00C175E4" w:rsidRPr="00D768EF" w:rsidRDefault="00C175E4" w:rsidP="00622285">
            <w:pPr>
              <w:jc w:val="left"/>
              <w:rPr>
                <w:color w:val="000000"/>
                <w:sz w:val="21"/>
                <w:szCs w:val="21"/>
                <w:lang w:val="sr-Latn-ME"/>
              </w:rPr>
            </w:pPr>
            <w:r w:rsidRPr="00D768EF">
              <w:rPr>
                <w:color w:val="000000"/>
                <w:sz w:val="21"/>
                <w:szCs w:val="21"/>
                <w:lang w:val="sr-Latn-ME"/>
              </w:rPr>
              <w:t>30,1</w:t>
            </w:r>
          </w:p>
        </w:tc>
        <w:tc>
          <w:tcPr>
            <w:tcW w:w="1142" w:type="dxa"/>
            <w:vAlign w:val="center"/>
          </w:tcPr>
          <w:p w14:paraId="414899F3" w14:textId="77777777" w:rsidR="00C175E4" w:rsidRPr="00D768EF" w:rsidRDefault="00C175E4" w:rsidP="00622285">
            <w:pPr>
              <w:jc w:val="left"/>
              <w:rPr>
                <w:color w:val="000000"/>
                <w:sz w:val="21"/>
                <w:szCs w:val="21"/>
                <w:lang w:val="sr-Latn-ME"/>
              </w:rPr>
            </w:pPr>
            <w:r w:rsidRPr="00D768EF">
              <w:rPr>
                <w:color w:val="000000"/>
                <w:sz w:val="21"/>
                <w:szCs w:val="21"/>
                <w:lang w:val="sr-Latn-ME"/>
              </w:rPr>
              <w:t>30,8</w:t>
            </w:r>
          </w:p>
        </w:tc>
        <w:tc>
          <w:tcPr>
            <w:tcW w:w="838" w:type="dxa"/>
            <w:vAlign w:val="center"/>
          </w:tcPr>
          <w:p w14:paraId="1946C94F" w14:textId="77777777" w:rsidR="00C175E4" w:rsidRPr="00D768EF" w:rsidRDefault="00C175E4" w:rsidP="00622285">
            <w:pPr>
              <w:jc w:val="left"/>
              <w:rPr>
                <w:color w:val="000000"/>
                <w:sz w:val="21"/>
                <w:szCs w:val="21"/>
                <w:u w:val="single"/>
                <w:lang w:val="sr-Latn-ME"/>
              </w:rPr>
            </w:pPr>
            <w:r w:rsidRPr="00D768EF">
              <w:rPr>
                <w:color w:val="000000"/>
                <w:sz w:val="21"/>
                <w:szCs w:val="21"/>
                <w:lang w:val="sr-Latn-ME"/>
              </w:rPr>
              <w:t>1,2%</w:t>
            </w:r>
          </w:p>
        </w:tc>
        <w:tc>
          <w:tcPr>
            <w:tcW w:w="1142" w:type="dxa"/>
            <w:vAlign w:val="center"/>
          </w:tcPr>
          <w:p w14:paraId="4BA5A0DC" w14:textId="77777777" w:rsidR="00C175E4" w:rsidRPr="00D768EF" w:rsidRDefault="00C175E4" w:rsidP="00622285">
            <w:pPr>
              <w:jc w:val="left"/>
              <w:rPr>
                <w:color w:val="000000"/>
                <w:sz w:val="21"/>
                <w:szCs w:val="21"/>
                <w:u w:val="single"/>
                <w:lang w:val="sr-Latn-ME"/>
              </w:rPr>
            </w:pPr>
            <w:r w:rsidRPr="00D768EF">
              <w:rPr>
                <w:color w:val="000000"/>
                <w:sz w:val="21"/>
                <w:szCs w:val="21"/>
                <w:lang w:val="sr-Latn-ME"/>
              </w:rPr>
              <w:t>2,5%</w:t>
            </w:r>
          </w:p>
        </w:tc>
        <w:tc>
          <w:tcPr>
            <w:tcW w:w="899" w:type="dxa"/>
            <w:vAlign w:val="center"/>
          </w:tcPr>
          <w:p w14:paraId="2C18E480" w14:textId="77777777" w:rsidR="00C175E4" w:rsidRPr="00D768EF" w:rsidRDefault="00C175E4" w:rsidP="00622285">
            <w:pPr>
              <w:jc w:val="left"/>
              <w:rPr>
                <w:color w:val="000000"/>
                <w:sz w:val="21"/>
                <w:szCs w:val="21"/>
                <w:u w:val="single"/>
                <w:lang w:val="sr-Latn-ME"/>
              </w:rPr>
            </w:pPr>
            <w:r w:rsidRPr="00D768EF">
              <w:rPr>
                <w:color w:val="000000"/>
                <w:sz w:val="21"/>
                <w:szCs w:val="21"/>
                <w:lang w:val="sr-Latn-ME"/>
              </w:rPr>
              <w:t>0,4%</w:t>
            </w:r>
          </w:p>
        </w:tc>
        <w:tc>
          <w:tcPr>
            <w:tcW w:w="1171" w:type="dxa"/>
            <w:vAlign w:val="center"/>
          </w:tcPr>
          <w:p w14:paraId="5202CE67" w14:textId="77777777" w:rsidR="00C175E4" w:rsidRPr="00D768EF" w:rsidRDefault="00C175E4" w:rsidP="00622285">
            <w:pPr>
              <w:jc w:val="left"/>
              <w:rPr>
                <w:color w:val="000000"/>
                <w:sz w:val="21"/>
                <w:szCs w:val="21"/>
                <w:u w:val="single"/>
                <w:lang w:val="sr-Latn-ME"/>
              </w:rPr>
            </w:pPr>
            <w:r w:rsidRPr="00D768EF">
              <w:rPr>
                <w:color w:val="000000"/>
                <w:sz w:val="21"/>
                <w:szCs w:val="21"/>
                <w:lang w:val="sr-Latn-ME"/>
              </w:rPr>
              <w:t>0,6%</w:t>
            </w:r>
          </w:p>
        </w:tc>
      </w:tr>
      <w:tr w:rsidR="00C175E4" w:rsidRPr="00D768EF" w14:paraId="1F9DB000" w14:textId="77777777" w:rsidTr="00622285">
        <w:trPr>
          <w:cantSplit/>
        </w:trPr>
        <w:tc>
          <w:tcPr>
            <w:tcW w:w="1560" w:type="dxa"/>
            <w:vAlign w:val="center"/>
          </w:tcPr>
          <w:p w14:paraId="4F7FD885" w14:textId="3D21036D" w:rsidR="00C175E4" w:rsidRPr="00D768EF" w:rsidRDefault="00C175E4" w:rsidP="00622285">
            <w:pPr>
              <w:spacing w:after="20"/>
              <w:jc w:val="left"/>
              <w:rPr>
                <w:color w:val="000000"/>
                <w:sz w:val="21"/>
                <w:szCs w:val="21"/>
                <w:lang w:val="sr-Latn-ME"/>
              </w:rPr>
            </w:pPr>
            <w:r w:rsidRPr="00D768EF">
              <w:rPr>
                <w:color w:val="000000"/>
                <w:sz w:val="21"/>
                <w:szCs w:val="21"/>
                <w:lang w:val="sr-Latn-ME"/>
              </w:rPr>
              <w:t>Ulcerozni kolitis kod pedijatrijskih pacijenata</w:t>
            </w:r>
          </w:p>
        </w:tc>
        <w:tc>
          <w:tcPr>
            <w:tcW w:w="850" w:type="dxa"/>
            <w:vAlign w:val="center"/>
          </w:tcPr>
          <w:p w14:paraId="76A23B95" w14:textId="77777777" w:rsidR="00C175E4" w:rsidRPr="00D768EF" w:rsidRDefault="00C175E4" w:rsidP="00622285">
            <w:pPr>
              <w:jc w:val="left"/>
              <w:rPr>
                <w:color w:val="000000"/>
                <w:sz w:val="21"/>
                <w:szCs w:val="21"/>
                <w:lang w:val="sr-Latn-ME"/>
              </w:rPr>
            </w:pPr>
            <w:r w:rsidRPr="00D768EF">
              <w:rPr>
                <w:color w:val="000000"/>
                <w:sz w:val="21"/>
                <w:szCs w:val="21"/>
                <w:lang w:val="sr-Latn-ME"/>
              </w:rPr>
              <w:t>N/A</w:t>
            </w:r>
          </w:p>
        </w:tc>
        <w:tc>
          <w:tcPr>
            <w:tcW w:w="1134" w:type="dxa"/>
            <w:vAlign w:val="center"/>
          </w:tcPr>
          <w:p w14:paraId="48D4B817" w14:textId="77777777" w:rsidR="00C175E4" w:rsidRPr="00D768EF" w:rsidRDefault="00C175E4" w:rsidP="00622285">
            <w:pPr>
              <w:jc w:val="left"/>
              <w:rPr>
                <w:color w:val="000000"/>
                <w:sz w:val="21"/>
                <w:szCs w:val="21"/>
                <w:lang w:val="sr-Latn-ME"/>
              </w:rPr>
            </w:pPr>
            <w:r w:rsidRPr="00D768EF">
              <w:rPr>
                <w:color w:val="000000"/>
                <w:sz w:val="21"/>
                <w:szCs w:val="21"/>
                <w:lang w:val="sr-Latn-ME"/>
              </w:rPr>
              <w:t>60</w:t>
            </w:r>
          </w:p>
        </w:tc>
        <w:tc>
          <w:tcPr>
            <w:tcW w:w="889" w:type="dxa"/>
            <w:vAlign w:val="center"/>
          </w:tcPr>
          <w:p w14:paraId="23A73907" w14:textId="77777777" w:rsidR="00C175E4" w:rsidRPr="00D768EF" w:rsidRDefault="00C175E4" w:rsidP="00622285">
            <w:pPr>
              <w:jc w:val="left"/>
              <w:rPr>
                <w:color w:val="000000"/>
                <w:sz w:val="21"/>
                <w:szCs w:val="21"/>
                <w:lang w:val="sr-Latn-ME"/>
              </w:rPr>
            </w:pPr>
            <w:r w:rsidRPr="00D768EF">
              <w:rPr>
                <w:color w:val="000000"/>
                <w:sz w:val="21"/>
                <w:szCs w:val="21"/>
                <w:lang w:val="sr-Latn-ME"/>
              </w:rPr>
              <w:t>N/A</w:t>
            </w:r>
          </w:p>
        </w:tc>
        <w:tc>
          <w:tcPr>
            <w:tcW w:w="1142" w:type="dxa"/>
            <w:vAlign w:val="center"/>
          </w:tcPr>
          <w:p w14:paraId="61437FE2" w14:textId="77777777" w:rsidR="00C175E4" w:rsidRPr="00D768EF" w:rsidRDefault="00C175E4" w:rsidP="00622285">
            <w:pPr>
              <w:jc w:val="left"/>
              <w:rPr>
                <w:color w:val="000000"/>
                <w:sz w:val="21"/>
                <w:szCs w:val="21"/>
                <w:lang w:val="sr-Latn-ME"/>
              </w:rPr>
            </w:pPr>
            <w:r w:rsidRPr="00D768EF">
              <w:rPr>
                <w:color w:val="000000"/>
                <w:sz w:val="21"/>
                <w:szCs w:val="21"/>
                <w:lang w:val="sr-Latn-ME"/>
              </w:rPr>
              <w:t>49,4</w:t>
            </w:r>
          </w:p>
        </w:tc>
        <w:tc>
          <w:tcPr>
            <w:tcW w:w="838" w:type="dxa"/>
            <w:vAlign w:val="center"/>
          </w:tcPr>
          <w:p w14:paraId="758DDFBC" w14:textId="77777777" w:rsidR="00C175E4" w:rsidRPr="00D768EF" w:rsidRDefault="00C175E4" w:rsidP="00622285">
            <w:pPr>
              <w:jc w:val="left"/>
              <w:rPr>
                <w:color w:val="000000"/>
                <w:sz w:val="21"/>
                <w:szCs w:val="21"/>
                <w:lang w:val="sr-Latn-ME"/>
              </w:rPr>
            </w:pPr>
            <w:r w:rsidRPr="00D768EF">
              <w:rPr>
                <w:color w:val="000000"/>
                <w:sz w:val="21"/>
                <w:szCs w:val="21"/>
                <w:lang w:val="sr-Latn-ME"/>
              </w:rPr>
              <w:t>N/A</w:t>
            </w:r>
          </w:p>
        </w:tc>
        <w:tc>
          <w:tcPr>
            <w:tcW w:w="1142" w:type="dxa"/>
            <w:vAlign w:val="center"/>
          </w:tcPr>
          <w:p w14:paraId="5ECD18F2" w14:textId="77777777" w:rsidR="00C175E4" w:rsidRPr="00D768EF" w:rsidRDefault="00C175E4" w:rsidP="00622285">
            <w:pPr>
              <w:jc w:val="left"/>
              <w:rPr>
                <w:color w:val="000000"/>
                <w:sz w:val="21"/>
                <w:szCs w:val="21"/>
                <w:lang w:val="sr-Latn-ME"/>
              </w:rPr>
            </w:pPr>
            <w:r w:rsidRPr="00D768EF">
              <w:rPr>
                <w:color w:val="000000"/>
                <w:sz w:val="21"/>
                <w:szCs w:val="21"/>
                <w:lang w:val="sr-Latn-ME"/>
              </w:rPr>
              <w:t>6,7%</w:t>
            </w:r>
          </w:p>
        </w:tc>
        <w:tc>
          <w:tcPr>
            <w:tcW w:w="899" w:type="dxa"/>
            <w:vAlign w:val="center"/>
          </w:tcPr>
          <w:p w14:paraId="7D42DA3F" w14:textId="77777777" w:rsidR="00C175E4" w:rsidRPr="00D768EF" w:rsidRDefault="00C175E4" w:rsidP="00622285">
            <w:pPr>
              <w:jc w:val="left"/>
              <w:rPr>
                <w:color w:val="000000"/>
                <w:sz w:val="21"/>
                <w:szCs w:val="21"/>
                <w:lang w:val="sr-Latn-ME"/>
              </w:rPr>
            </w:pPr>
            <w:r w:rsidRPr="00D768EF">
              <w:rPr>
                <w:color w:val="000000"/>
                <w:sz w:val="21"/>
                <w:szCs w:val="21"/>
                <w:lang w:val="sr-Latn-ME"/>
              </w:rPr>
              <w:t>N/A</w:t>
            </w:r>
          </w:p>
        </w:tc>
        <w:tc>
          <w:tcPr>
            <w:tcW w:w="1171" w:type="dxa"/>
            <w:vAlign w:val="center"/>
          </w:tcPr>
          <w:p w14:paraId="08BB9707" w14:textId="77777777" w:rsidR="00C175E4" w:rsidRPr="00D768EF" w:rsidRDefault="00C175E4" w:rsidP="00622285">
            <w:pPr>
              <w:jc w:val="left"/>
              <w:rPr>
                <w:color w:val="000000"/>
                <w:sz w:val="21"/>
                <w:szCs w:val="21"/>
                <w:lang w:val="sr-Latn-ME"/>
              </w:rPr>
            </w:pPr>
            <w:r w:rsidRPr="00D768EF">
              <w:rPr>
                <w:color w:val="000000"/>
                <w:sz w:val="21"/>
                <w:szCs w:val="21"/>
                <w:lang w:val="sr-Latn-ME"/>
              </w:rPr>
              <w:t>1,7%</w:t>
            </w:r>
          </w:p>
        </w:tc>
      </w:tr>
      <w:tr w:rsidR="00C175E4" w:rsidRPr="00D768EF" w14:paraId="1ACC50AF" w14:textId="77777777" w:rsidTr="00622285">
        <w:trPr>
          <w:cantSplit/>
        </w:trPr>
        <w:tc>
          <w:tcPr>
            <w:tcW w:w="1560" w:type="dxa"/>
            <w:vAlign w:val="center"/>
          </w:tcPr>
          <w:p w14:paraId="7F75BC46" w14:textId="77777777" w:rsidR="00C175E4" w:rsidRPr="00D768EF" w:rsidRDefault="00C175E4" w:rsidP="00622285">
            <w:pPr>
              <w:spacing w:after="20"/>
              <w:jc w:val="left"/>
              <w:rPr>
                <w:color w:val="000000"/>
                <w:sz w:val="21"/>
                <w:szCs w:val="21"/>
                <w:lang w:val="sr-Latn-ME"/>
              </w:rPr>
            </w:pPr>
            <w:r w:rsidRPr="00D768EF">
              <w:rPr>
                <w:color w:val="000000"/>
                <w:sz w:val="21"/>
                <w:szCs w:val="21"/>
                <w:lang w:val="sr-Latn-ME"/>
              </w:rPr>
              <w:t>Ankilozirajući spondilitis</w:t>
            </w:r>
          </w:p>
        </w:tc>
        <w:tc>
          <w:tcPr>
            <w:tcW w:w="850" w:type="dxa"/>
            <w:vAlign w:val="center"/>
          </w:tcPr>
          <w:p w14:paraId="62C4C62F" w14:textId="77777777" w:rsidR="00C175E4" w:rsidRPr="00D768EF" w:rsidRDefault="00C175E4" w:rsidP="00622285">
            <w:pPr>
              <w:jc w:val="left"/>
              <w:rPr>
                <w:color w:val="000000"/>
                <w:sz w:val="21"/>
                <w:szCs w:val="21"/>
                <w:lang w:val="sr-Latn-ME"/>
              </w:rPr>
            </w:pPr>
            <w:r w:rsidRPr="00D768EF">
              <w:rPr>
                <w:color w:val="000000"/>
                <w:sz w:val="21"/>
                <w:szCs w:val="21"/>
                <w:lang w:val="sr-Latn-ME"/>
              </w:rPr>
              <w:t>76</w:t>
            </w:r>
          </w:p>
        </w:tc>
        <w:tc>
          <w:tcPr>
            <w:tcW w:w="1134" w:type="dxa"/>
            <w:vAlign w:val="center"/>
          </w:tcPr>
          <w:p w14:paraId="31F3E38C" w14:textId="77777777" w:rsidR="00C175E4" w:rsidRPr="00D768EF" w:rsidRDefault="00C175E4" w:rsidP="00622285">
            <w:pPr>
              <w:jc w:val="left"/>
              <w:rPr>
                <w:color w:val="000000"/>
                <w:sz w:val="21"/>
                <w:szCs w:val="21"/>
                <w:lang w:val="sr-Latn-ME"/>
              </w:rPr>
            </w:pPr>
            <w:r w:rsidRPr="00D768EF">
              <w:rPr>
                <w:color w:val="000000"/>
                <w:sz w:val="21"/>
                <w:szCs w:val="21"/>
                <w:lang w:val="sr-Latn-ME"/>
              </w:rPr>
              <w:t>275</w:t>
            </w:r>
          </w:p>
        </w:tc>
        <w:tc>
          <w:tcPr>
            <w:tcW w:w="889" w:type="dxa"/>
            <w:vAlign w:val="center"/>
          </w:tcPr>
          <w:p w14:paraId="746D4FF7" w14:textId="77777777" w:rsidR="00C175E4" w:rsidRPr="00D768EF" w:rsidRDefault="00C175E4" w:rsidP="00622285">
            <w:pPr>
              <w:jc w:val="left"/>
              <w:rPr>
                <w:color w:val="000000"/>
                <w:sz w:val="21"/>
                <w:szCs w:val="21"/>
                <w:lang w:val="sr-Latn-ME"/>
              </w:rPr>
            </w:pPr>
            <w:r w:rsidRPr="00D768EF">
              <w:rPr>
                <w:color w:val="000000"/>
                <w:sz w:val="21"/>
                <w:szCs w:val="21"/>
                <w:lang w:val="sr-Latn-ME"/>
              </w:rPr>
              <w:t>24,1</w:t>
            </w:r>
          </w:p>
        </w:tc>
        <w:tc>
          <w:tcPr>
            <w:tcW w:w="1142" w:type="dxa"/>
            <w:vAlign w:val="center"/>
          </w:tcPr>
          <w:p w14:paraId="20A1BC54" w14:textId="77777777" w:rsidR="00C175E4" w:rsidRPr="00D768EF" w:rsidRDefault="00C175E4" w:rsidP="00622285">
            <w:pPr>
              <w:jc w:val="left"/>
              <w:rPr>
                <w:color w:val="000000"/>
                <w:sz w:val="21"/>
                <w:szCs w:val="21"/>
                <w:lang w:val="sr-Latn-ME"/>
              </w:rPr>
            </w:pPr>
            <w:r w:rsidRPr="00D768EF">
              <w:rPr>
                <w:color w:val="000000"/>
                <w:sz w:val="21"/>
                <w:szCs w:val="21"/>
                <w:lang w:val="sr-Latn-ME"/>
              </w:rPr>
              <w:t>101,9</w:t>
            </w:r>
          </w:p>
        </w:tc>
        <w:tc>
          <w:tcPr>
            <w:tcW w:w="838" w:type="dxa"/>
            <w:vAlign w:val="center"/>
          </w:tcPr>
          <w:p w14:paraId="77C2B742" w14:textId="77777777" w:rsidR="00C175E4" w:rsidRPr="00D768EF" w:rsidRDefault="00C175E4" w:rsidP="00622285">
            <w:pPr>
              <w:jc w:val="left"/>
              <w:rPr>
                <w:color w:val="000000"/>
                <w:sz w:val="21"/>
                <w:szCs w:val="21"/>
                <w:u w:val="single"/>
                <w:lang w:val="sr-Latn-ME"/>
              </w:rPr>
            </w:pPr>
            <w:r w:rsidRPr="00D768EF">
              <w:rPr>
                <w:color w:val="000000"/>
                <w:sz w:val="21"/>
                <w:szCs w:val="21"/>
                <w:lang w:val="sr-Latn-ME"/>
              </w:rPr>
              <w:t>0,0%</w:t>
            </w:r>
          </w:p>
        </w:tc>
        <w:tc>
          <w:tcPr>
            <w:tcW w:w="1142" w:type="dxa"/>
            <w:vAlign w:val="center"/>
          </w:tcPr>
          <w:p w14:paraId="03FD4987" w14:textId="77777777" w:rsidR="00C175E4" w:rsidRPr="00D768EF" w:rsidRDefault="00C175E4" w:rsidP="00622285">
            <w:pPr>
              <w:jc w:val="left"/>
              <w:rPr>
                <w:color w:val="000000"/>
                <w:sz w:val="21"/>
                <w:szCs w:val="21"/>
                <w:u w:val="single"/>
                <w:lang w:val="sr-Latn-ME"/>
              </w:rPr>
            </w:pPr>
            <w:r w:rsidRPr="00D768EF">
              <w:rPr>
                <w:color w:val="000000"/>
                <w:sz w:val="21"/>
                <w:szCs w:val="21"/>
                <w:lang w:val="sr-Latn-ME"/>
              </w:rPr>
              <w:t>9,5%</w:t>
            </w:r>
          </w:p>
        </w:tc>
        <w:tc>
          <w:tcPr>
            <w:tcW w:w="899" w:type="dxa"/>
            <w:vAlign w:val="center"/>
          </w:tcPr>
          <w:p w14:paraId="26FA7EE9" w14:textId="77777777" w:rsidR="00C175E4" w:rsidRPr="00D768EF" w:rsidRDefault="00C175E4" w:rsidP="00622285">
            <w:pPr>
              <w:jc w:val="left"/>
              <w:rPr>
                <w:color w:val="000000"/>
                <w:sz w:val="21"/>
                <w:szCs w:val="21"/>
                <w:u w:val="single"/>
                <w:lang w:val="sr-Latn-ME"/>
              </w:rPr>
            </w:pPr>
            <w:r w:rsidRPr="00D768EF">
              <w:rPr>
                <w:color w:val="000000"/>
                <w:sz w:val="21"/>
                <w:szCs w:val="21"/>
                <w:lang w:val="sr-Latn-ME"/>
              </w:rPr>
              <w:t>0,0%</w:t>
            </w:r>
          </w:p>
        </w:tc>
        <w:tc>
          <w:tcPr>
            <w:tcW w:w="1171" w:type="dxa"/>
            <w:vAlign w:val="center"/>
          </w:tcPr>
          <w:p w14:paraId="72E37354" w14:textId="77777777" w:rsidR="00C175E4" w:rsidRPr="00D768EF" w:rsidRDefault="00C175E4" w:rsidP="00622285">
            <w:pPr>
              <w:jc w:val="left"/>
              <w:rPr>
                <w:color w:val="000000"/>
                <w:sz w:val="21"/>
                <w:szCs w:val="21"/>
                <w:u w:val="single"/>
                <w:lang w:val="sr-Latn-ME"/>
              </w:rPr>
            </w:pPr>
            <w:r w:rsidRPr="00D768EF">
              <w:rPr>
                <w:color w:val="000000"/>
                <w:sz w:val="21"/>
                <w:szCs w:val="21"/>
                <w:lang w:val="sr-Latn-ME"/>
              </w:rPr>
              <w:t>3,6%</w:t>
            </w:r>
          </w:p>
        </w:tc>
      </w:tr>
      <w:tr w:rsidR="00C175E4" w:rsidRPr="00D768EF" w14:paraId="03A0B0B7" w14:textId="77777777" w:rsidTr="00622285">
        <w:trPr>
          <w:cantSplit/>
        </w:trPr>
        <w:tc>
          <w:tcPr>
            <w:tcW w:w="1560" w:type="dxa"/>
            <w:vAlign w:val="center"/>
          </w:tcPr>
          <w:p w14:paraId="2B400418" w14:textId="77777777" w:rsidR="00C175E4" w:rsidRPr="00D768EF" w:rsidRDefault="00C175E4" w:rsidP="00622285">
            <w:pPr>
              <w:spacing w:after="20"/>
              <w:jc w:val="left"/>
              <w:rPr>
                <w:color w:val="000000"/>
                <w:sz w:val="21"/>
                <w:szCs w:val="21"/>
                <w:lang w:val="sr-Latn-ME"/>
              </w:rPr>
            </w:pPr>
            <w:r w:rsidRPr="00D768EF">
              <w:rPr>
                <w:color w:val="000000"/>
                <w:sz w:val="21"/>
                <w:szCs w:val="21"/>
                <w:lang w:val="sr-Latn-ME"/>
              </w:rPr>
              <w:t>Psorijatični artritis</w:t>
            </w:r>
          </w:p>
        </w:tc>
        <w:tc>
          <w:tcPr>
            <w:tcW w:w="850" w:type="dxa"/>
            <w:vAlign w:val="center"/>
          </w:tcPr>
          <w:p w14:paraId="51E9E13D" w14:textId="77777777" w:rsidR="00C175E4" w:rsidRPr="00D768EF" w:rsidRDefault="00C175E4" w:rsidP="00622285">
            <w:pPr>
              <w:jc w:val="left"/>
              <w:rPr>
                <w:color w:val="000000"/>
                <w:sz w:val="21"/>
                <w:szCs w:val="21"/>
                <w:lang w:val="sr-Latn-ME"/>
              </w:rPr>
            </w:pPr>
            <w:r w:rsidRPr="00D768EF">
              <w:rPr>
                <w:color w:val="000000"/>
                <w:sz w:val="21"/>
                <w:szCs w:val="21"/>
                <w:lang w:val="sr-Latn-ME"/>
              </w:rPr>
              <w:t>98</w:t>
            </w:r>
          </w:p>
        </w:tc>
        <w:tc>
          <w:tcPr>
            <w:tcW w:w="1134" w:type="dxa"/>
            <w:vAlign w:val="center"/>
          </w:tcPr>
          <w:p w14:paraId="1472B6CE" w14:textId="77777777" w:rsidR="00C175E4" w:rsidRPr="00D768EF" w:rsidRDefault="00C175E4" w:rsidP="00622285">
            <w:pPr>
              <w:jc w:val="left"/>
              <w:rPr>
                <w:color w:val="000000"/>
                <w:sz w:val="21"/>
                <w:szCs w:val="21"/>
                <w:lang w:val="sr-Latn-ME"/>
              </w:rPr>
            </w:pPr>
            <w:r w:rsidRPr="00D768EF">
              <w:rPr>
                <w:color w:val="000000"/>
                <w:sz w:val="21"/>
                <w:szCs w:val="21"/>
                <w:lang w:val="sr-Latn-ME"/>
              </w:rPr>
              <w:t>191</w:t>
            </w:r>
          </w:p>
        </w:tc>
        <w:tc>
          <w:tcPr>
            <w:tcW w:w="889" w:type="dxa"/>
            <w:vAlign w:val="center"/>
          </w:tcPr>
          <w:p w14:paraId="0FDBC7EB" w14:textId="77777777" w:rsidR="00C175E4" w:rsidRPr="00D768EF" w:rsidRDefault="00C175E4" w:rsidP="00622285">
            <w:pPr>
              <w:jc w:val="left"/>
              <w:rPr>
                <w:color w:val="000000"/>
                <w:sz w:val="21"/>
                <w:szCs w:val="21"/>
                <w:lang w:val="sr-Latn-ME"/>
              </w:rPr>
            </w:pPr>
            <w:r w:rsidRPr="00D768EF">
              <w:rPr>
                <w:color w:val="000000"/>
                <w:sz w:val="21"/>
                <w:szCs w:val="21"/>
                <w:lang w:val="sr-Latn-ME"/>
              </w:rPr>
              <w:t>18,1</w:t>
            </w:r>
          </w:p>
        </w:tc>
        <w:tc>
          <w:tcPr>
            <w:tcW w:w="1142" w:type="dxa"/>
            <w:vAlign w:val="center"/>
          </w:tcPr>
          <w:p w14:paraId="7D9135FE" w14:textId="77777777" w:rsidR="00C175E4" w:rsidRPr="00D768EF" w:rsidRDefault="00C175E4" w:rsidP="00622285">
            <w:pPr>
              <w:jc w:val="left"/>
              <w:rPr>
                <w:color w:val="000000"/>
                <w:sz w:val="21"/>
                <w:szCs w:val="21"/>
                <w:lang w:val="sr-Latn-ME"/>
              </w:rPr>
            </w:pPr>
            <w:r w:rsidRPr="00D768EF">
              <w:rPr>
                <w:color w:val="000000"/>
                <w:sz w:val="21"/>
                <w:szCs w:val="21"/>
                <w:lang w:val="sr-Latn-ME"/>
              </w:rPr>
              <w:t>39,1</w:t>
            </w:r>
          </w:p>
        </w:tc>
        <w:tc>
          <w:tcPr>
            <w:tcW w:w="838" w:type="dxa"/>
            <w:vAlign w:val="center"/>
          </w:tcPr>
          <w:p w14:paraId="46D1573F" w14:textId="77777777" w:rsidR="00C175E4" w:rsidRPr="00D768EF" w:rsidRDefault="00C175E4" w:rsidP="00622285">
            <w:pPr>
              <w:jc w:val="left"/>
              <w:rPr>
                <w:color w:val="000000"/>
                <w:sz w:val="21"/>
                <w:szCs w:val="21"/>
                <w:u w:val="single"/>
                <w:lang w:val="sr-Latn-ME"/>
              </w:rPr>
            </w:pPr>
            <w:r w:rsidRPr="00D768EF">
              <w:rPr>
                <w:color w:val="000000"/>
                <w:sz w:val="21"/>
                <w:szCs w:val="21"/>
                <w:lang w:val="sr-Latn-ME"/>
              </w:rPr>
              <w:t>0,0%</w:t>
            </w:r>
          </w:p>
        </w:tc>
        <w:tc>
          <w:tcPr>
            <w:tcW w:w="1142" w:type="dxa"/>
            <w:vAlign w:val="center"/>
          </w:tcPr>
          <w:p w14:paraId="680CDD08" w14:textId="77777777" w:rsidR="00C175E4" w:rsidRPr="00D768EF" w:rsidRDefault="00C175E4" w:rsidP="00622285">
            <w:pPr>
              <w:jc w:val="left"/>
              <w:rPr>
                <w:color w:val="000000"/>
                <w:sz w:val="21"/>
                <w:szCs w:val="21"/>
                <w:u w:val="single"/>
                <w:lang w:val="sr-Latn-ME"/>
              </w:rPr>
            </w:pPr>
            <w:r w:rsidRPr="00D768EF">
              <w:rPr>
                <w:color w:val="000000"/>
                <w:sz w:val="21"/>
                <w:szCs w:val="21"/>
                <w:lang w:val="sr-Latn-ME"/>
              </w:rPr>
              <w:t>6,8%</w:t>
            </w:r>
          </w:p>
        </w:tc>
        <w:tc>
          <w:tcPr>
            <w:tcW w:w="899" w:type="dxa"/>
            <w:vAlign w:val="center"/>
          </w:tcPr>
          <w:p w14:paraId="5088713E" w14:textId="77777777" w:rsidR="00C175E4" w:rsidRPr="00D768EF" w:rsidRDefault="00C175E4" w:rsidP="00622285">
            <w:pPr>
              <w:jc w:val="left"/>
              <w:rPr>
                <w:color w:val="000000"/>
                <w:sz w:val="21"/>
                <w:szCs w:val="21"/>
                <w:u w:val="single"/>
                <w:lang w:val="sr-Latn-ME"/>
              </w:rPr>
            </w:pPr>
            <w:r w:rsidRPr="00D768EF">
              <w:rPr>
                <w:color w:val="000000"/>
                <w:sz w:val="21"/>
                <w:szCs w:val="21"/>
                <w:lang w:val="sr-Latn-ME"/>
              </w:rPr>
              <w:t>0,0%</w:t>
            </w:r>
          </w:p>
        </w:tc>
        <w:tc>
          <w:tcPr>
            <w:tcW w:w="1171" w:type="dxa"/>
            <w:vAlign w:val="center"/>
          </w:tcPr>
          <w:p w14:paraId="1D6D4299" w14:textId="77777777" w:rsidR="00C175E4" w:rsidRPr="00D768EF" w:rsidRDefault="00C175E4" w:rsidP="00622285">
            <w:pPr>
              <w:jc w:val="left"/>
              <w:rPr>
                <w:color w:val="000000"/>
                <w:sz w:val="21"/>
                <w:szCs w:val="21"/>
                <w:u w:val="single"/>
                <w:lang w:val="sr-Latn-ME"/>
              </w:rPr>
            </w:pPr>
            <w:r w:rsidRPr="00D768EF">
              <w:rPr>
                <w:color w:val="000000"/>
                <w:sz w:val="21"/>
                <w:szCs w:val="21"/>
                <w:lang w:val="sr-Latn-ME"/>
              </w:rPr>
              <w:t>2,1%</w:t>
            </w:r>
          </w:p>
        </w:tc>
      </w:tr>
      <w:tr w:rsidR="00C175E4" w:rsidRPr="00D768EF" w14:paraId="4C15CA2A" w14:textId="77777777" w:rsidTr="00622285">
        <w:trPr>
          <w:cantSplit/>
        </w:trPr>
        <w:tc>
          <w:tcPr>
            <w:tcW w:w="1560" w:type="dxa"/>
            <w:vAlign w:val="center"/>
          </w:tcPr>
          <w:p w14:paraId="46A81ABF" w14:textId="77777777" w:rsidR="00C175E4" w:rsidRPr="00D768EF" w:rsidRDefault="00C175E4" w:rsidP="00622285">
            <w:pPr>
              <w:spacing w:after="20"/>
              <w:jc w:val="left"/>
              <w:rPr>
                <w:color w:val="000000"/>
                <w:sz w:val="21"/>
                <w:szCs w:val="21"/>
                <w:lang w:val="sr-Latn-ME"/>
              </w:rPr>
            </w:pPr>
            <w:r w:rsidRPr="00D768EF">
              <w:rPr>
                <w:color w:val="000000"/>
                <w:sz w:val="21"/>
                <w:szCs w:val="21"/>
                <w:lang w:val="sr-Latn-ME"/>
              </w:rPr>
              <w:t>Plak psorijaza</w:t>
            </w:r>
          </w:p>
        </w:tc>
        <w:tc>
          <w:tcPr>
            <w:tcW w:w="850" w:type="dxa"/>
            <w:vAlign w:val="center"/>
          </w:tcPr>
          <w:p w14:paraId="3A16E90E" w14:textId="77777777" w:rsidR="00C175E4" w:rsidRPr="00D768EF" w:rsidRDefault="00C175E4" w:rsidP="00622285">
            <w:pPr>
              <w:jc w:val="left"/>
              <w:rPr>
                <w:color w:val="000000"/>
                <w:sz w:val="21"/>
                <w:szCs w:val="21"/>
                <w:lang w:val="sr-Latn-ME"/>
              </w:rPr>
            </w:pPr>
            <w:r w:rsidRPr="00D768EF">
              <w:rPr>
                <w:color w:val="000000"/>
                <w:sz w:val="21"/>
                <w:szCs w:val="21"/>
                <w:lang w:val="sr-Latn-ME"/>
              </w:rPr>
              <w:t>281</w:t>
            </w:r>
          </w:p>
        </w:tc>
        <w:tc>
          <w:tcPr>
            <w:tcW w:w="1134" w:type="dxa"/>
            <w:vAlign w:val="center"/>
          </w:tcPr>
          <w:p w14:paraId="1BF7857F" w14:textId="77777777" w:rsidR="00C175E4" w:rsidRPr="00D768EF" w:rsidRDefault="00C175E4" w:rsidP="00622285">
            <w:pPr>
              <w:jc w:val="left"/>
              <w:rPr>
                <w:color w:val="000000"/>
                <w:sz w:val="21"/>
                <w:szCs w:val="21"/>
                <w:lang w:val="sr-Latn-ME"/>
              </w:rPr>
            </w:pPr>
            <w:r w:rsidRPr="00D768EF">
              <w:rPr>
                <w:color w:val="000000"/>
                <w:sz w:val="21"/>
                <w:szCs w:val="21"/>
                <w:lang w:val="sr-Latn-ME"/>
              </w:rPr>
              <w:t>1175</w:t>
            </w:r>
          </w:p>
        </w:tc>
        <w:tc>
          <w:tcPr>
            <w:tcW w:w="889" w:type="dxa"/>
            <w:vAlign w:val="center"/>
          </w:tcPr>
          <w:p w14:paraId="01C91096" w14:textId="77777777" w:rsidR="00C175E4" w:rsidRPr="00D768EF" w:rsidRDefault="00C175E4" w:rsidP="00622285">
            <w:pPr>
              <w:jc w:val="left"/>
              <w:rPr>
                <w:color w:val="000000"/>
                <w:sz w:val="21"/>
                <w:szCs w:val="21"/>
                <w:lang w:val="sr-Latn-ME"/>
              </w:rPr>
            </w:pPr>
            <w:r w:rsidRPr="00D768EF">
              <w:rPr>
                <w:color w:val="000000"/>
                <w:sz w:val="21"/>
                <w:szCs w:val="21"/>
                <w:lang w:val="sr-Latn-ME"/>
              </w:rPr>
              <w:t>16,1</w:t>
            </w:r>
          </w:p>
        </w:tc>
        <w:tc>
          <w:tcPr>
            <w:tcW w:w="1142" w:type="dxa"/>
            <w:vAlign w:val="center"/>
          </w:tcPr>
          <w:p w14:paraId="198E0DDB" w14:textId="77777777" w:rsidR="00C175E4" w:rsidRPr="00D768EF" w:rsidRDefault="00C175E4" w:rsidP="00622285">
            <w:pPr>
              <w:jc w:val="left"/>
              <w:rPr>
                <w:color w:val="000000"/>
                <w:sz w:val="21"/>
                <w:szCs w:val="21"/>
                <w:lang w:val="sr-Latn-ME"/>
              </w:rPr>
            </w:pPr>
            <w:r w:rsidRPr="00D768EF">
              <w:rPr>
                <w:color w:val="000000"/>
                <w:sz w:val="21"/>
                <w:szCs w:val="21"/>
                <w:lang w:val="sr-Latn-ME"/>
              </w:rPr>
              <w:t>50,1</w:t>
            </w:r>
          </w:p>
        </w:tc>
        <w:tc>
          <w:tcPr>
            <w:tcW w:w="838" w:type="dxa"/>
            <w:vAlign w:val="center"/>
          </w:tcPr>
          <w:p w14:paraId="79B64959" w14:textId="77777777" w:rsidR="00C175E4" w:rsidRPr="00D768EF" w:rsidRDefault="00C175E4" w:rsidP="00622285">
            <w:pPr>
              <w:jc w:val="left"/>
              <w:rPr>
                <w:color w:val="000000"/>
                <w:sz w:val="21"/>
                <w:szCs w:val="21"/>
                <w:u w:val="single"/>
                <w:lang w:val="sr-Latn-ME"/>
              </w:rPr>
            </w:pPr>
            <w:r w:rsidRPr="00D768EF">
              <w:rPr>
                <w:color w:val="000000"/>
                <w:sz w:val="21"/>
                <w:szCs w:val="21"/>
                <w:lang w:val="sr-Latn-ME"/>
              </w:rPr>
              <w:t>0,4%</w:t>
            </w:r>
          </w:p>
        </w:tc>
        <w:tc>
          <w:tcPr>
            <w:tcW w:w="1142" w:type="dxa"/>
            <w:vAlign w:val="center"/>
          </w:tcPr>
          <w:p w14:paraId="6128D46A" w14:textId="77777777" w:rsidR="00C175E4" w:rsidRPr="00D768EF" w:rsidRDefault="00C175E4" w:rsidP="00622285">
            <w:pPr>
              <w:jc w:val="left"/>
              <w:rPr>
                <w:color w:val="000000"/>
                <w:sz w:val="21"/>
                <w:szCs w:val="21"/>
                <w:u w:val="single"/>
                <w:lang w:val="sr-Latn-ME"/>
              </w:rPr>
            </w:pPr>
            <w:r w:rsidRPr="00D768EF">
              <w:rPr>
                <w:color w:val="000000"/>
                <w:sz w:val="21"/>
                <w:szCs w:val="21"/>
                <w:lang w:val="sr-Latn-ME"/>
              </w:rPr>
              <w:t>7,7%</w:t>
            </w:r>
          </w:p>
        </w:tc>
        <w:tc>
          <w:tcPr>
            <w:tcW w:w="899" w:type="dxa"/>
            <w:vAlign w:val="center"/>
          </w:tcPr>
          <w:p w14:paraId="7669D4B9" w14:textId="77777777" w:rsidR="00C175E4" w:rsidRPr="00D768EF" w:rsidRDefault="00C175E4" w:rsidP="00622285">
            <w:pPr>
              <w:jc w:val="left"/>
              <w:rPr>
                <w:color w:val="000000"/>
                <w:sz w:val="21"/>
                <w:szCs w:val="21"/>
                <w:u w:val="single"/>
                <w:lang w:val="sr-Latn-ME"/>
              </w:rPr>
            </w:pPr>
            <w:r w:rsidRPr="00D768EF">
              <w:rPr>
                <w:color w:val="000000"/>
                <w:sz w:val="21"/>
                <w:szCs w:val="21"/>
                <w:lang w:val="sr-Latn-ME"/>
              </w:rPr>
              <w:t>0,0%</w:t>
            </w:r>
          </w:p>
        </w:tc>
        <w:tc>
          <w:tcPr>
            <w:tcW w:w="1171" w:type="dxa"/>
            <w:vAlign w:val="center"/>
          </w:tcPr>
          <w:p w14:paraId="5512C4D4" w14:textId="77777777" w:rsidR="00C175E4" w:rsidRPr="00D768EF" w:rsidRDefault="00C175E4" w:rsidP="00622285">
            <w:pPr>
              <w:jc w:val="left"/>
              <w:rPr>
                <w:color w:val="000000"/>
                <w:sz w:val="21"/>
                <w:szCs w:val="21"/>
                <w:u w:val="single"/>
                <w:lang w:val="sr-Latn-ME"/>
              </w:rPr>
            </w:pPr>
            <w:r w:rsidRPr="00D768EF">
              <w:rPr>
                <w:color w:val="000000"/>
                <w:sz w:val="21"/>
                <w:szCs w:val="21"/>
                <w:lang w:val="sr-Latn-ME"/>
              </w:rPr>
              <w:t>3,4%</w:t>
            </w:r>
          </w:p>
        </w:tc>
      </w:tr>
    </w:tbl>
    <w:p w14:paraId="7AF97C3B" w14:textId="62A482AB" w:rsidR="00C175E4" w:rsidRPr="00D768EF" w:rsidRDefault="00C175E4" w:rsidP="00C175E4">
      <w:pPr>
        <w:keepLines/>
        <w:tabs>
          <w:tab w:val="clear" w:pos="284"/>
          <w:tab w:val="left" w:pos="-1022"/>
          <w:tab w:val="left" w:pos="-720"/>
          <w:tab w:val="left" w:pos="300"/>
          <w:tab w:val="left" w:pos="510"/>
          <w:tab w:val="left" w:pos="1440"/>
          <w:tab w:val="left" w:pos="1710"/>
          <w:tab w:val="left" w:pos="2160"/>
          <w:tab w:val="left" w:pos="2880"/>
          <w:tab w:val="left" w:pos="3600"/>
          <w:tab w:val="left" w:pos="4320"/>
          <w:tab w:val="left" w:pos="5040"/>
          <w:tab w:val="left" w:pos="5760"/>
          <w:tab w:val="left" w:pos="6480"/>
          <w:tab w:val="lef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9" w:hanging="119"/>
        <w:rPr>
          <w:color w:val="000000"/>
          <w:szCs w:val="22"/>
          <w:lang w:val="sr-Latn-ME"/>
        </w:rPr>
      </w:pPr>
      <w:r w:rsidRPr="00D768EF">
        <w:rPr>
          <w:color w:val="000000"/>
          <w:szCs w:val="22"/>
          <w:vertAlign w:val="superscript"/>
          <w:lang w:val="sr-Latn-ME"/>
        </w:rPr>
        <w:t>1</w:t>
      </w:r>
      <w:r w:rsidRPr="00D768EF">
        <w:rPr>
          <w:color w:val="000000"/>
          <w:szCs w:val="22"/>
          <w:lang w:val="sr-Latn-ME"/>
        </w:rPr>
        <w:t xml:space="preserve"> Pacijenti u placebo grupi su primali metotreksat, dok su pacijenti u infliksimab grupi primali i infliksimab i metotreksat.</w:t>
      </w:r>
    </w:p>
    <w:p w14:paraId="501FCE81" w14:textId="623FB058" w:rsidR="00C175E4" w:rsidRPr="00D768EF" w:rsidRDefault="00C175E4" w:rsidP="00C175E4">
      <w:pPr>
        <w:ind w:left="120" w:hanging="120"/>
        <w:rPr>
          <w:color w:val="000000"/>
          <w:szCs w:val="22"/>
          <w:lang w:val="sr-Latn-ME"/>
        </w:rPr>
      </w:pPr>
      <w:r w:rsidRPr="00D768EF">
        <w:rPr>
          <w:color w:val="000000"/>
          <w:szCs w:val="22"/>
          <w:vertAlign w:val="superscript"/>
          <w:lang w:val="sr-Latn-ME"/>
        </w:rPr>
        <w:t>2</w:t>
      </w:r>
      <w:r w:rsidRPr="00D768EF">
        <w:rPr>
          <w:color w:val="000000"/>
          <w:szCs w:val="22"/>
          <w:lang w:val="sr-Latn-ME"/>
        </w:rPr>
        <w:t xml:space="preserve"> Pacijenti u placebo grupi u dv</w:t>
      </w:r>
      <w:r w:rsidR="00830369" w:rsidRPr="00D768EF">
        <w:rPr>
          <w:color w:val="000000"/>
          <w:szCs w:val="22"/>
          <w:lang w:val="sr-Latn-ME"/>
        </w:rPr>
        <w:t>ij</w:t>
      </w:r>
      <w:r w:rsidRPr="00D768EF">
        <w:rPr>
          <w:color w:val="000000"/>
          <w:szCs w:val="22"/>
          <w:lang w:val="sr-Latn-ME"/>
        </w:rPr>
        <w:t xml:space="preserve">e kliničke studije faze III za Kronovu bolest, ACCENT I i ACCENT II, primili su inicijalnu dozu od 5 mg/kg infliksimaba na početku studije, a zatim placebo u fazi održavanja. Pacijenti koji su bili randomizovani u grupi koja je primala placebo tokom terapije održavanja, a kasnije prebačeni u grupu koja je primala infliksimab, u svrhu analize ALT-a uključeni su u grupu koja je primala infliksimab. </w:t>
      </w:r>
      <w:r w:rsidRPr="00D768EF">
        <w:rPr>
          <w:szCs w:val="22"/>
          <w:lang w:val="sr-Latn-ME"/>
        </w:rPr>
        <w:t xml:space="preserve">U fazi IIIb kliničke </w:t>
      </w:r>
      <w:r w:rsidRPr="00D768EF">
        <w:rPr>
          <w:color w:val="000000"/>
          <w:szCs w:val="22"/>
          <w:lang w:val="sr-Latn-ME"/>
        </w:rPr>
        <w:t>studije za Kronovu bolest</w:t>
      </w:r>
      <w:r w:rsidRPr="00D768EF">
        <w:rPr>
          <w:szCs w:val="22"/>
          <w:lang w:val="sr-Latn-ME"/>
        </w:rPr>
        <w:t>, pod nazivom SONIC, pacijenti u placebo grupi primali su AZA u dozi od 2,5 mg/kg/dan kao aktivnu kontrolu uz placebo infuzije infliksimaba.</w:t>
      </w:r>
    </w:p>
    <w:p w14:paraId="6F421A6E" w14:textId="316D5C7A" w:rsidR="00C175E4" w:rsidRPr="00D768EF" w:rsidRDefault="00C175E4" w:rsidP="00C175E4">
      <w:pPr>
        <w:ind w:left="120" w:hanging="120"/>
        <w:rPr>
          <w:color w:val="000000"/>
          <w:szCs w:val="22"/>
          <w:lang w:val="sr-Latn-ME"/>
        </w:rPr>
      </w:pPr>
      <w:r w:rsidRPr="00D768EF">
        <w:rPr>
          <w:color w:val="000000"/>
          <w:szCs w:val="22"/>
          <w:vertAlign w:val="superscript"/>
          <w:lang w:val="sr-Latn-ME"/>
        </w:rPr>
        <w:t xml:space="preserve">3 </w:t>
      </w:r>
      <w:r w:rsidRPr="00D768EF">
        <w:rPr>
          <w:color w:val="000000"/>
          <w:szCs w:val="22"/>
          <w:lang w:val="sr-Latn-ME"/>
        </w:rPr>
        <w:t>Broj pacijenata uključenih u analizu ALT-a.</w:t>
      </w:r>
    </w:p>
    <w:p w14:paraId="55FCD98F" w14:textId="4B817163" w:rsidR="00C175E4" w:rsidRPr="00D768EF" w:rsidRDefault="00C175E4" w:rsidP="00C175E4">
      <w:pPr>
        <w:rPr>
          <w:color w:val="000000"/>
          <w:szCs w:val="22"/>
          <w:lang w:val="sr-Latn-ME"/>
        </w:rPr>
      </w:pPr>
      <w:r w:rsidRPr="00D768EF">
        <w:rPr>
          <w:color w:val="000000"/>
          <w:szCs w:val="22"/>
          <w:vertAlign w:val="superscript"/>
          <w:lang w:val="sr-Latn-ME"/>
        </w:rPr>
        <w:t xml:space="preserve">4 </w:t>
      </w:r>
      <w:r w:rsidRPr="00D768EF">
        <w:rPr>
          <w:color w:val="000000"/>
          <w:szCs w:val="22"/>
          <w:lang w:val="sr-Latn-ME"/>
        </w:rPr>
        <w:t>Medijana trajanja praćenja zasnovano je na pacijentima koji su primali terapiju.</w:t>
      </w:r>
    </w:p>
    <w:p w14:paraId="6033167E" w14:textId="77777777" w:rsidR="00C175E4" w:rsidRPr="00D768EF" w:rsidRDefault="00C175E4" w:rsidP="00C175E4">
      <w:pPr>
        <w:jc w:val="left"/>
        <w:rPr>
          <w:color w:val="000000"/>
          <w:szCs w:val="22"/>
          <w:lang w:val="sr-Latn-ME"/>
        </w:rPr>
      </w:pPr>
    </w:p>
    <w:p w14:paraId="22F2CDEC" w14:textId="3FE7BE3A" w:rsidR="00C175E4" w:rsidRPr="00D768EF" w:rsidRDefault="00C175E4" w:rsidP="00C175E4">
      <w:pPr>
        <w:rPr>
          <w:i/>
          <w:iCs/>
          <w:color w:val="000000"/>
          <w:szCs w:val="22"/>
          <w:lang w:val="sr-Latn-ME"/>
        </w:rPr>
      </w:pPr>
      <w:r w:rsidRPr="00D768EF">
        <w:rPr>
          <w:i/>
          <w:iCs/>
          <w:color w:val="000000"/>
          <w:szCs w:val="22"/>
          <w:lang w:val="sr-Latn-ME"/>
        </w:rPr>
        <w:t xml:space="preserve">Antinuklearna </w:t>
      </w:r>
      <w:r w:rsidR="00220982" w:rsidRPr="00D768EF">
        <w:rPr>
          <w:i/>
          <w:iCs/>
          <w:color w:val="000000"/>
          <w:szCs w:val="22"/>
          <w:lang w:val="sr-Latn-ME"/>
        </w:rPr>
        <w:t>antitijel</w:t>
      </w:r>
      <w:r w:rsidRPr="00D768EF">
        <w:rPr>
          <w:i/>
          <w:iCs/>
          <w:color w:val="000000"/>
          <w:szCs w:val="22"/>
          <w:lang w:val="sr-Latn-ME"/>
        </w:rPr>
        <w:t>a (ANA)/</w:t>
      </w:r>
      <w:r w:rsidRPr="00D768EF">
        <w:rPr>
          <w:i/>
          <w:iCs/>
          <w:szCs w:val="22"/>
          <w:lang w:val="sr-Latn-ME"/>
        </w:rPr>
        <w:t xml:space="preserve"> Anti-dvolančana </w:t>
      </w:r>
      <w:r w:rsidRPr="00D768EF">
        <w:rPr>
          <w:i/>
          <w:iCs/>
          <w:color w:val="000000"/>
          <w:szCs w:val="22"/>
          <w:lang w:val="sr-Latn-ME"/>
        </w:rPr>
        <w:t xml:space="preserve">DNK (dsDNK) </w:t>
      </w:r>
      <w:r w:rsidR="00220982" w:rsidRPr="00D768EF">
        <w:rPr>
          <w:i/>
          <w:iCs/>
          <w:color w:val="000000"/>
          <w:szCs w:val="22"/>
          <w:lang w:val="sr-Latn-ME"/>
        </w:rPr>
        <w:t>antitijel</w:t>
      </w:r>
      <w:r w:rsidRPr="00D768EF">
        <w:rPr>
          <w:i/>
          <w:iCs/>
          <w:color w:val="000000"/>
          <w:szCs w:val="22"/>
          <w:lang w:val="sr-Latn-ME"/>
        </w:rPr>
        <w:t xml:space="preserve">a </w:t>
      </w:r>
    </w:p>
    <w:p w14:paraId="57D28AA9" w14:textId="0A996024" w:rsidR="00C175E4" w:rsidRPr="00D768EF" w:rsidRDefault="00C175E4" w:rsidP="00C175E4">
      <w:pPr>
        <w:rPr>
          <w:color w:val="000000"/>
          <w:szCs w:val="22"/>
          <w:lang w:val="sr-Latn-ME"/>
        </w:rPr>
      </w:pPr>
      <w:r w:rsidRPr="00D768EF">
        <w:rPr>
          <w:color w:val="000000"/>
          <w:szCs w:val="22"/>
          <w:lang w:val="sr-Latn-ME"/>
        </w:rPr>
        <w:t xml:space="preserve">Približno polovina pacijenata koji su primali infliksimab u kliničkim studijama i koji su na početku studije bili negativni na ANA postali su pozitivni na ANA tokom studije, u poređenju sa oko jednom petinom pacijenata koji su primali placebo. Pojava anti-dsDNK </w:t>
      </w:r>
      <w:r w:rsidR="00220982" w:rsidRPr="00D768EF">
        <w:rPr>
          <w:color w:val="000000"/>
          <w:szCs w:val="22"/>
          <w:lang w:val="sr-Latn-ME"/>
        </w:rPr>
        <w:t>antitijel</w:t>
      </w:r>
      <w:r w:rsidRPr="00D768EF">
        <w:rPr>
          <w:color w:val="000000"/>
          <w:szCs w:val="22"/>
          <w:lang w:val="sr-Latn-ME"/>
        </w:rPr>
        <w:t>a utvrđena je kod oko 17% pacijenata koji su primali infliksimab, u poređenju sa 0% pacijenata koji su primali placebo. Na posl</w:t>
      </w:r>
      <w:r w:rsidR="00830369" w:rsidRPr="00D768EF">
        <w:rPr>
          <w:color w:val="000000"/>
          <w:szCs w:val="22"/>
          <w:lang w:val="sr-Latn-ME"/>
        </w:rPr>
        <w:t>j</w:t>
      </w:r>
      <w:r w:rsidRPr="00D768EF">
        <w:rPr>
          <w:color w:val="000000"/>
          <w:szCs w:val="22"/>
          <w:lang w:val="sr-Latn-ME"/>
        </w:rPr>
        <w:t xml:space="preserve">ednjoj evaluaciji, 57% pacijenata koji su primali infliksimab ostalo je pozitivno na anti-dsDNK. Međutim, incidenca prijavljivanja lupusa i sindroma nalik na lupus i dalje je povremena </w:t>
      </w:r>
      <w:r w:rsidRPr="00D768EF">
        <w:rPr>
          <w:iCs/>
          <w:szCs w:val="22"/>
          <w:lang w:val="sr-Latn-ME"/>
        </w:rPr>
        <w:t>(</w:t>
      </w:r>
      <w:r w:rsidR="00282A1E" w:rsidRPr="00D768EF">
        <w:rPr>
          <w:iCs/>
          <w:szCs w:val="22"/>
          <w:lang w:val="sr-Latn-ME"/>
        </w:rPr>
        <w:t>vidjeti</w:t>
      </w:r>
      <w:r w:rsidRPr="00D768EF">
        <w:rPr>
          <w:iCs/>
          <w:szCs w:val="22"/>
          <w:lang w:val="sr-Latn-ME"/>
        </w:rPr>
        <w:t xml:space="preserve"> </w:t>
      </w:r>
      <w:r w:rsidR="00454E9F" w:rsidRPr="00D768EF">
        <w:rPr>
          <w:iCs/>
          <w:szCs w:val="22"/>
          <w:lang w:val="sr-Latn-ME"/>
        </w:rPr>
        <w:t>dio</w:t>
      </w:r>
      <w:r w:rsidRPr="00D768EF">
        <w:rPr>
          <w:iCs/>
          <w:szCs w:val="22"/>
          <w:lang w:val="sr-Latn-ME"/>
        </w:rPr>
        <w:t xml:space="preserve"> 4.4).</w:t>
      </w:r>
    </w:p>
    <w:p w14:paraId="431E4A83" w14:textId="77777777" w:rsidR="00C175E4" w:rsidRPr="00D768EF" w:rsidRDefault="00C175E4" w:rsidP="00C175E4">
      <w:pPr>
        <w:rPr>
          <w:color w:val="000000"/>
          <w:szCs w:val="22"/>
          <w:lang w:val="sr-Latn-ME"/>
        </w:rPr>
      </w:pPr>
    </w:p>
    <w:p w14:paraId="7C1D6A9D" w14:textId="77777777" w:rsidR="00C175E4" w:rsidRPr="00D768EF" w:rsidRDefault="00C175E4" w:rsidP="002C1E29">
      <w:pPr>
        <w:keepNext/>
        <w:rPr>
          <w:b/>
          <w:i/>
          <w:iCs/>
          <w:szCs w:val="22"/>
          <w:lang w:val="sr-Latn-ME"/>
        </w:rPr>
      </w:pPr>
      <w:r w:rsidRPr="00D768EF">
        <w:rPr>
          <w:b/>
          <w:i/>
          <w:iCs/>
          <w:szCs w:val="22"/>
          <w:lang w:val="sr-Latn-ME"/>
        </w:rPr>
        <w:t>Pedijatrijska populacija</w:t>
      </w:r>
    </w:p>
    <w:p w14:paraId="0F8FFFE0" w14:textId="77777777" w:rsidR="00C175E4" w:rsidRPr="00D768EF" w:rsidRDefault="00C175E4" w:rsidP="002C1E29">
      <w:pPr>
        <w:keepNext/>
        <w:rPr>
          <w:color w:val="000000"/>
          <w:szCs w:val="22"/>
          <w:u w:val="single"/>
          <w:lang w:val="sr-Latn-ME"/>
        </w:rPr>
      </w:pPr>
    </w:p>
    <w:p w14:paraId="2257EB26" w14:textId="77777777" w:rsidR="00C175E4" w:rsidRPr="00D768EF" w:rsidRDefault="00C175E4" w:rsidP="00C175E4">
      <w:pPr>
        <w:rPr>
          <w:color w:val="000000"/>
          <w:szCs w:val="22"/>
          <w:lang w:val="sr-Latn-ME"/>
        </w:rPr>
      </w:pPr>
      <w:r w:rsidRPr="00D768EF">
        <w:rPr>
          <w:color w:val="000000"/>
          <w:szCs w:val="22"/>
          <w:u w:val="single"/>
          <w:lang w:val="sr-Latn-ME"/>
        </w:rPr>
        <w:t>Pacijenti sa juvenilnim reumatoidnim artritisom</w:t>
      </w:r>
      <w:r w:rsidRPr="00D768EF">
        <w:rPr>
          <w:color w:val="000000"/>
          <w:szCs w:val="22"/>
          <w:lang w:val="sr-Latn-ME"/>
        </w:rPr>
        <w:t xml:space="preserve"> </w:t>
      </w:r>
    </w:p>
    <w:p w14:paraId="21E4E22E" w14:textId="6560C841" w:rsidR="00C175E4" w:rsidRPr="00D768EF" w:rsidRDefault="00C175E4" w:rsidP="00C175E4">
      <w:pPr>
        <w:rPr>
          <w:color w:val="000000"/>
          <w:szCs w:val="22"/>
          <w:lang w:val="sr-Latn-ME"/>
        </w:rPr>
      </w:pPr>
      <w:r w:rsidRPr="00D768EF">
        <w:rPr>
          <w:color w:val="000000"/>
          <w:szCs w:val="22"/>
          <w:lang w:val="sr-Latn-ME"/>
        </w:rPr>
        <w:t xml:space="preserve">Infliksimab je proučavan u kliničkoj studiji </w:t>
      </w:r>
      <w:r w:rsidR="00833505" w:rsidRPr="00D768EF">
        <w:rPr>
          <w:color w:val="000000"/>
          <w:szCs w:val="22"/>
          <w:lang w:val="sr-Latn-ME"/>
        </w:rPr>
        <w:t>kod</w:t>
      </w:r>
      <w:r w:rsidRPr="00D768EF">
        <w:rPr>
          <w:color w:val="000000"/>
          <w:szCs w:val="22"/>
          <w:lang w:val="sr-Latn-ME"/>
        </w:rPr>
        <w:t xml:space="preserve"> 120 pacijenata (uzrast: 4-17 godina) sa aktivnim juvenilnim reumatoidnim artritisom koji nisu reagovali na terapiju metotreksatom. Pacijenti su kao uvodnu terapiju primili 3 doze infliksimaba u dozi od 3 mg/kg (u 0., 2. i 6. </w:t>
      </w:r>
      <w:r w:rsidR="00D57936" w:rsidRPr="00D768EF">
        <w:rPr>
          <w:color w:val="000000"/>
          <w:szCs w:val="22"/>
          <w:lang w:val="sr-Latn-ME"/>
        </w:rPr>
        <w:t>nedjelj</w:t>
      </w:r>
      <w:r w:rsidRPr="00D768EF">
        <w:rPr>
          <w:color w:val="000000"/>
          <w:szCs w:val="22"/>
          <w:lang w:val="sr-Latn-ME"/>
        </w:rPr>
        <w:t xml:space="preserve">i) ili 6 mg/kg (u 14., 16. i 20. </w:t>
      </w:r>
      <w:r w:rsidR="00D57936" w:rsidRPr="00D768EF">
        <w:rPr>
          <w:color w:val="000000"/>
          <w:szCs w:val="22"/>
          <w:lang w:val="sr-Latn-ME"/>
        </w:rPr>
        <w:t>nedjelj</w:t>
      </w:r>
      <w:r w:rsidRPr="00D768EF">
        <w:rPr>
          <w:color w:val="000000"/>
          <w:szCs w:val="22"/>
          <w:lang w:val="sr-Latn-ME"/>
        </w:rPr>
        <w:t>i), a posl</w:t>
      </w:r>
      <w:r w:rsidR="00CF5D59">
        <w:rPr>
          <w:color w:val="000000"/>
          <w:szCs w:val="22"/>
          <w:lang w:val="sr-Latn-ME"/>
        </w:rPr>
        <w:t>ij</w:t>
      </w:r>
      <w:r w:rsidRPr="00D768EF">
        <w:rPr>
          <w:color w:val="000000"/>
          <w:szCs w:val="22"/>
          <w:lang w:val="sr-Latn-ME"/>
        </w:rPr>
        <w:t xml:space="preserve">e toga terapiju održavanja svakih 8 </w:t>
      </w:r>
      <w:r w:rsidR="00D57936" w:rsidRPr="00D768EF">
        <w:rPr>
          <w:color w:val="000000"/>
          <w:szCs w:val="22"/>
          <w:lang w:val="sr-Latn-ME"/>
        </w:rPr>
        <w:t>nedjelj</w:t>
      </w:r>
      <w:r w:rsidRPr="00D768EF">
        <w:rPr>
          <w:color w:val="000000"/>
          <w:szCs w:val="22"/>
          <w:lang w:val="sr-Latn-ME"/>
        </w:rPr>
        <w:t>a, u kombinaciji sa metotreksatom.</w:t>
      </w:r>
    </w:p>
    <w:p w14:paraId="64C5BC3A" w14:textId="77777777" w:rsidR="00C175E4" w:rsidRPr="00D768EF" w:rsidRDefault="00C175E4" w:rsidP="00C175E4">
      <w:pPr>
        <w:rPr>
          <w:bCs/>
          <w:color w:val="000000"/>
          <w:szCs w:val="22"/>
          <w:lang w:val="sr-Latn-ME"/>
        </w:rPr>
      </w:pPr>
    </w:p>
    <w:p w14:paraId="10D2DBC8" w14:textId="77777777" w:rsidR="00C175E4" w:rsidRPr="00D768EF" w:rsidRDefault="00C175E4" w:rsidP="00C175E4">
      <w:pPr>
        <w:rPr>
          <w:i/>
          <w:szCs w:val="22"/>
          <w:lang w:val="sr-Latn-ME"/>
        </w:rPr>
      </w:pPr>
      <w:r w:rsidRPr="00D768EF">
        <w:rPr>
          <w:i/>
          <w:szCs w:val="22"/>
          <w:lang w:val="sr-Latn-ME"/>
        </w:rPr>
        <w:t>Reakcije na infuziju</w:t>
      </w:r>
    </w:p>
    <w:p w14:paraId="044651EA" w14:textId="0773534A" w:rsidR="00C175E4" w:rsidRPr="00D768EF" w:rsidRDefault="00C175E4" w:rsidP="00C175E4">
      <w:pPr>
        <w:rPr>
          <w:color w:val="000000"/>
          <w:szCs w:val="22"/>
          <w:lang w:val="sr-Latn-ME"/>
        </w:rPr>
      </w:pPr>
      <w:r w:rsidRPr="00D768EF">
        <w:rPr>
          <w:color w:val="000000"/>
          <w:szCs w:val="22"/>
          <w:lang w:val="sr-Latn-ME"/>
        </w:rPr>
        <w:t>Reakcije na infuziju javile su se kod 35 % pacijenata sa juvenilnim reumatoidnim artritisom koji su primali 3 mg/kg infliksimaba u poređenju sa 17,5% pacijenata koji su primali 6 mg/kg. U grupi koja je primala 3 mg/kg infliksimaba, 4 od 60 pacijenata imalo je ozbiljne reakcije na infuziju dok je kod 3 pacijenta prijavljena moguća anafilaktička reakcija (od kojih su 2 imale ozbiljne reakcije na infuziju). U grupi koja je primala 6 mg/kg, 2 od 57 pacijenata imalo je teške reakcije na infuziju, od kojih je jedan pacijent imao moguću anafilaktičku reakciju</w:t>
      </w:r>
      <w:r w:rsidRPr="00D768EF">
        <w:rPr>
          <w:iCs/>
          <w:szCs w:val="22"/>
          <w:lang w:val="sr-Latn-ME"/>
        </w:rPr>
        <w:t xml:space="preserve"> (</w:t>
      </w:r>
      <w:r w:rsidR="00282A1E" w:rsidRPr="00D768EF">
        <w:rPr>
          <w:iCs/>
          <w:szCs w:val="22"/>
          <w:lang w:val="sr-Latn-ME"/>
        </w:rPr>
        <w:t>vidjeti</w:t>
      </w:r>
      <w:r w:rsidRPr="00D768EF">
        <w:rPr>
          <w:iCs/>
          <w:szCs w:val="22"/>
          <w:lang w:val="sr-Latn-ME"/>
        </w:rPr>
        <w:t xml:space="preserve"> </w:t>
      </w:r>
      <w:r w:rsidR="00454E9F" w:rsidRPr="00D768EF">
        <w:rPr>
          <w:iCs/>
          <w:szCs w:val="22"/>
          <w:lang w:val="sr-Latn-ME"/>
        </w:rPr>
        <w:t>dio</w:t>
      </w:r>
      <w:r w:rsidRPr="00D768EF">
        <w:rPr>
          <w:iCs/>
          <w:szCs w:val="22"/>
          <w:lang w:val="sr-Latn-ME"/>
        </w:rPr>
        <w:t xml:space="preserve"> 4.4).</w:t>
      </w:r>
      <w:r w:rsidRPr="00D768EF">
        <w:rPr>
          <w:color w:val="000000"/>
          <w:szCs w:val="22"/>
          <w:lang w:val="sr-Latn-ME"/>
        </w:rPr>
        <w:t xml:space="preserve"> </w:t>
      </w:r>
    </w:p>
    <w:p w14:paraId="18C131B6" w14:textId="15FC34B8" w:rsidR="00C175E4" w:rsidRDefault="00C175E4" w:rsidP="00C175E4">
      <w:pPr>
        <w:rPr>
          <w:bCs/>
          <w:color w:val="000000"/>
          <w:szCs w:val="22"/>
          <w:lang w:val="sr-Latn-ME"/>
        </w:rPr>
      </w:pPr>
    </w:p>
    <w:p w14:paraId="077F2707" w14:textId="77777777" w:rsidR="00DA6A33" w:rsidRPr="00D768EF" w:rsidRDefault="00DA6A33" w:rsidP="00C175E4">
      <w:pPr>
        <w:rPr>
          <w:bCs/>
          <w:color w:val="000000"/>
          <w:szCs w:val="22"/>
          <w:lang w:val="sr-Latn-ME"/>
        </w:rPr>
      </w:pPr>
    </w:p>
    <w:p w14:paraId="469CD355" w14:textId="77777777" w:rsidR="00C175E4" w:rsidRPr="00D768EF" w:rsidRDefault="00C175E4" w:rsidP="00C175E4">
      <w:pPr>
        <w:rPr>
          <w:bCs/>
          <w:i/>
          <w:szCs w:val="22"/>
          <w:lang w:val="sr-Latn-ME"/>
        </w:rPr>
      </w:pPr>
      <w:r w:rsidRPr="00D768EF">
        <w:rPr>
          <w:i/>
          <w:szCs w:val="22"/>
          <w:lang w:val="sr-Latn-ME"/>
        </w:rPr>
        <w:lastRenderedPageBreak/>
        <w:t>Imunogenost</w:t>
      </w:r>
    </w:p>
    <w:p w14:paraId="096430E9" w14:textId="77777777" w:rsidR="00C175E4" w:rsidRPr="00D768EF" w:rsidRDefault="00220982" w:rsidP="00C175E4">
      <w:pPr>
        <w:rPr>
          <w:bCs/>
          <w:color w:val="000000"/>
          <w:szCs w:val="22"/>
          <w:lang w:val="sr-Latn-ME"/>
        </w:rPr>
      </w:pPr>
      <w:r w:rsidRPr="00D768EF">
        <w:rPr>
          <w:bCs/>
          <w:color w:val="000000"/>
          <w:szCs w:val="22"/>
          <w:lang w:val="sr-Latn-ME"/>
        </w:rPr>
        <w:t>Antitijel</w:t>
      </w:r>
      <w:r w:rsidR="00C175E4" w:rsidRPr="00D768EF">
        <w:rPr>
          <w:bCs/>
          <w:color w:val="000000"/>
          <w:szCs w:val="22"/>
          <w:lang w:val="sr-Latn-ME"/>
        </w:rPr>
        <w:t xml:space="preserve">a na infliksimab razvila su se kod 38 % pacijenata koji su primali 3 mg/kg u poređenju sa 12% pacijenata koji su primali 6 mg/kg. Titri </w:t>
      </w:r>
      <w:r w:rsidRPr="00D768EF">
        <w:rPr>
          <w:bCs/>
          <w:color w:val="000000"/>
          <w:szCs w:val="22"/>
          <w:lang w:val="sr-Latn-ME"/>
        </w:rPr>
        <w:t>antitijel</w:t>
      </w:r>
      <w:r w:rsidR="00C175E4" w:rsidRPr="00D768EF">
        <w:rPr>
          <w:bCs/>
          <w:color w:val="000000"/>
          <w:szCs w:val="22"/>
          <w:lang w:val="sr-Latn-ME"/>
        </w:rPr>
        <w:t>a bili su znatno veći u grupi koja je primala dozu od 3 mg/kg u poređenju sa grupom koja je primala dozu od 6 mg/kg.</w:t>
      </w:r>
    </w:p>
    <w:p w14:paraId="63B503A1" w14:textId="6E4F04EA" w:rsidR="00C175E4" w:rsidRPr="00D768EF" w:rsidRDefault="00C175E4" w:rsidP="00C175E4">
      <w:pPr>
        <w:rPr>
          <w:color w:val="000000"/>
          <w:szCs w:val="22"/>
          <w:lang w:val="sr-Latn-ME"/>
        </w:rPr>
      </w:pPr>
    </w:p>
    <w:p w14:paraId="32591F0A" w14:textId="77777777" w:rsidR="00C175E4" w:rsidRPr="00D768EF" w:rsidRDefault="00C175E4" w:rsidP="00C175E4">
      <w:pPr>
        <w:rPr>
          <w:bCs/>
          <w:i/>
          <w:color w:val="000000"/>
          <w:szCs w:val="22"/>
          <w:lang w:val="sr-Latn-ME"/>
        </w:rPr>
      </w:pPr>
      <w:r w:rsidRPr="00D768EF">
        <w:rPr>
          <w:bCs/>
          <w:i/>
          <w:color w:val="000000"/>
          <w:szCs w:val="22"/>
          <w:lang w:val="sr-Latn-ME"/>
        </w:rPr>
        <w:t>Infekcije</w:t>
      </w:r>
    </w:p>
    <w:p w14:paraId="20089D86" w14:textId="076EEFA6" w:rsidR="00C175E4" w:rsidRPr="00D768EF" w:rsidRDefault="00C175E4" w:rsidP="00C175E4">
      <w:pPr>
        <w:rPr>
          <w:b/>
          <w:color w:val="000000"/>
          <w:szCs w:val="22"/>
          <w:lang w:val="sr-Latn-ME"/>
        </w:rPr>
      </w:pPr>
      <w:r w:rsidRPr="00D768EF">
        <w:rPr>
          <w:bCs/>
          <w:color w:val="000000"/>
          <w:szCs w:val="22"/>
          <w:lang w:val="sr-Latn-ME"/>
        </w:rPr>
        <w:t xml:space="preserve">Infekcije su se javile kod 68% (41/60) </w:t>
      </w:r>
      <w:r w:rsidR="00220982" w:rsidRPr="00D768EF">
        <w:rPr>
          <w:bCs/>
          <w:color w:val="000000"/>
          <w:szCs w:val="22"/>
          <w:lang w:val="sr-Latn-ME"/>
        </w:rPr>
        <w:t>djece</w:t>
      </w:r>
      <w:r w:rsidRPr="00D768EF">
        <w:rPr>
          <w:bCs/>
          <w:color w:val="000000"/>
          <w:szCs w:val="22"/>
          <w:lang w:val="sr-Latn-ME"/>
        </w:rPr>
        <w:t xml:space="preserve"> koja su primala 3 mg/kg infliksimaba u toku 52 </w:t>
      </w:r>
      <w:r w:rsidR="00D57936" w:rsidRPr="00D768EF">
        <w:rPr>
          <w:bCs/>
          <w:color w:val="000000"/>
          <w:szCs w:val="22"/>
          <w:lang w:val="sr-Latn-ME"/>
        </w:rPr>
        <w:t>nedjelj</w:t>
      </w:r>
      <w:r w:rsidRPr="00D768EF">
        <w:rPr>
          <w:bCs/>
          <w:color w:val="000000"/>
          <w:szCs w:val="22"/>
          <w:lang w:val="sr-Latn-ME"/>
        </w:rPr>
        <w:t xml:space="preserve">e, kod 65% (37/57) </w:t>
      </w:r>
      <w:r w:rsidR="00220982" w:rsidRPr="00D768EF">
        <w:rPr>
          <w:bCs/>
          <w:color w:val="000000"/>
          <w:szCs w:val="22"/>
          <w:lang w:val="sr-Latn-ME"/>
        </w:rPr>
        <w:t>djece</w:t>
      </w:r>
      <w:r w:rsidRPr="00D768EF">
        <w:rPr>
          <w:bCs/>
          <w:color w:val="000000"/>
          <w:szCs w:val="22"/>
          <w:lang w:val="sr-Latn-ME"/>
        </w:rPr>
        <w:t xml:space="preserve"> koja su primala 6 mg/kg infliksimaba u toku 38 </w:t>
      </w:r>
      <w:r w:rsidR="00D57936" w:rsidRPr="00D768EF">
        <w:rPr>
          <w:bCs/>
          <w:color w:val="000000"/>
          <w:szCs w:val="22"/>
          <w:lang w:val="sr-Latn-ME"/>
        </w:rPr>
        <w:t>nedjelj</w:t>
      </w:r>
      <w:r w:rsidRPr="00D768EF">
        <w:rPr>
          <w:bCs/>
          <w:color w:val="000000"/>
          <w:szCs w:val="22"/>
          <w:lang w:val="sr-Latn-ME"/>
        </w:rPr>
        <w:t xml:space="preserve">a i kod 47% (28/60) </w:t>
      </w:r>
      <w:r w:rsidR="00220982" w:rsidRPr="00D768EF">
        <w:rPr>
          <w:bCs/>
          <w:color w:val="000000"/>
          <w:szCs w:val="22"/>
          <w:lang w:val="sr-Latn-ME"/>
        </w:rPr>
        <w:t>djece</w:t>
      </w:r>
      <w:r w:rsidRPr="00D768EF">
        <w:rPr>
          <w:bCs/>
          <w:color w:val="000000"/>
          <w:szCs w:val="22"/>
          <w:lang w:val="sr-Latn-ME"/>
        </w:rPr>
        <w:t xml:space="preserve"> koja su primala placebo u toku 14 </w:t>
      </w:r>
      <w:r w:rsidR="00D57936" w:rsidRPr="00D768EF">
        <w:rPr>
          <w:bCs/>
          <w:color w:val="000000"/>
          <w:szCs w:val="22"/>
          <w:lang w:val="sr-Latn-ME"/>
        </w:rPr>
        <w:t>nedjelj</w:t>
      </w:r>
      <w:r w:rsidRPr="00D768EF">
        <w:rPr>
          <w:bCs/>
          <w:color w:val="000000"/>
          <w:szCs w:val="22"/>
          <w:lang w:val="sr-Latn-ME"/>
        </w:rPr>
        <w:t xml:space="preserve">a </w:t>
      </w:r>
      <w:r w:rsidRPr="00D768EF">
        <w:rPr>
          <w:iCs/>
          <w:szCs w:val="22"/>
          <w:lang w:val="sr-Latn-ME"/>
        </w:rPr>
        <w:t>(</w:t>
      </w:r>
      <w:r w:rsidR="00282A1E" w:rsidRPr="00D768EF">
        <w:rPr>
          <w:iCs/>
          <w:szCs w:val="22"/>
          <w:lang w:val="sr-Latn-ME"/>
        </w:rPr>
        <w:t>vidjeti</w:t>
      </w:r>
      <w:r w:rsidRPr="00D768EF">
        <w:rPr>
          <w:iCs/>
          <w:szCs w:val="22"/>
          <w:lang w:val="sr-Latn-ME"/>
        </w:rPr>
        <w:t xml:space="preserve"> </w:t>
      </w:r>
      <w:r w:rsidR="00454E9F" w:rsidRPr="00D768EF">
        <w:rPr>
          <w:iCs/>
          <w:szCs w:val="22"/>
          <w:lang w:val="sr-Latn-ME"/>
        </w:rPr>
        <w:t>dio</w:t>
      </w:r>
      <w:r w:rsidRPr="00D768EF">
        <w:rPr>
          <w:iCs/>
          <w:szCs w:val="22"/>
          <w:lang w:val="sr-Latn-ME"/>
        </w:rPr>
        <w:t xml:space="preserve"> 4.4).</w:t>
      </w:r>
      <w:r w:rsidRPr="00D768EF">
        <w:rPr>
          <w:bCs/>
          <w:color w:val="000000"/>
          <w:szCs w:val="22"/>
          <w:lang w:val="sr-Latn-ME"/>
        </w:rPr>
        <w:t xml:space="preserve"> </w:t>
      </w:r>
    </w:p>
    <w:p w14:paraId="058FDDD2" w14:textId="77777777" w:rsidR="00C175E4" w:rsidRPr="00D768EF" w:rsidRDefault="00C175E4" w:rsidP="00C175E4">
      <w:pPr>
        <w:tabs>
          <w:tab w:val="left" w:pos="567"/>
        </w:tabs>
        <w:outlineLvl w:val="0"/>
        <w:rPr>
          <w:b/>
          <w:color w:val="000000"/>
          <w:szCs w:val="22"/>
          <w:lang w:val="sr-Latn-ME"/>
        </w:rPr>
      </w:pPr>
    </w:p>
    <w:p w14:paraId="7B3D8758" w14:textId="77777777" w:rsidR="00C175E4" w:rsidRPr="00D768EF" w:rsidRDefault="00C175E4" w:rsidP="00C175E4">
      <w:pPr>
        <w:rPr>
          <w:i/>
          <w:szCs w:val="22"/>
          <w:u w:val="single"/>
          <w:lang w:val="sr-Latn-ME"/>
        </w:rPr>
      </w:pPr>
      <w:r w:rsidRPr="00D768EF">
        <w:rPr>
          <w:i/>
          <w:szCs w:val="22"/>
          <w:u w:val="single"/>
          <w:lang w:val="sr-Latn-ME"/>
        </w:rPr>
        <w:t>Pedijatrijski pacijenti sa Kronovom bolešću</w:t>
      </w:r>
    </w:p>
    <w:p w14:paraId="027E34CE" w14:textId="481D38AC" w:rsidR="00C175E4" w:rsidRPr="00D768EF" w:rsidRDefault="00454E9F" w:rsidP="00C175E4">
      <w:pPr>
        <w:rPr>
          <w:color w:val="000000"/>
          <w:szCs w:val="22"/>
          <w:lang w:val="sr-Latn-ME"/>
        </w:rPr>
      </w:pPr>
      <w:r w:rsidRPr="00D768EF">
        <w:rPr>
          <w:color w:val="000000"/>
          <w:szCs w:val="22"/>
          <w:lang w:val="sr-Latn-ME"/>
        </w:rPr>
        <w:t>Sled</w:t>
      </w:r>
      <w:r w:rsidR="00830369" w:rsidRPr="00D768EF">
        <w:rPr>
          <w:color w:val="000000"/>
          <w:szCs w:val="22"/>
          <w:lang w:val="sr-Latn-ME"/>
        </w:rPr>
        <w:t>e</w:t>
      </w:r>
      <w:r w:rsidR="00C175E4" w:rsidRPr="00D768EF">
        <w:rPr>
          <w:color w:val="000000"/>
          <w:szCs w:val="22"/>
          <w:lang w:val="sr-Latn-ME"/>
        </w:rPr>
        <w:t>ć</w:t>
      </w:r>
      <w:r w:rsidR="00D75020" w:rsidRPr="00D768EF">
        <w:rPr>
          <w:color w:val="000000"/>
          <w:szCs w:val="22"/>
          <w:lang w:val="sr-Latn-ME"/>
        </w:rPr>
        <w:t>e</w:t>
      </w:r>
      <w:r w:rsidR="00C175E4" w:rsidRPr="00D768EF">
        <w:rPr>
          <w:color w:val="000000"/>
          <w:szCs w:val="22"/>
          <w:lang w:val="sr-Latn-ME"/>
        </w:rPr>
        <w:t xml:space="preserve"> neželjen</w:t>
      </w:r>
      <w:r w:rsidR="00D75020" w:rsidRPr="00D768EF">
        <w:rPr>
          <w:color w:val="000000"/>
          <w:szCs w:val="22"/>
          <w:lang w:val="sr-Latn-ME"/>
        </w:rPr>
        <w:t>e</w:t>
      </w:r>
      <w:r w:rsidR="00C175E4" w:rsidRPr="00D768EF">
        <w:rPr>
          <w:color w:val="000000"/>
          <w:szCs w:val="22"/>
          <w:lang w:val="sr-Latn-ME"/>
        </w:rPr>
        <w:t xml:space="preserve"> </w:t>
      </w:r>
      <w:r w:rsidR="00D75020" w:rsidRPr="00D768EF">
        <w:rPr>
          <w:color w:val="000000"/>
          <w:szCs w:val="22"/>
          <w:lang w:val="sr-Latn-ME"/>
        </w:rPr>
        <w:t xml:space="preserve">reakcije </w:t>
      </w:r>
      <w:r w:rsidR="00C175E4" w:rsidRPr="00D768EF">
        <w:rPr>
          <w:color w:val="000000"/>
          <w:szCs w:val="22"/>
          <w:lang w:val="sr-Latn-ME"/>
        </w:rPr>
        <w:t>prijavljen</w:t>
      </w:r>
      <w:r w:rsidR="00D75020" w:rsidRPr="00D768EF">
        <w:rPr>
          <w:color w:val="000000"/>
          <w:szCs w:val="22"/>
          <w:lang w:val="sr-Latn-ME"/>
        </w:rPr>
        <w:t>e</w:t>
      </w:r>
      <w:r w:rsidR="00C175E4" w:rsidRPr="00D768EF">
        <w:rPr>
          <w:color w:val="000000"/>
          <w:szCs w:val="22"/>
          <w:lang w:val="sr-Latn-ME"/>
        </w:rPr>
        <w:t xml:space="preserve"> su češće kod pedijatrijskih pacijenata </w:t>
      </w:r>
      <w:r w:rsidR="00C175E4" w:rsidRPr="00D768EF">
        <w:rPr>
          <w:szCs w:val="22"/>
          <w:lang w:val="sr-Latn-ME"/>
        </w:rPr>
        <w:t>sa Kronovom bolešću</w:t>
      </w:r>
      <w:r w:rsidR="00C175E4" w:rsidRPr="00D768EF">
        <w:rPr>
          <w:color w:val="000000"/>
          <w:szCs w:val="22"/>
          <w:lang w:val="sr-Latn-ME"/>
        </w:rPr>
        <w:t xml:space="preserve"> uključenih u REACH studiju (</w:t>
      </w:r>
      <w:r w:rsidR="00282A1E" w:rsidRPr="00D768EF">
        <w:rPr>
          <w:color w:val="000000"/>
          <w:szCs w:val="22"/>
          <w:lang w:val="sr-Latn-ME"/>
        </w:rPr>
        <w:t>vidjeti</w:t>
      </w:r>
      <w:r w:rsidR="00C175E4" w:rsidRPr="00D768EF">
        <w:rPr>
          <w:color w:val="000000"/>
          <w:szCs w:val="22"/>
          <w:lang w:val="sr-Latn-ME"/>
        </w:rPr>
        <w:t xml:space="preserve"> </w:t>
      </w:r>
      <w:r w:rsidRPr="00D768EF">
        <w:rPr>
          <w:color w:val="000000"/>
          <w:szCs w:val="22"/>
          <w:lang w:val="sr-Latn-ME"/>
        </w:rPr>
        <w:t>dio</w:t>
      </w:r>
      <w:r w:rsidR="00C175E4" w:rsidRPr="00D768EF">
        <w:rPr>
          <w:color w:val="000000"/>
          <w:szCs w:val="22"/>
          <w:lang w:val="sr-Latn-ME"/>
        </w:rPr>
        <w:t xml:space="preserve"> 5.1) nego kod odraslih pacijenata </w:t>
      </w:r>
      <w:r w:rsidR="00C175E4" w:rsidRPr="00D768EF">
        <w:rPr>
          <w:szCs w:val="22"/>
          <w:lang w:val="sr-Latn-ME"/>
        </w:rPr>
        <w:t>sa Kronovom bolešću</w:t>
      </w:r>
      <w:r w:rsidR="00C175E4" w:rsidRPr="00D768EF">
        <w:rPr>
          <w:color w:val="000000"/>
          <w:szCs w:val="22"/>
          <w:lang w:val="sr-Latn-ME"/>
        </w:rPr>
        <w:t xml:space="preserve">: anemija (10,7%), krv u stolici (9,7%), leukopenija (8,7%), crvenilo (8,7%), virusna infekcija (7,8%), neutropenija (6,8%), bakterijska infekcija (5,8%) i alergijska reakcija respiratornog trakta (5,8%). </w:t>
      </w:r>
      <w:r w:rsidR="00D75020" w:rsidRPr="00D768EF">
        <w:rPr>
          <w:color w:val="000000"/>
          <w:szCs w:val="22"/>
          <w:lang w:val="sr-Latn-ME"/>
        </w:rPr>
        <w:t xml:space="preserve">Takođe, prijavljen je i prelom kosti (6,8%), međutim </w:t>
      </w:r>
      <w:r w:rsidR="006C7B4E" w:rsidRPr="00D768EF">
        <w:rPr>
          <w:color w:val="000000"/>
          <w:szCs w:val="22"/>
          <w:lang w:val="sr-Latn-ME"/>
        </w:rPr>
        <w:t xml:space="preserve">nije ustanovljena uzročna veza. </w:t>
      </w:r>
      <w:r w:rsidR="00C175E4" w:rsidRPr="00D768EF">
        <w:rPr>
          <w:color w:val="000000"/>
          <w:szCs w:val="22"/>
          <w:lang w:val="sr-Latn-ME"/>
        </w:rPr>
        <w:t>Ostale posebne napomene navedene su u tekstu koji sl</w:t>
      </w:r>
      <w:r w:rsidR="00830369" w:rsidRPr="00D768EF">
        <w:rPr>
          <w:color w:val="000000"/>
          <w:szCs w:val="22"/>
          <w:lang w:val="sr-Latn-ME"/>
        </w:rPr>
        <w:t>ij</w:t>
      </w:r>
      <w:r w:rsidR="00C175E4" w:rsidRPr="00D768EF">
        <w:rPr>
          <w:color w:val="000000"/>
          <w:szCs w:val="22"/>
          <w:lang w:val="sr-Latn-ME"/>
        </w:rPr>
        <w:t>edi.</w:t>
      </w:r>
    </w:p>
    <w:p w14:paraId="3EBC83CD" w14:textId="77777777" w:rsidR="00C175E4" w:rsidRPr="00D768EF" w:rsidRDefault="00C175E4" w:rsidP="00C175E4">
      <w:pPr>
        <w:rPr>
          <w:color w:val="000000"/>
          <w:szCs w:val="22"/>
          <w:lang w:val="sr-Latn-ME"/>
        </w:rPr>
      </w:pPr>
    </w:p>
    <w:p w14:paraId="61191575" w14:textId="77777777" w:rsidR="00C175E4" w:rsidRPr="00D768EF" w:rsidRDefault="00C175E4" w:rsidP="00C175E4">
      <w:pPr>
        <w:rPr>
          <w:i/>
          <w:szCs w:val="22"/>
          <w:u w:val="single"/>
          <w:lang w:val="sr-Latn-ME"/>
        </w:rPr>
      </w:pPr>
      <w:r w:rsidRPr="00D768EF">
        <w:rPr>
          <w:i/>
          <w:szCs w:val="22"/>
          <w:lang w:val="sr-Latn-ME"/>
        </w:rPr>
        <w:t>Reakcije vezane za infuziju</w:t>
      </w:r>
    </w:p>
    <w:p w14:paraId="1A590D03" w14:textId="2C7821D8" w:rsidR="00C175E4" w:rsidRPr="00D768EF" w:rsidRDefault="00C175E4" w:rsidP="00C175E4">
      <w:pPr>
        <w:rPr>
          <w:color w:val="000000"/>
          <w:szCs w:val="22"/>
          <w:lang w:val="sr-Latn-ME"/>
        </w:rPr>
      </w:pPr>
      <w:r w:rsidRPr="00D768EF">
        <w:rPr>
          <w:color w:val="000000"/>
          <w:szCs w:val="22"/>
          <w:lang w:val="sr-Latn-ME"/>
        </w:rPr>
        <w:t>U REACH studiji, 17,5% randomizovanih pacijenata imalo je 1 ili više reakcija na infuziju. Nije bilo ozbiljnih reakcija na infuziju, a 2 ispitanika u REACH studiji imalo je anafilaktičke reakcije koje nisu bile ozbiljne.</w:t>
      </w:r>
    </w:p>
    <w:p w14:paraId="6554E7F5" w14:textId="77777777" w:rsidR="00C175E4" w:rsidRPr="00D768EF" w:rsidRDefault="00C175E4" w:rsidP="00C175E4">
      <w:pPr>
        <w:rPr>
          <w:color w:val="000000"/>
          <w:szCs w:val="22"/>
          <w:lang w:val="sr-Latn-ME"/>
        </w:rPr>
      </w:pPr>
    </w:p>
    <w:p w14:paraId="055380DE" w14:textId="77777777" w:rsidR="00C175E4" w:rsidRPr="00D768EF" w:rsidRDefault="00C175E4" w:rsidP="00C175E4">
      <w:pPr>
        <w:rPr>
          <w:i/>
          <w:szCs w:val="22"/>
          <w:lang w:val="sr-Latn-ME"/>
        </w:rPr>
      </w:pPr>
      <w:r w:rsidRPr="00D768EF">
        <w:rPr>
          <w:i/>
          <w:szCs w:val="22"/>
          <w:lang w:val="sr-Latn-ME"/>
        </w:rPr>
        <w:t>Imunogenost</w:t>
      </w:r>
    </w:p>
    <w:p w14:paraId="6F837679" w14:textId="17B727D3" w:rsidR="00C175E4" w:rsidRPr="00D768EF" w:rsidRDefault="00220982" w:rsidP="00C175E4">
      <w:pPr>
        <w:rPr>
          <w:color w:val="000000"/>
          <w:szCs w:val="22"/>
          <w:lang w:val="sr-Latn-ME"/>
        </w:rPr>
      </w:pPr>
      <w:r w:rsidRPr="00D768EF">
        <w:rPr>
          <w:color w:val="000000"/>
          <w:szCs w:val="22"/>
          <w:lang w:val="sr-Latn-ME"/>
        </w:rPr>
        <w:t>Antitijel</w:t>
      </w:r>
      <w:r w:rsidR="00C175E4" w:rsidRPr="00D768EF">
        <w:rPr>
          <w:color w:val="000000"/>
          <w:szCs w:val="22"/>
          <w:lang w:val="sr-Latn-ME"/>
        </w:rPr>
        <w:t>a na infliksimab su otkrivena kod 3 (2,9%) pedijatrijska pacijenta.</w:t>
      </w:r>
    </w:p>
    <w:p w14:paraId="2164F825" w14:textId="77777777" w:rsidR="00C175E4" w:rsidRPr="00D768EF" w:rsidRDefault="00C175E4" w:rsidP="00C175E4">
      <w:pPr>
        <w:rPr>
          <w:color w:val="000000"/>
          <w:szCs w:val="22"/>
          <w:lang w:val="sr-Latn-ME"/>
        </w:rPr>
      </w:pPr>
    </w:p>
    <w:p w14:paraId="39906468" w14:textId="77777777" w:rsidR="00C175E4" w:rsidRPr="00D768EF" w:rsidRDefault="00C175E4" w:rsidP="00C175E4">
      <w:pPr>
        <w:keepNext/>
        <w:widowControl w:val="0"/>
        <w:rPr>
          <w:i/>
          <w:szCs w:val="22"/>
          <w:lang w:val="sr-Latn-ME"/>
        </w:rPr>
      </w:pPr>
      <w:r w:rsidRPr="00D768EF">
        <w:rPr>
          <w:i/>
          <w:szCs w:val="22"/>
          <w:lang w:val="sr-Latn-ME"/>
        </w:rPr>
        <w:t>Infekcije</w:t>
      </w:r>
    </w:p>
    <w:p w14:paraId="7368AFC3" w14:textId="65635F7F" w:rsidR="00C175E4" w:rsidRPr="00D768EF" w:rsidRDefault="00C175E4" w:rsidP="00C175E4">
      <w:pPr>
        <w:keepNext/>
        <w:widowControl w:val="0"/>
        <w:tabs>
          <w:tab w:val="left" w:pos="567"/>
        </w:tabs>
        <w:outlineLvl w:val="0"/>
        <w:rPr>
          <w:color w:val="000000"/>
          <w:szCs w:val="22"/>
          <w:lang w:val="sr-Latn-ME"/>
        </w:rPr>
      </w:pPr>
      <w:r w:rsidRPr="00D768EF">
        <w:rPr>
          <w:color w:val="000000"/>
          <w:szCs w:val="22"/>
          <w:lang w:val="sr-Latn-ME"/>
        </w:rPr>
        <w:t xml:space="preserve">U REACH studiji, infekcije su prijavljene kod 56,3% randomizovanih ispitanika koji su primali infliksimab. Infekcije su prijavljene češće kod ispitanika koji su primali infuzije svakih 8 </w:t>
      </w:r>
      <w:r w:rsidR="00D57936" w:rsidRPr="00D768EF">
        <w:rPr>
          <w:color w:val="000000"/>
          <w:szCs w:val="22"/>
          <w:lang w:val="sr-Latn-ME"/>
        </w:rPr>
        <w:t>nedjelj</w:t>
      </w:r>
      <w:r w:rsidRPr="00D768EF">
        <w:rPr>
          <w:color w:val="000000"/>
          <w:szCs w:val="22"/>
          <w:lang w:val="sr-Latn-ME"/>
        </w:rPr>
        <w:t xml:space="preserve">a (73,6%), nego kod onih koji su primali svakih 12 </w:t>
      </w:r>
      <w:r w:rsidR="00D57936" w:rsidRPr="00D768EF">
        <w:rPr>
          <w:color w:val="000000"/>
          <w:szCs w:val="22"/>
          <w:lang w:val="sr-Latn-ME"/>
        </w:rPr>
        <w:t>nedjelj</w:t>
      </w:r>
      <w:r w:rsidRPr="00D768EF">
        <w:rPr>
          <w:color w:val="000000"/>
          <w:szCs w:val="22"/>
          <w:lang w:val="sr-Latn-ME"/>
        </w:rPr>
        <w:t xml:space="preserve">a (38,0%), pri čemu su ozbiljne infekcije prijavljene kod 3 ispitanika koji su terapiju održavanja primali svakih 8 </w:t>
      </w:r>
      <w:r w:rsidR="00D57936" w:rsidRPr="00D768EF">
        <w:rPr>
          <w:color w:val="000000"/>
          <w:szCs w:val="22"/>
          <w:lang w:val="sr-Latn-ME"/>
        </w:rPr>
        <w:t>nedjelj</w:t>
      </w:r>
      <w:r w:rsidRPr="00D768EF">
        <w:rPr>
          <w:color w:val="000000"/>
          <w:szCs w:val="22"/>
          <w:lang w:val="sr-Latn-ME"/>
        </w:rPr>
        <w:t xml:space="preserve">a i kod 4 ispitanika koji su je primali svakih 12 </w:t>
      </w:r>
      <w:r w:rsidR="00D57936" w:rsidRPr="00D768EF">
        <w:rPr>
          <w:color w:val="000000"/>
          <w:szCs w:val="22"/>
          <w:lang w:val="sr-Latn-ME"/>
        </w:rPr>
        <w:t>nedjelj</w:t>
      </w:r>
      <w:r w:rsidRPr="00D768EF">
        <w:rPr>
          <w:color w:val="000000"/>
          <w:szCs w:val="22"/>
          <w:lang w:val="sr-Latn-ME"/>
        </w:rPr>
        <w:t>a. Najčešće prijavljene infekcije bile su infekcije gornjeg respiratornog trakta i upala ždr</w:t>
      </w:r>
      <w:r w:rsidR="00830369" w:rsidRPr="00D768EF">
        <w:rPr>
          <w:color w:val="000000"/>
          <w:szCs w:val="22"/>
          <w:lang w:val="sr-Latn-ME"/>
        </w:rPr>
        <w:t>ij</w:t>
      </w:r>
      <w:r w:rsidRPr="00D768EF">
        <w:rPr>
          <w:color w:val="000000"/>
          <w:szCs w:val="22"/>
          <w:lang w:val="sr-Latn-ME"/>
        </w:rPr>
        <w:t>ela, a najčešće prijavljena ozbiljna infekcija bila je apsces. Prijavljena su i tri slučaja pneumonije (1 ozbiljan) i 2 slučaja herpes zostera (oba nisu ozbiljna).</w:t>
      </w:r>
    </w:p>
    <w:p w14:paraId="122BBEB5" w14:textId="77777777" w:rsidR="00C175E4" w:rsidRPr="00D768EF" w:rsidRDefault="00C175E4" w:rsidP="00C175E4">
      <w:pPr>
        <w:rPr>
          <w:color w:val="000000"/>
          <w:szCs w:val="22"/>
          <w:lang w:val="sr-Latn-ME"/>
        </w:rPr>
      </w:pPr>
    </w:p>
    <w:p w14:paraId="333FEAC4" w14:textId="77777777" w:rsidR="00C175E4" w:rsidRPr="00D768EF" w:rsidRDefault="00C175E4" w:rsidP="00C175E4">
      <w:pPr>
        <w:tabs>
          <w:tab w:val="left" w:pos="567"/>
        </w:tabs>
        <w:outlineLvl w:val="0"/>
        <w:rPr>
          <w:i/>
          <w:color w:val="000000"/>
          <w:szCs w:val="22"/>
          <w:u w:val="single"/>
          <w:lang w:val="sr-Latn-ME"/>
        </w:rPr>
      </w:pPr>
      <w:r w:rsidRPr="00D768EF">
        <w:rPr>
          <w:i/>
          <w:color w:val="000000"/>
          <w:szCs w:val="22"/>
          <w:u w:val="single"/>
          <w:lang w:val="sr-Latn-ME"/>
        </w:rPr>
        <w:t>Pedijatrijski pacijenti sa ulceroznim kolitisom</w:t>
      </w:r>
    </w:p>
    <w:p w14:paraId="361E1FD8" w14:textId="0E2F9023" w:rsidR="00C175E4" w:rsidRPr="00D768EF" w:rsidRDefault="00C175E4" w:rsidP="00C175E4">
      <w:pPr>
        <w:pStyle w:val="Default1"/>
        <w:jc w:val="both"/>
        <w:rPr>
          <w:color w:val="000000"/>
          <w:sz w:val="22"/>
          <w:szCs w:val="22"/>
          <w:lang w:val="sr-Latn-ME"/>
        </w:rPr>
      </w:pPr>
      <w:r w:rsidRPr="00D768EF">
        <w:rPr>
          <w:color w:val="000000"/>
          <w:sz w:val="22"/>
          <w:szCs w:val="22"/>
          <w:lang w:val="sr-Latn-ME"/>
        </w:rPr>
        <w:t xml:space="preserve">Sveukupno, neželjene reakcije prijavljene kod pedijatrijskih pacijenata sa ulceroznim kolitisom u C0168T72 studiji i kod odraslih pacijenata sa ulceroznim kolitisom u ACT1 i ACT2 studijama su uglavnom bile </w:t>
      </w:r>
      <w:r w:rsidRPr="00D768EF">
        <w:rPr>
          <w:sz w:val="22"/>
          <w:szCs w:val="22"/>
          <w:lang w:val="sr-Latn-ME"/>
        </w:rPr>
        <w:t>konzistentne</w:t>
      </w:r>
      <w:r w:rsidRPr="00D768EF">
        <w:rPr>
          <w:color w:val="000000"/>
          <w:sz w:val="22"/>
          <w:szCs w:val="22"/>
          <w:lang w:val="sr-Latn-ME"/>
        </w:rPr>
        <w:t xml:space="preserve">. U C0168T72 studiji, najčešće neželjene reakcije bile su infekcije gornjeg respiratornog trakta, faringitis, abdominalni bol, groznica i glavobolja. Najčešći neželjeni događaj je bio pogoršanje ulceroznog kolitisa, čija je incidenca bila viša kod pacijenata koji su primali infuzije na svakih 12 </w:t>
      </w:r>
      <w:r w:rsidR="00D57936" w:rsidRPr="00D768EF">
        <w:rPr>
          <w:color w:val="000000"/>
          <w:sz w:val="22"/>
          <w:szCs w:val="22"/>
          <w:lang w:val="sr-Latn-ME"/>
        </w:rPr>
        <w:t>nedjelj</w:t>
      </w:r>
      <w:r w:rsidRPr="00D768EF">
        <w:rPr>
          <w:color w:val="000000"/>
          <w:sz w:val="22"/>
          <w:szCs w:val="22"/>
          <w:lang w:val="sr-Latn-ME"/>
        </w:rPr>
        <w:t xml:space="preserve">a, u poređenju sa pacijentima koji su primali infuzije na svakih 8 </w:t>
      </w:r>
      <w:r w:rsidR="00D57936" w:rsidRPr="00D768EF">
        <w:rPr>
          <w:color w:val="000000"/>
          <w:sz w:val="22"/>
          <w:szCs w:val="22"/>
          <w:lang w:val="sr-Latn-ME"/>
        </w:rPr>
        <w:t>nedjelj</w:t>
      </w:r>
      <w:r w:rsidRPr="00D768EF">
        <w:rPr>
          <w:color w:val="000000"/>
          <w:sz w:val="22"/>
          <w:szCs w:val="22"/>
          <w:lang w:val="sr-Latn-ME"/>
        </w:rPr>
        <w:t>a.</w:t>
      </w:r>
    </w:p>
    <w:p w14:paraId="3CB8759D" w14:textId="77777777" w:rsidR="00C175E4" w:rsidRPr="00D768EF" w:rsidRDefault="00C175E4" w:rsidP="00C175E4">
      <w:pPr>
        <w:pStyle w:val="Default"/>
        <w:jc w:val="both"/>
        <w:rPr>
          <w:sz w:val="22"/>
          <w:szCs w:val="22"/>
          <w:lang w:val="sr-Latn-ME"/>
        </w:rPr>
      </w:pPr>
    </w:p>
    <w:p w14:paraId="0B84E134" w14:textId="77777777" w:rsidR="00C175E4" w:rsidRPr="00D768EF" w:rsidRDefault="00C175E4" w:rsidP="00C175E4">
      <w:pPr>
        <w:pStyle w:val="Default"/>
        <w:jc w:val="both"/>
        <w:rPr>
          <w:i/>
          <w:sz w:val="22"/>
          <w:szCs w:val="22"/>
          <w:lang w:val="sr-Latn-ME"/>
        </w:rPr>
      </w:pPr>
      <w:r w:rsidRPr="00D768EF">
        <w:rPr>
          <w:i/>
          <w:sz w:val="22"/>
          <w:szCs w:val="22"/>
          <w:lang w:val="sr-Latn-ME"/>
        </w:rPr>
        <w:t>Reakcije vezane za infuziju</w:t>
      </w:r>
    </w:p>
    <w:p w14:paraId="03C04137" w14:textId="75A7AD5B" w:rsidR="00C175E4" w:rsidRPr="00D768EF" w:rsidRDefault="00C175E4" w:rsidP="00C175E4">
      <w:pPr>
        <w:pStyle w:val="Default"/>
        <w:jc w:val="both"/>
        <w:rPr>
          <w:sz w:val="22"/>
          <w:szCs w:val="22"/>
          <w:lang w:val="sr-Latn-ME"/>
        </w:rPr>
      </w:pPr>
      <w:r w:rsidRPr="00D768EF">
        <w:rPr>
          <w:sz w:val="22"/>
          <w:szCs w:val="22"/>
          <w:lang w:val="sr-Latn-ME"/>
        </w:rPr>
        <w:t xml:space="preserve">Sveukupno, 8 (13,3%) od 60 </w:t>
      </w:r>
      <w:r w:rsidR="00D57936" w:rsidRPr="00D768EF">
        <w:rPr>
          <w:sz w:val="22"/>
          <w:szCs w:val="22"/>
          <w:lang w:val="sr-Latn-ME"/>
        </w:rPr>
        <w:t>liječe</w:t>
      </w:r>
      <w:r w:rsidRPr="00D768EF">
        <w:rPr>
          <w:sz w:val="22"/>
          <w:szCs w:val="22"/>
          <w:lang w:val="sr-Latn-ME"/>
        </w:rPr>
        <w:t xml:space="preserve">nih pacijenata su imali jednu ili više neželjenih reakcija na infuziju, sa 4 (18,2%) od 22 pacijenta i 3 (13,0%) od 23 pacijenta u grupama koje su primale terapiju održavanja na svakih 8, odnosno 12 </w:t>
      </w:r>
      <w:r w:rsidR="00D57936" w:rsidRPr="00D768EF">
        <w:rPr>
          <w:sz w:val="22"/>
          <w:szCs w:val="22"/>
          <w:lang w:val="sr-Latn-ME"/>
        </w:rPr>
        <w:t>nedjelj</w:t>
      </w:r>
      <w:r w:rsidRPr="00D768EF">
        <w:rPr>
          <w:sz w:val="22"/>
          <w:szCs w:val="22"/>
          <w:lang w:val="sr-Latn-ME"/>
        </w:rPr>
        <w:t>a. Nisu prijavljene ozbiljne neželjene reakcije na infuziju. Sve neželjene reakcije na infuziju su bile blagog do um</w:t>
      </w:r>
      <w:r w:rsidR="00830369" w:rsidRPr="00D768EF">
        <w:rPr>
          <w:sz w:val="22"/>
          <w:szCs w:val="22"/>
          <w:lang w:val="sr-Latn-ME"/>
        </w:rPr>
        <w:t>j</w:t>
      </w:r>
      <w:r w:rsidRPr="00D768EF">
        <w:rPr>
          <w:sz w:val="22"/>
          <w:szCs w:val="22"/>
          <w:lang w:val="sr-Latn-ME"/>
        </w:rPr>
        <w:t>erenog intenziteta.</w:t>
      </w:r>
    </w:p>
    <w:p w14:paraId="01928CBD" w14:textId="77777777" w:rsidR="00C175E4" w:rsidRPr="00D768EF" w:rsidRDefault="00C175E4" w:rsidP="00C175E4">
      <w:pPr>
        <w:pStyle w:val="Default1"/>
        <w:jc w:val="both"/>
        <w:rPr>
          <w:color w:val="000000"/>
          <w:sz w:val="22"/>
          <w:szCs w:val="22"/>
          <w:lang w:val="sr-Latn-ME"/>
        </w:rPr>
      </w:pPr>
    </w:p>
    <w:p w14:paraId="6E2DD326" w14:textId="77777777" w:rsidR="00C175E4" w:rsidRPr="00D768EF" w:rsidRDefault="00C175E4" w:rsidP="00C175E4">
      <w:pPr>
        <w:pStyle w:val="Default"/>
        <w:jc w:val="both"/>
        <w:rPr>
          <w:i/>
          <w:sz w:val="22"/>
          <w:szCs w:val="22"/>
          <w:lang w:val="sr-Latn-ME"/>
        </w:rPr>
      </w:pPr>
      <w:r w:rsidRPr="00D768EF">
        <w:rPr>
          <w:i/>
          <w:sz w:val="22"/>
          <w:szCs w:val="22"/>
          <w:lang w:val="sr-Latn-ME"/>
        </w:rPr>
        <w:t>Imunogenost</w:t>
      </w:r>
    </w:p>
    <w:p w14:paraId="6F0A4440" w14:textId="128809D1" w:rsidR="00C175E4" w:rsidRPr="00D768EF" w:rsidRDefault="00220982" w:rsidP="00C175E4">
      <w:pPr>
        <w:pStyle w:val="Default"/>
        <w:jc w:val="both"/>
        <w:rPr>
          <w:sz w:val="22"/>
          <w:szCs w:val="22"/>
          <w:lang w:val="sr-Latn-ME"/>
        </w:rPr>
      </w:pPr>
      <w:r w:rsidRPr="00D768EF">
        <w:rPr>
          <w:sz w:val="22"/>
          <w:szCs w:val="22"/>
          <w:lang w:val="sr-Latn-ME"/>
        </w:rPr>
        <w:t>Antitijel</w:t>
      </w:r>
      <w:r w:rsidR="00C175E4" w:rsidRPr="00D768EF">
        <w:rPr>
          <w:sz w:val="22"/>
          <w:szCs w:val="22"/>
          <w:lang w:val="sr-Latn-ME"/>
        </w:rPr>
        <w:t xml:space="preserve">a na infliksimab su do kraja 54. </w:t>
      </w:r>
      <w:r w:rsidR="00D57936" w:rsidRPr="00D768EF">
        <w:rPr>
          <w:sz w:val="22"/>
          <w:szCs w:val="22"/>
          <w:lang w:val="sr-Latn-ME"/>
        </w:rPr>
        <w:t>nedjelj</w:t>
      </w:r>
      <w:r w:rsidR="00C175E4" w:rsidRPr="00D768EF">
        <w:rPr>
          <w:sz w:val="22"/>
          <w:szCs w:val="22"/>
          <w:lang w:val="sr-Latn-ME"/>
        </w:rPr>
        <w:t>e otkrivena kod 4 (7,7%) pacijenta.</w:t>
      </w:r>
    </w:p>
    <w:p w14:paraId="77E942C2" w14:textId="35AA84BC" w:rsidR="00C175E4" w:rsidRDefault="00C175E4" w:rsidP="00C175E4">
      <w:pPr>
        <w:pStyle w:val="Default"/>
        <w:jc w:val="both"/>
        <w:rPr>
          <w:sz w:val="22"/>
          <w:szCs w:val="22"/>
          <w:lang w:val="sr-Latn-ME"/>
        </w:rPr>
      </w:pPr>
    </w:p>
    <w:p w14:paraId="69B2DD83" w14:textId="0C0499A3" w:rsidR="00DA6A33" w:rsidRDefault="00DA6A33" w:rsidP="00C175E4">
      <w:pPr>
        <w:pStyle w:val="Default"/>
        <w:jc w:val="both"/>
        <w:rPr>
          <w:sz w:val="22"/>
          <w:szCs w:val="22"/>
          <w:lang w:val="sr-Latn-ME"/>
        </w:rPr>
      </w:pPr>
    </w:p>
    <w:p w14:paraId="2786ACED" w14:textId="77777777" w:rsidR="00DA6A33" w:rsidRPr="00D768EF" w:rsidRDefault="00DA6A33" w:rsidP="00C175E4">
      <w:pPr>
        <w:pStyle w:val="Default"/>
        <w:jc w:val="both"/>
        <w:rPr>
          <w:sz w:val="22"/>
          <w:szCs w:val="22"/>
          <w:lang w:val="sr-Latn-ME"/>
        </w:rPr>
      </w:pPr>
    </w:p>
    <w:p w14:paraId="4AB301E4" w14:textId="77777777" w:rsidR="00C175E4" w:rsidRPr="00D768EF" w:rsidRDefault="00C175E4" w:rsidP="00C175E4">
      <w:pPr>
        <w:pStyle w:val="Default"/>
        <w:jc w:val="both"/>
        <w:rPr>
          <w:i/>
          <w:sz w:val="22"/>
          <w:szCs w:val="22"/>
          <w:lang w:val="sr-Latn-ME"/>
        </w:rPr>
      </w:pPr>
      <w:r w:rsidRPr="00D768EF">
        <w:rPr>
          <w:i/>
          <w:sz w:val="22"/>
          <w:szCs w:val="22"/>
          <w:lang w:val="sr-Latn-ME"/>
        </w:rPr>
        <w:lastRenderedPageBreak/>
        <w:t>Infekcije</w:t>
      </w:r>
    </w:p>
    <w:p w14:paraId="505C5394" w14:textId="27BA02DC" w:rsidR="00C175E4" w:rsidRPr="00D768EF" w:rsidRDefault="00C175E4" w:rsidP="00C175E4">
      <w:pPr>
        <w:pStyle w:val="Default"/>
        <w:jc w:val="both"/>
        <w:rPr>
          <w:sz w:val="22"/>
          <w:szCs w:val="22"/>
          <w:lang w:val="sr-Latn-ME"/>
        </w:rPr>
      </w:pPr>
      <w:r w:rsidRPr="00D768EF">
        <w:rPr>
          <w:sz w:val="22"/>
          <w:szCs w:val="22"/>
          <w:lang w:val="sr-Latn-ME"/>
        </w:rPr>
        <w:t xml:space="preserve">Infekcije su prijavljene kod 31 (51,7%) od 60 </w:t>
      </w:r>
      <w:r w:rsidR="00D57936" w:rsidRPr="00D768EF">
        <w:rPr>
          <w:sz w:val="22"/>
          <w:szCs w:val="22"/>
          <w:lang w:val="sr-Latn-ME"/>
        </w:rPr>
        <w:t>liječe</w:t>
      </w:r>
      <w:r w:rsidRPr="00D768EF">
        <w:rPr>
          <w:sz w:val="22"/>
          <w:szCs w:val="22"/>
          <w:lang w:val="sr-Latn-ME"/>
        </w:rPr>
        <w:t xml:space="preserve">nih pacijenata u C0168T72 studiji, od kojih je kod njih 22 (36,7%) bila potrebna oralna ili parenteralna antibiotska terapija. Procenat pacijenata sa infekcijama u C0168T72 studiji bio je sličan kao u studiji sprovedenoj na pedijatrijskim pacijentima sa Kronovom bolešću (REACH studija), ali veći nego procenat odraslih pacijenata sa ulceroznim kolitisom (ACT1 i ACT2 studije). Ukupna incidenca infekcija u C0168T72 studiji bila je 13/22 (59%), odnosno 14/23 (60,9%) u grupama koje su primale terapiju održavanja na svakih 8, odnosno 12 </w:t>
      </w:r>
      <w:r w:rsidR="00D57936" w:rsidRPr="00D768EF">
        <w:rPr>
          <w:sz w:val="22"/>
          <w:szCs w:val="22"/>
          <w:lang w:val="sr-Latn-ME"/>
        </w:rPr>
        <w:t>nedjelj</w:t>
      </w:r>
      <w:r w:rsidRPr="00D768EF">
        <w:rPr>
          <w:sz w:val="22"/>
          <w:szCs w:val="22"/>
          <w:lang w:val="sr-Latn-ME"/>
        </w:rPr>
        <w:t>a.</w:t>
      </w:r>
    </w:p>
    <w:p w14:paraId="00FF471C" w14:textId="46ABB3EE" w:rsidR="00C175E4" w:rsidRPr="00D768EF" w:rsidRDefault="00C175E4" w:rsidP="00C175E4">
      <w:pPr>
        <w:pStyle w:val="Default"/>
        <w:jc w:val="both"/>
        <w:rPr>
          <w:sz w:val="22"/>
          <w:szCs w:val="22"/>
          <w:lang w:val="sr-Latn-ME"/>
        </w:rPr>
      </w:pPr>
      <w:r w:rsidRPr="00D768EF">
        <w:rPr>
          <w:sz w:val="22"/>
          <w:szCs w:val="22"/>
          <w:lang w:val="sr-Latn-ME"/>
        </w:rPr>
        <w:t xml:space="preserve">Infekcija gornjeg respiratornog trakta (7/60 [12%]) i faringitis (5/60 [8%]) su bile najčešće prijavljivane infekcije respiratornog sistema. Ozbiljne infekcije su </w:t>
      </w:r>
      <w:r w:rsidR="001B0A77" w:rsidRPr="00D768EF">
        <w:rPr>
          <w:sz w:val="22"/>
          <w:szCs w:val="22"/>
          <w:lang w:val="sr-Latn-ME"/>
        </w:rPr>
        <w:t>zabilje</w:t>
      </w:r>
      <w:r w:rsidRPr="00D768EF">
        <w:rPr>
          <w:sz w:val="22"/>
          <w:szCs w:val="22"/>
          <w:lang w:val="sr-Latn-ME"/>
        </w:rPr>
        <w:t xml:space="preserve">žene kod 12% (7/60) svih </w:t>
      </w:r>
      <w:r w:rsidR="00D57936" w:rsidRPr="00D768EF">
        <w:rPr>
          <w:sz w:val="22"/>
          <w:szCs w:val="22"/>
          <w:lang w:val="sr-Latn-ME"/>
        </w:rPr>
        <w:t>liječe</w:t>
      </w:r>
      <w:r w:rsidRPr="00D768EF">
        <w:rPr>
          <w:sz w:val="22"/>
          <w:szCs w:val="22"/>
          <w:lang w:val="sr-Latn-ME"/>
        </w:rPr>
        <w:t xml:space="preserve">nih pacijenata. </w:t>
      </w:r>
    </w:p>
    <w:p w14:paraId="5C57B7B1" w14:textId="77777777" w:rsidR="00C175E4" w:rsidRPr="00D768EF" w:rsidRDefault="00C175E4" w:rsidP="00C175E4">
      <w:pPr>
        <w:pStyle w:val="Default"/>
        <w:jc w:val="both"/>
        <w:rPr>
          <w:sz w:val="22"/>
          <w:szCs w:val="22"/>
          <w:lang w:val="sr-Latn-ME"/>
        </w:rPr>
      </w:pPr>
    </w:p>
    <w:p w14:paraId="2C2ED5D3" w14:textId="46366571" w:rsidR="00C175E4" w:rsidRPr="00D768EF" w:rsidRDefault="00C175E4" w:rsidP="00C175E4">
      <w:pPr>
        <w:pStyle w:val="Default"/>
        <w:jc w:val="both"/>
        <w:rPr>
          <w:sz w:val="22"/>
          <w:szCs w:val="22"/>
          <w:lang w:val="sr-Latn-ME"/>
        </w:rPr>
      </w:pPr>
      <w:r w:rsidRPr="00D768EF">
        <w:rPr>
          <w:sz w:val="22"/>
          <w:szCs w:val="22"/>
          <w:lang w:val="sr-Latn-ME"/>
        </w:rPr>
        <w:t>U ovoj studiji je bilo više pacijenata u grupi uzrasta od 12 do 17 godina nego u grupi uzrasta od 6 do 11 godina (45/60 [75,0%]) naspram 15/60 [25,0%]). Iako je broj pacijenata u svakoj podgrupi bio suviše mali da bi se don</w:t>
      </w:r>
      <w:r w:rsidR="00830369" w:rsidRPr="00D768EF">
        <w:rPr>
          <w:sz w:val="22"/>
          <w:szCs w:val="22"/>
          <w:lang w:val="sr-Latn-ME"/>
        </w:rPr>
        <w:t>i</w:t>
      </w:r>
      <w:r w:rsidRPr="00D768EF">
        <w:rPr>
          <w:sz w:val="22"/>
          <w:szCs w:val="22"/>
          <w:lang w:val="sr-Latn-ME"/>
        </w:rPr>
        <w:t xml:space="preserve">o konačan zaključak o uticaju uzrasta na </w:t>
      </w:r>
      <w:r w:rsidR="00282A1E" w:rsidRPr="00D768EF">
        <w:rPr>
          <w:sz w:val="22"/>
          <w:szCs w:val="22"/>
          <w:lang w:val="sr-Latn-ME"/>
        </w:rPr>
        <w:t>bezbjedn</w:t>
      </w:r>
      <w:r w:rsidR="00220982" w:rsidRPr="00D768EF">
        <w:rPr>
          <w:sz w:val="22"/>
          <w:szCs w:val="22"/>
          <w:lang w:val="sr-Latn-ME"/>
        </w:rPr>
        <w:t>o</w:t>
      </w:r>
      <w:r w:rsidRPr="00D768EF">
        <w:rPr>
          <w:sz w:val="22"/>
          <w:szCs w:val="22"/>
          <w:lang w:val="sr-Latn-ME"/>
        </w:rPr>
        <w:t>st prim</w:t>
      </w:r>
      <w:r w:rsidR="00126595" w:rsidRPr="00D768EF">
        <w:rPr>
          <w:sz w:val="22"/>
          <w:szCs w:val="22"/>
          <w:lang w:val="sr-Latn-ME"/>
        </w:rPr>
        <w:t>j</w:t>
      </w:r>
      <w:r w:rsidRPr="00D768EF">
        <w:rPr>
          <w:sz w:val="22"/>
          <w:szCs w:val="22"/>
          <w:lang w:val="sr-Latn-ME"/>
        </w:rPr>
        <w:t>ene, procenat pacijenata sa ozbiljnim neželjenim događajima i prekidom terapije usled neželjenih događaja je bio veći u grupi mlađeg, nego u grupi starijeg uzrasta. Iako je procenat pacijenata koji su dobili infekciju takođe bio veći u grupi mlađeg uzrasta, procenat pacijenata sa ozbiljnim infekcijama je bio sličan u ob</w:t>
      </w:r>
      <w:r w:rsidR="00830369" w:rsidRPr="00D768EF">
        <w:rPr>
          <w:sz w:val="22"/>
          <w:szCs w:val="22"/>
          <w:lang w:val="sr-Latn-ME"/>
        </w:rPr>
        <w:t>j</w:t>
      </w:r>
      <w:r w:rsidRPr="00D768EF">
        <w:rPr>
          <w:sz w:val="22"/>
          <w:szCs w:val="22"/>
          <w:lang w:val="sr-Latn-ME"/>
        </w:rPr>
        <w:t>e grupe. Ukupni procenat neželjenih događaja i reakcija na infuziju je bio sličan između grupa pacijenata uzrasta od 6 do 11 godina i uzrasta od 12 do 17 godina.</w:t>
      </w:r>
    </w:p>
    <w:p w14:paraId="1BCDBA66" w14:textId="77777777" w:rsidR="00C175E4" w:rsidRPr="00D768EF" w:rsidRDefault="00C175E4" w:rsidP="00C175E4">
      <w:pPr>
        <w:pStyle w:val="Default"/>
        <w:jc w:val="both"/>
        <w:rPr>
          <w:sz w:val="22"/>
          <w:szCs w:val="22"/>
          <w:lang w:val="sr-Latn-ME"/>
        </w:rPr>
      </w:pPr>
    </w:p>
    <w:p w14:paraId="3E749E1E" w14:textId="77777777" w:rsidR="00C175E4" w:rsidRPr="00D768EF" w:rsidRDefault="00C175E4" w:rsidP="00C175E4">
      <w:pPr>
        <w:rPr>
          <w:szCs w:val="22"/>
          <w:u w:val="single"/>
          <w:lang w:val="sr-Latn-ME"/>
        </w:rPr>
      </w:pPr>
      <w:r w:rsidRPr="00D768EF">
        <w:rPr>
          <w:szCs w:val="22"/>
          <w:u w:val="single"/>
          <w:lang w:val="sr-Latn-ME"/>
        </w:rPr>
        <w:t>Postmarketinško iskustvo</w:t>
      </w:r>
    </w:p>
    <w:p w14:paraId="1AE2AE2E" w14:textId="1CAF6888" w:rsidR="00C175E4" w:rsidRPr="00D768EF" w:rsidRDefault="00C175E4" w:rsidP="00C175E4">
      <w:pPr>
        <w:tabs>
          <w:tab w:val="left" w:pos="567"/>
        </w:tabs>
        <w:outlineLvl w:val="0"/>
        <w:rPr>
          <w:color w:val="000000"/>
          <w:szCs w:val="22"/>
          <w:lang w:val="sr-Latn-ME"/>
        </w:rPr>
      </w:pPr>
      <w:r w:rsidRPr="00D768EF">
        <w:rPr>
          <w:color w:val="000000"/>
          <w:szCs w:val="22"/>
          <w:lang w:val="sr-Latn-ME"/>
        </w:rPr>
        <w:t>Ozbiljn</w:t>
      </w:r>
      <w:r w:rsidR="006C7B4E" w:rsidRPr="00D768EF">
        <w:rPr>
          <w:color w:val="000000"/>
          <w:szCs w:val="22"/>
          <w:lang w:val="sr-Latn-ME"/>
        </w:rPr>
        <w:t>e</w:t>
      </w:r>
      <w:r w:rsidRPr="00D768EF">
        <w:rPr>
          <w:color w:val="000000"/>
          <w:szCs w:val="22"/>
          <w:lang w:val="sr-Latn-ME"/>
        </w:rPr>
        <w:t xml:space="preserve"> neželjen</w:t>
      </w:r>
      <w:r w:rsidR="006C7B4E" w:rsidRPr="00D768EF">
        <w:rPr>
          <w:color w:val="000000"/>
          <w:szCs w:val="22"/>
          <w:lang w:val="sr-Latn-ME"/>
        </w:rPr>
        <w:t>e</w:t>
      </w:r>
      <w:r w:rsidRPr="00D768EF">
        <w:rPr>
          <w:color w:val="000000"/>
          <w:szCs w:val="22"/>
          <w:lang w:val="sr-Latn-ME"/>
        </w:rPr>
        <w:t xml:space="preserve"> </w:t>
      </w:r>
      <w:r w:rsidR="006C7B4E" w:rsidRPr="00D768EF">
        <w:rPr>
          <w:color w:val="000000"/>
          <w:szCs w:val="22"/>
          <w:lang w:val="sr-Latn-ME"/>
        </w:rPr>
        <w:t xml:space="preserve">reakcije </w:t>
      </w:r>
      <w:r w:rsidRPr="00D768EF">
        <w:rPr>
          <w:color w:val="000000"/>
          <w:szCs w:val="22"/>
          <w:lang w:val="sr-Latn-ME"/>
        </w:rPr>
        <w:t>infliksimaba kod pedijatrijskih pacijenata spontano prijavljen</w:t>
      </w:r>
      <w:r w:rsidR="006C7B4E" w:rsidRPr="00D768EF">
        <w:rPr>
          <w:color w:val="000000"/>
          <w:szCs w:val="22"/>
          <w:lang w:val="sr-Latn-ME"/>
        </w:rPr>
        <w:t>e</w:t>
      </w:r>
      <w:r w:rsidRPr="00D768EF">
        <w:rPr>
          <w:color w:val="000000"/>
          <w:szCs w:val="22"/>
          <w:lang w:val="sr-Latn-ME"/>
        </w:rPr>
        <w:t xml:space="preserve"> posl</w:t>
      </w:r>
      <w:r w:rsidR="00CF5D59">
        <w:rPr>
          <w:color w:val="000000"/>
          <w:szCs w:val="22"/>
          <w:lang w:val="sr-Latn-ME"/>
        </w:rPr>
        <w:t>ij</w:t>
      </w:r>
      <w:r w:rsidRPr="00D768EF">
        <w:rPr>
          <w:color w:val="000000"/>
          <w:szCs w:val="22"/>
          <w:lang w:val="sr-Latn-ME"/>
        </w:rPr>
        <w:t>e stavljanja l</w:t>
      </w:r>
      <w:r w:rsidR="00830369" w:rsidRPr="00D768EF">
        <w:rPr>
          <w:color w:val="000000"/>
          <w:szCs w:val="22"/>
          <w:lang w:val="sr-Latn-ME"/>
        </w:rPr>
        <w:t>ij</w:t>
      </w:r>
      <w:r w:rsidRPr="00D768EF">
        <w:rPr>
          <w:color w:val="000000"/>
          <w:szCs w:val="22"/>
          <w:lang w:val="sr-Latn-ME"/>
        </w:rPr>
        <w:t xml:space="preserve">eka u promet obuhvataju maligne bolesti, među kojima i </w:t>
      </w:r>
      <w:r w:rsidRPr="00D768EF">
        <w:rPr>
          <w:iCs/>
          <w:szCs w:val="22"/>
          <w:lang w:val="sr-Latn-ME" w:eastAsia="sv-SE"/>
        </w:rPr>
        <w:t>hepatosplenični T-celularni limfom</w:t>
      </w:r>
      <w:r w:rsidRPr="00D768EF">
        <w:rPr>
          <w:color w:val="000000"/>
          <w:szCs w:val="22"/>
          <w:lang w:val="sr-Latn-ME"/>
        </w:rPr>
        <w:t xml:space="preserve">, prolazne poremećaje </w:t>
      </w:r>
      <w:r w:rsidR="008A0A5C" w:rsidRPr="00D768EF">
        <w:rPr>
          <w:color w:val="000000"/>
          <w:szCs w:val="22"/>
          <w:lang w:val="sr-Latn-ME"/>
        </w:rPr>
        <w:t>vrijedno</w:t>
      </w:r>
      <w:r w:rsidRPr="00D768EF">
        <w:rPr>
          <w:color w:val="000000"/>
          <w:szCs w:val="22"/>
          <w:lang w:val="sr-Latn-ME"/>
        </w:rPr>
        <w:t>sti enzima jetre, sindrome slične lupusu i pozitivan nalaz auto-</w:t>
      </w:r>
      <w:r w:rsidR="00220982" w:rsidRPr="00D768EF">
        <w:rPr>
          <w:color w:val="000000"/>
          <w:szCs w:val="22"/>
          <w:lang w:val="sr-Latn-ME"/>
        </w:rPr>
        <w:t>antitijel</w:t>
      </w:r>
      <w:r w:rsidRPr="00D768EF">
        <w:rPr>
          <w:color w:val="000000"/>
          <w:szCs w:val="22"/>
          <w:lang w:val="sr-Latn-ME"/>
        </w:rPr>
        <w:t>a (</w:t>
      </w:r>
      <w:r w:rsidR="00282A1E" w:rsidRPr="00D768EF">
        <w:rPr>
          <w:color w:val="000000"/>
          <w:szCs w:val="22"/>
          <w:lang w:val="sr-Latn-ME"/>
        </w:rPr>
        <w:t>vidjeti</w:t>
      </w:r>
      <w:r w:rsidRPr="00D768EF">
        <w:rPr>
          <w:color w:val="000000"/>
          <w:szCs w:val="22"/>
          <w:lang w:val="sr-Latn-ME"/>
        </w:rPr>
        <w:t xml:space="preserve"> </w:t>
      </w:r>
      <w:r w:rsidR="00282A1E" w:rsidRPr="00D768EF">
        <w:rPr>
          <w:color w:val="000000"/>
          <w:szCs w:val="22"/>
          <w:lang w:val="sr-Latn-ME"/>
        </w:rPr>
        <w:t>djelove</w:t>
      </w:r>
      <w:r w:rsidRPr="00D768EF">
        <w:rPr>
          <w:color w:val="000000"/>
          <w:szCs w:val="22"/>
          <w:lang w:val="sr-Latn-ME"/>
        </w:rPr>
        <w:t xml:space="preserve"> 4.4 i 4.8).</w:t>
      </w:r>
    </w:p>
    <w:p w14:paraId="0540E6EB" w14:textId="77777777" w:rsidR="00C175E4" w:rsidRPr="00D768EF" w:rsidRDefault="00C175E4" w:rsidP="00C175E4">
      <w:pPr>
        <w:tabs>
          <w:tab w:val="left" w:pos="567"/>
        </w:tabs>
        <w:outlineLvl w:val="0"/>
        <w:rPr>
          <w:color w:val="000000"/>
          <w:szCs w:val="22"/>
          <w:lang w:val="sr-Latn-ME"/>
        </w:rPr>
      </w:pPr>
    </w:p>
    <w:p w14:paraId="25E76E6F" w14:textId="77777777" w:rsidR="00C175E4" w:rsidRPr="00D768EF" w:rsidRDefault="00DE3940" w:rsidP="00C175E4">
      <w:pPr>
        <w:rPr>
          <w:i/>
          <w:iCs/>
          <w:szCs w:val="22"/>
          <w:u w:val="single"/>
          <w:lang w:val="sr-Latn-ME"/>
        </w:rPr>
      </w:pPr>
      <w:r w:rsidRPr="00D768EF">
        <w:rPr>
          <w:i/>
          <w:iCs/>
          <w:szCs w:val="22"/>
          <w:u w:val="single"/>
          <w:lang w:val="sr-Latn-ME"/>
        </w:rPr>
        <w:t>Ostale</w:t>
      </w:r>
      <w:r w:rsidR="00C175E4" w:rsidRPr="00D768EF">
        <w:rPr>
          <w:i/>
          <w:iCs/>
          <w:szCs w:val="22"/>
          <w:u w:val="single"/>
          <w:lang w:val="sr-Latn-ME"/>
        </w:rPr>
        <w:t xml:space="preserve"> posebn</w:t>
      </w:r>
      <w:r w:rsidRPr="00D768EF">
        <w:rPr>
          <w:i/>
          <w:iCs/>
          <w:szCs w:val="22"/>
          <w:u w:val="single"/>
          <w:lang w:val="sr-Latn-ME"/>
        </w:rPr>
        <w:t>e</w:t>
      </w:r>
      <w:r w:rsidR="00C175E4" w:rsidRPr="00D768EF">
        <w:rPr>
          <w:i/>
          <w:iCs/>
          <w:szCs w:val="22"/>
          <w:u w:val="single"/>
          <w:lang w:val="sr-Latn-ME"/>
        </w:rPr>
        <w:t xml:space="preserve"> populacij</w:t>
      </w:r>
      <w:r w:rsidRPr="00D768EF">
        <w:rPr>
          <w:i/>
          <w:iCs/>
          <w:szCs w:val="22"/>
          <w:u w:val="single"/>
          <w:lang w:val="sr-Latn-ME"/>
        </w:rPr>
        <w:t>e</w:t>
      </w:r>
    </w:p>
    <w:p w14:paraId="3A84607B" w14:textId="77777777" w:rsidR="00C175E4" w:rsidRPr="00D768EF" w:rsidRDefault="00C175E4" w:rsidP="00C175E4">
      <w:pPr>
        <w:rPr>
          <w:color w:val="000000"/>
          <w:szCs w:val="22"/>
          <w:u w:val="single"/>
          <w:lang w:val="sr-Latn-ME"/>
        </w:rPr>
      </w:pPr>
    </w:p>
    <w:p w14:paraId="03762574" w14:textId="42E234CC" w:rsidR="00C175E4" w:rsidRPr="00D768EF" w:rsidRDefault="00C175E4" w:rsidP="00C175E4">
      <w:pPr>
        <w:pStyle w:val="Default"/>
        <w:jc w:val="both"/>
        <w:rPr>
          <w:i/>
          <w:iCs/>
          <w:color w:val="auto"/>
          <w:sz w:val="22"/>
          <w:szCs w:val="22"/>
          <w:lang w:val="sr-Latn-ME"/>
        </w:rPr>
      </w:pPr>
      <w:r w:rsidRPr="00D768EF">
        <w:rPr>
          <w:i/>
          <w:iCs/>
          <w:color w:val="auto"/>
          <w:sz w:val="22"/>
          <w:szCs w:val="22"/>
          <w:lang w:val="sr-Latn-ME"/>
        </w:rPr>
        <w:t xml:space="preserve">Stariji pacijenti </w:t>
      </w:r>
    </w:p>
    <w:p w14:paraId="668793A7" w14:textId="34BA1968" w:rsidR="00C175E4" w:rsidRPr="00D768EF" w:rsidRDefault="00C175E4" w:rsidP="00C175E4">
      <w:pPr>
        <w:rPr>
          <w:i/>
          <w:iCs/>
          <w:szCs w:val="22"/>
          <w:lang w:val="sr-Latn-ME"/>
        </w:rPr>
      </w:pPr>
      <w:r w:rsidRPr="00D768EF">
        <w:rPr>
          <w:iCs/>
          <w:snapToGrid w:val="0"/>
          <w:szCs w:val="22"/>
          <w:lang w:val="sr-Latn-ME"/>
        </w:rPr>
        <w:t xml:space="preserve">U kliničkim studijama reumatoidnog artritisa, učestalost ozbiljnih infekcija u grupi koja je </w:t>
      </w:r>
      <w:r w:rsidR="00D57936" w:rsidRPr="00D768EF">
        <w:rPr>
          <w:iCs/>
          <w:snapToGrid w:val="0"/>
          <w:szCs w:val="22"/>
          <w:lang w:val="sr-Latn-ME"/>
        </w:rPr>
        <w:t>liječe</w:t>
      </w:r>
      <w:r w:rsidRPr="00D768EF">
        <w:rPr>
          <w:iCs/>
          <w:snapToGrid w:val="0"/>
          <w:szCs w:val="22"/>
          <w:lang w:val="sr-Latn-ME"/>
        </w:rPr>
        <w:t xml:space="preserve">na infliksimabom i </w:t>
      </w:r>
      <w:r w:rsidRPr="00D768EF">
        <w:rPr>
          <w:color w:val="000000"/>
          <w:szCs w:val="22"/>
          <w:lang w:val="sr-Latn-ME"/>
        </w:rPr>
        <w:t>metotreksatom</w:t>
      </w:r>
      <w:r w:rsidRPr="00D768EF">
        <w:rPr>
          <w:iCs/>
          <w:snapToGrid w:val="0"/>
          <w:szCs w:val="22"/>
          <w:lang w:val="sr-Latn-ME"/>
        </w:rPr>
        <w:t xml:space="preserve"> bila je veća kod pacijenata od 65 ili više godina (11,3%) nego kod pacijenata mlađih od 65 godina (</w:t>
      </w:r>
      <w:r w:rsidRPr="00D768EF">
        <w:rPr>
          <w:iCs/>
          <w:szCs w:val="22"/>
          <w:lang w:val="sr-Latn-ME"/>
        </w:rPr>
        <w:t xml:space="preserve">4,6%). Kod pacijenata koji su </w:t>
      </w:r>
      <w:r w:rsidR="00D57936" w:rsidRPr="00D768EF">
        <w:rPr>
          <w:iCs/>
          <w:szCs w:val="22"/>
          <w:lang w:val="sr-Latn-ME"/>
        </w:rPr>
        <w:t>liječe</w:t>
      </w:r>
      <w:r w:rsidRPr="00D768EF">
        <w:rPr>
          <w:iCs/>
          <w:szCs w:val="22"/>
          <w:lang w:val="sr-Latn-ME"/>
        </w:rPr>
        <w:t xml:space="preserve">ni samo metotreksatom, </w:t>
      </w:r>
      <w:r w:rsidRPr="00D768EF">
        <w:rPr>
          <w:iCs/>
          <w:snapToGrid w:val="0"/>
          <w:szCs w:val="22"/>
          <w:lang w:val="sr-Latn-ME"/>
        </w:rPr>
        <w:t xml:space="preserve">učestalost ozbiljnih infekcija iznosila je 5,2% </w:t>
      </w:r>
      <w:r w:rsidRPr="00D768EF">
        <w:rPr>
          <w:iCs/>
          <w:szCs w:val="22"/>
          <w:lang w:val="sr-Latn-ME"/>
        </w:rPr>
        <w:t xml:space="preserve">kod pacijenata </w:t>
      </w:r>
      <w:r w:rsidRPr="00D768EF">
        <w:rPr>
          <w:iCs/>
          <w:snapToGrid w:val="0"/>
          <w:szCs w:val="22"/>
          <w:lang w:val="sr-Latn-ME"/>
        </w:rPr>
        <w:t xml:space="preserve">od 65 ili više godina </w:t>
      </w:r>
      <w:r w:rsidRPr="00D768EF">
        <w:rPr>
          <w:iCs/>
          <w:szCs w:val="22"/>
          <w:lang w:val="sr-Latn-ME"/>
        </w:rPr>
        <w:t xml:space="preserve">u poređenju sa 2,7% kod pacijenata </w:t>
      </w:r>
      <w:r w:rsidRPr="00D768EF">
        <w:rPr>
          <w:iCs/>
          <w:snapToGrid w:val="0"/>
          <w:szCs w:val="22"/>
          <w:lang w:val="sr-Latn-ME"/>
        </w:rPr>
        <w:t>mlađih od 65 godina (</w:t>
      </w:r>
      <w:r w:rsidR="00282A1E" w:rsidRPr="00D768EF">
        <w:rPr>
          <w:iCs/>
          <w:snapToGrid w:val="0"/>
          <w:szCs w:val="22"/>
          <w:lang w:val="sr-Latn-ME"/>
        </w:rPr>
        <w:t>vidjeti</w:t>
      </w:r>
      <w:r w:rsidRPr="00D768EF">
        <w:rPr>
          <w:iCs/>
          <w:snapToGrid w:val="0"/>
          <w:szCs w:val="22"/>
          <w:lang w:val="sr-Latn-ME"/>
        </w:rPr>
        <w:t xml:space="preserve"> </w:t>
      </w:r>
      <w:r w:rsidR="00454E9F" w:rsidRPr="00D768EF">
        <w:rPr>
          <w:iCs/>
          <w:snapToGrid w:val="0"/>
          <w:szCs w:val="22"/>
          <w:lang w:val="sr-Latn-ME"/>
        </w:rPr>
        <w:t>dio</w:t>
      </w:r>
      <w:r w:rsidRPr="00D768EF">
        <w:rPr>
          <w:iCs/>
          <w:snapToGrid w:val="0"/>
          <w:szCs w:val="22"/>
          <w:lang w:val="sr-Latn-ME"/>
        </w:rPr>
        <w:t xml:space="preserve"> 4.4)</w:t>
      </w:r>
      <w:r w:rsidRPr="00D768EF">
        <w:rPr>
          <w:iCs/>
          <w:szCs w:val="22"/>
          <w:lang w:val="sr-Latn-ME"/>
        </w:rPr>
        <w:t>.</w:t>
      </w:r>
    </w:p>
    <w:p w14:paraId="7A385690" w14:textId="77777777" w:rsidR="00C175E4" w:rsidRPr="00D768EF" w:rsidRDefault="00C175E4" w:rsidP="00C175E4">
      <w:pPr>
        <w:tabs>
          <w:tab w:val="clear" w:pos="284"/>
        </w:tabs>
        <w:autoSpaceDE w:val="0"/>
        <w:autoSpaceDN w:val="0"/>
        <w:adjustRightInd w:val="0"/>
        <w:rPr>
          <w:szCs w:val="22"/>
          <w:lang w:val="sr-Latn-ME"/>
        </w:rPr>
      </w:pPr>
    </w:p>
    <w:p w14:paraId="5E5DDDE7" w14:textId="77777777" w:rsidR="00FA075B" w:rsidRPr="00D768EF" w:rsidRDefault="00FA075B" w:rsidP="00FA075B">
      <w:pPr>
        <w:spacing w:after="200" w:line="276" w:lineRule="auto"/>
        <w:rPr>
          <w:rFonts w:eastAsia="Calibri"/>
          <w:szCs w:val="22"/>
          <w:u w:val="single"/>
          <w:lang w:val="sr-Latn-ME"/>
        </w:rPr>
      </w:pPr>
      <w:r w:rsidRPr="00D768EF">
        <w:rPr>
          <w:rFonts w:eastAsia="Calibri"/>
          <w:szCs w:val="22"/>
          <w:u w:val="single"/>
          <w:lang w:val="sr-Latn-ME"/>
        </w:rPr>
        <w:t>Prijavljivanje sumnji na neželjena dejstva</w:t>
      </w:r>
    </w:p>
    <w:p w14:paraId="2376BA94" w14:textId="1ED62BD2" w:rsidR="002F3545" w:rsidRPr="00D768EF" w:rsidRDefault="00FA075B" w:rsidP="002F3545">
      <w:pPr>
        <w:spacing w:after="200"/>
        <w:rPr>
          <w:rFonts w:eastAsia="Calibri"/>
          <w:szCs w:val="22"/>
          <w:lang w:val="sr-Latn-ME"/>
        </w:rPr>
      </w:pPr>
      <w:r w:rsidRPr="00D768EF">
        <w:rPr>
          <w:rFonts w:eastAsia="Calibri"/>
          <w:szCs w:val="22"/>
          <w:lang w:val="sr-Latn-ME"/>
        </w:rPr>
        <w:t xml:space="preserve">Prijavljivanje neželjenih dejstava nakon dobijanja dozvole je od velikog značaja jer obezbjeđuje kontinuirano praćenje odnosa korist/rizik primjene lijeka. Zdravstveni radnici treba da prijave svaku sumnju na neželjeno dejstvo ovog lijeka </w:t>
      </w:r>
      <w:bookmarkStart w:id="7" w:name="_Hlk68680540"/>
      <w:r w:rsidR="002F3545" w:rsidRPr="00D768EF">
        <w:rPr>
          <w:rFonts w:eastAsia="Calibri"/>
          <w:szCs w:val="22"/>
          <w:lang w:val="sr-Latn-ME"/>
        </w:rPr>
        <w:t>Institutu za ljekove i medicinska sredstva (CInMED):</w:t>
      </w:r>
    </w:p>
    <w:p w14:paraId="1CE087B3" w14:textId="77777777" w:rsidR="002F3545" w:rsidRPr="00D768EF" w:rsidRDefault="002F3545" w:rsidP="002F3545">
      <w:pPr>
        <w:pStyle w:val="NoSpacing"/>
        <w:jc w:val="both"/>
        <w:rPr>
          <w:rFonts w:eastAsia="Calibri"/>
          <w:sz w:val="22"/>
          <w:szCs w:val="22"/>
          <w:lang w:val="sr-Latn-ME"/>
        </w:rPr>
      </w:pPr>
      <w:r w:rsidRPr="00D768EF">
        <w:rPr>
          <w:rFonts w:eastAsia="Calibri"/>
          <w:sz w:val="22"/>
          <w:szCs w:val="22"/>
          <w:lang w:val="sr-Latn-ME"/>
        </w:rPr>
        <w:t xml:space="preserve">Institut za ljekove i medicinska sredstva </w:t>
      </w:r>
    </w:p>
    <w:p w14:paraId="6CC29FE3" w14:textId="77777777" w:rsidR="002F3545" w:rsidRPr="00D768EF" w:rsidRDefault="002F3545" w:rsidP="002F3545">
      <w:pPr>
        <w:pStyle w:val="NoSpacing"/>
        <w:jc w:val="both"/>
        <w:rPr>
          <w:rFonts w:eastAsia="Calibri"/>
          <w:sz w:val="22"/>
          <w:szCs w:val="22"/>
          <w:lang w:val="sr-Latn-ME"/>
        </w:rPr>
      </w:pPr>
      <w:r w:rsidRPr="00D768EF">
        <w:rPr>
          <w:rFonts w:eastAsia="Calibri"/>
          <w:sz w:val="22"/>
          <w:szCs w:val="22"/>
          <w:lang w:val="sr-Latn-ME"/>
        </w:rPr>
        <w:t>Odjeljenje za farmakovigilancu</w:t>
      </w:r>
    </w:p>
    <w:p w14:paraId="017CBAB5" w14:textId="77777777" w:rsidR="002F3545" w:rsidRPr="00D768EF" w:rsidRDefault="002F3545" w:rsidP="002F3545">
      <w:pPr>
        <w:pStyle w:val="NoSpacing"/>
        <w:jc w:val="both"/>
        <w:rPr>
          <w:rFonts w:eastAsia="Calibri"/>
          <w:sz w:val="22"/>
          <w:szCs w:val="22"/>
          <w:lang w:val="sr-Latn-ME"/>
        </w:rPr>
      </w:pPr>
      <w:r w:rsidRPr="00D768EF">
        <w:rPr>
          <w:rFonts w:eastAsia="Calibri"/>
          <w:sz w:val="22"/>
          <w:szCs w:val="22"/>
          <w:lang w:val="sr-Latn-ME"/>
        </w:rPr>
        <w:t>Bulevar Ivana Crnojevića 64a, 81000 Podgorica</w:t>
      </w:r>
    </w:p>
    <w:p w14:paraId="29137351" w14:textId="77777777" w:rsidR="002F3545" w:rsidRPr="00D768EF" w:rsidRDefault="002F3545" w:rsidP="002F3545">
      <w:pPr>
        <w:pStyle w:val="NoSpacing"/>
        <w:rPr>
          <w:rFonts w:eastAsia="Calibri"/>
          <w:sz w:val="22"/>
          <w:szCs w:val="22"/>
          <w:lang w:val="sr-Latn-ME"/>
        </w:rPr>
      </w:pPr>
    </w:p>
    <w:p w14:paraId="6A3BC1CB" w14:textId="77777777" w:rsidR="002F3545" w:rsidRPr="00D768EF" w:rsidRDefault="002F3545" w:rsidP="002F3545">
      <w:pPr>
        <w:pStyle w:val="NoSpacing"/>
        <w:jc w:val="both"/>
        <w:rPr>
          <w:rFonts w:eastAsia="Calibri"/>
          <w:sz w:val="22"/>
          <w:szCs w:val="22"/>
          <w:lang w:val="sr-Latn-ME"/>
        </w:rPr>
      </w:pPr>
      <w:r w:rsidRPr="00D768EF">
        <w:rPr>
          <w:rFonts w:eastAsia="Calibri"/>
          <w:sz w:val="22"/>
          <w:szCs w:val="22"/>
          <w:lang w:val="sr-Latn-ME"/>
        </w:rPr>
        <w:t>tel: +382 (0) 20 310 280</w:t>
      </w:r>
    </w:p>
    <w:p w14:paraId="11866626" w14:textId="77777777" w:rsidR="002F3545" w:rsidRPr="00D768EF" w:rsidRDefault="002F3545" w:rsidP="002F3545">
      <w:pPr>
        <w:pStyle w:val="NoSpacing"/>
        <w:jc w:val="both"/>
        <w:rPr>
          <w:rFonts w:eastAsia="Calibri"/>
          <w:sz w:val="22"/>
          <w:szCs w:val="22"/>
          <w:lang w:val="sr-Latn-ME"/>
        </w:rPr>
      </w:pPr>
      <w:r w:rsidRPr="00D768EF">
        <w:rPr>
          <w:rFonts w:eastAsia="Calibri"/>
          <w:sz w:val="22"/>
          <w:szCs w:val="22"/>
          <w:lang w:val="sr-Latn-ME"/>
        </w:rPr>
        <w:t>fax: +382 (0) 20 310 581</w:t>
      </w:r>
    </w:p>
    <w:p w14:paraId="6C09700E" w14:textId="77777777" w:rsidR="002F3545" w:rsidRPr="00D768EF" w:rsidRDefault="00083848" w:rsidP="002F3545">
      <w:pPr>
        <w:pStyle w:val="NoSpacing"/>
        <w:jc w:val="both"/>
        <w:rPr>
          <w:rFonts w:eastAsia="Calibri"/>
          <w:sz w:val="22"/>
          <w:szCs w:val="22"/>
          <w:lang w:val="sr-Latn-ME"/>
        </w:rPr>
      </w:pPr>
      <w:hyperlink r:id="rId8" w:history="1">
        <w:r w:rsidR="002F3545" w:rsidRPr="00D768EF">
          <w:rPr>
            <w:rStyle w:val="Hyperlink"/>
            <w:rFonts w:eastAsia="Calibri"/>
            <w:sz w:val="22"/>
            <w:szCs w:val="22"/>
            <w:lang w:val="sr-Latn-ME"/>
          </w:rPr>
          <w:t>www.cinmed.me</w:t>
        </w:r>
      </w:hyperlink>
    </w:p>
    <w:p w14:paraId="411CC864" w14:textId="77777777" w:rsidR="002F3545" w:rsidRPr="00D768EF" w:rsidRDefault="00083848" w:rsidP="002F3545">
      <w:pPr>
        <w:pStyle w:val="NoSpacing"/>
        <w:jc w:val="both"/>
        <w:rPr>
          <w:rFonts w:eastAsia="Calibri"/>
          <w:color w:val="0000FF"/>
          <w:sz w:val="22"/>
          <w:szCs w:val="22"/>
          <w:u w:val="single"/>
          <w:lang w:val="sr-Latn-ME"/>
        </w:rPr>
      </w:pPr>
      <w:hyperlink r:id="rId9" w:history="1">
        <w:r w:rsidR="002F3545" w:rsidRPr="00D768EF">
          <w:rPr>
            <w:rStyle w:val="Hyperlink"/>
            <w:rFonts w:eastAsia="Calibri"/>
            <w:sz w:val="22"/>
            <w:szCs w:val="22"/>
            <w:lang w:val="sr-Latn-ME"/>
          </w:rPr>
          <w:t>nezeljenadejstva@cinmed.me</w:t>
        </w:r>
      </w:hyperlink>
    </w:p>
    <w:p w14:paraId="08406F2F" w14:textId="462B8CAB" w:rsidR="002F3545" w:rsidRDefault="002F3545" w:rsidP="002F3545">
      <w:pPr>
        <w:pStyle w:val="NoSpacing"/>
        <w:jc w:val="both"/>
        <w:rPr>
          <w:rFonts w:eastAsia="Calibri"/>
          <w:sz w:val="22"/>
          <w:szCs w:val="22"/>
          <w:lang w:val="sr-Latn-ME"/>
        </w:rPr>
      </w:pPr>
      <w:r w:rsidRPr="00D768EF">
        <w:rPr>
          <w:rFonts w:eastAsia="Calibri"/>
          <w:sz w:val="22"/>
          <w:szCs w:val="22"/>
          <w:lang w:val="sr-Latn-ME"/>
        </w:rPr>
        <w:t>putem IS zdravstvene zaštite</w:t>
      </w:r>
    </w:p>
    <w:p w14:paraId="0FC04ED8" w14:textId="32713305" w:rsidR="00DA6A33" w:rsidRDefault="00DA6A33" w:rsidP="002F3545">
      <w:pPr>
        <w:pStyle w:val="NoSpacing"/>
        <w:jc w:val="both"/>
        <w:rPr>
          <w:rFonts w:eastAsia="Calibri"/>
          <w:sz w:val="22"/>
          <w:szCs w:val="22"/>
          <w:lang w:val="sr-Latn-ME"/>
        </w:rPr>
      </w:pPr>
    </w:p>
    <w:p w14:paraId="3BBF2500" w14:textId="5D2F1E2B" w:rsidR="00DA6A33" w:rsidRDefault="00DA6A33" w:rsidP="002F3545">
      <w:pPr>
        <w:pStyle w:val="NoSpacing"/>
        <w:jc w:val="both"/>
        <w:rPr>
          <w:rFonts w:eastAsia="Calibri"/>
          <w:sz w:val="22"/>
          <w:szCs w:val="22"/>
          <w:lang w:val="sr-Latn-ME"/>
        </w:rPr>
      </w:pPr>
    </w:p>
    <w:p w14:paraId="73A551C0" w14:textId="55703B2B" w:rsidR="00DA6A33" w:rsidRDefault="00DA6A33" w:rsidP="002F3545">
      <w:pPr>
        <w:pStyle w:val="NoSpacing"/>
        <w:jc w:val="both"/>
        <w:rPr>
          <w:rFonts w:eastAsia="Calibri"/>
          <w:sz w:val="22"/>
          <w:szCs w:val="22"/>
          <w:lang w:val="sr-Latn-ME"/>
        </w:rPr>
      </w:pPr>
    </w:p>
    <w:p w14:paraId="4D9AB643" w14:textId="77777777" w:rsidR="00DA6A33" w:rsidRPr="00D768EF" w:rsidRDefault="00DA6A33" w:rsidP="002F3545">
      <w:pPr>
        <w:pStyle w:val="NoSpacing"/>
        <w:jc w:val="both"/>
        <w:rPr>
          <w:rFonts w:eastAsia="Calibri"/>
          <w:sz w:val="22"/>
          <w:szCs w:val="22"/>
          <w:lang w:val="sr-Latn-ME"/>
        </w:rPr>
      </w:pPr>
    </w:p>
    <w:bookmarkEnd w:id="7"/>
    <w:p w14:paraId="04D75437" w14:textId="77777777" w:rsidR="00440125" w:rsidRPr="00440125" w:rsidRDefault="00440125" w:rsidP="00440125">
      <w:pPr>
        <w:tabs>
          <w:tab w:val="clear" w:pos="284"/>
        </w:tabs>
        <w:jc w:val="left"/>
        <w:rPr>
          <w:szCs w:val="22"/>
          <w:lang w:val="pt-PT"/>
        </w:rPr>
      </w:pPr>
      <w:r w:rsidRPr="00440125">
        <w:rPr>
          <w:szCs w:val="22"/>
          <w:lang w:val="pt-PT"/>
        </w:rPr>
        <w:lastRenderedPageBreak/>
        <w:t>QR kod za online prijavu sumnje na neželjeno dejstvo lijeka:</w:t>
      </w:r>
    </w:p>
    <w:p w14:paraId="53C66951" w14:textId="77777777" w:rsidR="00440125" w:rsidRPr="00440125" w:rsidRDefault="00440125" w:rsidP="00440125">
      <w:pPr>
        <w:tabs>
          <w:tab w:val="clear" w:pos="284"/>
        </w:tabs>
        <w:jc w:val="left"/>
        <w:rPr>
          <w:szCs w:val="22"/>
          <w:lang w:val="pt-PT"/>
        </w:rPr>
      </w:pPr>
    </w:p>
    <w:p w14:paraId="7DC33020" w14:textId="03C19685" w:rsidR="00440125" w:rsidRPr="00440125" w:rsidRDefault="00A44EEF" w:rsidP="00440125">
      <w:pPr>
        <w:tabs>
          <w:tab w:val="clear" w:pos="284"/>
        </w:tabs>
        <w:jc w:val="left"/>
        <w:rPr>
          <w:szCs w:val="22"/>
          <w:lang w:val="pt-PT"/>
        </w:rPr>
      </w:pPr>
      <w:r w:rsidRPr="007F661E">
        <w:rPr>
          <w:b/>
          <w:bCs/>
          <w:noProof/>
          <w:szCs w:val="22"/>
        </w:rPr>
        <w:drawing>
          <wp:inline distT="0" distB="0" distL="0" distR="0" wp14:anchorId="5A229559" wp14:editId="7BC8561D">
            <wp:extent cx="980796" cy="972000"/>
            <wp:effectExtent l="0" t="0" r="0" b="0"/>
            <wp:docPr id="10" name="Picture 9" descr="A qr code on a white background&#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Description automatically generated">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7F0B6DA8" w14:textId="77777777" w:rsidR="002C252A" w:rsidRPr="00D768EF" w:rsidRDefault="002C252A" w:rsidP="002C252A">
      <w:pPr>
        <w:pStyle w:val="Default"/>
        <w:rPr>
          <w:color w:val="auto"/>
          <w:sz w:val="22"/>
          <w:szCs w:val="22"/>
          <w:lang w:val="sr-Latn-ME"/>
        </w:rPr>
      </w:pPr>
    </w:p>
    <w:p w14:paraId="747AC21C" w14:textId="68FAE801" w:rsidR="00CE09F3" w:rsidRPr="00D768EF" w:rsidRDefault="00CE09F3" w:rsidP="00923865">
      <w:pPr>
        <w:rPr>
          <w:b/>
          <w:bCs/>
          <w:szCs w:val="22"/>
          <w:lang w:val="sr-Latn-ME"/>
        </w:rPr>
      </w:pPr>
      <w:r w:rsidRPr="00D768EF">
        <w:rPr>
          <w:b/>
          <w:bCs/>
          <w:szCs w:val="22"/>
          <w:lang w:val="sr-Latn-ME"/>
        </w:rPr>
        <w:t>4.9. Predoziranje</w:t>
      </w:r>
    </w:p>
    <w:p w14:paraId="2475A495" w14:textId="77777777" w:rsidR="00CE09F3" w:rsidRPr="00D768EF" w:rsidRDefault="00CE09F3" w:rsidP="00923865">
      <w:pPr>
        <w:rPr>
          <w:szCs w:val="22"/>
          <w:lang w:val="sr-Latn-ME"/>
        </w:rPr>
      </w:pPr>
    </w:p>
    <w:p w14:paraId="5037BE12" w14:textId="31070433" w:rsidR="00C175E4" w:rsidRDefault="00C175E4" w:rsidP="00C175E4">
      <w:pPr>
        <w:rPr>
          <w:szCs w:val="22"/>
          <w:lang w:val="sr-Latn-ME"/>
        </w:rPr>
      </w:pPr>
      <w:r w:rsidRPr="00D768EF">
        <w:rPr>
          <w:szCs w:val="22"/>
          <w:lang w:val="sr-Latn-ME"/>
        </w:rPr>
        <w:t xml:space="preserve">Nije bilo prijavljenih slučajeva predoziranja. </w:t>
      </w:r>
      <w:r w:rsidR="00D57936" w:rsidRPr="00D768EF">
        <w:rPr>
          <w:szCs w:val="22"/>
          <w:lang w:val="sr-Latn-ME"/>
        </w:rPr>
        <w:t>Primjena</w:t>
      </w:r>
      <w:r w:rsidRPr="00D768EF">
        <w:rPr>
          <w:szCs w:val="22"/>
          <w:lang w:val="sr-Latn-ME"/>
        </w:rPr>
        <w:t xml:space="preserve"> jednokratnih doza do 20 mg/kg nije izazvala toksične efekte.</w:t>
      </w:r>
    </w:p>
    <w:p w14:paraId="7538F67C" w14:textId="77777777" w:rsidR="004A5B01" w:rsidRPr="00D768EF" w:rsidRDefault="004A5B01" w:rsidP="00C175E4">
      <w:pPr>
        <w:rPr>
          <w:color w:val="000000"/>
          <w:szCs w:val="22"/>
          <w:lang w:val="sr-Latn-ME"/>
        </w:rPr>
      </w:pPr>
    </w:p>
    <w:p w14:paraId="05839F7F" w14:textId="3E6EDAE1" w:rsidR="00CE09F3" w:rsidRPr="00D768EF" w:rsidRDefault="00CE09F3" w:rsidP="00923865">
      <w:pPr>
        <w:pStyle w:val="NASLOV123"/>
        <w:rPr>
          <w:lang w:val="sr-Latn-ME"/>
        </w:rPr>
      </w:pPr>
      <w:r w:rsidRPr="00D768EF">
        <w:rPr>
          <w:lang w:val="sr-Latn-ME"/>
        </w:rPr>
        <w:t>5.</w:t>
      </w:r>
      <w:r w:rsidR="00DA6A33">
        <w:rPr>
          <w:lang w:val="sr-Latn-ME"/>
        </w:rPr>
        <w:tab/>
      </w:r>
      <w:r w:rsidRPr="00D768EF">
        <w:rPr>
          <w:lang w:val="sr-Latn-ME"/>
        </w:rPr>
        <w:t xml:space="preserve"> FARMAKOLOŠKI PODACI</w:t>
      </w:r>
    </w:p>
    <w:p w14:paraId="258A6E48" w14:textId="01031E64" w:rsidR="00CE09F3" w:rsidRPr="00D768EF" w:rsidRDefault="00CE09F3" w:rsidP="00923865">
      <w:pPr>
        <w:rPr>
          <w:b/>
          <w:bCs/>
          <w:szCs w:val="22"/>
          <w:lang w:val="sr-Latn-ME"/>
        </w:rPr>
      </w:pPr>
      <w:r w:rsidRPr="00D768EF">
        <w:rPr>
          <w:b/>
          <w:bCs/>
          <w:szCs w:val="22"/>
          <w:lang w:val="sr-Latn-ME"/>
        </w:rPr>
        <w:t>5.1. Farmakodinamski podaci</w:t>
      </w:r>
    </w:p>
    <w:p w14:paraId="4AB57AE6" w14:textId="77777777" w:rsidR="00C175E4" w:rsidRPr="00D768EF" w:rsidRDefault="00C175E4" w:rsidP="00923865">
      <w:pPr>
        <w:rPr>
          <w:b/>
          <w:bCs/>
          <w:szCs w:val="22"/>
          <w:lang w:val="sr-Latn-ME"/>
        </w:rPr>
      </w:pPr>
    </w:p>
    <w:p w14:paraId="2F38B2FB" w14:textId="6B957890" w:rsidR="00CE09F3" w:rsidRPr="00D768EF" w:rsidRDefault="00CE09F3" w:rsidP="00923865">
      <w:pPr>
        <w:rPr>
          <w:b/>
          <w:bCs/>
          <w:szCs w:val="22"/>
          <w:lang w:val="sr-Latn-ME"/>
        </w:rPr>
      </w:pPr>
      <w:r w:rsidRPr="00D768EF">
        <w:rPr>
          <w:b/>
          <w:bCs/>
          <w:szCs w:val="22"/>
          <w:lang w:val="sr-Latn-ME"/>
        </w:rPr>
        <w:t>Farmakoterapijska grupa:</w:t>
      </w:r>
      <w:r w:rsidR="00C175E4" w:rsidRPr="00D768EF">
        <w:rPr>
          <w:color w:val="000000"/>
          <w:szCs w:val="22"/>
          <w:lang w:val="sr-Latn-ME"/>
        </w:rPr>
        <w:t xml:space="preserve"> </w:t>
      </w:r>
      <w:r w:rsidR="00B35E3E" w:rsidRPr="00D768EF">
        <w:rPr>
          <w:color w:val="000000"/>
          <w:szCs w:val="22"/>
          <w:lang w:val="sr-Latn-ME"/>
        </w:rPr>
        <w:t xml:space="preserve">imunosupresivna sredstva; </w:t>
      </w:r>
      <w:r w:rsidR="00C175E4" w:rsidRPr="00D768EF">
        <w:rPr>
          <w:color w:val="000000"/>
          <w:szCs w:val="22"/>
          <w:lang w:val="sr-Latn-ME"/>
        </w:rPr>
        <w:t>inhibitori faktora nekroze tumora alfa (TNF</w:t>
      </w:r>
      <w:r w:rsidR="00C175E4" w:rsidRPr="00D768EF">
        <w:rPr>
          <w:color w:val="000000"/>
          <w:szCs w:val="22"/>
          <w:vertAlign w:val="subscript"/>
          <w:lang w:val="sr-Latn-ME"/>
        </w:rPr>
        <w:sym w:font="Symbol" w:char="F061"/>
      </w:r>
      <w:r w:rsidR="00C175E4" w:rsidRPr="00D768EF">
        <w:rPr>
          <w:color w:val="000000"/>
          <w:szCs w:val="22"/>
          <w:lang w:val="sr-Latn-ME"/>
        </w:rPr>
        <w:t>)</w:t>
      </w:r>
    </w:p>
    <w:p w14:paraId="2D371077" w14:textId="77777777" w:rsidR="00CE09F3" w:rsidRPr="00D768EF" w:rsidRDefault="00CE09F3" w:rsidP="00923865">
      <w:pPr>
        <w:rPr>
          <w:szCs w:val="22"/>
          <w:lang w:val="sr-Latn-ME"/>
        </w:rPr>
      </w:pPr>
    </w:p>
    <w:p w14:paraId="347F716F" w14:textId="513E992C" w:rsidR="00CE09F3" w:rsidRPr="00D768EF" w:rsidRDefault="00CE09F3" w:rsidP="00923865">
      <w:pPr>
        <w:rPr>
          <w:b/>
          <w:bCs/>
          <w:szCs w:val="22"/>
          <w:lang w:val="sr-Latn-ME"/>
        </w:rPr>
      </w:pPr>
      <w:r w:rsidRPr="00D768EF">
        <w:rPr>
          <w:b/>
          <w:bCs/>
          <w:szCs w:val="22"/>
          <w:lang w:val="sr-Latn-ME"/>
        </w:rPr>
        <w:t xml:space="preserve">ATC </w:t>
      </w:r>
      <w:r w:rsidR="000155D7" w:rsidRPr="00D768EF">
        <w:rPr>
          <w:b/>
          <w:bCs/>
          <w:szCs w:val="22"/>
          <w:lang w:val="sr-Latn-ME"/>
        </w:rPr>
        <w:t>kod</w:t>
      </w:r>
      <w:r w:rsidRPr="00D768EF">
        <w:rPr>
          <w:b/>
          <w:bCs/>
          <w:szCs w:val="22"/>
          <w:lang w:val="sr-Latn-ME"/>
        </w:rPr>
        <w:t>:</w:t>
      </w:r>
      <w:r w:rsidR="00C175E4" w:rsidRPr="00D768EF">
        <w:rPr>
          <w:szCs w:val="22"/>
          <w:lang w:val="sr-Latn-ME"/>
        </w:rPr>
        <w:t xml:space="preserve"> L04AB02</w:t>
      </w:r>
    </w:p>
    <w:p w14:paraId="182F7EC0" w14:textId="77777777" w:rsidR="00CE09F3" w:rsidRPr="00D768EF" w:rsidRDefault="00CE09F3" w:rsidP="00923865">
      <w:pPr>
        <w:rPr>
          <w:szCs w:val="22"/>
          <w:lang w:val="sr-Latn-ME"/>
        </w:rPr>
      </w:pPr>
    </w:p>
    <w:p w14:paraId="711E53E7" w14:textId="1644BF95" w:rsidR="00C175E4" w:rsidRPr="00D768EF" w:rsidRDefault="00B35E3E" w:rsidP="00C175E4">
      <w:pPr>
        <w:pStyle w:val="Header"/>
        <w:tabs>
          <w:tab w:val="clear" w:pos="4536"/>
          <w:tab w:val="clear" w:pos="9072"/>
          <w:tab w:val="left" w:pos="284"/>
        </w:tabs>
        <w:rPr>
          <w:szCs w:val="22"/>
          <w:lang w:val="sr-Latn-ME"/>
        </w:rPr>
      </w:pPr>
      <w:r w:rsidRPr="00D768EF">
        <w:rPr>
          <w:szCs w:val="22"/>
          <w:lang w:val="sr-Latn-ME"/>
        </w:rPr>
        <w:t>L</w:t>
      </w:r>
      <w:r w:rsidR="000155D7" w:rsidRPr="00D768EF">
        <w:rPr>
          <w:szCs w:val="22"/>
          <w:lang w:val="sr-Latn-ME"/>
        </w:rPr>
        <w:t>ij</w:t>
      </w:r>
      <w:r w:rsidRPr="00D768EF">
        <w:rPr>
          <w:szCs w:val="22"/>
          <w:lang w:val="sr-Latn-ME"/>
        </w:rPr>
        <w:t xml:space="preserve">ek </w:t>
      </w:r>
      <w:r w:rsidR="00C175E4" w:rsidRPr="00D768EF">
        <w:rPr>
          <w:szCs w:val="22"/>
          <w:lang w:val="sr-Latn-ME"/>
        </w:rPr>
        <w:t>Inflectra je biološki sličan l</w:t>
      </w:r>
      <w:r w:rsidR="00693634" w:rsidRPr="00D768EF">
        <w:rPr>
          <w:szCs w:val="22"/>
          <w:lang w:val="sr-Latn-ME"/>
        </w:rPr>
        <w:t>ij</w:t>
      </w:r>
      <w:r w:rsidR="00C175E4" w:rsidRPr="00D768EF">
        <w:rPr>
          <w:szCs w:val="22"/>
          <w:lang w:val="sr-Latn-ME"/>
        </w:rPr>
        <w:t xml:space="preserve">ek. </w:t>
      </w:r>
    </w:p>
    <w:p w14:paraId="3385C20D" w14:textId="77777777" w:rsidR="00C175E4" w:rsidRPr="00D768EF" w:rsidRDefault="00C175E4" w:rsidP="00AE064D">
      <w:pPr>
        <w:pStyle w:val="Default"/>
        <w:rPr>
          <w:sz w:val="22"/>
          <w:szCs w:val="22"/>
          <w:u w:val="single"/>
          <w:lang w:val="sr-Latn-ME"/>
        </w:rPr>
      </w:pPr>
    </w:p>
    <w:p w14:paraId="2D722D63" w14:textId="6FB188C4" w:rsidR="00C175E4" w:rsidRPr="00D768EF" w:rsidRDefault="00C175E4" w:rsidP="00C175E4">
      <w:pPr>
        <w:rPr>
          <w:i/>
          <w:iCs/>
          <w:color w:val="000000"/>
          <w:szCs w:val="22"/>
          <w:u w:val="single"/>
          <w:lang w:val="sr-Latn-ME"/>
        </w:rPr>
      </w:pPr>
      <w:r w:rsidRPr="00D768EF">
        <w:rPr>
          <w:i/>
          <w:color w:val="000000"/>
          <w:szCs w:val="22"/>
          <w:u w:val="single"/>
          <w:lang w:val="sr-Latn-ME"/>
        </w:rPr>
        <w:t>Mehanizam dejstva</w:t>
      </w:r>
    </w:p>
    <w:p w14:paraId="1043FF71" w14:textId="77777777" w:rsidR="00C175E4" w:rsidRPr="00D768EF" w:rsidRDefault="00C175E4" w:rsidP="00C175E4">
      <w:pPr>
        <w:rPr>
          <w:color w:val="000000"/>
          <w:szCs w:val="22"/>
          <w:lang w:val="sr-Latn-ME"/>
        </w:rPr>
      </w:pPr>
    </w:p>
    <w:p w14:paraId="1BAB48AD" w14:textId="77777777" w:rsidR="00C175E4" w:rsidRPr="00D768EF" w:rsidRDefault="00C175E4" w:rsidP="00C175E4">
      <w:pPr>
        <w:rPr>
          <w:color w:val="000000"/>
          <w:szCs w:val="22"/>
          <w:lang w:val="sr-Latn-ME"/>
        </w:rPr>
      </w:pPr>
      <w:r w:rsidRPr="00D768EF">
        <w:rPr>
          <w:color w:val="000000"/>
          <w:szCs w:val="22"/>
          <w:lang w:val="sr-Latn-ME"/>
        </w:rPr>
        <w:t>Infliksimab je</w:t>
      </w:r>
      <w:r w:rsidRPr="00D768EF">
        <w:rPr>
          <w:szCs w:val="22"/>
          <w:lang w:val="sr-Latn-ME"/>
        </w:rPr>
        <w:t xml:space="preserve"> </w:t>
      </w:r>
      <w:r w:rsidRPr="00D768EF">
        <w:rPr>
          <w:color w:val="000000"/>
          <w:szCs w:val="22"/>
          <w:lang w:val="sr-Latn-ME"/>
        </w:rPr>
        <w:t xml:space="preserve">himerno humano-mišje monoklonsko </w:t>
      </w:r>
      <w:r w:rsidR="00220982" w:rsidRPr="00D768EF">
        <w:rPr>
          <w:color w:val="000000"/>
          <w:szCs w:val="22"/>
          <w:lang w:val="sr-Latn-ME"/>
        </w:rPr>
        <w:t>antitijel</w:t>
      </w:r>
      <w:r w:rsidRPr="00D768EF">
        <w:rPr>
          <w:color w:val="000000"/>
          <w:szCs w:val="22"/>
          <w:lang w:val="sr-Latn-ME"/>
        </w:rPr>
        <w:t>o koje se sa visokim afinitetom vezuje kako za solubilne tako i za transmembranske oblike TNF</w:t>
      </w:r>
      <w:r w:rsidRPr="00D768EF">
        <w:rPr>
          <w:color w:val="000000"/>
          <w:szCs w:val="22"/>
          <w:vertAlign w:val="subscript"/>
          <w:lang w:val="sr-Latn-ME"/>
        </w:rPr>
        <w:sym w:font="Symbol" w:char="F061"/>
      </w:r>
      <w:r w:rsidRPr="00D768EF">
        <w:rPr>
          <w:color w:val="000000"/>
          <w:szCs w:val="22"/>
          <w:vertAlign w:val="subscript"/>
          <w:lang w:val="sr-Latn-ME"/>
        </w:rPr>
        <w:t>,</w:t>
      </w:r>
      <w:r w:rsidRPr="00D768EF">
        <w:rPr>
          <w:color w:val="000000"/>
          <w:szCs w:val="22"/>
          <w:lang w:val="sr-Latn-ME"/>
        </w:rPr>
        <w:t xml:space="preserve"> ali ne i za limfotoksin </w:t>
      </w:r>
      <w:r w:rsidRPr="00D768EF">
        <w:rPr>
          <w:color w:val="000000"/>
          <w:szCs w:val="22"/>
          <w:lang w:val="sr-Latn-ME"/>
        </w:rPr>
        <w:sym w:font="Symbol" w:char="F061"/>
      </w:r>
      <w:r w:rsidRPr="00D768EF">
        <w:rPr>
          <w:color w:val="000000"/>
          <w:szCs w:val="22"/>
          <w:lang w:val="sr-Latn-ME"/>
        </w:rPr>
        <w:t xml:space="preserve"> (TNF</w:t>
      </w:r>
      <w:r w:rsidRPr="00D768EF">
        <w:rPr>
          <w:color w:val="000000"/>
          <w:szCs w:val="22"/>
          <w:vertAlign w:val="subscript"/>
          <w:lang w:val="sr-Latn-ME"/>
        </w:rPr>
        <w:t>ß</w:t>
      </w:r>
      <w:r w:rsidRPr="00D768EF">
        <w:rPr>
          <w:color w:val="000000"/>
          <w:szCs w:val="22"/>
          <w:lang w:val="sr-Latn-ME"/>
        </w:rPr>
        <w:t xml:space="preserve">). </w:t>
      </w:r>
    </w:p>
    <w:p w14:paraId="150FD849" w14:textId="77777777" w:rsidR="00C175E4" w:rsidRPr="00D768EF" w:rsidRDefault="00C175E4" w:rsidP="00C175E4">
      <w:pPr>
        <w:rPr>
          <w:color w:val="000000"/>
          <w:szCs w:val="22"/>
          <w:lang w:val="sr-Latn-ME"/>
        </w:rPr>
      </w:pPr>
    </w:p>
    <w:p w14:paraId="1BE92E48" w14:textId="77777777" w:rsidR="00C175E4" w:rsidRPr="00D768EF" w:rsidRDefault="00C175E4" w:rsidP="00C175E4">
      <w:pPr>
        <w:rPr>
          <w:i/>
          <w:color w:val="000000"/>
          <w:szCs w:val="22"/>
          <w:u w:val="single"/>
          <w:lang w:val="sr-Latn-ME"/>
        </w:rPr>
      </w:pPr>
      <w:r w:rsidRPr="00D768EF">
        <w:rPr>
          <w:i/>
          <w:color w:val="000000"/>
          <w:szCs w:val="22"/>
          <w:u w:val="single"/>
          <w:lang w:val="sr-Latn-ME"/>
        </w:rPr>
        <w:t>Farmakodinamsko dejstvo</w:t>
      </w:r>
    </w:p>
    <w:p w14:paraId="5BA137C0" w14:textId="77777777" w:rsidR="00C175E4" w:rsidRPr="00D768EF" w:rsidRDefault="00C175E4" w:rsidP="00C175E4">
      <w:pPr>
        <w:rPr>
          <w:color w:val="000000"/>
          <w:szCs w:val="22"/>
          <w:lang w:val="sr-Latn-ME"/>
        </w:rPr>
      </w:pPr>
    </w:p>
    <w:p w14:paraId="52E4B869" w14:textId="1AD07EAC" w:rsidR="00C175E4" w:rsidRPr="00D768EF" w:rsidRDefault="00C175E4" w:rsidP="00C175E4">
      <w:pPr>
        <w:rPr>
          <w:color w:val="000000"/>
          <w:szCs w:val="22"/>
          <w:lang w:val="sr-Latn-ME"/>
        </w:rPr>
      </w:pPr>
      <w:r w:rsidRPr="00D768EF">
        <w:rPr>
          <w:color w:val="000000"/>
          <w:szCs w:val="22"/>
          <w:lang w:val="sr-Latn-ME"/>
        </w:rPr>
        <w:t>Infliksimab inhibira funkcionalnu aktivnost TNF</w:t>
      </w:r>
      <w:r w:rsidRPr="00D768EF">
        <w:rPr>
          <w:color w:val="000000"/>
          <w:szCs w:val="22"/>
          <w:vertAlign w:val="subscript"/>
          <w:lang w:val="sr-Latn-ME"/>
        </w:rPr>
        <w:sym w:font="Symbol" w:char="F061"/>
      </w:r>
      <w:r w:rsidRPr="00D768EF">
        <w:rPr>
          <w:color w:val="000000"/>
          <w:szCs w:val="22"/>
          <w:lang w:val="sr-Latn-ME"/>
        </w:rPr>
        <w:t xml:space="preserve"> u velikom broju </w:t>
      </w:r>
      <w:r w:rsidRPr="00D768EF">
        <w:rPr>
          <w:i/>
          <w:color w:val="000000"/>
          <w:szCs w:val="22"/>
          <w:lang w:val="sr-Latn-ME"/>
        </w:rPr>
        <w:t xml:space="preserve">in vitro </w:t>
      </w:r>
      <w:r w:rsidRPr="00D768EF">
        <w:rPr>
          <w:color w:val="000000"/>
          <w:szCs w:val="22"/>
          <w:lang w:val="sr-Latn-ME"/>
        </w:rPr>
        <w:t>biotestova. Infliksimab je spr</w:t>
      </w:r>
      <w:r w:rsidR="00693634" w:rsidRPr="00D768EF">
        <w:rPr>
          <w:color w:val="000000"/>
          <w:szCs w:val="22"/>
          <w:lang w:val="sr-Latn-ME"/>
        </w:rPr>
        <w:t>ij</w:t>
      </w:r>
      <w:r w:rsidRPr="00D768EF">
        <w:rPr>
          <w:color w:val="000000"/>
          <w:szCs w:val="22"/>
          <w:lang w:val="sr-Latn-ME"/>
        </w:rPr>
        <w:t>ečio oboljenje kod transgenih miševa kod kojih se razvio poliartritis kao posl</w:t>
      </w:r>
      <w:r w:rsidR="00CF5D59">
        <w:rPr>
          <w:color w:val="000000"/>
          <w:szCs w:val="22"/>
          <w:lang w:val="sr-Latn-ME"/>
        </w:rPr>
        <w:t>j</w:t>
      </w:r>
      <w:r w:rsidRPr="00D768EF">
        <w:rPr>
          <w:color w:val="000000"/>
          <w:szCs w:val="22"/>
          <w:lang w:val="sr-Latn-ME"/>
        </w:rPr>
        <w:t>edica konstitutivne ekspresije humanog TNF</w:t>
      </w:r>
      <w:r w:rsidRPr="00D768EF">
        <w:rPr>
          <w:color w:val="000000"/>
          <w:szCs w:val="22"/>
          <w:vertAlign w:val="subscript"/>
          <w:lang w:val="sr-Latn-ME"/>
        </w:rPr>
        <w:sym w:font="Symbol" w:char="F061"/>
      </w:r>
      <w:r w:rsidRPr="00D768EF">
        <w:rPr>
          <w:color w:val="000000"/>
          <w:szCs w:val="22"/>
          <w:vertAlign w:val="subscript"/>
          <w:lang w:val="sr-Latn-ME"/>
        </w:rPr>
        <w:t>,</w:t>
      </w:r>
      <w:r w:rsidRPr="00D768EF">
        <w:rPr>
          <w:color w:val="000000"/>
          <w:szCs w:val="22"/>
          <w:lang w:val="sr-Latn-ME"/>
        </w:rPr>
        <w:t xml:space="preserve"> a kada je prim</w:t>
      </w:r>
      <w:r w:rsidR="00126595" w:rsidRPr="00D768EF">
        <w:rPr>
          <w:color w:val="000000"/>
          <w:szCs w:val="22"/>
          <w:lang w:val="sr-Latn-ME"/>
        </w:rPr>
        <w:t>ij</w:t>
      </w:r>
      <w:r w:rsidRPr="00D768EF">
        <w:rPr>
          <w:color w:val="000000"/>
          <w:szCs w:val="22"/>
          <w:lang w:val="sr-Latn-ME"/>
        </w:rPr>
        <w:t xml:space="preserve">enjen nakon početka bolesti, omogućio je zarastanje erodiranih zglobova. </w:t>
      </w:r>
      <w:r w:rsidRPr="00D768EF">
        <w:rPr>
          <w:i/>
          <w:color w:val="000000"/>
          <w:szCs w:val="22"/>
          <w:lang w:val="sr-Latn-ME"/>
        </w:rPr>
        <w:t>In vivo</w:t>
      </w:r>
      <w:r w:rsidRPr="00D768EF">
        <w:rPr>
          <w:color w:val="000000"/>
          <w:szCs w:val="22"/>
          <w:lang w:val="sr-Latn-ME"/>
        </w:rPr>
        <w:t>, infliksimab brzo stvara stabilne komplekse sa humanim TNF</w:t>
      </w:r>
      <w:r w:rsidRPr="00D768EF">
        <w:rPr>
          <w:color w:val="000000"/>
          <w:szCs w:val="22"/>
          <w:vertAlign w:val="subscript"/>
          <w:lang w:val="sr-Latn-ME"/>
        </w:rPr>
        <w:sym w:font="Symbol" w:char="F061"/>
      </w:r>
      <w:r w:rsidRPr="00D768EF">
        <w:rPr>
          <w:color w:val="000000"/>
          <w:szCs w:val="22"/>
          <w:lang w:val="sr-Latn-ME"/>
        </w:rPr>
        <w:t>, što je proces koji se odvija paralelno sa gubitkom bioaktivnosti TNF</w:t>
      </w:r>
      <w:r w:rsidRPr="00D768EF">
        <w:rPr>
          <w:color w:val="000000"/>
          <w:szCs w:val="22"/>
          <w:vertAlign w:val="subscript"/>
          <w:lang w:val="sr-Latn-ME"/>
        </w:rPr>
        <w:sym w:font="Symbol" w:char="F061"/>
      </w:r>
      <w:r w:rsidRPr="00D768EF">
        <w:rPr>
          <w:color w:val="000000"/>
          <w:szCs w:val="22"/>
          <w:vertAlign w:val="subscript"/>
          <w:lang w:val="sr-Latn-ME"/>
        </w:rPr>
        <w:t xml:space="preserve"> </w:t>
      </w:r>
      <w:r w:rsidRPr="00D768EF">
        <w:rPr>
          <w:color w:val="000000"/>
          <w:szCs w:val="22"/>
          <w:lang w:val="sr-Latn-ME"/>
        </w:rPr>
        <w:t>.</w:t>
      </w:r>
    </w:p>
    <w:p w14:paraId="2B83710F" w14:textId="77777777" w:rsidR="00C175E4" w:rsidRPr="00D768EF" w:rsidRDefault="00C175E4" w:rsidP="00C175E4">
      <w:pPr>
        <w:rPr>
          <w:color w:val="000000"/>
          <w:szCs w:val="22"/>
          <w:lang w:val="sr-Latn-ME"/>
        </w:rPr>
      </w:pPr>
    </w:p>
    <w:p w14:paraId="6C9508EA" w14:textId="6F102286" w:rsidR="00C175E4" w:rsidRPr="00D768EF" w:rsidRDefault="00C175E4" w:rsidP="00C175E4">
      <w:pPr>
        <w:tabs>
          <w:tab w:val="left" w:pos="567"/>
        </w:tabs>
        <w:rPr>
          <w:color w:val="000000"/>
          <w:szCs w:val="22"/>
          <w:lang w:val="sr-Latn-ME"/>
        </w:rPr>
      </w:pPr>
      <w:r w:rsidRPr="00D768EF">
        <w:rPr>
          <w:color w:val="000000"/>
          <w:szCs w:val="22"/>
          <w:lang w:val="sr-Latn-ME"/>
        </w:rPr>
        <w:t>Povišene koncentracije TNF</w:t>
      </w:r>
      <w:r w:rsidRPr="00D768EF">
        <w:rPr>
          <w:color w:val="000000"/>
          <w:szCs w:val="22"/>
          <w:vertAlign w:val="subscript"/>
          <w:lang w:val="sr-Latn-ME"/>
        </w:rPr>
        <w:sym w:font="Symbol" w:char="F061"/>
      </w:r>
      <w:r w:rsidRPr="00D768EF">
        <w:rPr>
          <w:color w:val="000000"/>
          <w:szCs w:val="22"/>
          <w:lang w:val="sr-Latn-ME"/>
        </w:rPr>
        <w:t xml:space="preserve"> otkrivene su u zglobovima pacijenata sa reumatoidnim artritisom i povezane su sa povećanom aktivnošću bolesti. Tokom </w:t>
      </w:r>
      <w:r w:rsidR="00D57936" w:rsidRPr="00D768EF">
        <w:rPr>
          <w:color w:val="000000"/>
          <w:szCs w:val="22"/>
          <w:lang w:val="sr-Latn-ME"/>
        </w:rPr>
        <w:t>liječe</w:t>
      </w:r>
      <w:r w:rsidRPr="00D768EF">
        <w:rPr>
          <w:color w:val="000000"/>
          <w:szCs w:val="22"/>
          <w:lang w:val="sr-Latn-ME"/>
        </w:rPr>
        <w:t>nja reumatoidnog artritisa infliksimabom smanjila se infiltracija inflamatornih ćelija u područjima upale zgloba, kao i ekspresija molekula koji posreduju u ćelijskoj adheziji, hemoatrakciji i degradaciji tkiva. Posl</w:t>
      </w:r>
      <w:r w:rsidR="00CF5D59">
        <w:rPr>
          <w:color w:val="000000"/>
          <w:szCs w:val="22"/>
          <w:lang w:val="sr-Latn-ME"/>
        </w:rPr>
        <w:t>ij</w:t>
      </w:r>
      <w:r w:rsidRPr="00D768EF">
        <w:rPr>
          <w:color w:val="000000"/>
          <w:szCs w:val="22"/>
          <w:lang w:val="sr-Latn-ME"/>
        </w:rPr>
        <w:t xml:space="preserve">e </w:t>
      </w:r>
      <w:r w:rsidR="00D57936" w:rsidRPr="00D768EF">
        <w:rPr>
          <w:color w:val="000000"/>
          <w:szCs w:val="22"/>
          <w:lang w:val="sr-Latn-ME"/>
        </w:rPr>
        <w:t>liječe</w:t>
      </w:r>
      <w:r w:rsidRPr="00D768EF">
        <w:rPr>
          <w:color w:val="000000"/>
          <w:szCs w:val="22"/>
          <w:lang w:val="sr-Latn-ME"/>
        </w:rPr>
        <w:t>nja infliksimabom, pacijenti su imali snižene nivoe serumskog interleukina 6 (IL</w:t>
      </w:r>
      <w:r w:rsidRPr="00D768EF">
        <w:rPr>
          <w:color w:val="000000"/>
          <w:szCs w:val="22"/>
          <w:lang w:val="sr-Latn-ME"/>
        </w:rPr>
        <w:noBreakHyphen/>
        <w:t>6) i C</w:t>
      </w:r>
      <w:r w:rsidRPr="00D768EF">
        <w:rPr>
          <w:color w:val="000000"/>
          <w:szCs w:val="22"/>
          <w:lang w:val="sr-Latn-ME"/>
        </w:rPr>
        <w:noBreakHyphen/>
        <w:t xml:space="preserve">reaktivnog proteina (CRP) u odnosu na </w:t>
      </w:r>
      <w:r w:rsidR="008A0A5C" w:rsidRPr="00D768EF">
        <w:rPr>
          <w:color w:val="000000"/>
          <w:szCs w:val="22"/>
          <w:lang w:val="sr-Latn-ME"/>
        </w:rPr>
        <w:t>vrijedno</w:t>
      </w:r>
      <w:r w:rsidRPr="00D768EF">
        <w:rPr>
          <w:color w:val="000000"/>
          <w:szCs w:val="22"/>
          <w:lang w:val="sr-Latn-ME"/>
        </w:rPr>
        <w:t xml:space="preserve">sti na početku </w:t>
      </w:r>
      <w:r w:rsidR="00D57936" w:rsidRPr="00D768EF">
        <w:rPr>
          <w:color w:val="000000"/>
          <w:szCs w:val="22"/>
          <w:lang w:val="sr-Latn-ME"/>
        </w:rPr>
        <w:t>liječe</w:t>
      </w:r>
      <w:r w:rsidRPr="00D768EF">
        <w:rPr>
          <w:color w:val="000000"/>
          <w:szCs w:val="22"/>
          <w:lang w:val="sr-Latn-ME"/>
        </w:rPr>
        <w:t>nja</w:t>
      </w:r>
      <w:r w:rsidRPr="00D768EF">
        <w:rPr>
          <w:b/>
          <w:bCs/>
          <w:color w:val="000000"/>
          <w:szCs w:val="22"/>
          <w:lang w:val="sr-Latn-ME"/>
        </w:rPr>
        <w:t xml:space="preserve">, </w:t>
      </w:r>
      <w:r w:rsidRPr="00D768EF">
        <w:rPr>
          <w:color w:val="000000"/>
          <w:szCs w:val="22"/>
          <w:lang w:val="sr-Latn-ME"/>
        </w:rPr>
        <w:t>dok je kod pacijenata sa reumatoidnim artritisom i sniženim niv</w:t>
      </w:r>
      <w:r w:rsidR="00220982" w:rsidRPr="00D768EF">
        <w:rPr>
          <w:color w:val="000000"/>
          <w:szCs w:val="22"/>
          <w:lang w:val="sr-Latn-ME"/>
        </w:rPr>
        <w:t>o</w:t>
      </w:r>
      <w:r w:rsidRPr="00D768EF">
        <w:rPr>
          <w:color w:val="000000"/>
          <w:szCs w:val="22"/>
          <w:lang w:val="sr-Latn-ME"/>
        </w:rPr>
        <w:t xml:space="preserve">om hemoglobina na početku </w:t>
      </w:r>
      <w:r w:rsidR="00D57936" w:rsidRPr="00D768EF">
        <w:rPr>
          <w:color w:val="000000"/>
          <w:szCs w:val="22"/>
          <w:lang w:val="sr-Latn-ME"/>
        </w:rPr>
        <w:t>liječe</w:t>
      </w:r>
      <w:r w:rsidRPr="00D768EF">
        <w:rPr>
          <w:color w:val="000000"/>
          <w:szCs w:val="22"/>
          <w:lang w:val="sr-Latn-ME"/>
        </w:rPr>
        <w:t>nja došlo do povišenja nivoa hemoglobina. U odnosu na ćelije ne</w:t>
      </w:r>
      <w:r w:rsidR="00D57936" w:rsidRPr="00D768EF">
        <w:rPr>
          <w:color w:val="000000"/>
          <w:szCs w:val="22"/>
          <w:lang w:val="sr-Latn-ME"/>
        </w:rPr>
        <w:t>liječe</w:t>
      </w:r>
      <w:r w:rsidRPr="00D768EF">
        <w:rPr>
          <w:color w:val="000000"/>
          <w:szCs w:val="22"/>
          <w:lang w:val="sr-Latn-ME"/>
        </w:rPr>
        <w:t>nih pacijenata</w:t>
      </w:r>
      <w:r w:rsidR="00B35E3E" w:rsidRPr="00D768EF">
        <w:rPr>
          <w:color w:val="000000"/>
          <w:szCs w:val="22"/>
          <w:lang w:val="sr-Latn-ME"/>
        </w:rPr>
        <w:t>,</w:t>
      </w:r>
      <w:r w:rsidRPr="00D768EF">
        <w:rPr>
          <w:color w:val="000000"/>
          <w:szCs w:val="22"/>
          <w:lang w:val="sr-Latn-ME"/>
        </w:rPr>
        <w:t xml:space="preserve"> nije uočeno značajno smanjenje broja </w:t>
      </w:r>
      <w:r w:rsidR="00B35E3E" w:rsidRPr="00D768EF">
        <w:rPr>
          <w:color w:val="000000"/>
          <w:szCs w:val="22"/>
          <w:lang w:val="sr-Latn-ME"/>
        </w:rPr>
        <w:t xml:space="preserve">limfocita u perifernoj krvi </w:t>
      </w:r>
      <w:r w:rsidRPr="00D768EF">
        <w:rPr>
          <w:color w:val="000000"/>
          <w:szCs w:val="22"/>
          <w:lang w:val="sr-Latn-ME"/>
        </w:rPr>
        <w:t xml:space="preserve">ili </w:t>
      </w:r>
      <w:r w:rsidR="00B35E3E" w:rsidRPr="00D768EF">
        <w:rPr>
          <w:color w:val="000000"/>
          <w:szCs w:val="22"/>
          <w:lang w:val="sr-Latn-ME"/>
        </w:rPr>
        <w:t xml:space="preserve">njihovog </w:t>
      </w:r>
      <w:r w:rsidRPr="00D768EF">
        <w:rPr>
          <w:color w:val="000000"/>
          <w:szCs w:val="22"/>
          <w:lang w:val="sr-Latn-ME"/>
        </w:rPr>
        <w:t xml:space="preserve">proliferativnog odgovora </w:t>
      </w:r>
      <w:r w:rsidR="00B35E3E" w:rsidRPr="00D768EF">
        <w:rPr>
          <w:color w:val="000000"/>
          <w:szCs w:val="22"/>
          <w:lang w:val="sr-Latn-ME"/>
        </w:rPr>
        <w:t xml:space="preserve">na </w:t>
      </w:r>
      <w:r w:rsidRPr="00D768EF">
        <w:rPr>
          <w:i/>
          <w:color w:val="000000"/>
          <w:szCs w:val="22"/>
          <w:lang w:val="sr-Latn-ME"/>
        </w:rPr>
        <w:t>in</w:t>
      </w:r>
      <w:r w:rsidRPr="00D768EF">
        <w:rPr>
          <w:color w:val="000000"/>
          <w:szCs w:val="22"/>
          <w:lang w:val="sr-Latn-ME"/>
        </w:rPr>
        <w:t xml:space="preserve"> </w:t>
      </w:r>
      <w:r w:rsidRPr="00D768EF">
        <w:rPr>
          <w:i/>
          <w:color w:val="000000"/>
          <w:szCs w:val="22"/>
          <w:lang w:val="sr-Latn-ME"/>
        </w:rPr>
        <w:t>vitro</w:t>
      </w:r>
      <w:r w:rsidRPr="00D768EF">
        <w:rPr>
          <w:color w:val="000000"/>
          <w:szCs w:val="22"/>
          <w:lang w:val="sr-Latn-ME"/>
        </w:rPr>
        <w:t xml:space="preserve"> mitogen</w:t>
      </w:r>
      <w:r w:rsidR="00B35E3E" w:rsidRPr="00D768EF">
        <w:rPr>
          <w:color w:val="000000"/>
          <w:szCs w:val="22"/>
          <w:lang w:val="sr-Latn-ME"/>
        </w:rPr>
        <w:t>u</w:t>
      </w:r>
      <w:r w:rsidRPr="00D768EF">
        <w:rPr>
          <w:color w:val="000000"/>
          <w:szCs w:val="22"/>
          <w:lang w:val="sr-Latn-ME"/>
        </w:rPr>
        <w:t xml:space="preserve"> stimulacij</w:t>
      </w:r>
      <w:r w:rsidR="00B35E3E" w:rsidRPr="00D768EF">
        <w:rPr>
          <w:color w:val="000000"/>
          <w:szCs w:val="22"/>
          <w:lang w:val="sr-Latn-ME"/>
        </w:rPr>
        <w:t>u</w:t>
      </w:r>
      <w:r w:rsidRPr="00D768EF">
        <w:rPr>
          <w:color w:val="000000"/>
          <w:szCs w:val="22"/>
          <w:lang w:val="sr-Latn-ME"/>
        </w:rPr>
        <w:t xml:space="preserve">. Kod pacijenata sa psorijazom, </w:t>
      </w:r>
      <w:r w:rsidR="00D57936" w:rsidRPr="00D768EF">
        <w:rPr>
          <w:color w:val="000000"/>
          <w:szCs w:val="22"/>
          <w:lang w:val="sr-Latn-ME"/>
        </w:rPr>
        <w:t>liječe</w:t>
      </w:r>
      <w:r w:rsidRPr="00D768EF">
        <w:rPr>
          <w:color w:val="000000"/>
          <w:szCs w:val="22"/>
          <w:lang w:val="sr-Latn-ME"/>
        </w:rPr>
        <w:t xml:space="preserve">nje infliksimabom dovelo je do smanjenja inflamacije epiderma i normalizacije diferencijacije keratinocita u psorijatičnim plakovima. Kod psorijatičnog artritisa, kratkoročno </w:t>
      </w:r>
      <w:r w:rsidR="00D57936" w:rsidRPr="00D768EF">
        <w:rPr>
          <w:color w:val="000000"/>
          <w:szCs w:val="22"/>
          <w:lang w:val="sr-Latn-ME"/>
        </w:rPr>
        <w:t>liječe</w:t>
      </w:r>
      <w:r w:rsidRPr="00D768EF">
        <w:rPr>
          <w:color w:val="000000"/>
          <w:szCs w:val="22"/>
          <w:lang w:val="sr-Latn-ME"/>
        </w:rPr>
        <w:t xml:space="preserve">nje infliksimabom smanjilo je broj T-ćelija i krvnih sudova u sinovijalnoj membrani </w:t>
      </w:r>
      <w:r w:rsidR="00B35E3E" w:rsidRPr="00D768EF">
        <w:rPr>
          <w:color w:val="000000"/>
          <w:szCs w:val="22"/>
          <w:lang w:val="sr-Latn-ME"/>
        </w:rPr>
        <w:t xml:space="preserve">i </w:t>
      </w:r>
      <w:r w:rsidRPr="00D768EF">
        <w:rPr>
          <w:color w:val="000000"/>
          <w:szCs w:val="22"/>
          <w:lang w:val="sr-Latn-ME"/>
        </w:rPr>
        <w:t>koži zahvaćenoj psorijazom.</w:t>
      </w:r>
    </w:p>
    <w:p w14:paraId="2C83E940" w14:textId="77777777" w:rsidR="00C175E4" w:rsidRPr="00D768EF" w:rsidRDefault="00C175E4" w:rsidP="00C175E4">
      <w:pPr>
        <w:rPr>
          <w:color w:val="000000"/>
          <w:szCs w:val="22"/>
          <w:lang w:val="sr-Latn-ME"/>
        </w:rPr>
      </w:pPr>
    </w:p>
    <w:p w14:paraId="5B9819FC" w14:textId="72B24EED" w:rsidR="00C175E4" w:rsidRPr="00D768EF" w:rsidRDefault="00C175E4" w:rsidP="00C175E4">
      <w:pPr>
        <w:rPr>
          <w:iCs/>
          <w:color w:val="000000"/>
          <w:szCs w:val="22"/>
          <w:lang w:val="sr-Latn-ME"/>
        </w:rPr>
      </w:pPr>
      <w:r w:rsidRPr="00D768EF">
        <w:rPr>
          <w:color w:val="000000"/>
          <w:szCs w:val="22"/>
          <w:lang w:val="sr-Latn-ME"/>
        </w:rPr>
        <w:t>Histološkom analizom uzoraka kolona uzetih biopsijom pr</w:t>
      </w:r>
      <w:r w:rsidR="00693634" w:rsidRPr="00D768EF">
        <w:rPr>
          <w:color w:val="000000"/>
          <w:szCs w:val="22"/>
          <w:lang w:val="sr-Latn-ME"/>
        </w:rPr>
        <w:t>ij</w:t>
      </w:r>
      <w:r w:rsidRPr="00D768EF">
        <w:rPr>
          <w:color w:val="000000"/>
          <w:szCs w:val="22"/>
          <w:lang w:val="sr-Latn-ME"/>
        </w:rPr>
        <w:t xml:space="preserve">e i 4 </w:t>
      </w:r>
      <w:r w:rsidR="00D57936" w:rsidRPr="00D768EF">
        <w:rPr>
          <w:color w:val="000000"/>
          <w:szCs w:val="22"/>
          <w:lang w:val="sr-Latn-ME"/>
        </w:rPr>
        <w:t>nedjelj</w:t>
      </w:r>
      <w:r w:rsidRPr="00D768EF">
        <w:rPr>
          <w:color w:val="000000"/>
          <w:szCs w:val="22"/>
          <w:lang w:val="sr-Latn-ME"/>
        </w:rPr>
        <w:t>e posl</w:t>
      </w:r>
      <w:r w:rsidR="00CF5D59">
        <w:rPr>
          <w:color w:val="000000"/>
          <w:szCs w:val="22"/>
          <w:lang w:val="sr-Latn-ME"/>
        </w:rPr>
        <w:t>ij</w:t>
      </w:r>
      <w:r w:rsidRPr="00D768EF">
        <w:rPr>
          <w:color w:val="000000"/>
          <w:szCs w:val="22"/>
          <w:lang w:val="sr-Latn-ME"/>
        </w:rPr>
        <w:t>e prim</w:t>
      </w:r>
      <w:r w:rsidR="00126595" w:rsidRPr="00D768EF">
        <w:rPr>
          <w:color w:val="000000"/>
          <w:szCs w:val="22"/>
          <w:lang w:val="sr-Latn-ME"/>
        </w:rPr>
        <w:t>j</w:t>
      </w:r>
      <w:r w:rsidRPr="00D768EF">
        <w:rPr>
          <w:color w:val="000000"/>
          <w:szCs w:val="22"/>
          <w:lang w:val="sr-Latn-ME"/>
        </w:rPr>
        <w:t>ene infliksimaba, utvrđeno je značajno smanjenje m</w:t>
      </w:r>
      <w:r w:rsidR="009E46CC" w:rsidRPr="00D768EF">
        <w:rPr>
          <w:color w:val="000000"/>
          <w:szCs w:val="22"/>
          <w:lang w:val="sr-Latn-ME"/>
        </w:rPr>
        <w:t>j</w:t>
      </w:r>
      <w:r w:rsidRPr="00D768EF">
        <w:rPr>
          <w:color w:val="000000"/>
          <w:szCs w:val="22"/>
          <w:lang w:val="sr-Latn-ME"/>
        </w:rPr>
        <w:t>erljivog TNF</w:t>
      </w:r>
      <w:r w:rsidRPr="00D768EF">
        <w:rPr>
          <w:color w:val="000000"/>
          <w:szCs w:val="22"/>
          <w:vertAlign w:val="subscript"/>
          <w:lang w:val="sr-Latn-ME"/>
        </w:rPr>
        <w:sym w:font="Symbol" w:char="F061"/>
      </w:r>
      <w:r w:rsidRPr="00D768EF">
        <w:rPr>
          <w:color w:val="000000"/>
          <w:szCs w:val="22"/>
          <w:lang w:val="sr-Latn-ME"/>
        </w:rPr>
        <w:t xml:space="preserve">. Takođe, </w:t>
      </w:r>
      <w:r w:rsidR="00D57936" w:rsidRPr="00D768EF">
        <w:rPr>
          <w:color w:val="000000"/>
          <w:szCs w:val="22"/>
          <w:lang w:val="sr-Latn-ME"/>
        </w:rPr>
        <w:t>primjena</w:t>
      </w:r>
      <w:r w:rsidRPr="00D768EF">
        <w:rPr>
          <w:color w:val="000000"/>
          <w:szCs w:val="22"/>
          <w:lang w:val="sr-Latn-ME"/>
        </w:rPr>
        <w:t xml:space="preserve"> infliksimaba kod pacijenata sa Kronovom bolešću dovodi se u vezu sa značajnim smanjenjem uobičajeno povišenih </w:t>
      </w:r>
      <w:r w:rsidR="008A0A5C" w:rsidRPr="00D768EF">
        <w:rPr>
          <w:color w:val="000000"/>
          <w:szCs w:val="22"/>
          <w:lang w:val="sr-Latn-ME"/>
        </w:rPr>
        <w:t>vrijedno</w:t>
      </w:r>
      <w:r w:rsidRPr="00D768EF">
        <w:rPr>
          <w:color w:val="000000"/>
          <w:szCs w:val="22"/>
          <w:lang w:val="sr-Latn-ME"/>
        </w:rPr>
        <w:t xml:space="preserve">sti </w:t>
      </w:r>
      <w:r w:rsidRPr="00D768EF">
        <w:rPr>
          <w:color w:val="000000"/>
          <w:szCs w:val="22"/>
          <w:lang w:val="sr-Latn-ME"/>
        </w:rPr>
        <w:lastRenderedPageBreak/>
        <w:t>serumskog inflamatornog markera, CRP-a. Kod pacijenata koji su primali infliksimab, ukupan broj perifernih b</w:t>
      </w:r>
      <w:r w:rsidR="00693634" w:rsidRPr="00D768EF">
        <w:rPr>
          <w:color w:val="000000"/>
          <w:szCs w:val="22"/>
          <w:lang w:val="sr-Latn-ME"/>
        </w:rPr>
        <w:t>ij</w:t>
      </w:r>
      <w:r w:rsidRPr="00D768EF">
        <w:rPr>
          <w:color w:val="000000"/>
          <w:szCs w:val="22"/>
          <w:lang w:val="sr-Latn-ME"/>
        </w:rPr>
        <w:t>elih krvnih zrnaca bio je minimalno prom</w:t>
      </w:r>
      <w:r w:rsidR="00693634" w:rsidRPr="00D768EF">
        <w:rPr>
          <w:color w:val="000000"/>
          <w:szCs w:val="22"/>
          <w:lang w:val="sr-Latn-ME"/>
        </w:rPr>
        <w:t>ij</w:t>
      </w:r>
      <w:r w:rsidRPr="00D768EF">
        <w:rPr>
          <w:color w:val="000000"/>
          <w:szCs w:val="22"/>
          <w:lang w:val="sr-Latn-ME"/>
        </w:rPr>
        <w:t>enjen, iako su prom</w:t>
      </w:r>
      <w:r w:rsidR="00693634" w:rsidRPr="00D768EF">
        <w:rPr>
          <w:color w:val="000000"/>
          <w:szCs w:val="22"/>
          <w:lang w:val="sr-Latn-ME"/>
        </w:rPr>
        <w:t>j</w:t>
      </w:r>
      <w:r w:rsidRPr="00D768EF">
        <w:rPr>
          <w:color w:val="000000"/>
          <w:szCs w:val="22"/>
          <w:lang w:val="sr-Latn-ME"/>
        </w:rPr>
        <w:t>ene kod limfocita, monocita i neutrofila odražavale pom</w:t>
      </w:r>
      <w:r w:rsidR="00693634" w:rsidRPr="00D768EF">
        <w:rPr>
          <w:color w:val="000000"/>
          <w:szCs w:val="22"/>
          <w:lang w:val="sr-Latn-ME"/>
        </w:rPr>
        <w:t>j</w:t>
      </w:r>
      <w:r w:rsidRPr="00D768EF">
        <w:rPr>
          <w:color w:val="000000"/>
          <w:szCs w:val="22"/>
          <w:lang w:val="sr-Latn-ME"/>
        </w:rPr>
        <w:t xml:space="preserve">eranje ka normalnim </w:t>
      </w:r>
      <w:r w:rsidR="008A0A5C" w:rsidRPr="00D768EF">
        <w:rPr>
          <w:color w:val="000000"/>
          <w:szCs w:val="22"/>
          <w:lang w:val="sr-Latn-ME"/>
        </w:rPr>
        <w:t>vrijedno</w:t>
      </w:r>
      <w:r w:rsidRPr="00D768EF">
        <w:rPr>
          <w:color w:val="000000"/>
          <w:szCs w:val="22"/>
          <w:lang w:val="sr-Latn-ME"/>
        </w:rPr>
        <w:t>stima. Mononuklearne ćelije periferne krvi (</w:t>
      </w:r>
      <w:r w:rsidR="00B35E3E" w:rsidRPr="00D768EF">
        <w:rPr>
          <w:color w:val="000000"/>
          <w:lang w:val="sr-Latn-ME"/>
        </w:rPr>
        <w:t xml:space="preserve">engl. </w:t>
      </w:r>
      <w:r w:rsidR="00B35E3E" w:rsidRPr="00D768EF">
        <w:rPr>
          <w:i/>
          <w:color w:val="000000"/>
          <w:lang w:val="sr-Latn-ME"/>
        </w:rPr>
        <w:t xml:space="preserve">peripheral blood mononuclear cells, </w:t>
      </w:r>
      <w:r w:rsidRPr="00D768EF">
        <w:rPr>
          <w:color w:val="000000"/>
          <w:szCs w:val="22"/>
          <w:lang w:val="sr-Latn-ME"/>
        </w:rPr>
        <w:t>PBMC) kod pacijenata koji su primali infliksimab pokazale su neumanjen proliferativni odgovor na stimulaciju, u poređenju sa pacijentima koji nisu primali l</w:t>
      </w:r>
      <w:r w:rsidR="00693634" w:rsidRPr="00D768EF">
        <w:rPr>
          <w:color w:val="000000"/>
          <w:szCs w:val="22"/>
          <w:lang w:val="sr-Latn-ME"/>
        </w:rPr>
        <w:t>ij</w:t>
      </w:r>
      <w:r w:rsidRPr="00D768EF">
        <w:rPr>
          <w:color w:val="000000"/>
          <w:szCs w:val="22"/>
          <w:lang w:val="sr-Latn-ME"/>
        </w:rPr>
        <w:t>ek. Posl</w:t>
      </w:r>
      <w:r w:rsidR="00CF5D59">
        <w:rPr>
          <w:color w:val="000000"/>
          <w:szCs w:val="22"/>
          <w:lang w:val="sr-Latn-ME"/>
        </w:rPr>
        <w:t>ij</w:t>
      </w:r>
      <w:r w:rsidRPr="00D768EF">
        <w:rPr>
          <w:color w:val="000000"/>
          <w:szCs w:val="22"/>
          <w:lang w:val="sr-Latn-ME"/>
        </w:rPr>
        <w:t xml:space="preserve">e </w:t>
      </w:r>
      <w:r w:rsidR="00D57936" w:rsidRPr="00D768EF">
        <w:rPr>
          <w:color w:val="000000"/>
          <w:szCs w:val="22"/>
          <w:lang w:val="sr-Latn-ME"/>
        </w:rPr>
        <w:t>liječe</w:t>
      </w:r>
      <w:r w:rsidRPr="00D768EF">
        <w:rPr>
          <w:color w:val="000000"/>
          <w:szCs w:val="22"/>
          <w:lang w:val="sr-Latn-ME"/>
        </w:rPr>
        <w:t>nja infliksimabom nisu prim</w:t>
      </w:r>
      <w:r w:rsidR="00693634" w:rsidRPr="00D768EF">
        <w:rPr>
          <w:color w:val="000000"/>
          <w:szCs w:val="22"/>
          <w:lang w:val="sr-Latn-ME"/>
        </w:rPr>
        <w:t>ij</w:t>
      </w:r>
      <w:r w:rsidRPr="00D768EF">
        <w:rPr>
          <w:color w:val="000000"/>
          <w:szCs w:val="22"/>
          <w:lang w:val="sr-Latn-ME"/>
        </w:rPr>
        <w:t>ećene značajne prom</w:t>
      </w:r>
      <w:r w:rsidR="00693634" w:rsidRPr="00D768EF">
        <w:rPr>
          <w:color w:val="000000"/>
          <w:szCs w:val="22"/>
          <w:lang w:val="sr-Latn-ME"/>
        </w:rPr>
        <w:t>j</w:t>
      </w:r>
      <w:r w:rsidRPr="00D768EF">
        <w:rPr>
          <w:color w:val="000000"/>
          <w:szCs w:val="22"/>
          <w:lang w:val="sr-Latn-ME"/>
        </w:rPr>
        <w:t xml:space="preserve">ene u proizvodnji citokina od strane PBMC. Analiza mononuklearnih ćelija u lamini propriji dobijenih biopsijom intestinalne mukoze, pokazala je da je </w:t>
      </w:r>
      <w:r w:rsidR="00D57936" w:rsidRPr="00D768EF">
        <w:rPr>
          <w:color w:val="000000"/>
          <w:szCs w:val="22"/>
          <w:lang w:val="sr-Latn-ME"/>
        </w:rPr>
        <w:t>liječe</w:t>
      </w:r>
      <w:r w:rsidRPr="00D768EF">
        <w:rPr>
          <w:color w:val="000000"/>
          <w:szCs w:val="22"/>
          <w:lang w:val="sr-Latn-ME"/>
        </w:rPr>
        <w:t>nje infliksimabom dovelo do smanjenja broja ćelija sposobnih da eksprimiraju TNF</w:t>
      </w:r>
      <w:r w:rsidRPr="00D768EF">
        <w:rPr>
          <w:color w:val="000000"/>
          <w:szCs w:val="22"/>
          <w:vertAlign w:val="subscript"/>
          <w:lang w:val="sr-Latn-ME"/>
        </w:rPr>
        <w:sym w:font="Symbol" w:char="F061"/>
      </w:r>
      <w:r w:rsidRPr="00D768EF">
        <w:rPr>
          <w:color w:val="000000"/>
          <w:szCs w:val="22"/>
          <w:lang w:val="sr-Latn-ME"/>
        </w:rPr>
        <w:t xml:space="preserve"> i interferon </w:t>
      </w:r>
      <w:r w:rsidRPr="00D768EF">
        <w:rPr>
          <w:color w:val="000000"/>
          <w:szCs w:val="22"/>
          <w:lang w:val="sr-Latn-ME"/>
        </w:rPr>
        <w:sym w:font="Symbol" w:char="F067"/>
      </w:r>
      <w:r w:rsidRPr="00D768EF">
        <w:rPr>
          <w:color w:val="000000"/>
          <w:szCs w:val="22"/>
          <w:lang w:val="sr-Latn-ME"/>
        </w:rPr>
        <w:t>. Dodatn</w:t>
      </w:r>
      <w:r w:rsidR="00B35E3E" w:rsidRPr="00D768EF">
        <w:rPr>
          <w:color w:val="000000"/>
          <w:szCs w:val="22"/>
          <w:lang w:val="sr-Latn-ME"/>
        </w:rPr>
        <w:t>a</w:t>
      </w:r>
      <w:r w:rsidRPr="00D768EF">
        <w:rPr>
          <w:color w:val="000000"/>
          <w:szCs w:val="22"/>
          <w:lang w:val="sr-Latn-ME"/>
        </w:rPr>
        <w:t xml:space="preserve"> histološk</w:t>
      </w:r>
      <w:r w:rsidR="00B35E3E" w:rsidRPr="00D768EF">
        <w:rPr>
          <w:color w:val="000000"/>
          <w:szCs w:val="22"/>
          <w:lang w:val="sr-Latn-ME"/>
        </w:rPr>
        <w:t>a</w:t>
      </w:r>
      <w:r w:rsidRPr="00D768EF">
        <w:rPr>
          <w:color w:val="000000"/>
          <w:szCs w:val="22"/>
          <w:lang w:val="sr-Latn-ME"/>
        </w:rPr>
        <w:t xml:space="preserve"> </w:t>
      </w:r>
      <w:r w:rsidR="00B35E3E" w:rsidRPr="00D768EF">
        <w:rPr>
          <w:color w:val="000000"/>
          <w:szCs w:val="22"/>
          <w:lang w:val="sr-Latn-ME"/>
        </w:rPr>
        <w:t>ispitivanja</w:t>
      </w:r>
      <w:r w:rsidRPr="00D768EF">
        <w:rPr>
          <w:color w:val="000000"/>
          <w:szCs w:val="22"/>
          <w:lang w:val="sr-Latn-ME"/>
        </w:rPr>
        <w:t xml:space="preserve"> pružil</w:t>
      </w:r>
      <w:r w:rsidR="00B35E3E" w:rsidRPr="00D768EF">
        <w:rPr>
          <w:color w:val="000000"/>
          <w:szCs w:val="22"/>
          <w:lang w:val="sr-Latn-ME"/>
        </w:rPr>
        <w:t>a</w:t>
      </w:r>
      <w:r w:rsidRPr="00D768EF">
        <w:rPr>
          <w:color w:val="000000"/>
          <w:szCs w:val="22"/>
          <w:lang w:val="sr-Latn-ME"/>
        </w:rPr>
        <w:t xml:space="preserve"> su dokaze da </w:t>
      </w:r>
      <w:r w:rsidR="00D57936" w:rsidRPr="00D768EF">
        <w:rPr>
          <w:color w:val="000000"/>
          <w:szCs w:val="22"/>
          <w:lang w:val="sr-Latn-ME"/>
        </w:rPr>
        <w:t>liječe</w:t>
      </w:r>
      <w:r w:rsidRPr="00D768EF">
        <w:rPr>
          <w:color w:val="000000"/>
          <w:szCs w:val="22"/>
          <w:lang w:val="sr-Latn-ME"/>
        </w:rPr>
        <w:t>nje infliksimabom smanjuje infiltraciju inflamatornih ćelija u zahvaćene oblasti cr</w:t>
      </w:r>
      <w:r w:rsidR="008A0A5C" w:rsidRPr="00D768EF">
        <w:rPr>
          <w:color w:val="000000"/>
          <w:szCs w:val="22"/>
          <w:lang w:val="sr-Latn-ME"/>
        </w:rPr>
        <w:t>ij</w:t>
      </w:r>
      <w:r w:rsidRPr="00D768EF">
        <w:rPr>
          <w:color w:val="000000"/>
          <w:szCs w:val="22"/>
          <w:lang w:val="sr-Latn-ME"/>
        </w:rPr>
        <w:t>eva, kao i prisustvo markera inflamacije na tim m</w:t>
      </w:r>
      <w:r w:rsidR="008A0A5C" w:rsidRPr="00D768EF">
        <w:rPr>
          <w:color w:val="000000"/>
          <w:szCs w:val="22"/>
          <w:lang w:val="sr-Latn-ME"/>
        </w:rPr>
        <w:t>j</w:t>
      </w:r>
      <w:r w:rsidRPr="00D768EF">
        <w:rPr>
          <w:color w:val="000000"/>
          <w:szCs w:val="22"/>
          <w:lang w:val="sr-Latn-ME"/>
        </w:rPr>
        <w:t xml:space="preserve">estima. </w:t>
      </w:r>
      <w:r w:rsidRPr="00D768EF">
        <w:rPr>
          <w:iCs/>
          <w:color w:val="000000"/>
          <w:szCs w:val="22"/>
          <w:lang w:val="sr-Latn-ME"/>
        </w:rPr>
        <w:t xml:space="preserve">Endoskopske analize </w:t>
      </w:r>
      <w:r w:rsidRPr="00D768EF">
        <w:rPr>
          <w:color w:val="000000"/>
          <w:szCs w:val="22"/>
          <w:lang w:val="sr-Latn-ME"/>
        </w:rPr>
        <w:t xml:space="preserve">intestinalne mukoze </w:t>
      </w:r>
      <w:r w:rsidRPr="00D768EF">
        <w:rPr>
          <w:iCs/>
          <w:color w:val="000000"/>
          <w:szCs w:val="22"/>
          <w:lang w:val="sr-Latn-ME"/>
        </w:rPr>
        <w:t>pružile su dokaze o zac</w:t>
      </w:r>
      <w:r w:rsidR="00693634" w:rsidRPr="00D768EF">
        <w:rPr>
          <w:iCs/>
          <w:color w:val="000000"/>
          <w:szCs w:val="22"/>
          <w:lang w:val="sr-Latn-ME"/>
        </w:rPr>
        <w:t>j</w:t>
      </w:r>
      <w:r w:rsidRPr="00D768EF">
        <w:rPr>
          <w:iCs/>
          <w:color w:val="000000"/>
          <w:szCs w:val="22"/>
          <w:lang w:val="sr-Latn-ME"/>
        </w:rPr>
        <w:t xml:space="preserve">eljenju mukoze kod pacijenata koji su primali </w:t>
      </w:r>
      <w:r w:rsidRPr="00D768EF">
        <w:rPr>
          <w:color w:val="000000"/>
          <w:szCs w:val="22"/>
          <w:lang w:val="sr-Latn-ME"/>
        </w:rPr>
        <w:t>infliksimab</w:t>
      </w:r>
      <w:r w:rsidRPr="00D768EF">
        <w:rPr>
          <w:iCs/>
          <w:color w:val="000000"/>
          <w:szCs w:val="22"/>
          <w:lang w:val="sr-Latn-ME"/>
        </w:rPr>
        <w:t xml:space="preserve">. </w:t>
      </w:r>
    </w:p>
    <w:p w14:paraId="7529BB4D" w14:textId="77777777" w:rsidR="00AE064D" w:rsidRPr="00D768EF" w:rsidRDefault="00AE064D" w:rsidP="00AE064D">
      <w:pPr>
        <w:pStyle w:val="Default"/>
        <w:rPr>
          <w:sz w:val="22"/>
          <w:szCs w:val="22"/>
          <w:lang w:val="sr-Latn-ME"/>
        </w:rPr>
      </w:pPr>
    </w:p>
    <w:p w14:paraId="5D03623F" w14:textId="77777777" w:rsidR="00C175E4" w:rsidRPr="00D768EF" w:rsidRDefault="00C175E4" w:rsidP="00C175E4">
      <w:pPr>
        <w:rPr>
          <w:iCs/>
          <w:szCs w:val="22"/>
          <w:u w:val="single"/>
          <w:lang w:val="sr-Latn-ME"/>
        </w:rPr>
      </w:pPr>
      <w:r w:rsidRPr="00D768EF">
        <w:rPr>
          <w:iCs/>
          <w:szCs w:val="22"/>
          <w:u w:val="single"/>
          <w:lang w:val="sr-Latn-ME"/>
        </w:rPr>
        <w:t xml:space="preserve">Klinička efikasnost i </w:t>
      </w:r>
      <w:r w:rsidR="00282A1E" w:rsidRPr="00D768EF">
        <w:rPr>
          <w:iCs/>
          <w:szCs w:val="22"/>
          <w:u w:val="single"/>
          <w:lang w:val="sr-Latn-ME"/>
        </w:rPr>
        <w:t>bezbjedn</w:t>
      </w:r>
      <w:r w:rsidR="00220982" w:rsidRPr="00D768EF">
        <w:rPr>
          <w:iCs/>
          <w:szCs w:val="22"/>
          <w:u w:val="single"/>
          <w:lang w:val="sr-Latn-ME"/>
        </w:rPr>
        <w:t>o</w:t>
      </w:r>
      <w:r w:rsidRPr="00D768EF">
        <w:rPr>
          <w:iCs/>
          <w:szCs w:val="22"/>
          <w:u w:val="single"/>
          <w:lang w:val="sr-Latn-ME"/>
        </w:rPr>
        <w:t>st</w:t>
      </w:r>
    </w:p>
    <w:p w14:paraId="65DCECAB" w14:textId="77777777" w:rsidR="00C175E4" w:rsidRPr="00D768EF" w:rsidRDefault="00C175E4" w:rsidP="00C175E4">
      <w:pPr>
        <w:rPr>
          <w:color w:val="000000"/>
          <w:szCs w:val="22"/>
          <w:lang w:val="sr-Latn-ME"/>
        </w:rPr>
      </w:pPr>
    </w:p>
    <w:p w14:paraId="67703788" w14:textId="77777777" w:rsidR="00C175E4" w:rsidRPr="00D768EF" w:rsidRDefault="00C175E4" w:rsidP="00C175E4">
      <w:pPr>
        <w:rPr>
          <w:i/>
          <w:color w:val="000000"/>
          <w:szCs w:val="22"/>
          <w:u w:val="single"/>
          <w:lang w:val="sr-Latn-ME"/>
        </w:rPr>
      </w:pPr>
      <w:r w:rsidRPr="00D768EF">
        <w:rPr>
          <w:i/>
          <w:color w:val="000000"/>
          <w:szCs w:val="22"/>
          <w:u w:val="single"/>
          <w:lang w:val="sr-Latn-ME"/>
        </w:rPr>
        <w:t>Reumatoidni artritis kod odraslih</w:t>
      </w:r>
    </w:p>
    <w:p w14:paraId="570F4D52" w14:textId="77777777" w:rsidR="00C175E4" w:rsidRPr="00D768EF" w:rsidRDefault="00C175E4" w:rsidP="00C175E4">
      <w:pPr>
        <w:rPr>
          <w:color w:val="000000"/>
          <w:szCs w:val="22"/>
          <w:lang w:val="sr-Latn-ME"/>
        </w:rPr>
      </w:pPr>
    </w:p>
    <w:p w14:paraId="011638BB" w14:textId="7E99F7A6" w:rsidR="00C175E4" w:rsidRPr="00D768EF" w:rsidRDefault="00C175E4" w:rsidP="00C175E4">
      <w:pPr>
        <w:rPr>
          <w:color w:val="000000"/>
          <w:szCs w:val="22"/>
          <w:lang w:val="sr-Latn-ME"/>
        </w:rPr>
      </w:pPr>
      <w:r w:rsidRPr="00D768EF">
        <w:rPr>
          <w:color w:val="000000"/>
          <w:szCs w:val="22"/>
          <w:lang w:val="sr-Latn-ME"/>
        </w:rPr>
        <w:t>Efikasnost infliksimaba ispitivana je u dv</w:t>
      </w:r>
      <w:r w:rsidR="00693634" w:rsidRPr="00D768EF">
        <w:rPr>
          <w:color w:val="000000"/>
          <w:szCs w:val="22"/>
          <w:lang w:val="sr-Latn-ME"/>
        </w:rPr>
        <w:t>ij</w:t>
      </w:r>
      <w:r w:rsidRPr="00D768EF">
        <w:rPr>
          <w:color w:val="000000"/>
          <w:szCs w:val="22"/>
          <w:lang w:val="sr-Latn-ME"/>
        </w:rPr>
        <w:t>e multicentrične, randomizovane, dvostruko sl</w:t>
      </w:r>
      <w:r w:rsidR="00693634" w:rsidRPr="00D768EF">
        <w:rPr>
          <w:color w:val="000000"/>
          <w:szCs w:val="22"/>
          <w:lang w:val="sr-Latn-ME"/>
        </w:rPr>
        <w:t>ij</w:t>
      </w:r>
      <w:r w:rsidRPr="00D768EF">
        <w:rPr>
          <w:color w:val="000000"/>
          <w:szCs w:val="22"/>
          <w:lang w:val="sr-Latn-ME"/>
        </w:rPr>
        <w:t>epe</w:t>
      </w:r>
      <w:r w:rsidRPr="00D768EF">
        <w:rPr>
          <w:b/>
          <w:bCs/>
          <w:color w:val="000000"/>
          <w:szCs w:val="22"/>
          <w:lang w:val="sr-Latn-ME"/>
        </w:rPr>
        <w:t xml:space="preserve"> </w:t>
      </w:r>
      <w:r w:rsidRPr="00D768EF">
        <w:rPr>
          <w:bCs/>
          <w:color w:val="000000"/>
          <w:szCs w:val="22"/>
          <w:lang w:val="sr-Latn-ME"/>
        </w:rPr>
        <w:t xml:space="preserve">pivotalne </w:t>
      </w:r>
      <w:r w:rsidRPr="00D768EF">
        <w:rPr>
          <w:color w:val="000000"/>
          <w:szCs w:val="22"/>
          <w:lang w:val="sr-Latn-ME"/>
        </w:rPr>
        <w:t>kliničke studije: ATTRACT i ASPIRE. U ob</w:t>
      </w:r>
      <w:r w:rsidR="00693634" w:rsidRPr="00D768EF">
        <w:rPr>
          <w:color w:val="000000"/>
          <w:szCs w:val="22"/>
          <w:lang w:val="sr-Latn-ME"/>
        </w:rPr>
        <w:t>j</w:t>
      </w:r>
      <w:r w:rsidRPr="00D768EF">
        <w:rPr>
          <w:color w:val="000000"/>
          <w:szCs w:val="22"/>
          <w:lang w:val="sr-Latn-ME"/>
        </w:rPr>
        <w:t xml:space="preserve">e studije istovremena </w:t>
      </w:r>
      <w:r w:rsidR="00D57936" w:rsidRPr="00D768EF">
        <w:rPr>
          <w:color w:val="000000"/>
          <w:szCs w:val="22"/>
          <w:lang w:val="sr-Latn-ME"/>
        </w:rPr>
        <w:t>primjena</w:t>
      </w:r>
      <w:r w:rsidRPr="00D768EF">
        <w:rPr>
          <w:color w:val="000000"/>
          <w:szCs w:val="22"/>
          <w:lang w:val="sr-Latn-ME"/>
        </w:rPr>
        <w:t xml:space="preserve"> </w:t>
      </w:r>
      <w:r w:rsidR="00B35E3E" w:rsidRPr="00D768EF">
        <w:rPr>
          <w:color w:val="000000"/>
          <w:szCs w:val="22"/>
          <w:lang w:val="sr-Latn-ME"/>
        </w:rPr>
        <w:t>stabilnih</w:t>
      </w:r>
      <w:r w:rsidRPr="00D768EF">
        <w:rPr>
          <w:color w:val="000000"/>
          <w:szCs w:val="22"/>
          <w:lang w:val="sr-Latn-ME"/>
        </w:rPr>
        <w:t xml:space="preserve"> doza folne kiseline, oralnih kortikosteroida (</w:t>
      </w:r>
      <w:r w:rsidRPr="00D768EF">
        <w:rPr>
          <w:color w:val="000000"/>
          <w:szCs w:val="22"/>
          <w:lang w:val="sr-Latn-ME"/>
        </w:rPr>
        <w:sym w:font="Symbol" w:char="F0A3"/>
      </w:r>
      <w:r w:rsidRPr="00D768EF">
        <w:rPr>
          <w:color w:val="000000"/>
          <w:szCs w:val="22"/>
          <w:lang w:val="sr-Latn-ME"/>
        </w:rPr>
        <w:t> 10 mg/dan) i/ili nesteroidnih antiinflamatornih l</w:t>
      </w:r>
      <w:r w:rsidR="00693634" w:rsidRPr="00D768EF">
        <w:rPr>
          <w:color w:val="000000"/>
          <w:szCs w:val="22"/>
          <w:lang w:val="sr-Latn-ME"/>
        </w:rPr>
        <w:t>j</w:t>
      </w:r>
      <w:r w:rsidRPr="00D768EF">
        <w:rPr>
          <w:color w:val="000000"/>
          <w:szCs w:val="22"/>
          <w:lang w:val="sr-Latn-ME"/>
        </w:rPr>
        <w:t>ekova (NSAI</w:t>
      </w:r>
      <w:r w:rsidR="00EA5CE5" w:rsidRPr="00D768EF">
        <w:rPr>
          <w:color w:val="000000"/>
          <w:szCs w:val="22"/>
          <w:lang w:val="sr-Latn-ME"/>
        </w:rPr>
        <w:t>L</w:t>
      </w:r>
      <w:r w:rsidRPr="00D768EF">
        <w:rPr>
          <w:color w:val="000000"/>
          <w:szCs w:val="22"/>
          <w:lang w:val="sr-Latn-ME"/>
        </w:rPr>
        <w:t xml:space="preserve">) bila je dozvoljena. </w:t>
      </w:r>
    </w:p>
    <w:p w14:paraId="4C8B0DAA" w14:textId="77777777" w:rsidR="00C175E4" w:rsidRPr="00D768EF" w:rsidRDefault="00C175E4" w:rsidP="00C175E4">
      <w:pPr>
        <w:rPr>
          <w:color w:val="000000"/>
          <w:szCs w:val="22"/>
          <w:lang w:val="sr-Latn-ME"/>
        </w:rPr>
      </w:pPr>
    </w:p>
    <w:p w14:paraId="0D98014A" w14:textId="6B273A57" w:rsidR="00C175E4" w:rsidRPr="00D768EF" w:rsidRDefault="00C175E4" w:rsidP="00C175E4">
      <w:pPr>
        <w:rPr>
          <w:color w:val="000000"/>
          <w:szCs w:val="22"/>
          <w:lang w:val="sr-Latn-ME"/>
        </w:rPr>
      </w:pPr>
      <w:r w:rsidRPr="00D768EF">
        <w:rPr>
          <w:color w:val="000000"/>
          <w:szCs w:val="22"/>
          <w:lang w:val="sr-Latn-ME"/>
        </w:rPr>
        <w:t xml:space="preserve">Primarni </w:t>
      </w:r>
      <w:r w:rsidR="00EA5CE5" w:rsidRPr="00D768EF">
        <w:rPr>
          <w:color w:val="000000"/>
          <w:szCs w:val="22"/>
          <w:lang w:val="sr-Latn-ME"/>
        </w:rPr>
        <w:t>parametri praćenja</w:t>
      </w:r>
      <w:r w:rsidRPr="00D768EF">
        <w:rPr>
          <w:color w:val="000000"/>
          <w:szCs w:val="22"/>
          <w:lang w:val="sr-Latn-ME"/>
        </w:rPr>
        <w:t xml:space="preserve"> bili su smanjenje znakova i simptoma prema kriterijumima Američkog reumatološkog društva </w:t>
      </w:r>
      <w:r w:rsidRPr="00D768EF">
        <w:rPr>
          <w:szCs w:val="22"/>
          <w:lang w:val="sr-Latn-ME"/>
        </w:rPr>
        <w:t>(</w:t>
      </w:r>
      <w:r w:rsidR="006C7B4E" w:rsidRPr="00D768EF">
        <w:rPr>
          <w:szCs w:val="22"/>
          <w:lang w:val="sr-Latn-ME"/>
        </w:rPr>
        <w:t xml:space="preserve">engl. </w:t>
      </w:r>
      <w:r w:rsidRPr="00D768EF">
        <w:rPr>
          <w:i/>
          <w:iCs/>
          <w:szCs w:val="22"/>
          <w:lang w:val="sr-Latn-ME"/>
        </w:rPr>
        <w:t>American College of Rheumatology</w:t>
      </w:r>
      <w:r w:rsidRPr="00D768EF">
        <w:rPr>
          <w:szCs w:val="22"/>
          <w:lang w:val="sr-Latn-ME"/>
        </w:rPr>
        <w:t>, ACR)</w:t>
      </w:r>
      <w:r w:rsidRPr="00D768EF">
        <w:rPr>
          <w:color w:val="000000"/>
          <w:szCs w:val="22"/>
          <w:lang w:val="sr-Latn-ME"/>
        </w:rPr>
        <w:t xml:space="preserve"> (ACR20 za ATTRACT, granična </w:t>
      </w:r>
      <w:r w:rsidR="008A0A5C" w:rsidRPr="00D768EF">
        <w:rPr>
          <w:color w:val="000000"/>
          <w:szCs w:val="22"/>
          <w:lang w:val="sr-Latn-ME"/>
        </w:rPr>
        <w:t>vrijedno</w:t>
      </w:r>
      <w:r w:rsidRPr="00D768EF">
        <w:rPr>
          <w:color w:val="000000"/>
          <w:szCs w:val="22"/>
          <w:lang w:val="sr-Latn-ME"/>
        </w:rPr>
        <w:t>st ACR-N za ASPIRE), prevencija strukturnog oštećenja zglobova i poboljšanje</w:t>
      </w:r>
      <w:r w:rsidR="00EA5CE5" w:rsidRPr="00D768EF">
        <w:rPr>
          <w:color w:val="000000"/>
          <w:szCs w:val="22"/>
          <w:lang w:val="sr-Latn-ME"/>
        </w:rPr>
        <w:t>fizičke funkcije</w:t>
      </w:r>
      <w:r w:rsidRPr="00D768EF">
        <w:rPr>
          <w:color w:val="000000"/>
          <w:szCs w:val="22"/>
          <w:lang w:val="sr-Latn-ME"/>
        </w:rPr>
        <w:t xml:space="preserve">. Smanjenje znakova i simptoma bilo je definisano kao poboljšanje od najmanje 20% (ACR20) </w:t>
      </w:r>
      <w:r w:rsidR="00EA5CE5" w:rsidRPr="00D768EF">
        <w:rPr>
          <w:color w:val="000000"/>
          <w:szCs w:val="22"/>
          <w:lang w:val="sr-Latn-ME"/>
        </w:rPr>
        <w:t xml:space="preserve">u broju </w:t>
      </w:r>
      <w:r w:rsidRPr="00D768EF">
        <w:rPr>
          <w:color w:val="000000"/>
          <w:szCs w:val="22"/>
          <w:lang w:val="sr-Latn-ME"/>
        </w:rPr>
        <w:t>kako os</w:t>
      </w:r>
      <w:r w:rsidR="00693634" w:rsidRPr="00D768EF">
        <w:rPr>
          <w:color w:val="000000"/>
          <w:szCs w:val="22"/>
          <w:lang w:val="sr-Latn-ME"/>
        </w:rPr>
        <w:t>j</w:t>
      </w:r>
      <w:r w:rsidRPr="00D768EF">
        <w:rPr>
          <w:color w:val="000000"/>
          <w:szCs w:val="22"/>
          <w:lang w:val="sr-Latn-ME"/>
        </w:rPr>
        <w:t xml:space="preserve">etljivih tako i otečenih zglobova, kao i poboljšanje u 3 od </w:t>
      </w:r>
      <w:r w:rsidR="00454E9F" w:rsidRPr="00D768EF">
        <w:rPr>
          <w:color w:val="000000"/>
          <w:szCs w:val="22"/>
          <w:lang w:val="sr-Latn-ME"/>
        </w:rPr>
        <w:t>slede</w:t>
      </w:r>
      <w:r w:rsidRPr="00D768EF">
        <w:rPr>
          <w:color w:val="000000"/>
          <w:szCs w:val="22"/>
          <w:lang w:val="sr-Latn-ME"/>
        </w:rPr>
        <w:t>ćih 5 kriterijuma: (1) opšta proc</w:t>
      </w:r>
      <w:r w:rsidR="00693634" w:rsidRPr="00D768EF">
        <w:rPr>
          <w:color w:val="000000"/>
          <w:szCs w:val="22"/>
          <w:lang w:val="sr-Latn-ME"/>
        </w:rPr>
        <w:t>j</w:t>
      </w:r>
      <w:r w:rsidRPr="00D768EF">
        <w:rPr>
          <w:color w:val="000000"/>
          <w:szCs w:val="22"/>
          <w:lang w:val="sr-Latn-ME"/>
        </w:rPr>
        <w:t>ena istraživača, (2) opšta proc</w:t>
      </w:r>
      <w:r w:rsidR="00693634" w:rsidRPr="00D768EF">
        <w:rPr>
          <w:color w:val="000000"/>
          <w:szCs w:val="22"/>
          <w:lang w:val="sr-Latn-ME"/>
        </w:rPr>
        <w:t>j</w:t>
      </w:r>
      <w:r w:rsidRPr="00D768EF">
        <w:rPr>
          <w:color w:val="000000"/>
          <w:szCs w:val="22"/>
          <w:lang w:val="sr-Latn-ME"/>
        </w:rPr>
        <w:t>ena pacijenta, (3) funkcionalna m</w:t>
      </w:r>
      <w:r w:rsidR="009E46CC" w:rsidRPr="00D768EF">
        <w:rPr>
          <w:color w:val="000000"/>
          <w:szCs w:val="22"/>
          <w:lang w:val="sr-Latn-ME"/>
        </w:rPr>
        <w:t>j</w:t>
      </w:r>
      <w:r w:rsidRPr="00D768EF">
        <w:rPr>
          <w:color w:val="000000"/>
          <w:szCs w:val="22"/>
          <w:lang w:val="sr-Latn-ME"/>
        </w:rPr>
        <w:t>era/m</w:t>
      </w:r>
      <w:r w:rsidR="009E46CC" w:rsidRPr="00D768EF">
        <w:rPr>
          <w:color w:val="000000"/>
          <w:szCs w:val="22"/>
          <w:lang w:val="sr-Latn-ME"/>
        </w:rPr>
        <w:t>j</w:t>
      </w:r>
      <w:r w:rsidRPr="00D768EF">
        <w:rPr>
          <w:color w:val="000000"/>
          <w:szCs w:val="22"/>
          <w:lang w:val="sr-Latn-ME"/>
        </w:rPr>
        <w:t>era invaliditeta, (4) vizuelna analogna skala bola i (5) brzina sedimentacije eritrocita ili C</w:t>
      </w:r>
      <w:r w:rsidRPr="00D768EF">
        <w:rPr>
          <w:color w:val="000000"/>
          <w:szCs w:val="22"/>
          <w:lang w:val="sr-Latn-ME"/>
        </w:rPr>
        <w:noBreakHyphen/>
        <w:t xml:space="preserve">reaktivnog proteina. Za ACR-N su korišćeni isti kriterijumi kao i za ACR20, a rezultat je dobijen preračunavanjem najmanjeg procenta poboljšanja </w:t>
      </w:r>
      <w:r w:rsidR="00EA5CE5" w:rsidRPr="00D768EF">
        <w:rPr>
          <w:color w:val="000000"/>
          <w:szCs w:val="22"/>
          <w:lang w:val="sr-Latn-ME"/>
        </w:rPr>
        <w:t xml:space="preserve">u </w:t>
      </w:r>
      <w:r w:rsidRPr="00D768EF">
        <w:rPr>
          <w:color w:val="000000"/>
          <w:szCs w:val="22"/>
          <w:lang w:val="sr-Latn-ME"/>
        </w:rPr>
        <w:t>broj</w:t>
      </w:r>
      <w:r w:rsidR="00EA5CE5" w:rsidRPr="00D768EF">
        <w:rPr>
          <w:color w:val="000000"/>
          <w:szCs w:val="22"/>
          <w:lang w:val="sr-Latn-ME"/>
        </w:rPr>
        <w:t>u</w:t>
      </w:r>
      <w:r w:rsidRPr="00D768EF">
        <w:rPr>
          <w:color w:val="000000"/>
          <w:szCs w:val="22"/>
          <w:lang w:val="sr-Latn-ME"/>
        </w:rPr>
        <w:t xml:space="preserve"> otečenih zglobova, broj</w:t>
      </w:r>
      <w:r w:rsidR="00EA5CE5" w:rsidRPr="00D768EF">
        <w:rPr>
          <w:color w:val="000000"/>
          <w:szCs w:val="22"/>
          <w:lang w:val="sr-Latn-ME"/>
        </w:rPr>
        <w:t>u</w:t>
      </w:r>
      <w:r w:rsidRPr="00D768EF">
        <w:rPr>
          <w:color w:val="000000"/>
          <w:szCs w:val="22"/>
          <w:lang w:val="sr-Latn-ME"/>
        </w:rPr>
        <w:t xml:space="preserve"> os</w:t>
      </w:r>
      <w:r w:rsidR="00693634" w:rsidRPr="00D768EF">
        <w:rPr>
          <w:color w:val="000000"/>
          <w:szCs w:val="22"/>
          <w:lang w:val="sr-Latn-ME"/>
        </w:rPr>
        <w:t>j</w:t>
      </w:r>
      <w:r w:rsidRPr="00D768EF">
        <w:rPr>
          <w:color w:val="000000"/>
          <w:szCs w:val="22"/>
          <w:lang w:val="sr-Latn-ME"/>
        </w:rPr>
        <w:t>etljivih zglobova i medijan</w:t>
      </w:r>
      <w:r w:rsidR="00EA5CE5" w:rsidRPr="00D768EF">
        <w:rPr>
          <w:color w:val="000000"/>
          <w:szCs w:val="22"/>
          <w:lang w:val="sr-Latn-ME"/>
        </w:rPr>
        <w:t>e</w:t>
      </w:r>
      <w:r w:rsidRPr="00D768EF">
        <w:rPr>
          <w:color w:val="000000"/>
          <w:szCs w:val="22"/>
          <w:lang w:val="sr-Latn-ME"/>
        </w:rPr>
        <w:t xml:space="preserve"> </w:t>
      </w:r>
      <w:r w:rsidR="008A0A5C" w:rsidRPr="00D768EF">
        <w:rPr>
          <w:color w:val="000000"/>
          <w:szCs w:val="22"/>
          <w:lang w:val="sr-Latn-ME"/>
        </w:rPr>
        <w:t>vrijedno</w:t>
      </w:r>
      <w:r w:rsidRPr="00D768EF">
        <w:rPr>
          <w:color w:val="000000"/>
          <w:szCs w:val="22"/>
          <w:lang w:val="sr-Latn-ME"/>
        </w:rPr>
        <w:t xml:space="preserve">sti preostalih 5 komponenti ACR odgovora. Strukturno oštećenje zgloba (erozije i sužavanje </w:t>
      </w:r>
      <w:r w:rsidR="00EA5CE5" w:rsidRPr="00D768EF">
        <w:rPr>
          <w:color w:val="000000"/>
          <w:szCs w:val="22"/>
          <w:lang w:val="sr-Latn-ME"/>
        </w:rPr>
        <w:t xml:space="preserve">zglobnog </w:t>
      </w:r>
      <w:r w:rsidRPr="00D768EF">
        <w:rPr>
          <w:color w:val="000000"/>
          <w:szCs w:val="22"/>
          <w:lang w:val="sr-Latn-ME"/>
        </w:rPr>
        <w:t xml:space="preserve">prostora) </w:t>
      </w:r>
      <w:r w:rsidR="00EA5CE5" w:rsidRPr="00D768EF">
        <w:rPr>
          <w:color w:val="000000"/>
          <w:szCs w:val="22"/>
          <w:lang w:val="sr-Latn-ME"/>
        </w:rPr>
        <w:t>na šakama</w:t>
      </w:r>
      <w:r w:rsidRPr="00D768EF">
        <w:rPr>
          <w:color w:val="000000"/>
          <w:szCs w:val="22"/>
          <w:lang w:val="sr-Latn-ME"/>
        </w:rPr>
        <w:t xml:space="preserve"> i stopalima m</w:t>
      </w:r>
      <w:r w:rsidR="00693634" w:rsidRPr="00D768EF">
        <w:rPr>
          <w:color w:val="000000"/>
          <w:szCs w:val="22"/>
          <w:lang w:val="sr-Latn-ME"/>
        </w:rPr>
        <w:t>j</w:t>
      </w:r>
      <w:r w:rsidRPr="00D768EF">
        <w:rPr>
          <w:color w:val="000000"/>
          <w:szCs w:val="22"/>
          <w:lang w:val="sr-Latn-ME"/>
        </w:rPr>
        <w:t>ereno je prom</w:t>
      </w:r>
      <w:r w:rsidR="00693634" w:rsidRPr="00D768EF">
        <w:rPr>
          <w:color w:val="000000"/>
          <w:szCs w:val="22"/>
          <w:lang w:val="sr-Latn-ME"/>
        </w:rPr>
        <w:t>j</w:t>
      </w:r>
      <w:r w:rsidRPr="00D768EF">
        <w:rPr>
          <w:color w:val="000000"/>
          <w:szCs w:val="22"/>
          <w:lang w:val="sr-Latn-ME"/>
        </w:rPr>
        <w:t xml:space="preserve">enom, u odnosu na početnu </w:t>
      </w:r>
      <w:r w:rsidR="008A0A5C" w:rsidRPr="00D768EF">
        <w:rPr>
          <w:color w:val="000000"/>
          <w:szCs w:val="22"/>
          <w:lang w:val="sr-Latn-ME"/>
        </w:rPr>
        <w:t>vrijedno</w:t>
      </w:r>
      <w:r w:rsidRPr="00D768EF">
        <w:rPr>
          <w:color w:val="000000"/>
          <w:szCs w:val="22"/>
          <w:lang w:val="sr-Latn-ME"/>
        </w:rPr>
        <w:t>st prema „van der Heijde-modifikovanoj Sharp“ skali (0</w:t>
      </w:r>
      <w:r w:rsidRPr="00D768EF">
        <w:rPr>
          <w:color w:val="000000"/>
          <w:szCs w:val="22"/>
          <w:lang w:val="sr-Latn-ME"/>
        </w:rPr>
        <w:noBreakHyphen/>
        <w:t>440). Upitnik o zdravstvenoj proc</w:t>
      </w:r>
      <w:r w:rsidR="00693634" w:rsidRPr="00D768EF">
        <w:rPr>
          <w:color w:val="000000"/>
          <w:szCs w:val="22"/>
          <w:lang w:val="sr-Latn-ME"/>
        </w:rPr>
        <w:t>j</w:t>
      </w:r>
      <w:r w:rsidRPr="00D768EF">
        <w:rPr>
          <w:color w:val="000000"/>
          <w:szCs w:val="22"/>
          <w:lang w:val="sr-Latn-ME"/>
        </w:rPr>
        <w:t>eni (eng</w:t>
      </w:r>
      <w:r w:rsidR="00D77C15" w:rsidRPr="00D768EF">
        <w:rPr>
          <w:color w:val="000000"/>
          <w:szCs w:val="22"/>
          <w:lang w:val="sr-Latn-ME"/>
        </w:rPr>
        <w:t>l</w:t>
      </w:r>
      <w:r w:rsidRPr="00D768EF">
        <w:rPr>
          <w:color w:val="000000"/>
          <w:szCs w:val="22"/>
          <w:lang w:val="sr-Latn-ME"/>
        </w:rPr>
        <w:t xml:space="preserve">. </w:t>
      </w:r>
      <w:r w:rsidRPr="00D768EF">
        <w:rPr>
          <w:i/>
          <w:iCs/>
          <w:szCs w:val="22"/>
          <w:lang w:val="sr-Latn-ME"/>
        </w:rPr>
        <w:t>Health Assessment Questionnaire</w:t>
      </w:r>
      <w:r w:rsidRPr="00D768EF">
        <w:rPr>
          <w:color w:val="000000"/>
          <w:szCs w:val="22"/>
          <w:lang w:val="sr-Latn-ME"/>
        </w:rPr>
        <w:t>, HAQ; skala 0</w:t>
      </w:r>
      <w:r w:rsidRPr="00D768EF">
        <w:rPr>
          <w:color w:val="000000"/>
          <w:szCs w:val="22"/>
          <w:lang w:val="sr-Latn-ME"/>
        </w:rPr>
        <w:noBreakHyphen/>
        <w:t>3) prim</w:t>
      </w:r>
      <w:r w:rsidR="00126595" w:rsidRPr="00D768EF">
        <w:rPr>
          <w:color w:val="000000"/>
          <w:szCs w:val="22"/>
          <w:lang w:val="sr-Latn-ME"/>
        </w:rPr>
        <w:t>ij</w:t>
      </w:r>
      <w:r w:rsidRPr="00D768EF">
        <w:rPr>
          <w:color w:val="000000"/>
          <w:szCs w:val="22"/>
          <w:lang w:val="sr-Latn-ME"/>
        </w:rPr>
        <w:t>enjen je za m</w:t>
      </w:r>
      <w:r w:rsidR="009E46CC" w:rsidRPr="00D768EF">
        <w:rPr>
          <w:color w:val="000000"/>
          <w:szCs w:val="22"/>
          <w:lang w:val="sr-Latn-ME"/>
        </w:rPr>
        <w:t>j</w:t>
      </w:r>
      <w:r w:rsidRPr="00D768EF">
        <w:rPr>
          <w:color w:val="000000"/>
          <w:szCs w:val="22"/>
          <w:lang w:val="sr-Latn-ME"/>
        </w:rPr>
        <w:t>erenje pros</w:t>
      </w:r>
      <w:r w:rsidR="00693634" w:rsidRPr="00D768EF">
        <w:rPr>
          <w:color w:val="000000"/>
          <w:szCs w:val="22"/>
          <w:lang w:val="sr-Latn-ME"/>
        </w:rPr>
        <w:t>j</w:t>
      </w:r>
      <w:r w:rsidRPr="00D768EF">
        <w:rPr>
          <w:color w:val="000000"/>
          <w:szCs w:val="22"/>
          <w:lang w:val="sr-Latn-ME"/>
        </w:rPr>
        <w:t>ečne prom</w:t>
      </w:r>
      <w:r w:rsidR="00693634" w:rsidRPr="00D768EF">
        <w:rPr>
          <w:color w:val="000000"/>
          <w:szCs w:val="22"/>
          <w:lang w:val="sr-Latn-ME"/>
        </w:rPr>
        <w:t>j</w:t>
      </w:r>
      <w:r w:rsidRPr="00D768EF">
        <w:rPr>
          <w:color w:val="000000"/>
          <w:szCs w:val="22"/>
          <w:lang w:val="sr-Latn-ME"/>
        </w:rPr>
        <w:t xml:space="preserve">ene u fizičkoj funkciji pacijenata tokom vremena u odnosu na funkciju na početku ispitivanja. </w:t>
      </w:r>
    </w:p>
    <w:p w14:paraId="1B761A40" w14:textId="77777777" w:rsidR="00C175E4" w:rsidRPr="00D768EF" w:rsidRDefault="00C175E4" w:rsidP="00C175E4">
      <w:pPr>
        <w:rPr>
          <w:color w:val="000000"/>
          <w:szCs w:val="22"/>
          <w:lang w:val="sr-Latn-ME"/>
        </w:rPr>
      </w:pPr>
    </w:p>
    <w:p w14:paraId="1CD9BCBA" w14:textId="5630F1CC" w:rsidR="00C175E4" w:rsidRPr="00D768EF" w:rsidRDefault="00C175E4" w:rsidP="00C175E4">
      <w:pPr>
        <w:rPr>
          <w:color w:val="000000"/>
          <w:szCs w:val="22"/>
          <w:lang w:val="sr-Latn-ME"/>
        </w:rPr>
      </w:pPr>
      <w:r w:rsidRPr="00D768EF">
        <w:rPr>
          <w:color w:val="000000"/>
          <w:szCs w:val="22"/>
          <w:lang w:val="sr-Latn-ME"/>
        </w:rPr>
        <w:t>U placebo-kontrolisanoj studiji ATTRACT vršena je proc</w:t>
      </w:r>
      <w:r w:rsidR="00693634" w:rsidRPr="00D768EF">
        <w:rPr>
          <w:color w:val="000000"/>
          <w:szCs w:val="22"/>
          <w:lang w:val="sr-Latn-ME"/>
        </w:rPr>
        <w:t>j</w:t>
      </w:r>
      <w:r w:rsidRPr="00D768EF">
        <w:rPr>
          <w:color w:val="000000"/>
          <w:szCs w:val="22"/>
          <w:lang w:val="sr-Latn-ME"/>
        </w:rPr>
        <w:t xml:space="preserve">ena odgovora na </w:t>
      </w:r>
      <w:r w:rsidR="00D57936" w:rsidRPr="00D768EF">
        <w:rPr>
          <w:color w:val="000000"/>
          <w:szCs w:val="22"/>
          <w:lang w:val="sr-Latn-ME"/>
        </w:rPr>
        <w:t>liječe</w:t>
      </w:r>
      <w:r w:rsidRPr="00D768EF">
        <w:rPr>
          <w:color w:val="000000"/>
          <w:szCs w:val="22"/>
          <w:lang w:val="sr-Latn-ME"/>
        </w:rPr>
        <w:t>nje posl</w:t>
      </w:r>
      <w:r w:rsidR="00CF5D59">
        <w:rPr>
          <w:color w:val="000000"/>
          <w:szCs w:val="22"/>
          <w:lang w:val="sr-Latn-ME"/>
        </w:rPr>
        <w:t>ij</w:t>
      </w:r>
      <w:r w:rsidRPr="00D768EF">
        <w:rPr>
          <w:color w:val="000000"/>
          <w:szCs w:val="22"/>
          <w:lang w:val="sr-Latn-ME"/>
        </w:rPr>
        <w:t>e 30, 54 i 102 </w:t>
      </w:r>
      <w:r w:rsidR="00D57936" w:rsidRPr="00D768EF">
        <w:rPr>
          <w:color w:val="000000"/>
          <w:szCs w:val="22"/>
          <w:lang w:val="sr-Latn-ME"/>
        </w:rPr>
        <w:t>nedjelj</w:t>
      </w:r>
      <w:r w:rsidRPr="00D768EF">
        <w:rPr>
          <w:color w:val="000000"/>
          <w:szCs w:val="22"/>
          <w:lang w:val="sr-Latn-ME"/>
        </w:rPr>
        <w:t xml:space="preserve">e kod 428 pacijenata koji boluju od aktivnog reumatoidnog artritisa uprkos </w:t>
      </w:r>
      <w:r w:rsidR="00D57936" w:rsidRPr="00D768EF">
        <w:rPr>
          <w:color w:val="000000"/>
          <w:szCs w:val="22"/>
          <w:lang w:val="sr-Latn-ME"/>
        </w:rPr>
        <w:t>liječe</w:t>
      </w:r>
      <w:r w:rsidRPr="00D768EF">
        <w:rPr>
          <w:color w:val="000000"/>
          <w:szCs w:val="22"/>
          <w:lang w:val="sr-Latn-ME"/>
        </w:rPr>
        <w:t xml:space="preserve">nju metotreksatom. Oko 50% pacijenata bili su u funkcionalnoj Klasi III. Pacijenti su primali ili placebo ili infliksimab u dozi od 3 mg/kg, odnosno 10 mg/kg u </w:t>
      </w:r>
      <w:r w:rsidR="00EA5CE5" w:rsidRPr="00D768EF">
        <w:rPr>
          <w:color w:val="000000"/>
          <w:szCs w:val="22"/>
          <w:lang w:val="sr-Latn-ME"/>
        </w:rPr>
        <w:t>0</w:t>
      </w:r>
      <w:r w:rsidRPr="00D768EF">
        <w:rPr>
          <w:color w:val="000000"/>
          <w:szCs w:val="22"/>
          <w:lang w:val="sr-Latn-ME"/>
        </w:rPr>
        <w:t xml:space="preserve">, 2 i 6 </w:t>
      </w:r>
      <w:r w:rsidR="00D57936" w:rsidRPr="00D768EF">
        <w:rPr>
          <w:color w:val="000000"/>
          <w:szCs w:val="22"/>
          <w:lang w:val="sr-Latn-ME"/>
        </w:rPr>
        <w:t>nedjelj</w:t>
      </w:r>
      <w:r w:rsidRPr="00D768EF">
        <w:rPr>
          <w:color w:val="000000"/>
          <w:szCs w:val="22"/>
          <w:lang w:val="sr-Latn-ME"/>
        </w:rPr>
        <w:t>i, a zatim svakih 4 ili 8 </w:t>
      </w:r>
      <w:r w:rsidR="00D57936" w:rsidRPr="00D768EF">
        <w:rPr>
          <w:color w:val="000000"/>
          <w:szCs w:val="22"/>
          <w:lang w:val="sr-Latn-ME"/>
        </w:rPr>
        <w:t>nedjelj</w:t>
      </w:r>
      <w:r w:rsidRPr="00D768EF">
        <w:rPr>
          <w:color w:val="000000"/>
          <w:szCs w:val="22"/>
          <w:lang w:val="sr-Latn-ME"/>
        </w:rPr>
        <w:t>a</w:t>
      </w:r>
      <w:r w:rsidR="00EA5CE5" w:rsidRPr="00D768EF">
        <w:rPr>
          <w:color w:val="000000"/>
          <w:szCs w:val="22"/>
          <w:lang w:val="sr-Latn-ME"/>
        </w:rPr>
        <w:t xml:space="preserve"> posl</w:t>
      </w:r>
      <w:r w:rsidR="00CF5D59">
        <w:rPr>
          <w:color w:val="000000"/>
          <w:szCs w:val="22"/>
          <w:lang w:val="sr-Latn-ME"/>
        </w:rPr>
        <w:t>ij</w:t>
      </w:r>
      <w:r w:rsidR="00EA5CE5" w:rsidRPr="00D768EF">
        <w:rPr>
          <w:color w:val="000000"/>
          <w:szCs w:val="22"/>
          <w:lang w:val="sr-Latn-ME"/>
        </w:rPr>
        <w:t>e toga</w:t>
      </w:r>
      <w:r w:rsidRPr="00D768EF">
        <w:rPr>
          <w:color w:val="000000"/>
          <w:szCs w:val="22"/>
          <w:lang w:val="sr-Latn-ME"/>
        </w:rPr>
        <w:t xml:space="preserve">. Svi pacijenti su primali </w:t>
      </w:r>
      <w:r w:rsidR="00EA5CE5" w:rsidRPr="00D768EF">
        <w:rPr>
          <w:color w:val="000000"/>
          <w:szCs w:val="22"/>
          <w:lang w:val="sr-Latn-ME"/>
        </w:rPr>
        <w:t xml:space="preserve">stabilne </w:t>
      </w:r>
      <w:r w:rsidRPr="00D768EF">
        <w:rPr>
          <w:color w:val="000000"/>
          <w:szCs w:val="22"/>
          <w:lang w:val="sr-Latn-ME"/>
        </w:rPr>
        <w:t>doze metotreksata (</w:t>
      </w:r>
      <w:r w:rsidR="00EA5CE5" w:rsidRPr="00D768EF">
        <w:rPr>
          <w:color w:val="000000"/>
          <w:szCs w:val="22"/>
          <w:lang w:val="sr-Latn-ME"/>
        </w:rPr>
        <w:t>medijana</w:t>
      </w:r>
      <w:r w:rsidRPr="00D768EF">
        <w:rPr>
          <w:color w:val="000000"/>
          <w:szCs w:val="22"/>
          <w:lang w:val="sr-Latn-ME"/>
        </w:rPr>
        <w:t xml:space="preserve"> 15 mg/</w:t>
      </w:r>
      <w:r w:rsidR="00D57936" w:rsidRPr="00D768EF">
        <w:rPr>
          <w:color w:val="000000"/>
          <w:szCs w:val="22"/>
          <w:lang w:val="sr-Latn-ME"/>
        </w:rPr>
        <w:t>nedjelj</w:t>
      </w:r>
      <w:r w:rsidRPr="00D768EF">
        <w:rPr>
          <w:color w:val="000000"/>
          <w:szCs w:val="22"/>
          <w:lang w:val="sr-Latn-ME"/>
        </w:rPr>
        <w:t>no) u toku 6 m</w:t>
      </w:r>
      <w:r w:rsidR="00693634" w:rsidRPr="00D768EF">
        <w:rPr>
          <w:color w:val="000000"/>
          <w:szCs w:val="22"/>
          <w:lang w:val="sr-Latn-ME"/>
        </w:rPr>
        <w:t>j</w:t>
      </w:r>
      <w:r w:rsidRPr="00D768EF">
        <w:rPr>
          <w:color w:val="000000"/>
          <w:szCs w:val="22"/>
          <w:lang w:val="sr-Latn-ME"/>
        </w:rPr>
        <w:t>eseci pr</w:t>
      </w:r>
      <w:r w:rsidR="00693634" w:rsidRPr="00D768EF">
        <w:rPr>
          <w:color w:val="000000"/>
          <w:szCs w:val="22"/>
          <w:lang w:val="sr-Latn-ME"/>
        </w:rPr>
        <w:t>ij</w:t>
      </w:r>
      <w:r w:rsidRPr="00D768EF">
        <w:rPr>
          <w:color w:val="000000"/>
          <w:szCs w:val="22"/>
          <w:lang w:val="sr-Latn-ME"/>
        </w:rPr>
        <w:t>e uključenja u studiju i morali su da nastave sa uzimanjem istih doza u toku c</w:t>
      </w:r>
      <w:r w:rsidR="00693634" w:rsidRPr="00D768EF">
        <w:rPr>
          <w:color w:val="000000"/>
          <w:szCs w:val="22"/>
          <w:lang w:val="sr-Latn-ME"/>
        </w:rPr>
        <w:t>ij</w:t>
      </w:r>
      <w:r w:rsidRPr="00D768EF">
        <w:rPr>
          <w:color w:val="000000"/>
          <w:szCs w:val="22"/>
          <w:lang w:val="sr-Latn-ME"/>
        </w:rPr>
        <w:t>ele studije.</w:t>
      </w:r>
    </w:p>
    <w:p w14:paraId="6829FD3D" w14:textId="2E4FC971" w:rsidR="00C175E4" w:rsidRPr="00D768EF" w:rsidRDefault="00C175E4" w:rsidP="00C175E4">
      <w:pPr>
        <w:rPr>
          <w:color w:val="000000"/>
          <w:szCs w:val="22"/>
          <w:lang w:val="sr-Latn-ME"/>
        </w:rPr>
      </w:pPr>
      <w:r w:rsidRPr="00D768EF">
        <w:rPr>
          <w:color w:val="000000"/>
          <w:szCs w:val="22"/>
          <w:lang w:val="sr-Latn-ME"/>
        </w:rPr>
        <w:t>Rezultati posl</w:t>
      </w:r>
      <w:r w:rsidR="00CF5D59">
        <w:rPr>
          <w:color w:val="000000"/>
          <w:szCs w:val="22"/>
          <w:lang w:val="sr-Latn-ME"/>
        </w:rPr>
        <w:t>ij</w:t>
      </w:r>
      <w:r w:rsidRPr="00D768EF">
        <w:rPr>
          <w:color w:val="000000"/>
          <w:szCs w:val="22"/>
          <w:lang w:val="sr-Latn-ME"/>
        </w:rPr>
        <w:t xml:space="preserve">e 54 </w:t>
      </w:r>
      <w:r w:rsidR="00D57936" w:rsidRPr="00D768EF">
        <w:rPr>
          <w:color w:val="000000"/>
          <w:szCs w:val="22"/>
          <w:lang w:val="sr-Latn-ME"/>
        </w:rPr>
        <w:t>nedjelj</w:t>
      </w:r>
      <w:r w:rsidRPr="00D768EF">
        <w:rPr>
          <w:color w:val="000000"/>
          <w:szCs w:val="22"/>
          <w:lang w:val="sr-Latn-ME"/>
        </w:rPr>
        <w:t>e (ACR20, ukupan rezultat na van der Heijde-modifikovanoj Sharp skali i HAQ) prikazani su u Tabeli 3. Veći stepen kliničkog odgovora (ACR50 i ACR70) prim</w:t>
      </w:r>
      <w:r w:rsidR="00C3214E" w:rsidRPr="00D768EF">
        <w:rPr>
          <w:color w:val="000000"/>
          <w:szCs w:val="22"/>
          <w:lang w:val="sr-Latn-ME"/>
        </w:rPr>
        <w:t>ij</w:t>
      </w:r>
      <w:r w:rsidRPr="00D768EF">
        <w:rPr>
          <w:color w:val="000000"/>
          <w:szCs w:val="22"/>
          <w:lang w:val="sr-Latn-ME"/>
        </w:rPr>
        <w:t xml:space="preserve">ećen je kod svih infliksimab grupa </w:t>
      </w:r>
      <w:r w:rsidR="00EA5CE5" w:rsidRPr="00D768EF">
        <w:rPr>
          <w:color w:val="000000"/>
          <w:szCs w:val="22"/>
          <w:lang w:val="sr-Latn-ME"/>
        </w:rPr>
        <w:t>u</w:t>
      </w:r>
      <w:r w:rsidRPr="00D768EF">
        <w:rPr>
          <w:color w:val="000000"/>
          <w:szCs w:val="22"/>
          <w:lang w:val="sr-Latn-ME"/>
        </w:rPr>
        <w:t xml:space="preserve"> 30. i 54. </w:t>
      </w:r>
      <w:r w:rsidR="00D57936" w:rsidRPr="00D768EF">
        <w:rPr>
          <w:color w:val="000000"/>
          <w:szCs w:val="22"/>
          <w:lang w:val="sr-Latn-ME"/>
        </w:rPr>
        <w:t>nedjelj</w:t>
      </w:r>
      <w:r w:rsidR="00EA5CE5" w:rsidRPr="00D768EF">
        <w:rPr>
          <w:color w:val="000000"/>
          <w:szCs w:val="22"/>
          <w:lang w:val="sr-Latn-ME"/>
        </w:rPr>
        <w:t>i</w:t>
      </w:r>
      <w:r w:rsidRPr="00D768EF">
        <w:rPr>
          <w:color w:val="000000"/>
          <w:szCs w:val="22"/>
          <w:lang w:val="sr-Latn-ME"/>
        </w:rPr>
        <w:t xml:space="preserve"> u poređenju sa grupom koja je samo primala metotreksat. </w:t>
      </w:r>
    </w:p>
    <w:p w14:paraId="2DE50CEA" w14:textId="77777777" w:rsidR="00C175E4" w:rsidRPr="00D768EF" w:rsidRDefault="00C175E4" w:rsidP="00C175E4">
      <w:pPr>
        <w:rPr>
          <w:color w:val="000000"/>
          <w:szCs w:val="22"/>
          <w:lang w:val="sr-Latn-ME"/>
        </w:rPr>
      </w:pPr>
    </w:p>
    <w:p w14:paraId="472D3B3C" w14:textId="414617BD" w:rsidR="00C175E4" w:rsidRPr="00D768EF" w:rsidRDefault="00C175E4" w:rsidP="00C175E4">
      <w:pPr>
        <w:rPr>
          <w:color w:val="000000"/>
          <w:szCs w:val="22"/>
          <w:lang w:val="sr-Latn-ME"/>
        </w:rPr>
      </w:pPr>
      <w:r w:rsidRPr="00D768EF">
        <w:rPr>
          <w:color w:val="000000"/>
          <w:szCs w:val="22"/>
          <w:lang w:val="sr-Latn-ME"/>
        </w:rPr>
        <w:t xml:space="preserve">Smanjenje brzine progresije strukturnog oštećenja zgloba (erozije i sužavanje zglobnog prostora) zapaženo je u svim infliksimab grupama </w:t>
      </w:r>
      <w:r w:rsidR="00EA5CE5" w:rsidRPr="00D768EF">
        <w:rPr>
          <w:color w:val="000000"/>
          <w:szCs w:val="22"/>
          <w:lang w:val="sr-Latn-ME"/>
        </w:rPr>
        <w:t xml:space="preserve">u </w:t>
      </w:r>
      <w:r w:rsidRPr="00D768EF">
        <w:rPr>
          <w:color w:val="000000"/>
          <w:szCs w:val="22"/>
          <w:lang w:val="sr-Latn-ME"/>
        </w:rPr>
        <w:t>54</w:t>
      </w:r>
      <w:r w:rsidR="00EA5CE5" w:rsidRPr="00D768EF">
        <w:rPr>
          <w:color w:val="000000"/>
          <w:szCs w:val="22"/>
          <w:lang w:val="sr-Latn-ME"/>
        </w:rPr>
        <w:t>.</w:t>
      </w:r>
      <w:r w:rsidRPr="00D768EF">
        <w:rPr>
          <w:color w:val="000000"/>
          <w:szCs w:val="22"/>
          <w:lang w:val="sr-Latn-ME"/>
        </w:rPr>
        <w:t xml:space="preserve"> </w:t>
      </w:r>
      <w:r w:rsidR="00D57936" w:rsidRPr="00D768EF">
        <w:rPr>
          <w:color w:val="000000"/>
          <w:szCs w:val="22"/>
          <w:lang w:val="sr-Latn-ME"/>
        </w:rPr>
        <w:t>nedjelj</w:t>
      </w:r>
      <w:r w:rsidR="00EA5CE5" w:rsidRPr="00D768EF">
        <w:rPr>
          <w:color w:val="000000"/>
          <w:szCs w:val="22"/>
          <w:lang w:val="sr-Latn-ME"/>
        </w:rPr>
        <w:t>i</w:t>
      </w:r>
      <w:r w:rsidRPr="00D768EF">
        <w:rPr>
          <w:color w:val="000000"/>
          <w:szCs w:val="22"/>
          <w:lang w:val="sr-Latn-ME"/>
        </w:rPr>
        <w:t xml:space="preserve"> (Tabela 3).</w:t>
      </w:r>
    </w:p>
    <w:p w14:paraId="2D46388D" w14:textId="77777777" w:rsidR="00C175E4" w:rsidRPr="00D768EF" w:rsidRDefault="00C175E4" w:rsidP="00C175E4">
      <w:pPr>
        <w:rPr>
          <w:color w:val="000000"/>
          <w:szCs w:val="22"/>
          <w:lang w:val="sr-Latn-ME"/>
        </w:rPr>
      </w:pPr>
    </w:p>
    <w:p w14:paraId="79F44532" w14:textId="5E024F99" w:rsidR="00C175E4" w:rsidRPr="00D768EF" w:rsidRDefault="00C175E4" w:rsidP="00C175E4">
      <w:pPr>
        <w:rPr>
          <w:color w:val="000000"/>
          <w:szCs w:val="22"/>
          <w:lang w:val="sr-Latn-ME"/>
        </w:rPr>
      </w:pPr>
      <w:r w:rsidRPr="00D768EF">
        <w:rPr>
          <w:color w:val="000000"/>
          <w:szCs w:val="22"/>
          <w:lang w:val="sr-Latn-ME"/>
        </w:rPr>
        <w:t xml:space="preserve">Efekti zapaženi u 54. </w:t>
      </w:r>
      <w:r w:rsidR="00D57936" w:rsidRPr="00D768EF">
        <w:rPr>
          <w:color w:val="000000"/>
          <w:szCs w:val="22"/>
          <w:lang w:val="sr-Latn-ME"/>
        </w:rPr>
        <w:t>nedjelj</w:t>
      </w:r>
      <w:r w:rsidRPr="00D768EF">
        <w:rPr>
          <w:color w:val="000000"/>
          <w:szCs w:val="22"/>
          <w:lang w:val="sr-Latn-ME"/>
        </w:rPr>
        <w:t xml:space="preserve">i održali su se tokom 102 </w:t>
      </w:r>
      <w:r w:rsidR="00D57936" w:rsidRPr="00D768EF">
        <w:rPr>
          <w:color w:val="000000"/>
          <w:szCs w:val="22"/>
          <w:lang w:val="sr-Latn-ME"/>
        </w:rPr>
        <w:t>nedjelj</w:t>
      </w:r>
      <w:r w:rsidRPr="00D768EF">
        <w:rPr>
          <w:color w:val="000000"/>
          <w:szCs w:val="22"/>
          <w:lang w:val="sr-Latn-ME"/>
        </w:rPr>
        <w:t xml:space="preserve">e. Budući da je veći broj pacijenata prekinuo </w:t>
      </w:r>
      <w:r w:rsidR="00D57936" w:rsidRPr="00D768EF">
        <w:rPr>
          <w:color w:val="000000"/>
          <w:szCs w:val="22"/>
          <w:lang w:val="sr-Latn-ME"/>
        </w:rPr>
        <w:t>liječe</w:t>
      </w:r>
      <w:r w:rsidRPr="00D768EF">
        <w:rPr>
          <w:color w:val="000000"/>
          <w:szCs w:val="22"/>
          <w:lang w:val="sr-Latn-ME"/>
        </w:rPr>
        <w:t>nje, nije moguće utvrditi u kojoj m</w:t>
      </w:r>
      <w:r w:rsidR="00693634" w:rsidRPr="00D768EF">
        <w:rPr>
          <w:color w:val="000000"/>
          <w:szCs w:val="22"/>
          <w:lang w:val="sr-Latn-ME"/>
        </w:rPr>
        <w:t>j</w:t>
      </w:r>
      <w:r w:rsidRPr="00D768EF">
        <w:rPr>
          <w:color w:val="000000"/>
          <w:szCs w:val="22"/>
          <w:lang w:val="sr-Latn-ME"/>
        </w:rPr>
        <w:t xml:space="preserve">eri se razlikuje efekat između grupa koje su primale infliksimab i grupe koja je primala samo metotreksat. </w:t>
      </w:r>
    </w:p>
    <w:p w14:paraId="2B0F9669" w14:textId="77777777" w:rsidR="00C175E4" w:rsidRPr="00D768EF" w:rsidRDefault="00C175E4" w:rsidP="00C175E4">
      <w:pPr>
        <w:rPr>
          <w:b/>
          <w:color w:val="000000"/>
          <w:szCs w:val="22"/>
          <w:lang w:val="sr-Latn-ME"/>
        </w:rPr>
      </w:pPr>
    </w:p>
    <w:p w14:paraId="100A0EBE" w14:textId="19B476FA" w:rsidR="00C175E4" w:rsidRPr="00D768EF" w:rsidRDefault="00C175E4" w:rsidP="00EA5CE5">
      <w:pPr>
        <w:keepNext/>
        <w:jc w:val="center"/>
        <w:rPr>
          <w:b/>
          <w:color w:val="000000"/>
          <w:szCs w:val="22"/>
          <w:lang w:val="sr-Latn-ME"/>
        </w:rPr>
      </w:pPr>
      <w:r w:rsidRPr="00D768EF">
        <w:rPr>
          <w:b/>
          <w:color w:val="000000"/>
          <w:szCs w:val="22"/>
          <w:lang w:val="sr-Latn-ME"/>
        </w:rPr>
        <w:lastRenderedPageBreak/>
        <w:t>Tabela 3</w:t>
      </w:r>
    </w:p>
    <w:p w14:paraId="6CE44545" w14:textId="39097A03" w:rsidR="00C175E4" w:rsidRPr="00D768EF" w:rsidRDefault="00C175E4" w:rsidP="002C1E29">
      <w:pPr>
        <w:keepNext/>
        <w:jc w:val="left"/>
        <w:rPr>
          <w:b/>
          <w:color w:val="000000"/>
          <w:szCs w:val="22"/>
          <w:lang w:val="sr-Latn-ME"/>
        </w:rPr>
      </w:pPr>
      <w:r w:rsidRPr="00D768EF">
        <w:rPr>
          <w:b/>
          <w:color w:val="000000"/>
          <w:szCs w:val="22"/>
          <w:lang w:val="sr-Latn-ME"/>
        </w:rPr>
        <w:t xml:space="preserve">Dejstvo na ACR20, </w:t>
      </w:r>
      <w:r w:rsidR="00EA5CE5" w:rsidRPr="00D768EF">
        <w:rPr>
          <w:b/>
          <w:color w:val="000000"/>
          <w:szCs w:val="22"/>
          <w:lang w:val="sr-Latn-ME"/>
        </w:rPr>
        <w:t>s</w:t>
      </w:r>
      <w:r w:rsidRPr="00D768EF">
        <w:rPr>
          <w:b/>
          <w:color w:val="000000"/>
          <w:szCs w:val="22"/>
          <w:lang w:val="sr-Latn-ME"/>
        </w:rPr>
        <w:t xml:space="preserve">trukturno oštećenje zgloba i fizičku funkciju u 54. </w:t>
      </w:r>
      <w:r w:rsidR="00D57936" w:rsidRPr="00D768EF">
        <w:rPr>
          <w:b/>
          <w:color w:val="000000"/>
          <w:szCs w:val="22"/>
          <w:lang w:val="sr-Latn-ME"/>
        </w:rPr>
        <w:t>nedjelj</w:t>
      </w:r>
      <w:r w:rsidRPr="00D768EF">
        <w:rPr>
          <w:b/>
          <w:color w:val="000000"/>
          <w:szCs w:val="22"/>
          <w:lang w:val="sr-Latn-ME"/>
        </w:rPr>
        <w:t>i, ATTRACT</w:t>
      </w:r>
    </w:p>
    <w:tbl>
      <w:tblPr>
        <w:tblW w:w="96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26"/>
        <w:gridCol w:w="1004"/>
        <w:gridCol w:w="1004"/>
        <w:gridCol w:w="1004"/>
        <w:gridCol w:w="1004"/>
        <w:gridCol w:w="1066"/>
        <w:gridCol w:w="1191"/>
      </w:tblGrid>
      <w:tr w:rsidR="00C175E4" w:rsidRPr="00D768EF" w14:paraId="7A97813E" w14:textId="77777777" w:rsidTr="00622285">
        <w:trPr>
          <w:cantSplit/>
          <w:trHeight w:val="353"/>
        </w:trPr>
        <w:tc>
          <w:tcPr>
            <w:tcW w:w="3426" w:type="dxa"/>
            <w:vAlign w:val="center"/>
          </w:tcPr>
          <w:p w14:paraId="0C425564" w14:textId="77777777" w:rsidR="00C175E4" w:rsidRPr="00D768EF" w:rsidRDefault="00C175E4" w:rsidP="002C1E29">
            <w:pPr>
              <w:keepNext/>
              <w:jc w:val="left"/>
              <w:rPr>
                <w:color w:val="000000"/>
                <w:szCs w:val="22"/>
                <w:lang w:val="sr-Latn-ME"/>
              </w:rPr>
            </w:pPr>
          </w:p>
        </w:tc>
        <w:tc>
          <w:tcPr>
            <w:tcW w:w="1004" w:type="dxa"/>
            <w:vAlign w:val="center"/>
          </w:tcPr>
          <w:p w14:paraId="67D29167" w14:textId="77777777" w:rsidR="00C175E4" w:rsidRPr="00D768EF" w:rsidRDefault="00C175E4" w:rsidP="002C1E29">
            <w:pPr>
              <w:keepNext/>
              <w:jc w:val="left"/>
              <w:rPr>
                <w:color w:val="000000"/>
                <w:szCs w:val="22"/>
                <w:lang w:val="sr-Latn-ME"/>
              </w:rPr>
            </w:pPr>
          </w:p>
        </w:tc>
        <w:tc>
          <w:tcPr>
            <w:tcW w:w="4078" w:type="dxa"/>
            <w:gridSpan w:val="4"/>
            <w:vAlign w:val="center"/>
          </w:tcPr>
          <w:p w14:paraId="1420FF7A" w14:textId="77777777" w:rsidR="00C175E4" w:rsidRPr="00D768EF" w:rsidRDefault="00C175E4" w:rsidP="002C1E29">
            <w:pPr>
              <w:keepNext/>
              <w:jc w:val="left"/>
              <w:rPr>
                <w:color w:val="000000"/>
                <w:szCs w:val="22"/>
                <w:lang w:val="sr-Latn-ME"/>
              </w:rPr>
            </w:pPr>
            <w:r w:rsidRPr="00D768EF">
              <w:rPr>
                <w:color w:val="000000"/>
                <w:szCs w:val="22"/>
                <w:lang w:val="sr-Latn-ME"/>
              </w:rPr>
              <w:t>infliksimab</w:t>
            </w:r>
            <w:r w:rsidRPr="00D768EF">
              <w:rPr>
                <w:color w:val="000000"/>
                <w:szCs w:val="22"/>
                <w:vertAlign w:val="superscript"/>
                <w:lang w:val="sr-Latn-ME"/>
              </w:rPr>
              <w:t>b</w:t>
            </w:r>
          </w:p>
        </w:tc>
        <w:tc>
          <w:tcPr>
            <w:tcW w:w="1191" w:type="dxa"/>
            <w:vAlign w:val="center"/>
          </w:tcPr>
          <w:p w14:paraId="50F5A3BE" w14:textId="77777777" w:rsidR="00C175E4" w:rsidRPr="00D768EF" w:rsidRDefault="00C175E4" w:rsidP="002C1E29">
            <w:pPr>
              <w:keepNext/>
              <w:jc w:val="left"/>
              <w:rPr>
                <w:color w:val="000000"/>
                <w:szCs w:val="22"/>
                <w:lang w:val="sr-Latn-ME"/>
              </w:rPr>
            </w:pPr>
          </w:p>
        </w:tc>
      </w:tr>
      <w:tr w:rsidR="00C175E4" w:rsidRPr="00D768EF" w14:paraId="1DDC55B1" w14:textId="77777777" w:rsidTr="00EA5CE5">
        <w:trPr>
          <w:trHeight w:val="353"/>
        </w:trPr>
        <w:tc>
          <w:tcPr>
            <w:tcW w:w="3426" w:type="dxa"/>
            <w:vAlign w:val="center"/>
          </w:tcPr>
          <w:p w14:paraId="214623D5" w14:textId="77777777" w:rsidR="00C175E4" w:rsidRPr="00D768EF" w:rsidRDefault="00C175E4" w:rsidP="002C1E29">
            <w:pPr>
              <w:keepNext/>
              <w:jc w:val="left"/>
              <w:rPr>
                <w:color w:val="000000"/>
                <w:szCs w:val="22"/>
                <w:lang w:val="sr-Latn-ME"/>
              </w:rPr>
            </w:pPr>
          </w:p>
        </w:tc>
        <w:tc>
          <w:tcPr>
            <w:tcW w:w="1004" w:type="dxa"/>
            <w:vAlign w:val="center"/>
          </w:tcPr>
          <w:p w14:paraId="1AD9630B" w14:textId="5E4C35B0" w:rsidR="00C175E4" w:rsidRPr="00D768EF" w:rsidRDefault="00C175E4" w:rsidP="002C1E29">
            <w:pPr>
              <w:keepNext/>
              <w:jc w:val="left"/>
              <w:rPr>
                <w:color w:val="000000"/>
                <w:szCs w:val="22"/>
                <w:lang w:val="sr-Latn-ME"/>
              </w:rPr>
            </w:pPr>
            <w:r w:rsidRPr="00D768EF">
              <w:rPr>
                <w:color w:val="000000"/>
                <w:szCs w:val="22"/>
                <w:lang w:val="sr-Latn-ME"/>
              </w:rPr>
              <w:t>Kontrona grupa</w:t>
            </w:r>
            <w:r w:rsidRPr="00D768EF">
              <w:rPr>
                <w:color w:val="000000"/>
                <w:szCs w:val="22"/>
                <w:vertAlign w:val="superscript"/>
                <w:lang w:val="sr-Latn-ME"/>
              </w:rPr>
              <w:t>a</w:t>
            </w:r>
          </w:p>
        </w:tc>
        <w:tc>
          <w:tcPr>
            <w:tcW w:w="1004" w:type="dxa"/>
            <w:vAlign w:val="center"/>
          </w:tcPr>
          <w:p w14:paraId="20B96D79" w14:textId="3B9AA273" w:rsidR="00C175E4" w:rsidRPr="00D768EF" w:rsidRDefault="00C175E4" w:rsidP="002C1E29">
            <w:pPr>
              <w:keepNext/>
              <w:jc w:val="left"/>
              <w:rPr>
                <w:color w:val="000000"/>
                <w:szCs w:val="22"/>
                <w:lang w:val="sr-Latn-ME"/>
              </w:rPr>
            </w:pPr>
            <w:r w:rsidRPr="00D768EF">
              <w:rPr>
                <w:color w:val="000000"/>
                <w:szCs w:val="22"/>
                <w:lang w:val="sr-Latn-ME"/>
              </w:rPr>
              <w:t xml:space="preserve">3 mg/kg </w:t>
            </w:r>
            <w:r w:rsidRPr="00D768EF">
              <w:rPr>
                <w:color w:val="000000"/>
                <w:szCs w:val="22"/>
                <w:lang w:val="sr-Latn-ME"/>
              </w:rPr>
              <w:br/>
              <w:t>svakih 8 ned</w:t>
            </w:r>
          </w:p>
        </w:tc>
        <w:tc>
          <w:tcPr>
            <w:tcW w:w="1004" w:type="dxa"/>
            <w:vAlign w:val="center"/>
          </w:tcPr>
          <w:p w14:paraId="04A97195" w14:textId="3656FC0E" w:rsidR="00C175E4" w:rsidRPr="00D768EF" w:rsidRDefault="00C175E4" w:rsidP="002C1E29">
            <w:pPr>
              <w:keepNext/>
              <w:jc w:val="left"/>
              <w:rPr>
                <w:color w:val="000000"/>
                <w:szCs w:val="22"/>
                <w:lang w:val="sr-Latn-ME"/>
              </w:rPr>
            </w:pPr>
            <w:r w:rsidRPr="00D768EF">
              <w:rPr>
                <w:color w:val="000000"/>
                <w:szCs w:val="22"/>
                <w:lang w:val="sr-Latn-ME"/>
              </w:rPr>
              <w:t xml:space="preserve">3 mg/kg </w:t>
            </w:r>
            <w:r w:rsidRPr="00D768EF">
              <w:rPr>
                <w:color w:val="000000"/>
                <w:szCs w:val="22"/>
                <w:lang w:val="sr-Latn-ME"/>
              </w:rPr>
              <w:br/>
              <w:t>svake 4 ned</w:t>
            </w:r>
          </w:p>
        </w:tc>
        <w:tc>
          <w:tcPr>
            <w:tcW w:w="1004" w:type="dxa"/>
            <w:vAlign w:val="center"/>
          </w:tcPr>
          <w:p w14:paraId="73772490" w14:textId="22B197A6" w:rsidR="00C175E4" w:rsidRPr="00D768EF" w:rsidRDefault="00C175E4" w:rsidP="002C1E29">
            <w:pPr>
              <w:keepNext/>
              <w:jc w:val="left"/>
              <w:rPr>
                <w:color w:val="000000"/>
                <w:szCs w:val="22"/>
                <w:lang w:val="sr-Latn-ME"/>
              </w:rPr>
            </w:pPr>
            <w:r w:rsidRPr="00D768EF">
              <w:rPr>
                <w:color w:val="000000"/>
                <w:szCs w:val="22"/>
                <w:lang w:val="sr-Latn-ME"/>
              </w:rPr>
              <w:t xml:space="preserve">10 mg/kg </w:t>
            </w:r>
            <w:r w:rsidRPr="00D768EF">
              <w:rPr>
                <w:color w:val="000000"/>
                <w:szCs w:val="22"/>
                <w:lang w:val="sr-Latn-ME"/>
              </w:rPr>
              <w:br/>
              <w:t>svakih 8 ned</w:t>
            </w:r>
          </w:p>
        </w:tc>
        <w:tc>
          <w:tcPr>
            <w:tcW w:w="1066" w:type="dxa"/>
            <w:vAlign w:val="center"/>
          </w:tcPr>
          <w:p w14:paraId="3CC2946F" w14:textId="42107C9A" w:rsidR="00C175E4" w:rsidRPr="00D768EF" w:rsidRDefault="00C175E4" w:rsidP="002C1E29">
            <w:pPr>
              <w:keepNext/>
              <w:jc w:val="left"/>
              <w:rPr>
                <w:color w:val="000000"/>
                <w:szCs w:val="22"/>
                <w:lang w:val="sr-Latn-ME"/>
              </w:rPr>
            </w:pPr>
            <w:r w:rsidRPr="00D768EF">
              <w:rPr>
                <w:color w:val="000000"/>
                <w:szCs w:val="22"/>
                <w:lang w:val="sr-Latn-ME"/>
              </w:rPr>
              <w:t xml:space="preserve">10 mg/kg </w:t>
            </w:r>
            <w:r w:rsidRPr="00D768EF">
              <w:rPr>
                <w:color w:val="000000"/>
                <w:szCs w:val="22"/>
                <w:lang w:val="sr-Latn-ME"/>
              </w:rPr>
              <w:br/>
              <w:t>svake 4 ned</w:t>
            </w:r>
          </w:p>
        </w:tc>
        <w:tc>
          <w:tcPr>
            <w:tcW w:w="1191" w:type="dxa"/>
            <w:vAlign w:val="center"/>
          </w:tcPr>
          <w:p w14:paraId="0FC5445D" w14:textId="77777777" w:rsidR="00C175E4" w:rsidRPr="00D768EF" w:rsidRDefault="00C175E4" w:rsidP="002C1E29">
            <w:pPr>
              <w:keepNext/>
              <w:jc w:val="left"/>
              <w:rPr>
                <w:color w:val="000000"/>
                <w:szCs w:val="22"/>
                <w:lang w:val="sr-Latn-ME"/>
              </w:rPr>
            </w:pPr>
            <w:r w:rsidRPr="00D768EF">
              <w:rPr>
                <w:color w:val="000000"/>
                <w:szCs w:val="22"/>
                <w:lang w:val="sr-Latn-ME"/>
              </w:rPr>
              <w:t>Ukupno infliksimab</w:t>
            </w:r>
            <w:r w:rsidRPr="00D768EF">
              <w:rPr>
                <w:color w:val="000000"/>
                <w:szCs w:val="22"/>
                <w:vertAlign w:val="superscript"/>
                <w:lang w:val="sr-Latn-ME"/>
              </w:rPr>
              <w:t>b</w:t>
            </w:r>
          </w:p>
        </w:tc>
      </w:tr>
      <w:tr w:rsidR="00C175E4" w:rsidRPr="00D768EF" w14:paraId="45EA429C" w14:textId="77777777" w:rsidTr="00EA5CE5">
        <w:trPr>
          <w:trHeight w:val="353"/>
        </w:trPr>
        <w:tc>
          <w:tcPr>
            <w:tcW w:w="3426" w:type="dxa"/>
            <w:vAlign w:val="center"/>
          </w:tcPr>
          <w:p w14:paraId="28D019BB" w14:textId="77777777" w:rsidR="00C175E4" w:rsidRPr="00D768EF" w:rsidRDefault="00C175E4" w:rsidP="00622285">
            <w:pPr>
              <w:jc w:val="left"/>
              <w:rPr>
                <w:color w:val="000000"/>
                <w:szCs w:val="22"/>
                <w:lang w:val="sr-Latn-ME"/>
              </w:rPr>
            </w:pPr>
            <w:r w:rsidRPr="00D768EF">
              <w:rPr>
                <w:color w:val="000000"/>
                <w:szCs w:val="22"/>
                <w:lang w:val="sr-Latn-ME"/>
              </w:rPr>
              <w:t>Pacijenti sa ACR20 reakcijom/</w:t>
            </w:r>
          </w:p>
          <w:p w14:paraId="5277D7C6" w14:textId="12137D8B" w:rsidR="00C175E4" w:rsidRPr="00D768EF" w:rsidRDefault="00C175E4" w:rsidP="00622285">
            <w:pPr>
              <w:jc w:val="left"/>
              <w:rPr>
                <w:color w:val="000000"/>
                <w:szCs w:val="22"/>
                <w:lang w:val="sr-Latn-ME"/>
              </w:rPr>
            </w:pPr>
            <w:r w:rsidRPr="00D768EF">
              <w:rPr>
                <w:color w:val="000000"/>
                <w:szCs w:val="22"/>
                <w:lang w:val="sr-Latn-ME"/>
              </w:rPr>
              <w:t>Proc</w:t>
            </w:r>
            <w:r w:rsidR="00693634" w:rsidRPr="00D768EF">
              <w:rPr>
                <w:color w:val="000000"/>
                <w:szCs w:val="22"/>
                <w:lang w:val="sr-Latn-ME"/>
              </w:rPr>
              <w:t>ij</w:t>
            </w:r>
            <w:r w:rsidRPr="00D768EF">
              <w:rPr>
                <w:color w:val="000000"/>
                <w:szCs w:val="22"/>
                <w:lang w:val="sr-Latn-ME"/>
              </w:rPr>
              <w:t>enjeni pacijenti (%)</w:t>
            </w:r>
          </w:p>
        </w:tc>
        <w:tc>
          <w:tcPr>
            <w:tcW w:w="1004" w:type="dxa"/>
            <w:vAlign w:val="center"/>
          </w:tcPr>
          <w:p w14:paraId="5A9DB3A6" w14:textId="77777777" w:rsidR="00C175E4" w:rsidRPr="00D768EF" w:rsidRDefault="00C175E4" w:rsidP="00622285">
            <w:pPr>
              <w:jc w:val="left"/>
              <w:rPr>
                <w:color w:val="000000"/>
                <w:szCs w:val="22"/>
                <w:lang w:val="sr-Latn-ME"/>
              </w:rPr>
            </w:pPr>
            <w:r w:rsidRPr="00D768EF">
              <w:rPr>
                <w:snapToGrid w:val="0"/>
                <w:color w:val="000000"/>
                <w:szCs w:val="22"/>
                <w:lang w:val="sr-Latn-ME"/>
              </w:rPr>
              <w:t>15/88 (17%)</w:t>
            </w:r>
          </w:p>
        </w:tc>
        <w:tc>
          <w:tcPr>
            <w:tcW w:w="1004" w:type="dxa"/>
            <w:vAlign w:val="center"/>
          </w:tcPr>
          <w:p w14:paraId="6F01D6A5" w14:textId="77777777" w:rsidR="00C175E4" w:rsidRPr="00D768EF" w:rsidRDefault="00C175E4" w:rsidP="00622285">
            <w:pPr>
              <w:jc w:val="left"/>
              <w:rPr>
                <w:snapToGrid w:val="0"/>
                <w:color w:val="000000"/>
                <w:szCs w:val="22"/>
                <w:lang w:val="sr-Latn-ME"/>
              </w:rPr>
            </w:pPr>
            <w:r w:rsidRPr="00D768EF">
              <w:rPr>
                <w:snapToGrid w:val="0"/>
                <w:color w:val="000000"/>
                <w:szCs w:val="22"/>
                <w:lang w:val="sr-Latn-ME"/>
              </w:rPr>
              <w:t>36/86 (42%)</w:t>
            </w:r>
          </w:p>
        </w:tc>
        <w:tc>
          <w:tcPr>
            <w:tcW w:w="1004" w:type="dxa"/>
            <w:vAlign w:val="center"/>
          </w:tcPr>
          <w:p w14:paraId="349474FF" w14:textId="77777777" w:rsidR="00C175E4" w:rsidRPr="00D768EF" w:rsidRDefault="00C175E4" w:rsidP="00622285">
            <w:pPr>
              <w:jc w:val="left"/>
              <w:rPr>
                <w:snapToGrid w:val="0"/>
                <w:color w:val="000000"/>
                <w:szCs w:val="22"/>
                <w:lang w:val="sr-Latn-ME"/>
              </w:rPr>
            </w:pPr>
            <w:r w:rsidRPr="00D768EF">
              <w:rPr>
                <w:snapToGrid w:val="0"/>
                <w:color w:val="000000"/>
                <w:szCs w:val="22"/>
                <w:lang w:val="sr-Latn-ME"/>
              </w:rPr>
              <w:t>41/86 (48%)</w:t>
            </w:r>
          </w:p>
        </w:tc>
        <w:tc>
          <w:tcPr>
            <w:tcW w:w="1004" w:type="dxa"/>
            <w:vAlign w:val="center"/>
          </w:tcPr>
          <w:p w14:paraId="3E593A9F" w14:textId="77777777" w:rsidR="00C175E4" w:rsidRPr="00D768EF" w:rsidRDefault="00C175E4" w:rsidP="00622285">
            <w:pPr>
              <w:jc w:val="left"/>
              <w:rPr>
                <w:snapToGrid w:val="0"/>
                <w:color w:val="000000"/>
                <w:szCs w:val="22"/>
                <w:lang w:val="sr-Latn-ME"/>
              </w:rPr>
            </w:pPr>
            <w:r w:rsidRPr="00D768EF">
              <w:rPr>
                <w:snapToGrid w:val="0"/>
                <w:color w:val="000000"/>
                <w:szCs w:val="22"/>
                <w:lang w:val="sr-Latn-ME"/>
              </w:rPr>
              <w:t>51/87 (59%)</w:t>
            </w:r>
          </w:p>
        </w:tc>
        <w:tc>
          <w:tcPr>
            <w:tcW w:w="1066" w:type="dxa"/>
            <w:vAlign w:val="center"/>
          </w:tcPr>
          <w:p w14:paraId="002AB364" w14:textId="77777777" w:rsidR="00C175E4" w:rsidRPr="00D768EF" w:rsidRDefault="00C175E4" w:rsidP="00622285">
            <w:pPr>
              <w:jc w:val="left"/>
              <w:rPr>
                <w:snapToGrid w:val="0"/>
                <w:color w:val="000000"/>
                <w:szCs w:val="22"/>
                <w:lang w:val="sr-Latn-ME"/>
              </w:rPr>
            </w:pPr>
            <w:r w:rsidRPr="00D768EF">
              <w:rPr>
                <w:snapToGrid w:val="0"/>
                <w:color w:val="000000"/>
                <w:szCs w:val="22"/>
                <w:lang w:val="sr-Latn-ME"/>
              </w:rPr>
              <w:t>48/81 (59%)</w:t>
            </w:r>
          </w:p>
        </w:tc>
        <w:tc>
          <w:tcPr>
            <w:tcW w:w="1191" w:type="dxa"/>
            <w:vAlign w:val="center"/>
          </w:tcPr>
          <w:p w14:paraId="0130BDB4" w14:textId="77777777" w:rsidR="00C175E4" w:rsidRPr="00D768EF" w:rsidRDefault="00C175E4" w:rsidP="00622285">
            <w:pPr>
              <w:jc w:val="left"/>
              <w:rPr>
                <w:snapToGrid w:val="0"/>
                <w:color w:val="000000"/>
                <w:szCs w:val="22"/>
                <w:lang w:val="sr-Latn-ME"/>
              </w:rPr>
            </w:pPr>
            <w:r w:rsidRPr="00D768EF">
              <w:rPr>
                <w:snapToGrid w:val="0"/>
                <w:color w:val="000000"/>
                <w:szCs w:val="22"/>
                <w:lang w:val="sr-Latn-ME"/>
              </w:rPr>
              <w:t>176/340 (52%)</w:t>
            </w:r>
          </w:p>
        </w:tc>
      </w:tr>
      <w:tr w:rsidR="00C175E4" w:rsidRPr="00D768EF" w14:paraId="0C646157" w14:textId="77777777" w:rsidTr="00EA5CE5">
        <w:trPr>
          <w:trHeight w:val="393"/>
        </w:trPr>
        <w:tc>
          <w:tcPr>
            <w:tcW w:w="3426" w:type="dxa"/>
            <w:vAlign w:val="center"/>
          </w:tcPr>
          <w:p w14:paraId="06E49BAE" w14:textId="10C406DB" w:rsidR="00C175E4" w:rsidRPr="00D768EF" w:rsidRDefault="00C175E4" w:rsidP="00622285">
            <w:pPr>
              <w:jc w:val="left"/>
              <w:rPr>
                <w:color w:val="000000"/>
                <w:szCs w:val="22"/>
                <w:lang w:val="sr-Latn-ME"/>
              </w:rPr>
            </w:pPr>
            <w:r w:rsidRPr="00D768EF">
              <w:rPr>
                <w:color w:val="000000"/>
                <w:szCs w:val="22"/>
                <w:lang w:val="sr-Latn-ME"/>
              </w:rPr>
              <w:t>Ukupni rezultat</w:t>
            </w:r>
            <w:r w:rsidRPr="00D768EF">
              <w:rPr>
                <w:color w:val="000000"/>
                <w:szCs w:val="22"/>
                <w:vertAlign w:val="superscript"/>
                <w:lang w:val="sr-Latn-ME"/>
              </w:rPr>
              <w:t>d</w:t>
            </w:r>
            <w:r w:rsidRPr="00D768EF">
              <w:rPr>
                <w:color w:val="000000"/>
                <w:szCs w:val="22"/>
                <w:lang w:val="sr-Latn-ME"/>
              </w:rPr>
              <w:t xml:space="preserve"> (van der Heijdeova modifikovana Sharp skala)</w:t>
            </w:r>
          </w:p>
        </w:tc>
        <w:tc>
          <w:tcPr>
            <w:tcW w:w="1004" w:type="dxa"/>
            <w:vAlign w:val="center"/>
          </w:tcPr>
          <w:p w14:paraId="0B351338" w14:textId="77777777" w:rsidR="00C175E4" w:rsidRPr="00D768EF" w:rsidRDefault="00C175E4" w:rsidP="00622285">
            <w:pPr>
              <w:jc w:val="left"/>
              <w:rPr>
                <w:color w:val="000000"/>
                <w:szCs w:val="22"/>
                <w:lang w:val="sr-Latn-ME"/>
              </w:rPr>
            </w:pPr>
          </w:p>
        </w:tc>
        <w:tc>
          <w:tcPr>
            <w:tcW w:w="1004" w:type="dxa"/>
            <w:vAlign w:val="center"/>
          </w:tcPr>
          <w:p w14:paraId="0E2EF6E1" w14:textId="77777777" w:rsidR="00C175E4" w:rsidRPr="00D768EF" w:rsidRDefault="00C175E4" w:rsidP="00622285">
            <w:pPr>
              <w:jc w:val="left"/>
              <w:rPr>
                <w:color w:val="000000"/>
                <w:szCs w:val="22"/>
                <w:lang w:val="sr-Latn-ME"/>
              </w:rPr>
            </w:pPr>
          </w:p>
        </w:tc>
        <w:tc>
          <w:tcPr>
            <w:tcW w:w="1004" w:type="dxa"/>
            <w:vAlign w:val="center"/>
          </w:tcPr>
          <w:p w14:paraId="3AC1DDAC" w14:textId="77777777" w:rsidR="00C175E4" w:rsidRPr="00D768EF" w:rsidRDefault="00C175E4" w:rsidP="00622285">
            <w:pPr>
              <w:jc w:val="left"/>
              <w:rPr>
                <w:color w:val="000000"/>
                <w:szCs w:val="22"/>
                <w:lang w:val="sr-Latn-ME"/>
              </w:rPr>
            </w:pPr>
          </w:p>
        </w:tc>
        <w:tc>
          <w:tcPr>
            <w:tcW w:w="1004" w:type="dxa"/>
            <w:vAlign w:val="center"/>
          </w:tcPr>
          <w:p w14:paraId="3A61D159" w14:textId="77777777" w:rsidR="00C175E4" w:rsidRPr="00D768EF" w:rsidRDefault="00C175E4" w:rsidP="00622285">
            <w:pPr>
              <w:jc w:val="left"/>
              <w:rPr>
                <w:color w:val="000000"/>
                <w:szCs w:val="22"/>
                <w:lang w:val="sr-Latn-ME"/>
              </w:rPr>
            </w:pPr>
          </w:p>
        </w:tc>
        <w:tc>
          <w:tcPr>
            <w:tcW w:w="1066" w:type="dxa"/>
            <w:vAlign w:val="center"/>
          </w:tcPr>
          <w:p w14:paraId="55A91035" w14:textId="77777777" w:rsidR="00C175E4" w:rsidRPr="00D768EF" w:rsidRDefault="00C175E4" w:rsidP="00622285">
            <w:pPr>
              <w:jc w:val="left"/>
              <w:rPr>
                <w:color w:val="000000"/>
                <w:szCs w:val="22"/>
                <w:lang w:val="sr-Latn-ME"/>
              </w:rPr>
            </w:pPr>
          </w:p>
        </w:tc>
        <w:tc>
          <w:tcPr>
            <w:tcW w:w="1191" w:type="dxa"/>
            <w:vAlign w:val="center"/>
          </w:tcPr>
          <w:p w14:paraId="51DFA907" w14:textId="77777777" w:rsidR="00C175E4" w:rsidRPr="00D768EF" w:rsidRDefault="00C175E4" w:rsidP="00622285">
            <w:pPr>
              <w:jc w:val="left"/>
              <w:rPr>
                <w:color w:val="000000"/>
                <w:szCs w:val="22"/>
                <w:lang w:val="sr-Latn-ME"/>
              </w:rPr>
            </w:pPr>
          </w:p>
        </w:tc>
      </w:tr>
      <w:tr w:rsidR="00C175E4" w:rsidRPr="00D768EF" w14:paraId="35F62891" w14:textId="77777777" w:rsidTr="00EA5CE5">
        <w:trPr>
          <w:trHeight w:val="393"/>
        </w:trPr>
        <w:tc>
          <w:tcPr>
            <w:tcW w:w="3426" w:type="dxa"/>
            <w:vAlign w:val="center"/>
          </w:tcPr>
          <w:p w14:paraId="01F6FA63" w14:textId="4B47AC5E" w:rsidR="00C175E4" w:rsidRPr="00D768EF" w:rsidRDefault="00C175E4" w:rsidP="00622285">
            <w:pPr>
              <w:jc w:val="left"/>
              <w:rPr>
                <w:color w:val="000000"/>
                <w:szCs w:val="22"/>
                <w:lang w:val="sr-Latn-ME"/>
              </w:rPr>
            </w:pPr>
            <w:r w:rsidRPr="00D768EF">
              <w:rPr>
                <w:color w:val="000000"/>
                <w:szCs w:val="22"/>
                <w:lang w:val="sr-Latn-ME"/>
              </w:rPr>
              <w:t>Prom</w:t>
            </w:r>
            <w:r w:rsidR="00693634" w:rsidRPr="00D768EF">
              <w:rPr>
                <w:color w:val="000000"/>
                <w:szCs w:val="22"/>
                <w:lang w:val="sr-Latn-ME"/>
              </w:rPr>
              <w:t>j</w:t>
            </w:r>
            <w:r w:rsidRPr="00D768EF">
              <w:rPr>
                <w:color w:val="000000"/>
                <w:szCs w:val="22"/>
                <w:lang w:val="sr-Latn-ME"/>
              </w:rPr>
              <w:t xml:space="preserve">ena od početne </w:t>
            </w:r>
            <w:r w:rsidR="008A0A5C" w:rsidRPr="00D768EF">
              <w:rPr>
                <w:color w:val="000000"/>
                <w:szCs w:val="22"/>
                <w:lang w:val="sr-Latn-ME"/>
              </w:rPr>
              <w:t>vrijedno</w:t>
            </w:r>
            <w:r w:rsidRPr="00D768EF">
              <w:rPr>
                <w:color w:val="000000"/>
                <w:szCs w:val="22"/>
                <w:lang w:val="sr-Latn-ME"/>
              </w:rPr>
              <w:t xml:space="preserve">sti </w:t>
            </w:r>
          </w:p>
          <w:p w14:paraId="7AF048C8" w14:textId="2955E0BB" w:rsidR="00C175E4" w:rsidRPr="00D768EF" w:rsidRDefault="00C175E4" w:rsidP="00622285">
            <w:pPr>
              <w:jc w:val="left"/>
              <w:rPr>
                <w:color w:val="000000"/>
                <w:szCs w:val="22"/>
                <w:lang w:val="sr-Latn-ME"/>
              </w:rPr>
            </w:pPr>
            <w:r w:rsidRPr="00D768EF">
              <w:rPr>
                <w:color w:val="000000"/>
                <w:szCs w:val="22"/>
                <w:lang w:val="sr-Latn-ME"/>
              </w:rPr>
              <w:t xml:space="preserve">(Srednja </w:t>
            </w:r>
            <w:r w:rsidR="008A0A5C" w:rsidRPr="00D768EF">
              <w:rPr>
                <w:color w:val="000000"/>
                <w:szCs w:val="22"/>
                <w:lang w:val="sr-Latn-ME"/>
              </w:rPr>
              <w:t>vrijedno</w:t>
            </w:r>
            <w:r w:rsidRPr="00D768EF">
              <w:rPr>
                <w:color w:val="000000"/>
                <w:szCs w:val="22"/>
                <w:lang w:val="sr-Latn-ME"/>
              </w:rPr>
              <w:t xml:space="preserve">st </w:t>
            </w:r>
            <w:r w:rsidRPr="00D768EF">
              <w:rPr>
                <w:color w:val="000000"/>
                <w:szCs w:val="22"/>
                <w:lang w:val="sr-Latn-ME"/>
              </w:rPr>
              <w:sym w:font="Symbol" w:char="F0B1"/>
            </w:r>
            <w:r w:rsidRPr="00D768EF">
              <w:rPr>
                <w:color w:val="000000"/>
                <w:szCs w:val="22"/>
                <w:lang w:val="sr-Latn-ME"/>
              </w:rPr>
              <w:t xml:space="preserve"> SD</w:t>
            </w:r>
            <w:r w:rsidRPr="00D768EF">
              <w:rPr>
                <w:color w:val="000000"/>
                <w:szCs w:val="22"/>
                <w:vertAlign w:val="superscript"/>
                <w:lang w:val="sr-Latn-ME"/>
              </w:rPr>
              <w:t xml:space="preserve">c </w:t>
            </w:r>
            <w:r w:rsidRPr="00D768EF">
              <w:rPr>
                <w:color w:val="000000"/>
                <w:szCs w:val="22"/>
                <w:lang w:val="sr-Latn-ME"/>
              </w:rPr>
              <w:t>)</w:t>
            </w:r>
          </w:p>
        </w:tc>
        <w:tc>
          <w:tcPr>
            <w:tcW w:w="1004" w:type="dxa"/>
            <w:vAlign w:val="center"/>
          </w:tcPr>
          <w:p w14:paraId="6F250FED" w14:textId="03C80DAB" w:rsidR="00C175E4" w:rsidRPr="00D768EF" w:rsidRDefault="00C175E4" w:rsidP="00622285">
            <w:pPr>
              <w:jc w:val="left"/>
              <w:rPr>
                <w:color w:val="000000"/>
                <w:szCs w:val="22"/>
                <w:lang w:val="sr-Latn-ME"/>
              </w:rPr>
            </w:pPr>
            <w:r w:rsidRPr="00D768EF">
              <w:rPr>
                <w:color w:val="000000"/>
                <w:szCs w:val="22"/>
                <w:lang w:val="sr-Latn-ME"/>
              </w:rPr>
              <w:t>7.0 ± 10.3</w:t>
            </w:r>
          </w:p>
        </w:tc>
        <w:tc>
          <w:tcPr>
            <w:tcW w:w="1004" w:type="dxa"/>
            <w:vAlign w:val="center"/>
          </w:tcPr>
          <w:p w14:paraId="7BE0DDD2" w14:textId="041E85FE" w:rsidR="00C175E4" w:rsidRPr="00D768EF" w:rsidRDefault="00C175E4" w:rsidP="00622285">
            <w:pPr>
              <w:jc w:val="left"/>
              <w:rPr>
                <w:color w:val="000000"/>
                <w:szCs w:val="22"/>
                <w:lang w:val="sr-Latn-ME"/>
              </w:rPr>
            </w:pPr>
            <w:r w:rsidRPr="00D768EF">
              <w:rPr>
                <w:color w:val="000000"/>
                <w:szCs w:val="22"/>
                <w:lang w:val="sr-Latn-ME"/>
              </w:rPr>
              <w:t>1.3 ± 6.0</w:t>
            </w:r>
          </w:p>
        </w:tc>
        <w:tc>
          <w:tcPr>
            <w:tcW w:w="1004" w:type="dxa"/>
            <w:vAlign w:val="center"/>
          </w:tcPr>
          <w:p w14:paraId="7CAAC2B0" w14:textId="042701C3" w:rsidR="00C175E4" w:rsidRPr="00D768EF" w:rsidRDefault="00C175E4" w:rsidP="00622285">
            <w:pPr>
              <w:jc w:val="left"/>
              <w:rPr>
                <w:color w:val="000000"/>
                <w:szCs w:val="22"/>
                <w:lang w:val="sr-Latn-ME"/>
              </w:rPr>
            </w:pPr>
            <w:r w:rsidRPr="00D768EF">
              <w:rPr>
                <w:color w:val="000000"/>
                <w:szCs w:val="22"/>
                <w:lang w:val="sr-Latn-ME"/>
              </w:rPr>
              <w:t>1.6 ± 8.5</w:t>
            </w:r>
          </w:p>
        </w:tc>
        <w:tc>
          <w:tcPr>
            <w:tcW w:w="1004" w:type="dxa"/>
            <w:vAlign w:val="center"/>
          </w:tcPr>
          <w:p w14:paraId="3DFBCE74" w14:textId="012B496B" w:rsidR="00C175E4" w:rsidRPr="00D768EF" w:rsidRDefault="00C175E4" w:rsidP="00622285">
            <w:pPr>
              <w:jc w:val="left"/>
              <w:rPr>
                <w:color w:val="000000"/>
                <w:szCs w:val="22"/>
                <w:lang w:val="sr-Latn-ME"/>
              </w:rPr>
            </w:pPr>
            <w:r w:rsidRPr="00D768EF">
              <w:rPr>
                <w:color w:val="000000"/>
                <w:szCs w:val="22"/>
                <w:lang w:val="sr-Latn-ME"/>
              </w:rPr>
              <w:t>0.2 ± 3.6</w:t>
            </w:r>
          </w:p>
        </w:tc>
        <w:tc>
          <w:tcPr>
            <w:tcW w:w="1066" w:type="dxa"/>
            <w:vAlign w:val="center"/>
          </w:tcPr>
          <w:p w14:paraId="002BFD01" w14:textId="10145C58" w:rsidR="00C175E4" w:rsidRPr="00D768EF" w:rsidRDefault="00C175E4" w:rsidP="00622285">
            <w:pPr>
              <w:jc w:val="left"/>
              <w:rPr>
                <w:color w:val="000000"/>
                <w:szCs w:val="22"/>
                <w:lang w:val="sr-Latn-ME"/>
              </w:rPr>
            </w:pPr>
            <w:r w:rsidRPr="00D768EF">
              <w:rPr>
                <w:color w:val="000000"/>
                <w:szCs w:val="22"/>
                <w:lang w:val="sr-Latn-ME"/>
              </w:rPr>
              <w:t>-0.7 ± 3.8</w:t>
            </w:r>
          </w:p>
        </w:tc>
        <w:tc>
          <w:tcPr>
            <w:tcW w:w="1191" w:type="dxa"/>
            <w:vAlign w:val="center"/>
          </w:tcPr>
          <w:p w14:paraId="3295C011" w14:textId="17A993E2" w:rsidR="00C175E4" w:rsidRPr="00D768EF" w:rsidRDefault="00C175E4" w:rsidP="00622285">
            <w:pPr>
              <w:jc w:val="left"/>
              <w:rPr>
                <w:color w:val="000000"/>
                <w:szCs w:val="22"/>
                <w:lang w:val="sr-Latn-ME"/>
              </w:rPr>
            </w:pPr>
            <w:r w:rsidRPr="00D768EF">
              <w:rPr>
                <w:color w:val="000000"/>
                <w:szCs w:val="22"/>
                <w:lang w:val="sr-Latn-ME"/>
              </w:rPr>
              <w:t>0.6 ± 5.9</w:t>
            </w:r>
          </w:p>
        </w:tc>
      </w:tr>
      <w:tr w:rsidR="00C175E4" w:rsidRPr="00D768EF" w14:paraId="00F28778" w14:textId="77777777" w:rsidTr="00EA5CE5">
        <w:trPr>
          <w:trHeight w:val="589"/>
        </w:trPr>
        <w:tc>
          <w:tcPr>
            <w:tcW w:w="3426" w:type="dxa"/>
            <w:vAlign w:val="center"/>
          </w:tcPr>
          <w:p w14:paraId="3F7F031D" w14:textId="77777777" w:rsidR="00C175E4" w:rsidRPr="00D768EF" w:rsidRDefault="00C175E4" w:rsidP="00622285">
            <w:pPr>
              <w:jc w:val="left"/>
              <w:rPr>
                <w:color w:val="000000"/>
                <w:szCs w:val="22"/>
                <w:lang w:val="sr-Latn-ME"/>
              </w:rPr>
            </w:pPr>
            <w:r w:rsidRPr="00D768EF">
              <w:rPr>
                <w:color w:val="000000"/>
                <w:szCs w:val="22"/>
                <w:lang w:val="sr-Latn-ME"/>
              </w:rPr>
              <w:t>Medijana</w:t>
            </w:r>
          </w:p>
          <w:p w14:paraId="06A75178" w14:textId="0D88FFC8" w:rsidR="00C175E4" w:rsidRPr="00D768EF" w:rsidRDefault="00C175E4" w:rsidP="00622285">
            <w:pPr>
              <w:jc w:val="left"/>
              <w:rPr>
                <w:color w:val="000000"/>
                <w:szCs w:val="22"/>
                <w:lang w:val="sr-Latn-ME"/>
              </w:rPr>
            </w:pPr>
            <w:r w:rsidRPr="00D768EF">
              <w:rPr>
                <w:color w:val="000000"/>
                <w:szCs w:val="22"/>
                <w:lang w:val="sr-Latn-ME"/>
              </w:rPr>
              <w:t>(interkvartilni opseg)</w:t>
            </w:r>
          </w:p>
        </w:tc>
        <w:tc>
          <w:tcPr>
            <w:tcW w:w="1004" w:type="dxa"/>
            <w:vAlign w:val="center"/>
          </w:tcPr>
          <w:p w14:paraId="5BED2B94" w14:textId="564DA24D" w:rsidR="00C175E4" w:rsidRPr="00D768EF" w:rsidRDefault="00C175E4" w:rsidP="00622285">
            <w:pPr>
              <w:jc w:val="left"/>
              <w:rPr>
                <w:color w:val="000000"/>
                <w:szCs w:val="22"/>
                <w:lang w:val="sr-Latn-ME"/>
              </w:rPr>
            </w:pPr>
            <w:r w:rsidRPr="00D768EF">
              <w:rPr>
                <w:color w:val="000000"/>
                <w:szCs w:val="22"/>
                <w:lang w:val="sr-Latn-ME"/>
              </w:rPr>
              <w:t>4.0</w:t>
            </w:r>
          </w:p>
          <w:p w14:paraId="34ADB571" w14:textId="03596576" w:rsidR="00C175E4" w:rsidRPr="00D768EF" w:rsidRDefault="00C175E4" w:rsidP="00622285">
            <w:pPr>
              <w:jc w:val="left"/>
              <w:rPr>
                <w:color w:val="000000"/>
                <w:szCs w:val="22"/>
                <w:lang w:val="sr-Latn-ME"/>
              </w:rPr>
            </w:pPr>
            <w:r w:rsidRPr="00D768EF">
              <w:rPr>
                <w:color w:val="000000"/>
                <w:szCs w:val="22"/>
                <w:lang w:val="sr-Latn-ME"/>
              </w:rPr>
              <w:t>(0.5,9.7)</w:t>
            </w:r>
          </w:p>
        </w:tc>
        <w:tc>
          <w:tcPr>
            <w:tcW w:w="1004" w:type="dxa"/>
            <w:vAlign w:val="center"/>
          </w:tcPr>
          <w:p w14:paraId="07168061" w14:textId="17962088" w:rsidR="00C175E4" w:rsidRPr="00D768EF" w:rsidRDefault="00C175E4" w:rsidP="00622285">
            <w:pPr>
              <w:jc w:val="left"/>
              <w:rPr>
                <w:snapToGrid w:val="0"/>
                <w:color w:val="000000"/>
                <w:szCs w:val="22"/>
                <w:lang w:val="sr-Latn-ME"/>
              </w:rPr>
            </w:pPr>
            <w:r w:rsidRPr="00D768EF">
              <w:rPr>
                <w:snapToGrid w:val="0"/>
                <w:color w:val="000000"/>
                <w:szCs w:val="22"/>
                <w:lang w:val="sr-Latn-ME"/>
              </w:rPr>
              <w:t>0.5</w:t>
            </w:r>
          </w:p>
          <w:p w14:paraId="0547B1EE" w14:textId="1E0281BA" w:rsidR="00C175E4" w:rsidRPr="00D768EF" w:rsidRDefault="00C175E4" w:rsidP="00622285">
            <w:pPr>
              <w:jc w:val="left"/>
              <w:rPr>
                <w:snapToGrid w:val="0"/>
                <w:color w:val="000000"/>
                <w:szCs w:val="22"/>
                <w:lang w:val="sr-Latn-ME"/>
              </w:rPr>
            </w:pPr>
            <w:r w:rsidRPr="00D768EF">
              <w:rPr>
                <w:snapToGrid w:val="0"/>
                <w:color w:val="000000"/>
                <w:szCs w:val="22"/>
                <w:lang w:val="sr-Latn-ME"/>
              </w:rPr>
              <w:t>(-1.5,3.0)</w:t>
            </w:r>
          </w:p>
        </w:tc>
        <w:tc>
          <w:tcPr>
            <w:tcW w:w="1004" w:type="dxa"/>
            <w:vAlign w:val="center"/>
          </w:tcPr>
          <w:p w14:paraId="2A819CC7" w14:textId="61378014" w:rsidR="00C175E4" w:rsidRPr="00D768EF" w:rsidRDefault="00C175E4" w:rsidP="00622285">
            <w:pPr>
              <w:jc w:val="left"/>
              <w:rPr>
                <w:snapToGrid w:val="0"/>
                <w:color w:val="000000"/>
                <w:szCs w:val="22"/>
                <w:lang w:val="sr-Latn-ME"/>
              </w:rPr>
            </w:pPr>
            <w:r w:rsidRPr="00D768EF">
              <w:rPr>
                <w:snapToGrid w:val="0"/>
                <w:color w:val="000000"/>
                <w:szCs w:val="22"/>
                <w:lang w:val="sr-Latn-ME"/>
              </w:rPr>
              <w:t>0.1</w:t>
            </w:r>
          </w:p>
          <w:p w14:paraId="4968434D" w14:textId="1BE4E6E6" w:rsidR="00C175E4" w:rsidRPr="00D768EF" w:rsidRDefault="00C175E4" w:rsidP="00622285">
            <w:pPr>
              <w:jc w:val="left"/>
              <w:rPr>
                <w:snapToGrid w:val="0"/>
                <w:color w:val="000000"/>
                <w:szCs w:val="22"/>
                <w:lang w:val="sr-Latn-ME"/>
              </w:rPr>
            </w:pPr>
            <w:r w:rsidRPr="00D768EF">
              <w:rPr>
                <w:snapToGrid w:val="0"/>
                <w:color w:val="000000"/>
                <w:szCs w:val="22"/>
                <w:lang w:val="sr-Latn-ME"/>
              </w:rPr>
              <w:t>(-2.5,3.0)</w:t>
            </w:r>
          </w:p>
        </w:tc>
        <w:tc>
          <w:tcPr>
            <w:tcW w:w="1004" w:type="dxa"/>
            <w:vAlign w:val="center"/>
          </w:tcPr>
          <w:p w14:paraId="3FEAC5FA" w14:textId="377AD73A" w:rsidR="00C175E4" w:rsidRPr="00D768EF" w:rsidRDefault="00C175E4" w:rsidP="00622285">
            <w:pPr>
              <w:jc w:val="left"/>
              <w:rPr>
                <w:snapToGrid w:val="0"/>
                <w:color w:val="000000"/>
                <w:szCs w:val="22"/>
                <w:lang w:val="sr-Latn-ME"/>
              </w:rPr>
            </w:pPr>
            <w:r w:rsidRPr="00D768EF">
              <w:rPr>
                <w:snapToGrid w:val="0"/>
                <w:color w:val="000000"/>
                <w:szCs w:val="22"/>
                <w:lang w:val="sr-Latn-ME"/>
              </w:rPr>
              <w:t>0.5</w:t>
            </w:r>
          </w:p>
          <w:p w14:paraId="2CB9DBF7" w14:textId="4D9B6E18" w:rsidR="00C175E4" w:rsidRPr="00D768EF" w:rsidRDefault="00C175E4" w:rsidP="00622285">
            <w:pPr>
              <w:jc w:val="left"/>
              <w:rPr>
                <w:snapToGrid w:val="0"/>
                <w:color w:val="000000"/>
                <w:szCs w:val="22"/>
                <w:lang w:val="sr-Latn-ME"/>
              </w:rPr>
            </w:pPr>
            <w:r w:rsidRPr="00D768EF">
              <w:rPr>
                <w:snapToGrid w:val="0"/>
                <w:color w:val="000000"/>
                <w:szCs w:val="22"/>
                <w:lang w:val="sr-Latn-ME"/>
              </w:rPr>
              <w:t>(-1.5,2.0)</w:t>
            </w:r>
          </w:p>
        </w:tc>
        <w:tc>
          <w:tcPr>
            <w:tcW w:w="1066" w:type="dxa"/>
            <w:vAlign w:val="center"/>
          </w:tcPr>
          <w:p w14:paraId="71386BE4" w14:textId="5EDB5A78" w:rsidR="00C175E4" w:rsidRPr="00D768EF" w:rsidRDefault="00C175E4" w:rsidP="00622285">
            <w:pPr>
              <w:jc w:val="left"/>
              <w:rPr>
                <w:snapToGrid w:val="0"/>
                <w:color w:val="000000"/>
                <w:szCs w:val="22"/>
                <w:lang w:val="sr-Latn-ME"/>
              </w:rPr>
            </w:pPr>
            <w:r w:rsidRPr="00D768EF">
              <w:rPr>
                <w:snapToGrid w:val="0"/>
                <w:color w:val="000000"/>
                <w:szCs w:val="22"/>
                <w:lang w:val="sr-Latn-ME"/>
              </w:rPr>
              <w:t>-0.5</w:t>
            </w:r>
          </w:p>
          <w:p w14:paraId="1C900FE1" w14:textId="1E4674B5" w:rsidR="00C175E4" w:rsidRPr="00D768EF" w:rsidRDefault="00C175E4" w:rsidP="00622285">
            <w:pPr>
              <w:jc w:val="left"/>
              <w:rPr>
                <w:snapToGrid w:val="0"/>
                <w:color w:val="000000"/>
                <w:szCs w:val="22"/>
                <w:lang w:val="sr-Latn-ME"/>
              </w:rPr>
            </w:pPr>
            <w:r w:rsidRPr="00D768EF">
              <w:rPr>
                <w:snapToGrid w:val="0"/>
                <w:color w:val="000000"/>
                <w:szCs w:val="22"/>
                <w:lang w:val="sr-Latn-ME"/>
              </w:rPr>
              <w:t>(-3.0,1.5)</w:t>
            </w:r>
          </w:p>
        </w:tc>
        <w:tc>
          <w:tcPr>
            <w:tcW w:w="1191" w:type="dxa"/>
            <w:vAlign w:val="center"/>
          </w:tcPr>
          <w:p w14:paraId="5DBDDC90" w14:textId="0FF81847" w:rsidR="00C175E4" w:rsidRPr="00D768EF" w:rsidRDefault="00C175E4" w:rsidP="00622285">
            <w:pPr>
              <w:jc w:val="left"/>
              <w:rPr>
                <w:snapToGrid w:val="0"/>
                <w:color w:val="000000"/>
                <w:szCs w:val="22"/>
                <w:lang w:val="sr-Latn-ME"/>
              </w:rPr>
            </w:pPr>
            <w:r w:rsidRPr="00D768EF">
              <w:rPr>
                <w:snapToGrid w:val="0"/>
                <w:color w:val="000000"/>
                <w:szCs w:val="22"/>
                <w:lang w:val="sr-Latn-ME"/>
              </w:rPr>
              <w:t>0.0</w:t>
            </w:r>
          </w:p>
          <w:p w14:paraId="57C3787F" w14:textId="045DA2FC" w:rsidR="00C175E4" w:rsidRPr="00D768EF" w:rsidRDefault="00C175E4" w:rsidP="00622285">
            <w:pPr>
              <w:jc w:val="left"/>
              <w:rPr>
                <w:snapToGrid w:val="0"/>
                <w:color w:val="000000"/>
                <w:szCs w:val="22"/>
                <w:lang w:val="sr-Latn-ME"/>
              </w:rPr>
            </w:pPr>
            <w:r w:rsidRPr="00D768EF">
              <w:rPr>
                <w:snapToGrid w:val="0"/>
                <w:color w:val="000000"/>
                <w:szCs w:val="22"/>
                <w:lang w:val="sr-Latn-ME"/>
              </w:rPr>
              <w:t>(-1.8,2.0)</w:t>
            </w:r>
          </w:p>
        </w:tc>
      </w:tr>
      <w:tr w:rsidR="00C175E4" w:rsidRPr="00D768EF" w14:paraId="3C4A7143" w14:textId="77777777" w:rsidTr="00EA5CE5">
        <w:trPr>
          <w:trHeight w:val="589"/>
        </w:trPr>
        <w:tc>
          <w:tcPr>
            <w:tcW w:w="3426" w:type="dxa"/>
            <w:vAlign w:val="center"/>
          </w:tcPr>
          <w:p w14:paraId="7343A636" w14:textId="77777777" w:rsidR="00C175E4" w:rsidRPr="00D768EF" w:rsidRDefault="00C175E4" w:rsidP="00622285">
            <w:pPr>
              <w:jc w:val="left"/>
              <w:rPr>
                <w:color w:val="000000"/>
                <w:szCs w:val="22"/>
                <w:lang w:val="sr-Latn-ME"/>
              </w:rPr>
            </w:pPr>
            <w:r w:rsidRPr="00D768EF">
              <w:rPr>
                <w:color w:val="000000"/>
                <w:szCs w:val="22"/>
                <w:lang w:val="sr-Latn-ME"/>
              </w:rPr>
              <w:t>Pacijenti bez pogoršanja/</w:t>
            </w:r>
          </w:p>
          <w:p w14:paraId="054C587D" w14:textId="77777777" w:rsidR="00C175E4" w:rsidRPr="00D768EF" w:rsidRDefault="00C175E4" w:rsidP="00622285">
            <w:pPr>
              <w:jc w:val="left"/>
              <w:rPr>
                <w:color w:val="000000"/>
                <w:szCs w:val="22"/>
                <w:lang w:val="sr-Latn-ME"/>
              </w:rPr>
            </w:pPr>
            <w:r w:rsidRPr="00D768EF">
              <w:rPr>
                <w:color w:val="000000"/>
                <w:szCs w:val="22"/>
                <w:lang w:val="sr-Latn-ME"/>
              </w:rPr>
              <w:t>proc</w:t>
            </w:r>
            <w:r w:rsidR="00693634" w:rsidRPr="00D768EF">
              <w:rPr>
                <w:color w:val="000000"/>
                <w:szCs w:val="22"/>
                <w:lang w:val="sr-Latn-ME"/>
              </w:rPr>
              <w:t>ij</w:t>
            </w:r>
            <w:r w:rsidRPr="00D768EF">
              <w:rPr>
                <w:color w:val="000000"/>
                <w:szCs w:val="22"/>
                <w:lang w:val="sr-Latn-ME"/>
              </w:rPr>
              <w:t>enjeni pacijenti (%)</w:t>
            </w:r>
            <w:r w:rsidRPr="00D768EF">
              <w:rPr>
                <w:color w:val="000000"/>
                <w:szCs w:val="22"/>
                <w:vertAlign w:val="superscript"/>
                <w:lang w:val="sr-Latn-ME"/>
              </w:rPr>
              <w:t>c</w:t>
            </w:r>
          </w:p>
        </w:tc>
        <w:tc>
          <w:tcPr>
            <w:tcW w:w="1004" w:type="dxa"/>
            <w:vAlign w:val="center"/>
          </w:tcPr>
          <w:p w14:paraId="5CEB5D98" w14:textId="77777777" w:rsidR="00C175E4" w:rsidRPr="00D768EF" w:rsidRDefault="00C175E4" w:rsidP="00622285">
            <w:pPr>
              <w:jc w:val="left"/>
              <w:rPr>
                <w:color w:val="000000"/>
                <w:szCs w:val="22"/>
                <w:lang w:val="sr-Latn-ME"/>
              </w:rPr>
            </w:pPr>
            <w:r w:rsidRPr="00D768EF">
              <w:rPr>
                <w:color w:val="000000"/>
                <w:szCs w:val="22"/>
                <w:lang w:val="sr-Latn-ME"/>
              </w:rPr>
              <w:t>13/64 (20%)</w:t>
            </w:r>
          </w:p>
        </w:tc>
        <w:tc>
          <w:tcPr>
            <w:tcW w:w="1004" w:type="dxa"/>
            <w:vAlign w:val="center"/>
          </w:tcPr>
          <w:p w14:paraId="4C72742C" w14:textId="77777777" w:rsidR="00C175E4" w:rsidRPr="00D768EF" w:rsidRDefault="00C175E4" w:rsidP="00622285">
            <w:pPr>
              <w:jc w:val="left"/>
              <w:rPr>
                <w:snapToGrid w:val="0"/>
                <w:color w:val="000000"/>
                <w:szCs w:val="22"/>
                <w:lang w:val="sr-Latn-ME"/>
              </w:rPr>
            </w:pPr>
            <w:r w:rsidRPr="00D768EF">
              <w:rPr>
                <w:snapToGrid w:val="0"/>
                <w:color w:val="000000"/>
                <w:szCs w:val="22"/>
                <w:lang w:val="sr-Latn-ME"/>
              </w:rPr>
              <w:t>34/71 (48%)</w:t>
            </w:r>
          </w:p>
        </w:tc>
        <w:tc>
          <w:tcPr>
            <w:tcW w:w="1004" w:type="dxa"/>
            <w:vAlign w:val="center"/>
          </w:tcPr>
          <w:p w14:paraId="5DDFA1A9" w14:textId="77777777" w:rsidR="00C175E4" w:rsidRPr="00D768EF" w:rsidRDefault="00C175E4" w:rsidP="00622285">
            <w:pPr>
              <w:jc w:val="left"/>
              <w:rPr>
                <w:snapToGrid w:val="0"/>
                <w:color w:val="000000"/>
                <w:szCs w:val="22"/>
                <w:lang w:val="sr-Latn-ME"/>
              </w:rPr>
            </w:pPr>
            <w:r w:rsidRPr="00D768EF">
              <w:rPr>
                <w:snapToGrid w:val="0"/>
                <w:color w:val="000000"/>
                <w:szCs w:val="22"/>
                <w:lang w:val="sr-Latn-ME"/>
              </w:rPr>
              <w:t>35/71 (49%)</w:t>
            </w:r>
          </w:p>
        </w:tc>
        <w:tc>
          <w:tcPr>
            <w:tcW w:w="1004" w:type="dxa"/>
            <w:vAlign w:val="center"/>
          </w:tcPr>
          <w:p w14:paraId="6749BCE3" w14:textId="77777777" w:rsidR="00C175E4" w:rsidRPr="00D768EF" w:rsidRDefault="00C175E4" w:rsidP="00622285">
            <w:pPr>
              <w:jc w:val="left"/>
              <w:rPr>
                <w:snapToGrid w:val="0"/>
                <w:color w:val="000000"/>
                <w:szCs w:val="22"/>
                <w:lang w:val="sr-Latn-ME"/>
              </w:rPr>
            </w:pPr>
            <w:r w:rsidRPr="00D768EF">
              <w:rPr>
                <w:snapToGrid w:val="0"/>
                <w:color w:val="000000"/>
                <w:szCs w:val="22"/>
                <w:lang w:val="sr-Latn-ME"/>
              </w:rPr>
              <w:t>37/77 (48%)</w:t>
            </w:r>
          </w:p>
        </w:tc>
        <w:tc>
          <w:tcPr>
            <w:tcW w:w="1066" w:type="dxa"/>
            <w:vAlign w:val="center"/>
          </w:tcPr>
          <w:p w14:paraId="12E05145" w14:textId="77777777" w:rsidR="00C175E4" w:rsidRPr="00D768EF" w:rsidRDefault="00C175E4" w:rsidP="00622285">
            <w:pPr>
              <w:jc w:val="left"/>
              <w:rPr>
                <w:snapToGrid w:val="0"/>
                <w:color w:val="000000"/>
                <w:szCs w:val="22"/>
                <w:lang w:val="sr-Latn-ME"/>
              </w:rPr>
            </w:pPr>
            <w:r w:rsidRPr="00D768EF">
              <w:rPr>
                <w:snapToGrid w:val="0"/>
                <w:color w:val="000000"/>
                <w:szCs w:val="22"/>
                <w:lang w:val="sr-Latn-ME"/>
              </w:rPr>
              <w:t>44/66 (67%)</w:t>
            </w:r>
          </w:p>
        </w:tc>
        <w:tc>
          <w:tcPr>
            <w:tcW w:w="1191" w:type="dxa"/>
            <w:vAlign w:val="center"/>
          </w:tcPr>
          <w:p w14:paraId="429A80C2" w14:textId="77777777" w:rsidR="00C175E4" w:rsidRPr="00D768EF" w:rsidRDefault="00C175E4" w:rsidP="00622285">
            <w:pPr>
              <w:jc w:val="left"/>
              <w:rPr>
                <w:snapToGrid w:val="0"/>
                <w:color w:val="000000"/>
                <w:szCs w:val="22"/>
                <w:lang w:val="sr-Latn-ME"/>
              </w:rPr>
            </w:pPr>
            <w:r w:rsidRPr="00D768EF">
              <w:rPr>
                <w:snapToGrid w:val="0"/>
                <w:color w:val="000000"/>
                <w:szCs w:val="22"/>
                <w:lang w:val="sr-Latn-ME"/>
              </w:rPr>
              <w:t>150/285 (53%)</w:t>
            </w:r>
          </w:p>
        </w:tc>
      </w:tr>
      <w:tr w:rsidR="00C175E4" w:rsidRPr="00D768EF" w14:paraId="78CE8099" w14:textId="77777777" w:rsidTr="00EA5CE5">
        <w:trPr>
          <w:trHeight w:val="403"/>
        </w:trPr>
        <w:tc>
          <w:tcPr>
            <w:tcW w:w="3426" w:type="dxa"/>
            <w:vAlign w:val="center"/>
          </w:tcPr>
          <w:p w14:paraId="0B778D6C" w14:textId="1742512D" w:rsidR="00C175E4" w:rsidRPr="00D768EF" w:rsidRDefault="00C175E4" w:rsidP="00622285">
            <w:pPr>
              <w:jc w:val="left"/>
              <w:rPr>
                <w:color w:val="000000"/>
                <w:szCs w:val="22"/>
                <w:lang w:val="sr-Latn-ME"/>
              </w:rPr>
            </w:pPr>
            <w:r w:rsidRPr="00D768EF">
              <w:rPr>
                <w:color w:val="000000"/>
                <w:szCs w:val="22"/>
                <w:lang w:val="sr-Latn-ME"/>
              </w:rPr>
              <w:t>HAQ prom</w:t>
            </w:r>
            <w:r w:rsidR="00693634" w:rsidRPr="00D768EF">
              <w:rPr>
                <w:color w:val="000000"/>
                <w:szCs w:val="22"/>
                <w:lang w:val="sr-Latn-ME"/>
              </w:rPr>
              <w:t>j</w:t>
            </w:r>
            <w:r w:rsidRPr="00D768EF">
              <w:rPr>
                <w:color w:val="000000"/>
                <w:szCs w:val="22"/>
                <w:lang w:val="sr-Latn-ME"/>
              </w:rPr>
              <w:t xml:space="preserve">ena od početne </w:t>
            </w:r>
            <w:r w:rsidR="008A0A5C" w:rsidRPr="00D768EF">
              <w:rPr>
                <w:color w:val="000000"/>
                <w:szCs w:val="22"/>
                <w:lang w:val="sr-Latn-ME"/>
              </w:rPr>
              <w:t>vrijedno</w:t>
            </w:r>
            <w:r w:rsidRPr="00D768EF">
              <w:rPr>
                <w:color w:val="000000"/>
                <w:szCs w:val="22"/>
                <w:lang w:val="sr-Latn-ME"/>
              </w:rPr>
              <w:t>sti s vremenom</w:t>
            </w:r>
            <w:r w:rsidRPr="00D768EF">
              <w:rPr>
                <w:color w:val="000000"/>
                <w:szCs w:val="22"/>
                <w:vertAlign w:val="superscript"/>
                <w:lang w:val="sr-Latn-ME"/>
              </w:rPr>
              <w:t>e</w:t>
            </w:r>
            <w:r w:rsidRPr="00D768EF">
              <w:rPr>
                <w:color w:val="000000"/>
                <w:szCs w:val="22"/>
                <w:lang w:val="sr-Latn-ME"/>
              </w:rPr>
              <w:t xml:space="preserve"> (proc</w:t>
            </w:r>
            <w:r w:rsidR="00693634" w:rsidRPr="00D768EF">
              <w:rPr>
                <w:color w:val="000000"/>
                <w:szCs w:val="22"/>
                <w:lang w:val="sr-Latn-ME"/>
              </w:rPr>
              <w:t>ij</w:t>
            </w:r>
            <w:r w:rsidRPr="00D768EF">
              <w:rPr>
                <w:color w:val="000000"/>
                <w:szCs w:val="22"/>
                <w:lang w:val="sr-Latn-ME"/>
              </w:rPr>
              <w:t>enjeni pacijenti)</w:t>
            </w:r>
          </w:p>
        </w:tc>
        <w:tc>
          <w:tcPr>
            <w:tcW w:w="1004" w:type="dxa"/>
            <w:vAlign w:val="center"/>
          </w:tcPr>
          <w:p w14:paraId="04790DED" w14:textId="77777777" w:rsidR="00C175E4" w:rsidRPr="00D768EF" w:rsidRDefault="00C175E4" w:rsidP="00622285">
            <w:pPr>
              <w:jc w:val="left"/>
              <w:rPr>
                <w:color w:val="000000"/>
                <w:szCs w:val="22"/>
                <w:lang w:val="sr-Latn-ME"/>
              </w:rPr>
            </w:pPr>
            <w:r w:rsidRPr="00D768EF">
              <w:rPr>
                <w:snapToGrid w:val="0"/>
                <w:color w:val="000000"/>
                <w:szCs w:val="22"/>
                <w:lang w:val="sr-Latn-ME"/>
              </w:rPr>
              <w:t>87</w:t>
            </w:r>
          </w:p>
        </w:tc>
        <w:tc>
          <w:tcPr>
            <w:tcW w:w="1004" w:type="dxa"/>
            <w:vAlign w:val="center"/>
          </w:tcPr>
          <w:p w14:paraId="3317FE96" w14:textId="77777777" w:rsidR="00C175E4" w:rsidRPr="00D768EF" w:rsidRDefault="00C175E4" w:rsidP="00622285">
            <w:pPr>
              <w:jc w:val="left"/>
              <w:rPr>
                <w:snapToGrid w:val="0"/>
                <w:color w:val="000000"/>
                <w:szCs w:val="22"/>
                <w:lang w:val="sr-Latn-ME"/>
              </w:rPr>
            </w:pPr>
            <w:r w:rsidRPr="00D768EF">
              <w:rPr>
                <w:snapToGrid w:val="0"/>
                <w:color w:val="000000"/>
                <w:szCs w:val="22"/>
                <w:lang w:val="sr-Latn-ME"/>
              </w:rPr>
              <w:t>86</w:t>
            </w:r>
          </w:p>
        </w:tc>
        <w:tc>
          <w:tcPr>
            <w:tcW w:w="1004" w:type="dxa"/>
            <w:vAlign w:val="center"/>
          </w:tcPr>
          <w:p w14:paraId="3A8E90E4" w14:textId="77777777" w:rsidR="00C175E4" w:rsidRPr="00D768EF" w:rsidRDefault="00C175E4" w:rsidP="00622285">
            <w:pPr>
              <w:jc w:val="left"/>
              <w:rPr>
                <w:snapToGrid w:val="0"/>
                <w:color w:val="000000"/>
                <w:szCs w:val="22"/>
                <w:lang w:val="sr-Latn-ME"/>
              </w:rPr>
            </w:pPr>
            <w:r w:rsidRPr="00D768EF">
              <w:rPr>
                <w:snapToGrid w:val="0"/>
                <w:color w:val="000000"/>
                <w:szCs w:val="22"/>
                <w:lang w:val="sr-Latn-ME"/>
              </w:rPr>
              <w:t>85</w:t>
            </w:r>
          </w:p>
        </w:tc>
        <w:tc>
          <w:tcPr>
            <w:tcW w:w="1004" w:type="dxa"/>
            <w:vAlign w:val="center"/>
          </w:tcPr>
          <w:p w14:paraId="0A5950D9" w14:textId="77777777" w:rsidR="00C175E4" w:rsidRPr="00D768EF" w:rsidRDefault="00C175E4" w:rsidP="00622285">
            <w:pPr>
              <w:jc w:val="left"/>
              <w:rPr>
                <w:snapToGrid w:val="0"/>
                <w:color w:val="000000"/>
                <w:szCs w:val="22"/>
                <w:lang w:val="sr-Latn-ME"/>
              </w:rPr>
            </w:pPr>
            <w:r w:rsidRPr="00D768EF">
              <w:rPr>
                <w:snapToGrid w:val="0"/>
                <w:color w:val="000000"/>
                <w:szCs w:val="22"/>
                <w:lang w:val="sr-Latn-ME"/>
              </w:rPr>
              <w:t>87</w:t>
            </w:r>
          </w:p>
        </w:tc>
        <w:tc>
          <w:tcPr>
            <w:tcW w:w="1066" w:type="dxa"/>
            <w:vAlign w:val="center"/>
          </w:tcPr>
          <w:p w14:paraId="1F7F5C64" w14:textId="77777777" w:rsidR="00C175E4" w:rsidRPr="00D768EF" w:rsidRDefault="00C175E4" w:rsidP="00622285">
            <w:pPr>
              <w:jc w:val="left"/>
              <w:rPr>
                <w:snapToGrid w:val="0"/>
                <w:color w:val="000000"/>
                <w:szCs w:val="22"/>
                <w:lang w:val="sr-Latn-ME"/>
              </w:rPr>
            </w:pPr>
            <w:r w:rsidRPr="00D768EF">
              <w:rPr>
                <w:snapToGrid w:val="0"/>
                <w:color w:val="000000"/>
                <w:szCs w:val="22"/>
                <w:lang w:val="sr-Latn-ME"/>
              </w:rPr>
              <w:t>81</w:t>
            </w:r>
          </w:p>
        </w:tc>
        <w:tc>
          <w:tcPr>
            <w:tcW w:w="1191" w:type="dxa"/>
            <w:vAlign w:val="center"/>
          </w:tcPr>
          <w:p w14:paraId="74082DB5" w14:textId="77777777" w:rsidR="00C175E4" w:rsidRPr="00D768EF" w:rsidRDefault="00C175E4" w:rsidP="00622285">
            <w:pPr>
              <w:jc w:val="left"/>
              <w:rPr>
                <w:snapToGrid w:val="0"/>
                <w:color w:val="000000"/>
                <w:szCs w:val="22"/>
                <w:lang w:val="sr-Latn-ME"/>
              </w:rPr>
            </w:pPr>
            <w:r w:rsidRPr="00D768EF">
              <w:rPr>
                <w:snapToGrid w:val="0"/>
                <w:color w:val="000000"/>
                <w:szCs w:val="22"/>
                <w:lang w:val="sr-Latn-ME"/>
              </w:rPr>
              <w:t>339</w:t>
            </w:r>
          </w:p>
        </w:tc>
      </w:tr>
      <w:tr w:rsidR="00C175E4" w:rsidRPr="00D768EF" w14:paraId="42DB450E" w14:textId="77777777" w:rsidTr="00EA5CE5">
        <w:trPr>
          <w:trHeight w:val="403"/>
        </w:trPr>
        <w:tc>
          <w:tcPr>
            <w:tcW w:w="3426" w:type="dxa"/>
            <w:vAlign w:val="center"/>
          </w:tcPr>
          <w:p w14:paraId="25285390" w14:textId="30502120" w:rsidR="00C175E4" w:rsidRPr="00D768EF" w:rsidRDefault="00C175E4" w:rsidP="00622285">
            <w:pPr>
              <w:jc w:val="left"/>
              <w:rPr>
                <w:color w:val="000000"/>
                <w:szCs w:val="22"/>
                <w:lang w:val="sr-Latn-ME"/>
              </w:rPr>
            </w:pPr>
            <w:r w:rsidRPr="00D768EF">
              <w:rPr>
                <w:color w:val="000000"/>
                <w:szCs w:val="22"/>
                <w:lang w:val="sr-Latn-ME"/>
              </w:rPr>
              <w:t xml:space="preserve">Srednja </w:t>
            </w:r>
            <w:r w:rsidR="008A0A5C" w:rsidRPr="00D768EF">
              <w:rPr>
                <w:color w:val="000000"/>
                <w:szCs w:val="22"/>
                <w:lang w:val="sr-Latn-ME"/>
              </w:rPr>
              <w:t>vrijedno</w:t>
            </w:r>
            <w:r w:rsidRPr="00D768EF">
              <w:rPr>
                <w:color w:val="000000"/>
                <w:szCs w:val="22"/>
                <w:lang w:val="sr-Latn-ME"/>
              </w:rPr>
              <w:t xml:space="preserve">st </w:t>
            </w:r>
            <w:r w:rsidRPr="00D768EF">
              <w:rPr>
                <w:color w:val="000000"/>
                <w:szCs w:val="22"/>
                <w:lang w:val="sr-Latn-ME"/>
              </w:rPr>
              <w:sym w:font="Symbol" w:char="F0B1"/>
            </w:r>
            <w:r w:rsidRPr="00D768EF">
              <w:rPr>
                <w:color w:val="000000"/>
                <w:szCs w:val="22"/>
                <w:lang w:val="sr-Latn-ME"/>
              </w:rPr>
              <w:t xml:space="preserve"> SD</w:t>
            </w:r>
            <w:r w:rsidRPr="00D768EF">
              <w:rPr>
                <w:color w:val="000000"/>
                <w:szCs w:val="22"/>
                <w:vertAlign w:val="superscript"/>
                <w:lang w:val="sr-Latn-ME"/>
              </w:rPr>
              <w:t>c</w:t>
            </w:r>
          </w:p>
        </w:tc>
        <w:tc>
          <w:tcPr>
            <w:tcW w:w="1004" w:type="dxa"/>
            <w:vAlign w:val="center"/>
          </w:tcPr>
          <w:p w14:paraId="171A7708" w14:textId="4227A51D" w:rsidR="00C175E4" w:rsidRPr="00D768EF" w:rsidRDefault="00C175E4" w:rsidP="00622285">
            <w:pPr>
              <w:jc w:val="left"/>
              <w:rPr>
                <w:snapToGrid w:val="0"/>
                <w:color w:val="000000"/>
                <w:szCs w:val="22"/>
                <w:lang w:val="sr-Latn-ME"/>
              </w:rPr>
            </w:pPr>
            <w:r w:rsidRPr="00D768EF">
              <w:rPr>
                <w:snapToGrid w:val="0"/>
                <w:color w:val="000000"/>
                <w:szCs w:val="22"/>
                <w:lang w:val="sr-Latn-ME"/>
              </w:rPr>
              <w:t>0.2 ± 0.3</w:t>
            </w:r>
          </w:p>
        </w:tc>
        <w:tc>
          <w:tcPr>
            <w:tcW w:w="1004" w:type="dxa"/>
            <w:vAlign w:val="center"/>
          </w:tcPr>
          <w:p w14:paraId="6D553ED4" w14:textId="4F19A726" w:rsidR="00C175E4" w:rsidRPr="00D768EF" w:rsidRDefault="00C175E4" w:rsidP="00622285">
            <w:pPr>
              <w:jc w:val="left"/>
              <w:rPr>
                <w:snapToGrid w:val="0"/>
                <w:color w:val="000000"/>
                <w:szCs w:val="22"/>
                <w:lang w:val="sr-Latn-ME"/>
              </w:rPr>
            </w:pPr>
            <w:r w:rsidRPr="00D768EF">
              <w:rPr>
                <w:snapToGrid w:val="0"/>
                <w:color w:val="000000"/>
                <w:szCs w:val="22"/>
                <w:lang w:val="sr-Latn-ME"/>
              </w:rPr>
              <w:t>0.4 ± 0.3</w:t>
            </w:r>
          </w:p>
        </w:tc>
        <w:tc>
          <w:tcPr>
            <w:tcW w:w="1004" w:type="dxa"/>
            <w:vAlign w:val="center"/>
          </w:tcPr>
          <w:p w14:paraId="7A582B72" w14:textId="57E1935E" w:rsidR="00C175E4" w:rsidRPr="00D768EF" w:rsidRDefault="00C175E4" w:rsidP="00622285">
            <w:pPr>
              <w:jc w:val="left"/>
              <w:rPr>
                <w:snapToGrid w:val="0"/>
                <w:color w:val="000000"/>
                <w:szCs w:val="22"/>
                <w:lang w:val="sr-Latn-ME"/>
              </w:rPr>
            </w:pPr>
            <w:r w:rsidRPr="00D768EF">
              <w:rPr>
                <w:snapToGrid w:val="0"/>
                <w:color w:val="000000"/>
                <w:szCs w:val="22"/>
                <w:lang w:val="sr-Latn-ME"/>
              </w:rPr>
              <w:t>0.5 ± 0.4</w:t>
            </w:r>
          </w:p>
        </w:tc>
        <w:tc>
          <w:tcPr>
            <w:tcW w:w="1004" w:type="dxa"/>
            <w:vAlign w:val="center"/>
          </w:tcPr>
          <w:p w14:paraId="2387ABED" w14:textId="2D0A17B3" w:rsidR="00C175E4" w:rsidRPr="00D768EF" w:rsidRDefault="00C175E4" w:rsidP="00622285">
            <w:pPr>
              <w:jc w:val="left"/>
              <w:rPr>
                <w:snapToGrid w:val="0"/>
                <w:color w:val="000000"/>
                <w:szCs w:val="22"/>
                <w:lang w:val="sr-Latn-ME"/>
              </w:rPr>
            </w:pPr>
            <w:r w:rsidRPr="00D768EF">
              <w:rPr>
                <w:snapToGrid w:val="0"/>
                <w:color w:val="000000"/>
                <w:szCs w:val="22"/>
                <w:lang w:val="sr-Latn-ME"/>
              </w:rPr>
              <w:t>0.5 ± 0.5</w:t>
            </w:r>
          </w:p>
        </w:tc>
        <w:tc>
          <w:tcPr>
            <w:tcW w:w="1066" w:type="dxa"/>
            <w:vAlign w:val="center"/>
          </w:tcPr>
          <w:p w14:paraId="26DB7226" w14:textId="5420ABAA" w:rsidR="00C175E4" w:rsidRPr="00D768EF" w:rsidRDefault="00C175E4" w:rsidP="00622285">
            <w:pPr>
              <w:jc w:val="left"/>
              <w:rPr>
                <w:snapToGrid w:val="0"/>
                <w:color w:val="000000"/>
                <w:szCs w:val="22"/>
                <w:lang w:val="sr-Latn-ME"/>
              </w:rPr>
            </w:pPr>
            <w:r w:rsidRPr="00D768EF">
              <w:rPr>
                <w:snapToGrid w:val="0"/>
                <w:color w:val="000000"/>
                <w:szCs w:val="22"/>
                <w:lang w:val="sr-Latn-ME"/>
              </w:rPr>
              <w:t>0.4 ± 0.4</w:t>
            </w:r>
          </w:p>
        </w:tc>
        <w:tc>
          <w:tcPr>
            <w:tcW w:w="1191" w:type="dxa"/>
            <w:vAlign w:val="center"/>
          </w:tcPr>
          <w:p w14:paraId="4BB6E77B" w14:textId="6CA58274" w:rsidR="00C175E4" w:rsidRPr="00D768EF" w:rsidRDefault="00C175E4" w:rsidP="00622285">
            <w:pPr>
              <w:jc w:val="left"/>
              <w:rPr>
                <w:snapToGrid w:val="0"/>
                <w:color w:val="000000"/>
                <w:szCs w:val="22"/>
                <w:lang w:val="sr-Latn-ME"/>
              </w:rPr>
            </w:pPr>
            <w:r w:rsidRPr="00D768EF">
              <w:rPr>
                <w:snapToGrid w:val="0"/>
                <w:color w:val="000000"/>
                <w:szCs w:val="22"/>
                <w:lang w:val="sr-Latn-ME"/>
              </w:rPr>
              <w:t>0.4 ± 0.4</w:t>
            </w:r>
          </w:p>
        </w:tc>
      </w:tr>
      <w:tr w:rsidR="00C175E4" w:rsidRPr="00D768EF" w14:paraId="5DF9E4AD" w14:textId="77777777" w:rsidTr="00622285">
        <w:trPr>
          <w:cantSplit/>
          <w:trHeight w:val="353"/>
        </w:trPr>
        <w:tc>
          <w:tcPr>
            <w:tcW w:w="9699" w:type="dxa"/>
            <w:gridSpan w:val="7"/>
            <w:vAlign w:val="center"/>
          </w:tcPr>
          <w:p w14:paraId="70F50F16" w14:textId="3112A91A" w:rsidR="00C175E4" w:rsidRPr="00D768EF" w:rsidRDefault="00C175E4" w:rsidP="00622285">
            <w:pPr>
              <w:rPr>
                <w:color w:val="000000"/>
                <w:szCs w:val="22"/>
                <w:lang w:val="sr-Latn-ME"/>
              </w:rPr>
            </w:pPr>
            <w:r w:rsidRPr="00D768EF">
              <w:rPr>
                <w:snapToGrid w:val="0"/>
                <w:color w:val="000000"/>
                <w:szCs w:val="22"/>
                <w:vertAlign w:val="superscript"/>
                <w:lang w:val="sr-Latn-ME"/>
              </w:rPr>
              <w:t>a</w:t>
            </w:r>
            <w:r w:rsidRPr="00D768EF">
              <w:rPr>
                <w:snapToGrid w:val="0"/>
                <w:color w:val="000000"/>
                <w:szCs w:val="22"/>
                <w:lang w:val="sr-Latn-ME"/>
              </w:rPr>
              <w:t xml:space="preserve"> kontrolna grupa = </w:t>
            </w:r>
            <w:r w:rsidRPr="00D768EF">
              <w:rPr>
                <w:color w:val="000000"/>
                <w:szCs w:val="22"/>
                <w:lang w:val="sr-Latn-ME"/>
              </w:rPr>
              <w:t xml:space="preserve">Svi pacijenti su imali aktivni reumatoidni artritis uprkos </w:t>
            </w:r>
            <w:r w:rsidR="00D57936" w:rsidRPr="00D768EF">
              <w:rPr>
                <w:color w:val="000000"/>
                <w:szCs w:val="22"/>
                <w:lang w:val="sr-Latn-ME"/>
              </w:rPr>
              <w:t>liječe</w:t>
            </w:r>
            <w:r w:rsidRPr="00D768EF">
              <w:rPr>
                <w:color w:val="000000"/>
                <w:szCs w:val="22"/>
                <w:lang w:val="sr-Latn-ME"/>
              </w:rPr>
              <w:t>nju stabilnim dozama metotreksata u periodu od 6 m</w:t>
            </w:r>
            <w:r w:rsidR="00693634" w:rsidRPr="00D768EF">
              <w:rPr>
                <w:color w:val="000000"/>
                <w:szCs w:val="22"/>
                <w:lang w:val="sr-Latn-ME"/>
              </w:rPr>
              <w:t>j</w:t>
            </w:r>
            <w:r w:rsidRPr="00D768EF">
              <w:rPr>
                <w:color w:val="000000"/>
                <w:szCs w:val="22"/>
                <w:lang w:val="sr-Latn-ME"/>
              </w:rPr>
              <w:t>eseci pr</w:t>
            </w:r>
            <w:r w:rsidR="00EB3683" w:rsidRPr="00D768EF">
              <w:rPr>
                <w:color w:val="000000"/>
                <w:szCs w:val="22"/>
                <w:lang w:val="sr-Latn-ME"/>
              </w:rPr>
              <w:t>ij</w:t>
            </w:r>
            <w:r w:rsidRPr="00D768EF">
              <w:rPr>
                <w:color w:val="000000"/>
                <w:szCs w:val="22"/>
                <w:lang w:val="sr-Latn-ME"/>
              </w:rPr>
              <w:t xml:space="preserve">e </w:t>
            </w:r>
            <w:r w:rsidR="00EA5CE5" w:rsidRPr="00D768EF">
              <w:rPr>
                <w:color w:val="000000"/>
                <w:szCs w:val="22"/>
                <w:lang w:val="sr-Latn-ME"/>
              </w:rPr>
              <w:t>uključenja u</w:t>
            </w:r>
            <w:r w:rsidRPr="00D768EF">
              <w:rPr>
                <w:color w:val="000000"/>
                <w:szCs w:val="22"/>
                <w:lang w:val="sr-Latn-ME"/>
              </w:rPr>
              <w:t xml:space="preserve"> studij</w:t>
            </w:r>
            <w:r w:rsidR="00EA5CE5" w:rsidRPr="00D768EF">
              <w:rPr>
                <w:color w:val="000000"/>
                <w:szCs w:val="22"/>
                <w:lang w:val="sr-Latn-ME"/>
              </w:rPr>
              <w:t>u</w:t>
            </w:r>
            <w:r w:rsidRPr="00D768EF">
              <w:rPr>
                <w:color w:val="000000"/>
                <w:szCs w:val="22"/>
                <w:lang w:val="sr-Latn-ME"/>
              </w:rPr>
              <w:t xml:space="preserve"> i morali su da nastave sa uzimanjem istih doza u toku c</w:t>
            </w:r>
            <w:r w:rsidR="00693634" w:rsidRPr="00D768EF">
              <w:rPr>
                <w:color w:val="000000"/>
                <w:szCs w:val="22"/>
                <w:lang w:val="sr-Latn-ME"/>
              </w:rPr>
              <w:t>ij</w:t>
            </w:r>
            <w:r w:rsidRPr="00D768EF">
              <w:rPr>
                <w:color w:val="000000"/>
                <w:szCs w:val="22"/>
                <w:lang w:val="sr-Latn-ME"/>
              </w:rPr>
              <w:t xml:space="preserve">ele studije. </w:t>
            </w:r>
            <w:r w:rsidR="00EA5CE5" w:rsidRPr="00D768EF">
              <w:rPr>
                <w:color w:val="000000"/>
                <w:szCs w:val="22"/>
                <w:lang w:val="sr-Latn-ME"/>
              </w:rPr>
              <w:t>Bila je d</w:t>
            </w:r>
            <w:r w:rsidRPr="00D768EF">
              <w:rPr>
                <w:color w:val="000000"/>
                <w:szCs w:val="22"/>
                <w:lang w:val="sr-Latn-ME"/>
              </w:rPr>
              <w:t xml:space="preserve">ozvoljena istovremena upotreba </w:t>
            </w:r>
            <w:r w:rsidR="00EA5CE5" w:rsidRPr="00D768EF">
              <w:rPr>
                <w:color w:val="000000"/>
                <w:szCs w:val="22"/>
                <w:lang w:val="sr-Latn-ME"/>
              </w:rPr>
              <w:t>stabil</w:t>
            </w:r>
            <w:r w:rsidR="00307CC0" w:rsidRPr="00D768EF">
              <w:rPr>
                <w:color w:val="000000"/>
                <w:szCs w:val="22"/>
                <w:lang w:val="sr-Latn-ME"/>
              </w:rPr>
              <w:t xml:space="preserve">nih </w:t>
            </w:r>
            <w:r w:rsidRPr="00D768EF">
              <w:rPr>
                <w:color w:val="000000"/>
                <w:szCs w:val="22"/>
                <w:lang w:val="sr-Latn-ME"/>
              </w:rPr>
              <w:t>doza oralnih kortikosterioda (</w:t>
            </w:r>
            <w:r w:rsidRPr="00D768EF">
              <w:rPr>
                <w:color w:val="000000"/>
                <w:szCs w:val="22"/>
                <w:lang w:val="sr-Latn-ME"/>
              </w:rPr>
              <w:sym w:font="Symbol" w:char="F0A3"/>
            </w:r>
            <w:r w:rsidRPr="00D768EF">
              <w:rPr>
                <w:color w:val="000000"/>
                <w:szCs w:val="22"/>
                <w:lang w:val="sr-Latn-ME"/>
              </w:rPr>
              <w:t> 10 mg/dan) i/ili nesteroidnih antiinflamatornih l</w:t>
            </w:r>
            <w:r w:rsidR="00693634" w:rsidRPr="00D768EF">
              <w:rPr>
                <w:color w:val="000000"/>
                <w:szCs w:val="22"/>
                <w:lang w:val="sr-Latn-ME"/>
              </w:rPr>
              <w:t>j</w:t>
            </w:r>
            <w:r w:rsidRPr="00D768EF">
              <w:rPr>
                <w:color w:val="000000"/>
                <w:szCs w:val="22"/>
                <w:lang w:val="sr-Latn-ME"/>
              </w:rPr>
              <w:t>ekova, a dava</w:t>
            </w:r>
            <w:r w:rsidR="00307CC0" w:rsidRPr="00D768EF">
              <w:rPr>
                <w:color w:val="000000"/>
                <w:szCs w:val="22"/>
                <w:lang w:val="sr-Latn-ME"/>
              </w:rPr>
              <w:t>na</w:t>
            </w:r>
            <w:r w:rsidRPr="00D768EF">
              <w:rPr>
                <w:color w:val="000000"/>
                <w:szCs w:val="22"/>
                <w:lang w:val="sr-Latn-ME"/>
              </w:rPr>
              <w:t xml:space="preserve"> </w:t>
            </w:r>
            <w:r w:rsidR="00307CC0" w:rsidRPr="00D768EF">
              <w:rPr>
                <w:color w:val="000000"/>
                <w:szCs w:val="22"/>
                <w:lang w:val="sr-Latn-ME"/>
              </w:rPr>
              <w:t>je suplementaciona terapija folatima</w:t>
            </w:r>
            <w:r w:rsidRPr="00D768EF">
              <w:rPr>
                <w:color w:val="000000"/>
                <w:szCs w:val="22"/>
                <w:lang w:val="sr-Latn-ME"/>
              </w:rPr>
              <w:t>.</w:t>
            </w:r>
          </w:p>
          <w:p w14:paraId="0450B981" w14:textId="0E83815C" w:rsidR="00C175E4" w:rsidRPr="00D768EF" w:rsidRDefault="00C175E4" w:rsidP="00622285">
            <w:pPr>
              <w:rPr>
                <w:snapToGrid w:val="0"/>
                <w:color w:val="000000"/>
                <w:szCs w:val="22"/>
                <w:lang w:val="sr-Latn-ME"/>
              </w:rPr>
            </w:pPr>
            <w:r w:rsidRPr="00D768EF">
              <w:rPr>
                <w:snapToGrid w:val="0"/>
                <w:color w:val="000000"/>
                <w:szCs w:val="22"/>
                <w:vertAlign w:val="superscript"/>
                <w:lang w:val="sr-Latn-ME"/>
              </w:rPr>
              <w:t>b</w:t>
            </w:r>
            <w:r w:rsidRPr="00D768EF">
              <w:rPr>
                <w:snapToGrid w:val="0"/>
                <w:color w:val="000000"/>
                <w:szCs w:val="22"/>
                <w:lang w:val="sr-Latn-ME"/>
              </w:rPr>
              <w:t xml:space="preserve"> sve doze infliksimaba davale su se u kombinaciji sa metotreksatom i folatom, a u nekim slučajevima i sa </w:t>
            </w:r>
            <w:r w:rsidRPr="00D768EF">
              <w:rPr>
                <w:color w:val="000000"/>
                <w:szCs w:val="22"/>
                <w:lang w:val="sr-Latn-ME"/>
              </w:rPr>
              <w:t xml:space="preserve">kortikosteriodima i/ili nesteroidnim antiinflamatornim </w:t>
            </w:r>
            <w:r w:rsidR="00D57936" w:rsidRPr="00D768EF">
              <w:rPr>
                <w:color w:val="000000"/>
                <w:szCs w:val="22"/>
                <w:lang w:val="sr-Latn-ME"/>
              </w:rPr>
              <w:t>ljekovi</w:t>
            </w:r>
            <w:r w:rsidRPr="00D768EF">
              <w:rPr>
                <w:color w:val="000000"/>
                <w:szCs w:val="22"/>
                <w:lang w:val="sr-Latn-ME"/>
              </w:rPr>
              <w:t>ma.</w:t>
            </w:r>
          </w:p>
          <w:p w14:paraId="27E93CBE" w14:textId="66065F71" w:rsidR="00C175E4" w:rsidRPr="00D768EF" w:rsidRDefault="00C175E4" w:rsidP="00622285">
            <w:pPr>
              <w:rPr>
                <w:snapToGrid w:val="0"/>
                <w:color w:val="000000"/>
                <w:szCs w:val="22"/>
                <w:lang w:val="sr-Latn-ME"/>
              </w:rPr>
            </w:pPr>
            <w:r w:rsidRPr="00D768EF">
              <w:rPr>
                <w:color w:val="000000"/>
                <w:szCs w:val="22"/>
                <w:vertAlign w:val="superscript"/>
                <w:lang w:val="sr-Latn-ME"/>
              </w:rPr>
              <w:t>c</w:t>
            </w:r>
            <w:r w:rsidRPr="00D768EF">
              <w:rPr>
                <w:color w:val="000000"/>
                <w:szCs w:val="22"/>
                <w:lang w:val="sr-Latn-ME"/>
              </w:rPr>
              <w:t xml:space="preserve"> </w:t>
            </w:r>
            <w:r w:rsidRPr="00D768EF">
              <w:rPr>
                <w:snapToGrid w:val="0"/>
                <w:color w:val="000000"/>
                <w:szCs w:val="22"/>
                <w:lang w:val="sr-Latn-ME"/>
              </w:rPr>
              <w:t>p &lt; 0.001, za svaku grupu koja je primala infliksimab u odnosu na kontrolnu grupu</w:t>
            </w:r>
          </w:p>
          <w:p w14:paraId="39CC0550" w14:textId="77777777" w:rsidR="00C175E4" w:rsidRPr="00D768EF" w:rsidRDefault="00C175E4" w:rsidP="00622285">
            <w:pPr>
              <w:rPr>
                <w:color w:val="000000"/>
                <w:szCs w:val="22"/>
                <w:lang w:val="sr-Latn-ME"/>
              </w:rPr>
            </w:pPr>
            <w:r w:rsidRPr="00D768EF">
              <w:rPr>
                <w:color w:val="000000"/>
                <w:szCs w:val="22"/>
                <w:vertAlign w:val="superscript"/>
                <w:lang w:val="sr-Latn-ME"/>
              </w:rPr>
              <w:t>d</w:t>
            </w:r>
            <w:r w:rsidRPr="00D768EF">
              <w:rPr>
                <w:color w:val="000000"/>
                <w:szCs w:val="22"/>
                <w:lang w:val="sr-Latn-ME"/>
              </w:rPr>
              <w:t xml:space="preserve"> veće </w:t>
            </w:r>
            <w:r w:rsidR="008A0A5C" w:rsidRPr="00D768EF">
              <w:rPr>
                <w:color w:val="000000"/>
                <w:szCs w:val="22"/>
                <w:lang w:val="sr-Latn-ME"/>
              </w:rPr>
              <w:t>vrijedno</w:t>
            </w:r>
            <w:r w:rsidRPr="00D768EF">
              <w:rPr>
                <w:color w:val="000000"/>
                <w:szCs w:val="22"/>
                <w:lang w:val="sr-Latn-ME"/>
              </w:rPr>
              <w:t>sti ukazuju na veće oštećenje zgloba.</w:t>
            </w:r>
          </w:p>
          <w:p w14:paraId="62F4A20E" w14:textId="1D8854A9" w:rsidR="00C175E4" w:rsidRPr="00D768EF" w:rsidRDefault="00C175E4" w:rsidP="00622285">
            <w:pPr>
              <w:rPr>
                <w:color w:val="000000"/>
                <w:szCs w:val="22"/>
                <w:vertAlign w:val="superscript"/>
                <w:lang w:val="sr-Latn-ME"/>
              </w:rPr>
            </w:pPr>
            <w:r w:rsidRPr="00D768EF">
              <w:rPr>
                <w:color w:val="000000"/>
                <w:szCs w:val="22"/>
                <w:vertAlign w:val="superscript"/>
                <w:lang w:val="sr-Latn-ME"/>
              </w:rPr>
              <w:t>e</w:t>
            </w:r>
            <w:r w:rsidRPr="00D768EF">
              <w:rPr>
                <w:color w:val="000000"/>
                <w:szCs w:val="22"/>
                <w:lang w:val="sr-Latn-ME"/>
              </w:rPr>
              <w:t xml:space="preserve"> HAQ = Upitnik o zdravstvenoj proc</w:t>
            </w:r>
            <w:r w:rsidR="00693634" w:rsidRPr="00D768EF">
              <w:rPr>
                <w:color w:val="000000"/>
                <w:szCs w:val="22"/>
                <w:lang w:val="sr-Latn-ME"/>
              </w:rPr>
              <w:t>j</w:t>
            </w:r>
            <w:r w:rsidRPr="00D768EF">
              <w:rPr>
                <w:color w:val="000000"/>
                <w:szCs w:val="22"/>
                <w:lang w:val="sr-Latn-ME"/>
              </w:rPr>
              <w:t>eni (eng</w:t>
            </w:r>
            <w:r w:rsidR="00D77C15" w:rsidRPr="00D768EF">
              <w:rPr>
                <w:color w:val="000000"/>
                <w:szCs w:val="22"/>
                <w:lang w:val="sr-Latn-ME"/>
              </w:rPr>
              <w:t>l</w:t>
            </w:r>
            <w:r w:rsidRPr="00D768EF">
              <w:rPr>
                <w:color w:val="000000"/>
                <w:szCs w:val="22"/>
                <w:lang w:val="sr-Latn-ME"/>
              </w:rPr>
              <w:t xml:space="preserve">. </w:t>
            </w:r>
            <w:r w:rsidRPr="00D768EF">
              <w:rPr>
                <w:i/>
                <w:iCs/>
                <w:szCs w:val="22"/>
                <w:lang w:val="sr-Latn-ME"/>
              </w:rPr>
              <w:t>Health Assessment Questionnaire)</w:t>
            </w:r>
            <w:r w:rsidRPr="00D768EF">
              <w:rPr>
                <w:color w:val="000000"/>
                <w:szCs w:val="22"/>
                <w:lang w:val="sr-Latn-ME"/>
              </w:rPr>
              <w:t xml:space="preserve">; veće </w:t>
            </w:r>
            <w:r w:rsidR="008A0A5C" w:rsidRPr="00D768EF">
              <w:rPr>
                <w:color w:val="000000"/>
                <w:szCs w:val="22"/>
                <w:lang w:val="sr-Latn-ME"/>
              </w:rPr>
              <w:t>vrijedno</w:t>
            </w:r>
            <w:r w:rsidRPr="00D768EF">
              <w:rPr>
                <w:color w:val="000000"/>
                <w:szCs w:val="22"/>
                <w:lang w:val="sr-Latn-ME"/>
              </w:rPr>
              <w:t>sti ukazuju na manji invaliditet.</w:t>
            </w:r>
          </w:p>
        </w:tc>
      </w:tr>
    </w:tbl>
    <w:p w14:paraId="56C6A8C6" w14:textId="77777777" w:rsidR="00C175E4" w:rsidRPr="00D768EF" w:rsidRDefault="00C175E4" w:rsidP="00C175E4">
      <w:pPr>
        <w:jc w:val="left"/>
        <w:rPr>
          <w:color w:val="000000"/>
          <w:szCs w:val="22"/>
          <w:lang w:val="sr-Latn-ME"/>
        </w:rPr>
      </w:pPr>
    </w:p>
    <w:p w14:paraId="1E458B4C" w14:textId="031E31FB" w:rsidR="00C175E4" w:rsidRPr="00D768EF" w:rsidRDefault="00C175E4" w:rsidP="00C175E4">
      <w:pPr>
        <w:rPr>
          <w:color w:val="000000"/>
          <w:szCs w:val="22"/>
          <w:lang w:val="sr-Latn-ME"/>
        </w:rPr>
      </w:pPr>
      <w:r w:rsidRPr="00D768EF">
        <w:rPr>
          <w:color w:val="000000"/>
          <w:szCs w:val="22"/>
          <w:lang w:val="sr-Latn-ME"/>
        </w:rPr>
        <w:t xml:space="preserve">U okviru ASPIRE studije izvršena je evaluacija odgovora na terapiju </w:t>
      </w:r>
      <w:r w:rsidR="00307CC0" w:rsidRPr="00D768EF">
        <w:rPr>
          <w:color w:val="000000"/>
          <w:szCs w:val="22"/>
          <w:lang w:val="sr-Latn-ME"/>
        </w:rPr>
        <w:t xml:space="preserve">u </w:t>
      </w:r>
      <w:r w:rsidRPr="00D768EF">
        <w:rPr>
          <w:color w:val="000000"/>
          <w:szCs w:val="22"/>
          <w:lang w:val="sr-Latn-ME"/>
        </w:rPr>
        <w:t xml:space="preserve">54. </w:t>
      </w:r>
      <w:r w:rsidR="00D57936" w:rsidRPr="00D768EF">
        <w:rPr>
          <w:color w:val="000000"/>
          <w:szCs w:val="22"/>
          <w:lang w:val="sr-Latn-ME"/>
        </w:rPr>
        <w:t>nedjelj</w:t>
      </w:r>
      <w:r w:rsidR="00307CC0" w:rsidRPr="00D768EF">
        <w:rPr>
          <w:color w:val="000000"/>
          <w:szCs w:val="22"/>
          <w:lang w:val="sr-Latn-ME"/>
        </w:rPr>
        <w:t>i</w:t>
      </w:r>
      <w:r w:rsidRPr="00D768EF">
        <w:rPr>
          <w:color w:val="000000"/>
          <w:szCs w:val="22"/>
          <w:lang w:val="sr-Latn-ME"/>
        </w:rPr>
        <w:t xml:space="preserve"> kod 1004 pacijenta sa aktivnim reumatoidnim artritisom (medijana otečenih zglobova 19, a osetljivih zglobova 31) u ranoj fazi (trajanje bolesti </w:t>
      </w:r>
      <w:r w:rsidRPr="00D768EF">
        <w:rPr>
          <w:snapToGrid w:val="0"/>
          <w:color w:val="000000"/>
          <w:szCs w:val="22"/>
          <w:lang w:val="sr-Latn-ME"/>
        </w:rPr>
        <w:t xml:space="preserve">≤ 3 godine, medijana 0,6 godina) </w:t>
      </w:r>
      <w:r w:rsidRPr="00D768EF">
        <w:rPr>
          <w:color w:val="000000"/>
          <w:szCs w:val="22"/>
          <w:lang w:val="sr-Latn-ME"/>
        </w:rPr>
        <w:t xml:space="preserve">koji nisu prethodno </w:t>
      </w:r>
      <w:r w:rsidR="00D57936" w:rsidRPr="00D768EF">
        <w:rPr>
          <w:color w:val="000000"/>
          <w:szCs w:val="22"/>
          <w:lang w:val="sr-Latn-ME"/>
        </w:rPr>
        <w:t>liječe</w:t>
      </w:r>
      <w:r w:rsidRPr="00D768EF">
        <w:rPr>
          <w:color w:val="000000"/>
          <w:szCs w:val="22"/>
          <w:lang w:val="sr-Latn-ME"/>
        </w:rPr>
        <w:t xml:space="preserve">ni metotreksatom. Svi pacijenti su primili metotreksat (doza optimizovana na 20 mg </w:t>
      </w:r>
      <w:r w:rsidR="00D57936" w:rsidRPr="00D768EF">
        <w:rPr>
          <w:color w:val="000000"/>
          <w:szCs w:val="22"/>
          <w:lang w:val="sr-Latn-ME"/>
        </w:rPr>
        <w:t>nedjelj</w:t>
      </w:r>
      <w:r w:rsidRPr="00D768EF">
        <w:rPr>
          <w:color w:val="000000"/>
          <w:szCs w:val="22"/>
          <w:lang w:val="sr-Latn-ME"/>
        </w:rPr>
        <w:t xml:space="preserve">no do 8. </w:t>
      </w:r>
      <w:r w:rsidR="00D57936" w:rsidRPr="00D768EF">
        <w:rPr>
          <w:color w:val="000000"/>
          <w:szCs w:val="22"/>
          <w:lang w:val="sr-Latn-ME"/>
        </w:rPr>
        <w:t>nedjelj</w:t>
      </w:r>
      <w:r w:rsidRPr="00D768EF">
        <w:rPr>
          <w:color w:val="000000"/>
          <w:szCs w:val="22"/>
          <w:lang w:val="sr-Latn-ME"/>
        </w:rPr>
        <w:t xml:space="preserve">e) ili placebo ili 3 mg/kg, odnosno 6 mg/kg infliksimaba u </w:t>
      </w:r>
      <w:r w:rsidR="00307CC0" w:rsidRPr="00D768EF">
        <w:rPr>
          <w:color w:val="000000"/>
          <w:szCs w:val="22"/>
          <w:lang w:val="sr-Latn-ME"/>
        </w:rPr>
        <w:t>0</w:t>
      </w:r>
      <w:r w:rsidRPr="00D768EF">
        <w:rPr>
          <w:color w:val="000000"/>
          <w:szCs w:val="22"/>
          <w:lang w:val="sr-Latn-ME"/>
        </w:rPr>
        <w:t xml:space="preserve">, 2. i 6. </w:t>
      </w:r>
      <w:r w:rsidR="00D57936" w:rsidRPr="00D768EF">
        <w:rPr>
          <w:color w:val="000000"/>
          <w:szCs w:val="22"/>
          <w:lang w:val="sr-Latn-ME"/>
        </w:rPr>
        <w:t>nedjelj</w:t>
      </w:r>
      <w:r w:rsidRPr="00D768EF">
        <w:rPr>
          <w:color w:val="000000"/>
          <w:szCs w:val="22"/>
          <w:lang w:val="sr-Latn-ME"/>
        </w:rPr>
        <w:t xml:space="preserve">i studije, a zatim svakih 8 </w:t>
      </w:r>
      <w:r w:rsidR="00D57936" w:rsidRPr="00D768EF">
        <w:rPr>
          <w:color w:val="000000"/>
          <w:szCs w:val="22"/>
          <w:lang w:val="sr-Latn-ME"/>
        </w:rPr>
        <w:t>nedjelj</w:t>
      </w:r>
      <w:r w:rsidRPr="00D768EF">
        <w:rPr>
          <w:color w:val="000000"/>
          <w:szCs w:val="22"/>
          <w:lang w:val="sr-Latn-ME"/>
        </w:rPr>
        <w:t>a</w:t>
      </w:r>
      <w:r w:rsidR="00307CC0" w:rsidRPr="00D768EF">
        <w:rPr>
          <w:color w:val="000000"/>
          <w:szCs w:val="22"/>
          <w:lang w:val="sr-Latn-ME"/>
        </w:rPr>
        <w:t xml:space="preserve"> posl</w:t>
      </w:r>
      <w:r w:rsidR="00CF5D59">
        <w:rPr>
          <w:color w:val="000000"/>
          <w:szCs w:val="22"/>
          <w:lang w:val="sr-Latn-ME"/>
        </w:rPr>
        <w:t>ij</w:t>
      </w:r>
      <w:r w:rsidR="00307CC0" w:rsidRPr="00D768EF">
        <w:rPr>
          <w:color w:val="000000"/>
          <w:szCs w:val="22"/>
          <w:lang w:val="sr-Latn-ME"/>
        </w:rPr>
        <w:t>e toga</w:t>
      </w:r>
      <w:r w:rsidRPr="00D768EF">
        <w:rPr>
          <w:color w:val="000000"/>
          <w:szCs w:val="22"/>
          <w:lang w:val="sr-Latn-ME"/>
        </w:rPr>
        <w:t xml:space="preserve">. Rezultati </w:t>
      </w:r>
      <w:r w:rsidR="00307CC0" w:rsidRPr="00D768EF">
        <w:rPr>
          <w:color w:val="000000"/>
          <w:szCs w:val="22"/>
          <w:lang w:val="sr-Latn-ME"/>
        </w:rPr>
        <w:t>za</w:t>
      </w:r>
      <w:r w:rsidRPr="00D768EF">
        <w:rPr>
          <w:color w:val="000000"/>
          <w:szCs w:val="22"/>
          <w:lang w:val="sr-Latn-ME"/>
        </w:rPr>
        <w:t xml:space="preserve"> 54. </w:t>
      </w:r>
      <w:r w:rsidR="00D57936" w:rsidRPr="00D768EF">
        <w:rPr>
          <w:color w:val="000000"/>
          <w:szCs w:val="22"/>
          <w:lang w:val="sr-Latn-ME"/>
        </w:rPr>
        <w:t>nedjelj</w:t>
      </w:r>
      <w:r w:rsidR="00307CC0" w:rsidRPr="00D768EF">
        <w:rPr>
          <w:color w:val="000000"/>
          <w:szCs w:val="22"/>
          <w:lang w:val="sr-Latn-ME"/>
        </w:rPr>
        <w:t>u</w:t>
      </w:r>
      <w:r w:rsidRPr="00D768EF">
        <w:rPr>
          <w:color w:val="000000"/>
          <w:szCs w:val="22"/>
          <w:lang w:val="sr-Latn-ME"/>
        </w:rPr>
        <w:t xml:space="preserve"> prikazani su u Tabeli 4. </w:t>
      </w:r>
    </w:p>
    <w:p w14:paraId="6CFDB481" w14:textId="77777777" w:rsidR="00C175E4" w:rsidRPr="00D768EF" w:rsidRDefault="00C175E4" w:rsidP="00C175E4">
      <w:pPr>
        <w:rPr>
          <w:color w:val="000000"/>
          <w:szCs w:val="22"/>
          <w:lang w:val="sr-Latn-ME"/>
        </w:rPr>
      </w:pPr>
    </w:p>
    <w:p w14:paraId="5C02A728" w14:textId="1FA8E654" w:rsidR="00C175E4" w:rsidRPr="00D768EF" w:rsidRDefault="00C175E4" w:rsidP="00C175E4">
      <w:pPr>
        <w:rPr>
          <w:color w:val="000000"/>
          <w:szCs w:val="22"/>
          <w:lang w:val="sr-Latn-ME"/>
        </w:rPr>
      </w:pPr>
      <w:r w:rsidRPr="00D768EF">
        <w:rPr>
          <w:color w:val="000000"/>
          <w:szCs w:val="22"/>
          <w:lang w:val="sr-Latn-ME"/>
        </w:rPr>
        <w:t>Posl</w:t>
      </w:r>
      <w:r w:rsidR="00CF5D59">
        <w:rPr>
          <w:color w:val="000000"/>
          <w:szCs w:val="22"/>
          <w:lang w:val="sr-Latn-ME"/>
        </w:rPr>
        <w:t>ij</w:t>
      </w:r>
      <w:r w:rsidRPr="00D768EF">
        <w:rPr>
          <w:color w:val="000000"/>
          <w:szCs w:val="22"/>
          <w:lang w:val="sr-Latn-ME"/>
        </w:rPr>
        <w:t xml:space="preserve">e 54 </w:t>
      </w:r>
      <w:r w:rsidR="00D57936" w:rsidRPr="00D768EF">
        <w:rPr>
          <w:color w:val="000000"/>
          <w:szCs w:val="22"/>
          <w:lang w:val="sr-Latn-ME"/>
        </w:rPr>
        <w:t>nedjelj</w:t>
      </w:r>
      <w:r w:rsidRPr="00D768EF">
        <w:rPr>
          <w:color w:val="000000"/>
          <w:szCs w:val="22"/>
          <w:lang w:val="sr-Latn-ME"/>
        </w:rPr>
        <w:t xml:space="preserve">e </w:t>
      </w:r>
      <w:r w:rsidR="00D57936" w:rsidRPr="00D768EF">
        <w:rPr>
          <w:color w:val="000000"/>
          <w:szCs w:val="22"/>
          <w:lang w:val="sr-Latn-ME"/>
        </w:rPr>
        <w:t>liječe</w:t>
      </w:r>
      <w:r w:rsidRPr="00D768EF">
        <w:rPr>
          <w:color w:val="000000"/>
          <w:szCs w:val="22"/>
          <w:lang w:val="sr-Latn-ME"/>
        </w:rPr>
        <w:t>nja, u ob</w:t>
      </w:r>
      <w:r w:rsidR="00693634" w:rsidRPr="00D768EF">
        <w:rPr>
          <w:color w:val="000000"/>
          <w:szCs w:val="22"/>
          <w:lang w:val="sr-Latn-ME"/>
        </w:rPr>
        <w:t>j</w:t>
      </w:r>
      <w:r w:rsidRPr="00D768EF">
        <w:rPr>
          <w:color w:val="000000"/>
          <w:szCs w:val="22"/>
          <w:lang w:val="sr-Latn-ME"/>
        </w:rPr>
        <w:t>e grupe pacijenata koji su primali infliksimab + metotreksat došlo je do statistički značajnog poboljšanja znakova i simptoma u poređenju sa pacijentima koji su primali samo metotreksat</w:t>
      </w:r>
      <w:r w:rsidR="00307CC0" w:rsidRPr="00D768EF">
        <w:rPr>
          <w:color w:val="000000"/>
          <w:szCs w:val="22"/>
          <w:lang w:val="sr-Latn-ME"/>
        </w:rPr>
        <w:t xml:space="preserve"> (MTX)</w:t>
      </w:r>
      <w:r w:rsidRPr="00D768EF">
        <w:rPr>
          <w:color w:val="000000"/>
          <w:szCs w:val="22"/>
          <w:lang w:val="sr-Latn-ME"/>
        </w:rPr>
        <w:t>, m</w:t>
      </w:r>
      <w:r w:rsidR="00693634" w:rsidRPr="00D768EF">
        <w:rPr>
          <w:color w:val="000000"/>
          <w:szCs w:val="22"/>
          <w:lang w:val="sr-Latn-ME"/>
        </w:rPr>
        <w:t>j</w:t>
      </w:r>
      <w:r w:rsidRPr="00D768EF">
        <w:rPr>
          <w:color w:val="000000"/>
          <w:szCs w:val="22"/>
          <w:lang w:val="sr-Latn-ME"/>
        </w:rPr>
        <w:t>ereno ud</w:t>
      </w:r>
      <w:r w:rsidR="00693634" w:rsidRPr="00D768EF">
        <w:rPr>
          <w:color w:val="000000"/>
          <w:szCs w:val="22"/>
          <w:lang w:val="sr-Latn-ME"/>
        </w:rPr>
        <w:t>j</w:t>
      </w:r>
      <w:r w:rsidRPr="00D768EF">
        <w:rPr>
          <w:color w:val="000000"/>
          <w:szCs w:val="22"/>
          <w:lang w:val="sr-Latn-ME"/>
        </w:rPr>
        <w:t>elom pacijenata koji su postigli ACR20, 50 i 70 odgovore.</w:t>
      </w:r>
    </w:p>
    <w:p w14:paraId="6CD391C1" w14:textId="77777777" w:rsidR="00C175E4" w:rsidRPr="00D768EF" w:rsidRDefault="00C175E4" w:rsidP="00C175E4">
      <w:pPr>
        <w:rPr>
          <w:color w:val="000000"/>
          <w:szCs w:val="22"/>
          <w:lang w:val="sr-Latn-ME"/>
        </w:rPr>
      </w:pPr>
    </w:p>
    <w:p w14:paraId="0B8B8C5B" w14:textId="65810B6B" w:rsidR="00C175E4" w:rsidRPr="00D768EF" w:rsidRDefault="00C175E4" w:rsidP="00C175E4">
      <w:pPr>
        <w:rPr>
          <w:color w:val="000000"/>
          <w:szCs w:val="22"/>
          <w:lang w:val="sr-Latn-ME"/>
        </w:rPr>
      </w:pPr>
      <w:r w:rsidRPr="00D768EF">
        <w:rPr>
          <w:color w:val="000000"/>
          <w:szCs w:val="22"/>
          <w:lang w:val="sr-Latn-ME"/>
        </w:rPr>
        <w:t>Više od 90% pacijenata uključenih u ASPIRE studiju imalo je najmanje dva rendgenska snimka zglobova koji su mogli da se proc</w:t>
      </w:r>
      <w:r w:rsidR="00693634" w:rsidRPr="00D768EF">
        <w:rPr>
          <w:color w:val="000000"/>
          <w:szCs w:val="22"/>
          <w:lang w:val="sr-Latn-ME"/>
        </w:rPr>
        <w:t>ij</w:t>
      </w:r>
      <w:r w:rsidRPr="00D768EF">
        <w:rPr>
          <w:color w:val="000000"/>
          <w:szCs w:val="22"/>
          <w:lang w:val="sr-Latn-ME"/>
        </w:rPr>
        <w:t>ene. Smanjenje stepena progresije strukturnog oštećenja zglobova prim</w:t>
      </w:r>
      <w:r w:rsidR="00693634" w:rsidRPr="00D768EF">
        <w:rPr>
          <w:color w:val="000000"/>
          <w:szCs w:val="22"/>
          <w:lang w:val="sr-Latn-ME"/>
        </w:rPr>
        <w:t>ij</w:t>
      </w:r>
      <w:r w:rsidRPr="00D768EF">
        <w:rPr>
          <w:color w:val="000000"/>
          <w:szCs w:val="22"/>
          <w:lang w:val="sr-Latn-ME"/>
        </w:rPr>
        <w:t xml:space="preserve">ećeno je u 30. i 54. </w:t>
      </w:r>
      <w:r w:rsidR="00D57936" w:rsidRPr="00D768EF">
        <w:rPr>
          <w:color w:val="000000"/>
          <w:szCs w:val="22"/>
          <w:lang w:val="sr-Latn-ME"/>
        </w:rPr>
        <w:t>nedjelj</w:t>
      </w:r>
      <w:r w:rsidRPr="00D768EF">
        <w:rPr>
          <w:color w:val="000000"/>
          <w:szCs w:val="22"/>
          <w:lang w:val="sr-Latn-ME"/>
        </w:rPr>
        <w:t>i u grupama pacijenata koji su primali infliksimab + metotreksat, u poređenju sa pacijentima koji su primali samo metotreksat.</w:t>
      </w:r>
    </w:p>
    <w:p w14:paraId="039440A0" w14:textId="77777777" w:rsidR="00C175E4" w:rsidRPr="00D768EF" w:rsidRDefault="00C175E4" w:rsidP="002C1E29">
      <w:pPr>
        <w:keepNext/>
        <w:jc w:val="left"/>
        <w:rPr>
          <w:color w:val="000000"/>
          <w:szCs w:val="22"/>
          <w:lang w:val="sr-Latn-ME"/>
        </w:rPr>
      </w:pPr>
    </w:p>
    <w:p w14:paraId="697FEB20" w14:textId="77777777" w:rsidR="00C175E4" w:rsidRPr="00D768EF" w:rsidRDefault="00C175E4" w:rsidP="002C1E29">
      <w:pPr>
        <w:keepNext/>
        <w:jc w:val="center"/>
        <w:rPr>
          <w:b/>
          <w:color w:val="000000"/>
          <w:szCs w:val="22"/>
          <w:lang w:val="sr-Latn-ME"/>
        </w:rPr>
      </w:pPr>
      <w:r w:rsidRPr="00D768EF">
        <w:rPr>
          <w:b/>
          <w:color w:val="000000"/>
          <w:szCs w:val="22"/>
          <w:lang w:val="sr-Latn-ME"/>
        </w:rPr>
        <w:t>Tabela 4</w:t>
      </w:r>
    </w:p>
    <w:p w14:paraId="6B6C22E2" w14:textId="036CCB75" w:rsidR="00C175E4" w:rsidRPr="00D768EF" w:rsidRDefault="00C175E4" w:rsidP="002C1E29">
      <w:pPr>
        <w:keepNext/>
        <w:jc w:val="left"/>
        <w:rPr>
          <w:b/>
          <w:color w:val="000000"/>
          <w:szCs w:val="22"/>
          <w:lang w:val="sr-Latn-ME"/>
        </w:rPr>
      </w:pPr>
      <w:r w:rsidRPr="00D768EF">
        <w:rPr>
          <w:b/>
          <w:color w:val="000000"/>
          <w:szCs w:val="22"/>
          <w:lang w:val="sr-Latn-ME"/>
        </w:rPr>
        <w:t xml:space="preserve">Dejstva na ACRn, Strukturno oštećenje zgloba i fizičku funkciju u 54. </w:t>
      </w:r>
      <w:r w:rsidR="00D57936" w:rsidRPr="00D768EF">
        <w:rPr>
          <w:b/>
          <w:color w:val="000000"/>
          <w:szCs w:val="22"/>
          <w:lang w:val="sr-Latn-ME"/>
        </w:rPr>
        <w:t>nedjelj</w:t>
      </w:r>
      <w:r w:rsidRPr="00D768EF">
        <w:rPr>
          <w:b/>
          <w:color w:val="000000"/>
          <w:szCs w:val="22"/>
          <w:lang w:val="sr-Latn-ME"/>
        </w:rPr>
        <w:t>i, ASPIRE</w:t>
      </w:r>
    </w:p>
    <w:tbl>
      <w:tblPr>
        <w:tblW w:w="906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550"/>
        <w:gridCol w:w="1559"/>
        <w:gridCol w:w="1276"/>
        <w:gridCol w:w="1276"/>
        <w:gridCol w:w="1403"/>
      </w:tblGrid>
      <w:tr w:rsidR="00C175E4" w:rsidRPr="00D768EF" w14:paraId="3EC564D0" w14:textId="77777777" w:rsidTr="00622285">
        <w:trPr>
          <w:cantSplit/>
          <w:trHeight w:val="320"/>
          <w:jc w:val="center"/>
        </w:trPr>
        <w:tc>
          <w:tcPr>
            <w:tcW w:w="3550" w:type="dxa"/>
            <w:vMerge w:val="restart"/>
            <w:vAlign w:val="bottom"/>
          </w:tcPr>
          <w:p w14:paraId="2E832666" w14:textId="77777777" w:rsidR="00C175E4" w:rsidRPr="00D768EF" w:rsidRDefault="00C175E4" w:rsidP="002C1E29">
            <w:pPr>
              <w:keepNext/>
              <w:jc w:val="left"/>
              <w:rPr>
                <w:color w:val="000000"/>
                <w:szCs w:val="22"/>
                <w:lang w:val="sr-Latn-ME"/>
              </w:rPr>
            </w:pPr>
          </w:p>
        </w:tc>
        <w:tc>
          <w:tcPr>
            <w:tcW w:w="1559" w:type="dxa"/>
            <w:vAlign w:val="center"/>
          </w:tcPr>
          <w:p w14:paraId="7864D8EA" w14:textId="77777777" w:rsidR="00C175E4" w:rsidRPr="00D768EF" w:rsidRDefault="00C175E4" w:rsidP="002C1E29">
            <w:pPr>
              <w:keepNext/>
              <w:jc w:val="left"/>
              <w:rPr>
                <w:color w:val="000000"/>
                <w:szCs w:val="22"/>
                <w:lang w:val="sr-Latn-ME"/>
              </w:rPr>
            </w:pPr>
          </w:p>
        </w:tc>
        <w:tc>
          <w:tcPr>
            <w:tcW w:w="3955" w:type="dxa"/>
            <w:gridSpan w:val="3"/>
            <w:vAlign w:val="center"/>
          </w:tcPr>
          <w:p w14:paraId="4FE27C3F" w14:textId="77777777" w:rsidR="00C175E4" w:rsidRPr="00D768EF" w:rsidRDefault="00C175E4" w:rsidP="002C1E29">
            <w:pPr>
              <w:keepNext/>
              <w:jc w:val="center"/>
              <w:rPr>
                <w:color w:val="000000"/>
                <w:szCs w:val="22"/>
                <w:lang w:val="sr-Latn-ME"/>
              </w:rPr>
            </w:pPr>
            <w:r w:rsidRPr="00D768EF">
              <w:rPr>
                <w:color w:val="000000"/>
                <w:szCs w:val="22"/>
                <w:lang w:val="sr-Latn-ME"/>
              </w:rPr>
              <w:t>Infliksimab + MTX</w:t>
            </w:r>
          </w:p>
        </w:tc>
      </w:tr>
      <w:tr w:rsidR="00C175E4" w:rsidRPr="00D768EF" w14:paraId="4D6EBD72" w14:textId="77777777" w:rsidTr="00622285">
        <w:trPr>
          <w:cantSplit/>
          <w:trHeight w:val="320"/>
          <w:jc w:val="center"/>
        </w:trPr>
        <w:tc>
          <w:tcPr>
            <w:tcW w:w="3550" w:type="dxa"/>
            <w:vMerge/>
            <w:vAlign w:val="bottom"/>
          </w:tcPr>
          <w:p w14:paraId="35B956EE" w14:textId="77777777" w:rsidR="00C175E4" w:rsidRPr="00D768EF" w:rsidRDefault="00C175E4" w:rsidP="001E4277">
            <w:pPr>
              <w:keepNext/>
              <w:jc w:val="left"/>
              <w:rPr>
                <w:color w:val="000000"/>
                <w:szCs w:val="22"/>
                <w:lang w:val="sr-Latn-ME"/>
              </w:rPr>
            </w:pPr>
          </w:p>
        </w:tc>
        <w:tc>
          <w:tcPr>
            <w:tcW w:w="1559" w:type="dxa"/>
            <w:vAlign w:val="center"/>
          </w:tcPr>
          <w:p w14:paraId="2248BA5C" w14:textId="77777777" w:rsidR="00C175E4" w:rsidRPr="00D768EF" w:rsidRDefault="00C175E4" w:rsidP="001E4277">
            <w:pPr>
              <w:keepNext/>
              <w:jc w:val="left"/>
              <w:rPr>
                <w:color w:val="000000"/>
                <w:szCs w:val="22"/>
                <w:lang w:val="sr-Latn-ME"/>
              </w:rPr>
            </w:pPr>
            <w:r w:rsidRPr="00D768EF">
              <w:rPr>
                <w:color w:val="000000"/>
                <w:szCs w:val="22"/>
                <w:lang w:val="sr-Latn-ME"/>
              </w:rPr>
              <w:t>Placebo + MTX</w:t>
            </w:r>
          </w:p>
        </w:tc>
        <w:tc>
          <w:tcPr>
            <w:tcW w:w="1276" w:type="dxa"/>
            <w:vAlign w:val="center"/>
          </w:tcPr>
          <w:p w14:paraId="5B22235A" w14:textId="77777777" w:rsidR="00C175E4" w:rsidRPr="00D768EF" w:rsidRDefault="00C175E4" w:rsidP="001E4277">
            <w:pPr>
              <w:keepNext/>
              <w:jc w:val="left"/>
              <w:rPr>
                <w:color w:val="000000"/>
                <w:szCs w:val="22"/>
                <w:lang w:val="sr-Latn-ME"/>
              </w:rPr>
            </w:pPr>
            <w:r w:rsidRPr="00D768EF">
              <w:rPr>
                <w:color w:val="000000"/>
                <w:szCs w:val="22"/>
                <w:lang w:val="sr-Latn-ME"/>
              </w:rPr>
              <w:t>3 mg/kg</w:t>
            </w:r>
          </w:p>
        </w:tc>
        <w:tc>
          <w:tcPr>
            <w:tcW w:w="1276" w:type="dxa"/>
            <w:vAlign w:val="center"/>
          </w:tcPr>
          <w:p w14:paraId="47B31BEC" w14:textId="77777777" w:rsidR="00C175E4" w:rsidRPr="00D768EF" w:rsidRDefault="00C175E4" w:rsidP="001E4277">
            <w:pPr>
              <w:keepNext/>
              <w:jc w:val="left"/>
              <w:rPr>
                <w:color w:val="000000"/>
                <w:szCs w:val="22"/>
                <w:lang w:val="sr-Latn-ME"/>
              </w:rPr>
            </w:pPr>
            <w:r w:rsidRPr="00D768EF">
              <w:rPr>
                <w:color w:val="000000"/>
                <w:szCs w:val="22"/>
                <w:lang w:val="sr-Latn-ME"/>
              </w:rPr>
              <w:t>6 mg/kg</w:t>
            </w:r>
          </w:p>
        </w:tc>
        <w:tc>
          <w:tcPr>
            <w:tcW w:w="1403" w:type="dxa"/>
            <w:vAlign w:val="center"/>
          </w:tcPr>
          <w:p w14:paraId="3D42F99C" w14:textId="77777777" w:rsidR="00C175E4" w:rsidRPr="00D768EF" w:rsidRDefault="00C175E4" w:rsidP="001E4277">
            <w:pPr>
              <w:keepNext/>
              <w:jc w:val="left"/>
              <w:rPr>
                <w:color w:val="000000"/>
                <w:szCs w:val="22"/>
                <w:lang w:val="sr-Latn-ME"/>
              </w:rPr>
            </w:pPr>
            <w:r w:rsidRPr="00D768EF">
              <w:rPr>
                <w:color w:val="000000"/>
                <w:szCs w:val="22"/>
                <w:lang w:val="sr-Latn-ME"/>
              </w:rPr>
              <w:t>Kombinovano</w:t>
            </w:r>
          </w:p>
        </w:tc>
      </w:tr>
      <w:tr w:rsidR="00C175E4" w:rsidRPr="00D768EF" w14:paraId="06EC0C8D" w14:textId="77777777" w:rsidTr="00622285">
        <w:trPr>
          <w:cantSplit/>
          <w:trHeight w:val="320"/>
          <w:jc w:val="center"/>
        </w:trPr>
        <w:tc>
          <w:tcPr>
            <w:tcW w:w="3550" w:type="dxa"/>
            <w:vAlign w:val="center"/>
          </w:tcPr>
          <w:p w14:paraId="2C66AE35" w14:textId="6334157C" w:rsidR="00C175E4" w:rsidRPr="00D768EF" w:rsidRDefault="00C175E4" w:rsidP="00622285">
            <w:pPr>
              <w:jc w:val="left"/>
              <w:rPr>
                <w:color w:val="000000"/>
                <w:szCs w:val="22"/>
                <w:lang w:val="sr-Latn-ME"/>
              </w:rPr>
            </w:pPr>
            <w:r w:rsidRPr="00D768EF">
              <w:rPr>
                <w:color w:val="000000"/>
                <w:szCs w:val="22"/>
                <w:lang w:val="sr-Latn-ME"/>
              </w:rPr>
              <w:t>Broj randomizovanih ispitanika</w:t>
            </w:r>
          </w:p>
        </w:tc>
        <w:tc>
          <w:tcPr>
            <w:tcW w:w="1559" w:type="dxa"/>
            <w:vAlign w:val="center"/>
          </w:tcPr>
          <w:p w14:paraId="7A360164" w14:textId="77777777" w:rsidR="00C175E4" w:rsidRPr="00D768EF" w:rsidRDefault="00C175E4" w:rsidP="00622285">
            <w:pPr>
              <w:jc w:val="left"/>
              <w:rPr>
                <w:color w:val="000000"/>
                <w:szCs w:val="22"/>
                <w:lang w:val="sr-Latn-ME"/>
              </w:rPr>
            </w:pPr>
            <w:r w:rsidRPr="00D768EF">
              <w:rPr>
                <w:color w:val="000000"/>
                <w:szCs w:val="22"/>
                <w:lang w:val="sr-Latn-ME"/>
              </w:rPr>
              <w:t>282</w:t>
            </w:r>
          </w:p>
        </w:tc>
        <w:tc>
          <w:tcPr>
            <w:tcW w:w="1276" w:type="dxa"/>
            <w:vAlign w:val="center"/>
          </w:tcPr>
          <w:p w14:paraId="04E046E1" w14:textId="77777777" w:rsidR="00C175E4" w:rsidRPr="00D768EF" w:rsidRDefault="00C175E4" w:rsidP="00622285">
            <w:pPr>
              <w:jc w:val="left"/>
              <w:rPr>
                <w:color w:val="000000"/>
                <w:szCs w:val="22"/>
                <w:lang w:val="sr-Latn-ME"/>
              </w:rPr>
            </w:pPr>
            <w:r w:rsidRPr="00D768EF">
              <w:rPr>
                <w:color w:val="000000"/>
                <w:szCs w:val="22"/>
                <w:lang w:val="sr-Latn-ME"/>
              </w:rPr>
              <w:t>359</w:t>
            </w:r>
          </w:p>
        </w:tc>
        <w:tc>
          <w:tcPr>
            <w:tcW w:w="1276" w:type="dxa"/>
            <w:vAlign w:val="center"/>
          </w:tcPr>
          <w:p w14:paraId="2B0BC86F" w14:textId="77777777" w:rsidR="00C175E4" w:rsidRPr="00D768EF" w:rsidRDefault="00C175E4" w:rsidP="00622285">
            <w:pPr>
              <w:jc w:val="left"/>
              <w:rPr>
                <w:color w:val="000000"/>
                <w:szCs w:val="22"/>
                <w:lang w:val="sr-Latn-ME"/>
              </w:rPr>
            </w:pPr>
            <w:r w:rsidRPr="00D768EF">
              <w:rPr>
                <w:color w:val="000000"/>
                <w:szCs w:val="22"/>
                <w:lang w:val="sr-Latn-ME"/>
              </w:rPr>
              <w:t>363</w:t>
            </w:r>
          </w:p>
        </w:tc>
        <w:tc>
          <w:tcPr>
            <w:tcW w:w="1403" w:type="dxa"/>
            <w:vAlign w:val="center"/>
          </w:tcPr>
          <w:p w14:paraId="7E15019E" w14:textId="77777777" w:rsidR="00C175E4" w:rsidRPr="00D768EF" w:rsidRDefault="00C175E4" w:rsidP="00622285">
            <w:pPr>
              <w:jc w:val="left"/>
              <w:rPr>
                <w:color w:val="000000"/>
                <w:szCs w:val="22"/>
                <w:lang w:val="sr-Latn-ME"/>
              </w:rPr>
            </w:pPr>
            <w:r w:rsidRPr="00D768EF">
              <w:rPr>
                <w:color w:val="000000"/>
                <w:szCs w:val="22"/>
                <w:lang w:val="sr-Latn-ME"/>
              </w:rPr>
              <w:t>722</w:t>
            </w:r>
          </w:p>
        </w:tc>
      </w:tr>
      <w:tr w:rsidR="00C175E4" w:rsidRPr="00D768EF" w14:paraId="2400F849" w14:textId="77777777" w:rsidTr="00622285">
        <w:trPr>
          <w:cantSplit/>
          <w:trHeight w:val="320"/>
          <w:jc w:val="center"/>
        </w:trPr>
        <w:tc>
          <w:tcPr>
            <w:tcW w:w="3550" w:type="dxa"/>
            <w:vAlign w:val="center"/>
          </w:tcPr>
          <w:p w14:paraId="28AA4455" w14:textId="77777777" w:rsidR="00C175E4" w:rsidRPr="00D768EF" w:rsidRDefault="00C175E4" w:rsidP="00622285">
            <w:pPr>
              <w:jc w:val="left"/>
              <w:rPr>
                <w:color w:val="000000"/>
                <w:szCs w:val="22"/>
                <w:lang w:val="sr-Latn-ME"/>
              </w:rPr>
            </w:pPr>
            <w:r w:rsidRPr="00D768EF">
              <w:rPr>
                <w:color w:val="000000"/>
                <w:szCs w:val="22"/>
                <w:lang w:val="sr-Latn-ME"/>
              </w:rPr>
              <w:t xml:space="preserve">Procenat poboljšanja ACR </w:t>
            </w:r>
          </w:p>
        </w:tc>
        <w:tc>
          <w:tcPr>
            <w:tcW w:w="1559" w:type="dxa"/>
            <w:vAlign w:val="center"/>
          </w:tcPr>
          <w:p w14:paraId="270C32D1" w14:textId="77777777" w:rsidR="00C175E4" w:rsidRPr="00D768EF" w:rsidRDefault="00C175E4" w:rsidP="00622285">
            <w:pPr>
              <w:jc w:val="left"/>
              <w:rPr>
                <w:color w:val="000000"/>
                <w:szCs w:val="22"/>
                <w:lang w:val="sr-Latn-ME"/>
              </w:rPr>
            </w:pPr>
          </w:p>
        </w:tc>
        <w:tc>
          <w:tcPr>
            <w:tcW w:w="1276" w:type="dxa"/>
            <w:vAlign w:val="center"/>
          </w:tcPr>
          <w:p w14:paraId="1A064FC6" w14:textId="77777777" w:rsidR="00C175E4" w:rsidRPr="00D768EF" w:rsidRDefault="00C175E4" w:rsidP="00622285">
            <w:pPr>
              <w:jc w:val="left"/>
              <w:rPr>
                <w:color w:val="000000"/>
                <w:szCs w:val="22"/>
                <w:lang w:val="sr-Latn-ME"/>
              </w:rPr>
            </w:pPr>
          </w:p>
        </w:tc>
        <w:tc>
          <w:tcPr>
            <w:tcW w:w="1276" w:type="dxa"/>
            <w:vAlign w:val="center"/>
          </w:tcPr>
          <w:p w14:paraId="7F2F1C38" w14:textId="77777777" w:rsidR="00C175E4" w:rsidRPr="00D768EF" w:rsidRDefault="00C175E4" w:rsidP="00622285">
            <w:pPr>
              <w:jc w:val="left"/>
              <w:rPr>
                <w:color w:val="000000"/>
                <w:szCs w:val="22"/>
                <w:lang w:val="sr-Latn-ME"/>
              </w:rPr>
            </w:pPr>
          </w:p>
        </w:tc>
        <w:tc>
          <w:tcPr>
            <w:tcW w:w="1403" w:type="dxa"/>
            <w:vAlign w:val="center"/>
          </w:tcPr>
          <w:p w14:paraId="4D5A8083" w14:textId="77777777" w:rsidR="00C175E4" w:rsidRPr="00D768EF" w:rsidRDefault="00C175E4" w:rsidP="00622285">
            <w:pPr>
              <w:jc w:val="left"/>
              <w:rPr>
                <w:color w:val="000000"/>
                <w:szCs w:val="22"/>
                <w:lang w:val="sr-Latn-ME"/>
              </w:rPr>
            </w:pPr>
          </w:p>
        </w:tc>
      </w:tr>
      <w:tr w:rsidR="00C175E4" w:rsidRPr="00D768EF" w14:paraId="6F804348" w14:textId="77777777" w:rsidTr="00622285">
        <w:trPr>
          <w:cantSplit/>
          <w:trHeight w:val="320"/>
          <w:jc w:val="center"/>
        </w:trPr>
        <w:tc>
          <w:tcPr>
            <w:tcW w:w="3550" w:type="dxa"/>
            <w:vAlign w:val="center"/>
          </w:tcPr>
          <w:p w14:paraId="5441C210" w14:textId="4410F949" w:rsidR="00C175E4" w:rsidRPr="00D768EF" w:rsidRDefault="00C175E4" w:rsidP="00622285">
            <w:pPr>
              <w:jc w:val="left"/>
              <w:rPr>
                <w:color w:val="000000"/>
                <w:szCs w:val="22"/>
                <w:lang w:val="sr-Latn-ME"/>
              </w:rPr>
            </w:pPr>
            <w:r w:rsidRPr="00D768EF">
              <w:rPr>
                <w:color w:val="000000"/>
                <w:szCs w:val="22"/>
                <w:lang w:val="sr-Latn-ME"/>
              </w:rPr>
              <w:t xml:space="preserve">Srednja </w:t>
            </w:r>
            <w:r w:rsidR="008A0A5C" w:rsidRPr="00D768EF">
              <w:rPr>
                <w:color w:val="000000"/>
                <w:szCs w:val="22"/>
                <w:lang w:val="sr-Latn-ME"/>
              </w:rPr>
              <w:t>vrijedno</w:t>
            </w:r>
            <w:r w:rsidRPr="00D768EF">
              <w:rPr>
                <w:color w:val="000000"/>
                <w:szCs w:val="22"/>
                <w:lang w:val="sr-Latn-ME"/>
              </w:rPr>
              <w:t>st ± SD</w:t>
            </w:r>
            <w:r w:rsidRPr="00D768EF">
              <w:rPr>
                <w:color w:val="000000"/>
                <w:szCs w:val="22"/>
                <w:vertAlign w:val="superscript"/>
                <w:lang w:val="sr-Latn-ME"/>
              </w:rPr>
              <w:t>a</w:t>
            </w:r>
          </w:p>
        </w:tc>
        <w:tc>
          <w:tcPr>
            <w:tcW w:w="1559" w:type="dxa"/>
            <w:vAlign w:val="center"/>
          </w:tcPr>
          <w:p w14:paraId="79BECCD4" w14:textId="3C61CCE5" w:rsidR="00C175E4" w:rsidRPr="00D768EF" w:rsidRDefault="00C175E4" w:rsidP="00622285">
            <w:pPr>
              <w:jc w:val="left"/>
              <w:rPr>
                <w:color w:val="000000"/>
                <w:szCs w:val="22"/>
                <w:lang w:val="sr-Latn-ME"/>
              </w:rPr>
            </w:pPr>
            <w:r w:rsidRPr="00D768EF">
              <w:rPr>
                <w:color w:val="000000"/>
                <w:szCs w:val="22"/>
                <w:lang w:val="sr-Latn-ME"/>
              </w:rPr>
              <w:t>24.8 ± 59.7</w:t>
            </w:r>
          </w:p>
        </w:tc>
        <w:tc>
          <w:tcPr>
            <w:tcW w:w="1276" w:type="dxa"/>
            <w:vAlign w:val="center"/>
          </w:tcPr>
          <w:p w14:paraId="27C4EC3C" w14:textId="4A40035D" w:rsidR="00C175E4" w:rsidRPr="00D768EF" w:rsidRDefault="00C175E4" w:rsidP="00622285">
            <w:pPr>
              <w:jc w:val="left"/>
              <w:rPr>
                <w:color w:val="000000"/>
                <w:szCs w:val="22"/>
                <w:lang w:val="sr-Latn-ME"/>
              </w:rPr>
            </w:pPr>
            <w:r w:rsidRPr="00D768EF">
              <w:rPr>
                <w:color w:val="000000"/>
                <w:szCs w:val="22"/>
                <w:lang w:val="sr-Latn-ME"/>
              </w:rPr>
              <w:t>37.3 ± 52.8</w:t>
            </w:r>
          </w:p>
        </w:tc>
        <w:tc>
          <w:tcPr>
            <w:tcW w:w="1276" w:type="dxa"/>
            <w:vAlign w:val="center"/>
          </w:tcPr>
          <w:p w14:paraId="48A78028" w14:textId="3B9EEFBC" w:rsidR="00C175E4" w:rsidRPr="00D768EF" w:rsidRDefault="00C175E4" w:rsidP="00622285">
            <w:pPr>
              <w:jc w:val="left"/>
              <w:rPr>
                <w:color w:val="000000"/>
                <w:szCs w:val="22"/>
                <w:lang w:val="sr-Latn-ME"/>
              </w:rPr>
            </w:pPr>
            <w:r w:rsidRPr="00D768EF">
              <w:rPr>
                <w:color w:val="000000"/>
                <w:szCs w:val="22"/>
                <w:lang w:val="sr-Latn-ME"/>
              </w:rPr>
              <w:t>42.0 ± 47.3</w:t>
            </w:r>
          </w:p>
        </w:tc>
        <w:tc>
          <w:tcPr>
            <w:tcW w:w="1403" w:type="dxa"/>
            <w:vAlign w:val="center"/>
          </w:tcPr>
          <w:p w14:paraId="5CEC4783" w14:textId="053F9ABB" w:rsidR="00C175E4" w:rsidRPr="00D768EF" w:rsidRDefault="00C175E4" w:rsidP="00622285">
            <w:pPr>
              <w:jc w:val="left"/>
              <w:rPr>
                <w:color w:val="000000"/>
                <w:szCs w:val="22"/>
                <w:lang w:val="sr-Latn-ME"/>
              </w:rPr>
            </w:pPr>
            <w:r w:rsidRPr="00D768EF">
              <w:rPr>
                <w:color w:val="000000"/>
                <w:szCs w:val="22"/>
                <w:lang w:val="sr-Latn-ME"/>
              </w:rPr>
              <w:t>39.6 ± 50.1</w:t>
            </w:r>
          </w:p>
        </w:tc>
      </w:tr>
      <w:tr w:rsidR="00324147" w:rsidRPr="00D768EF" w14:paraId="23F74419" w14:textId="77777777" w:rsidTr="00743A44">
        <w:trPr>
          <w:cantSplit/>
          <w:trHeight w:val="320"/>
          <w:jc w:val="center"/>
        </w:trPr>
        <w:tc>
          <w:tcPr>
            <w:tcW w:w="9064" w:type="dxa"/>
            <w:gridSpan w:val="5"/>
            <w:vAlign w:val="center"/>
          </w:tcPr>
          <w:p w14:paraId="377F2690" w14:textId="3AAB9ABF" w:rsidR="00324147" w:rsidRPr="00D768EF" w:rsidRDefault="00324147" w:rsidP="00622285">
            <w:pPr>
              <w:jc w:val="left"/>
              <w:rPr>
                <w:color w:val="000000"/>
                <w:szCs w:val="22"/>
                <w:lang w:val="sr-Latn-ME"/>
              </w:rPr>
            </w:pPr>
            <w:r w:rsidRPr="00D768EF">
              <w:rPr>
                <w:color w:val="000000"/>
                <w:szCs w:val="22"/>
                <w:lang w:val="sr-Latn-ME"/>
              </w:rPr>
              <w:t xml:space="preserve">Promjena </w:t>
            </w:r>
            <w:r w:rsidR="00307CC0" w:rsidRPr="00D768EF">
              <w:rPr>
                <w:color w:val="000000"/>
                <w:szCs w:val="22"/>
                <w:lang w:val="sr-Latn-ME"/>
              </w:rPr>
              <w:t>u odnosu na</w:t>
            </w:r>
            <w:r w:rsidRPr="00D768EF">
              <w:rPr>
                <w:color w:val="000000"/>
                <w:szCs w:val="22"/>
                <w:lang w:val="sr-Latn-ME"/>
              </w:rPr>
              <w:t xml:space="preserve"> početno</w:t>
            </w:r>
            <w:r w:rsidR="00307CC0" w:rsidRPr="00D768EF">
              <w:rPr>
                <w:color w:val="000000"/>
                <w:szCs w:val="22"/>
                <w:lang w:val="sr-Latn-ME"/>
              </w:rPr>
              <w:t>e</w:t>
            </w:r>
            <w:r w:rsidRPr="00D768EF">
              <w:rPr>
                <w:color w:val="000000"/>
                <w:szCs w:val="22"/>
                <w:lang w:val="sr-Latn-ME"/>
              </w:rPr>
              <w:t xml:space="preserve"> </w:t>
            </w:r>
            <w:r w:rsidR="00307CC0" w:rsidRPr="00D768EF">
              <w:rPr>
                <w:color w:val="000000"/>
                <w:szCs w:val="22"/>
                <w:lang w:val="sr-Latn-ME"/>
              </w:rPr>
              <w:t>vr</w:t>
            </w:r>
            <w:r w:rsidR="00E72128" w:rsidRPr="00D768EF">
              <w:rPr>
                <w:color w:val="000000"/>
                <w:szCs w:val="22"/>
                <w:lang w:val="sr-Latn-ME"/>
              </w:rPr>
              <w:t>ij</w:t>
            </w:r>
            <w:r w:rsidR="00307CC0" w:rsidRPr="00D768EF">
              <w:rPr>
                <w:color w:val="000000"/>
                <w:szCs w:val="22"/>
                <w:lang w:val="sr-Latn-ME"/>
              </w:rPr>
              <w:t xml:space="preserve">ednosti </w:t>
            </w:r>
            <w:r w:rsidRPr="00D768EF">
              <w:rPr>
                <w:color w:val="000000"/>
                <w:szCs w:val="22"/>
                <w:lang w:val="sr-Latn-ME"/>
              </w:rPr>
              <w:t>u ukupnom rezultatu van der Heijde- modifikovana Sharp skale</w:t>
            </w:r>
            <w:r w:rsidRPr="00D768EF">
              <w:rPr>
                <w:color w:val="000000"/>
                <w:szCs w:val="22"/>
                <w:vertAlign w:val="superscript"/>
                <w:lang w:val="sr-Latn-ME"/>
              </w:rPr>
              <w:t>b</w:t>
            </w:r>
          </w:p>
        </w:tc>
      </w:tr>
      <w:tr w:rsidR="00C175E4" w:rsidRPr="00D768EF" w14:paraId="1B96A465" w14:textId="77777777" w:rsidTr="00622285">
        <w:trPr>
          <w:cantSplit/>
          <w:trHeight w:val="320"/>
          <w:jc w:val="center"/>
        </w:trPr>
        <w:tc>
          <w:tcPr>
            <w:tcW w:w="3550" w:type="dxa"/>
            <w:vAlign w:val="center"/>
          </w:tcPr>
          <w:p w14:paraId="64D9633B" w14:textId="76BE15DA" w:rsidR="00C175E4" w:rsidRPr="00D768EF" w:rsidRDefault="00C175E4" w:rsidP="00622285">
            <w:pPr>
              <w:jc w:val="left"/>
              <w:rPr>
                <w:color w:val="000000"/>
                <w:szCs w:val="22"/>
                <w:lang w:val="sr-Latn-ME"/>
              </w:rPr>
            </w:pPr>
            <w:r w:rsidRPr="00D768EF">
              <w:rPr>
                <w:color w:val="000000"/>
                <w:szCs w:val="22"/>
                <w:lang w:val="sr-Latn-ME"/>
              </w:rPr>
              <w:t xml:space="preserve">Srednja </w:t>
            </w:r>
            <w:r w:rsidR="008A0A5C" w:rsidRPr="00D768EF">
              <w:rPr>
                <w:color w:val="000000"/>
                <w:szCs w:val="22"/>
                <w:lang w:val="sr-Latn-ME"/>
              </w:rPr>
              <w:t>vrijedno</w:t>
            </w:r>
            <w:r w:rsidRPr="00D768EF">
              <w:rPr>
                <w:color w:val="000000"/>
                <w:szCs w:val="22"/>
                <w:lang w:val="sr-Latn-ME"/>
              </w:rPr>
              <w:t>st ± SD</w:t>
            </w:r>
            <w:r w:rsidRPr="00D768EF">
              <w:rPr>
                <w:color w:val="000000"/>
                <w:szCs w:val="22"/>
                <w:vertAlign w:val="superscript"/>
                <w:lang w:val="sr-Latn-ME"/>
              </w:rPr>
              <w:t>a</w:t>
            </w:r>
          </w:p>
        </w:tc>
        <w:tc>
          <w:tcPr>
            <w:tcW w:w="1559" w:type="dxa"/>
            <w:vAlign w:val="center"/>
          </w:tcPr>
          <w:p w14:paraId="02C0BB02" w14:textId="7D44FD44" w:rsidR="00C175E4" w:rsidRPr="00D768EF" w:rsidRDefault="00C175E4" w:rsidP="00622285">
            <w:pPr>
              <w:jc w:val="left"/>
              <w:rPr>
                <w:color w:val="000000"/>
                <w:szCs w:val="22"/>
                <w:lang w:val="sr-Latn-ME"/>
              </w:rPr>
            </w:pPr>
            <w:r w:rsidRPr="00D768EF">
              <w:rPr>
                <w:color w:val="000000"/>
                <w:szCs w:val="22"/>
                <w:lang w:val="sr-Latn-ME"/>
              </w:rPr>
              <w:t>3.70 ± 9.61</w:t>
            </w:r>
          </w:p>
        </w:tc>
        <w:tc>
          <w:tcPr>
            <w:tcW w:w="1276" w:type="dxa"/>
            <w:vAlign w:val="center"/>
          </w:tcPr>
          <w:p w14:paraId="36D2F6C5" w14:textId="6E0F094A" w:rsidR="00C175E4" w:rsidRPr="00D768EF" w:rsidRDefault="00C175E4" w:rsidP="00622285">
            <w:pPr>
              <w:jc w:val="left"/>
              <w:rPr>
                <w:color w:val="000000"/>
                <w:szCs w:val="22"/>
                <w:lang w:val="sr-Latn-ME"/>
              </w:rPr>
            </w:pPr>
            <w:r w:rsidRPr="00D768EF">
              <w:rPr>
                <w:color w:val="000000"/>
                <w:szCs w:val="22"/>
                <w:lang w:val="sr-Latn-ME"/>
              </w:rPr>
              <w:t>0.42 ± 5.82</w:t>
            </w:r>
          </w:p>
        </w:tc>
        <w:tc>
          <w:tcPr>
            <w:tcW w:w="1276" w:type="dxa"/>
            <w:vAlign w:val="center"/>
          </w:tcPr>
          <w:p w14:paraId="5651C280" w14:textId="3CB11793" w:rsidR="00C175E4" w:rsidRPr="00D768EF" w:rsidRDefault="00C175E4" w:rsidP="00622285">
            <w:pPr>
              <w:jc w:val="left"/>
              <w:rPr>
                <w:color w:val="000000"/>
                <w:szCs w:val="22"/>
                <w:lang w:val="sr-Latn-ME"/>
              </w:rPr>
            </w:pPr>
            <w:r w:rsidRPr="00D768EF">
              <w:rPr>
                <w:color w:val="000000"/>
                <w:szCs w:val="22"/>
                <w:lang w:val="sr-Latn-ME"/>
              </w:rPr>
              <w:t>0.51 ± 5.55</w:t>
            </w:r>
          </w:p>
        </w:tc>
        <w:tc>
          <w:tcPr>
            <w:tcW w:w="1403" w:type="dxa"/>
            <w:vAlign w:val="center"/>
          </w:tcPr>
          <w:p w14:paraId="199F9EAA" w14:textId="32E3000D" w:rsidR="00C175E4" w:rsidRPr="00D768EF" w:rsidRDefault="00C175E4" w:rsidP="00622285">
            <w:pPr>
              <w:jc w:val="left"/>
              <w:rPr>
                <w:color w:val="000000"/>
                <w:szCs w:val="22"/>
                <w:lang w:val="sr-Latn-ME"/>
              </w:rPr>
            </w:pPr>
            <w:r w:rsidRPr="00D768EF">
              <w:rPr>
                <w:color w:val="000000"/>
                <w:szCs w:val="22"/>
                <w:lang w:val="sr-Latn-ME"/>
              </w:rPr>
              <w:t>0.46 ± 5.68</w:t>
            </w:r>
          </w:p>
        </w:tc>
      </w:tr>
      <w:tr w:rsidR="00C175E4" w:rsidRPr="00D768EF" w14:paraId="237CACE2" w14:textId="77777777" w:rsidTr="00622285">
        <w:trPr>
          <w:cantSplit/>
          <w:trHeight w:val="320"/>
          <w:jc w:val="center"/>
        </w:trPr>
        <w:tc>
          <w:tcPr>
            <w:tcW w:w="3550" w:type="dxa"/>
            <w:vAlign w:val="center"/>
          </w:tcPr>
          <w:p w14:paraId="7D2D78DA" w14:textId="55DFD974" w:rsidR="00C175E4" w:rsidRPr="00D768EF" w:rsidRDefault="00C175E4" w:rsidP="00622285">
            <w:pPr>
              <w:jc w:val="left"/>
              <w:rPr>
                <w:color w:val="000000"/>
                <w:szCs w:val="22"/>
                <w:lang w:val="sr-Latn-ME"/>
              </w:rPr>
            </w:pPr>
            <w:r w:rsidRPr="00D768EF">
              <w:rPr>
                <w:color w:val="000000"/>
                <w:szCs w:val="22"/>
                <w:lang w:val="sr-Latn-ME"/>
              </w:rPr>
              <w:t>Medijana</w:t>
            </w:r>
          </w:p>
        </w:tc>
        <w:tc>
          <w:tcPr>
            <w:tcW w:w="1559" w:type="dxa"/>
            <w:vAlign w:val="center"/>
          </w:tcPr>
          <w:p w14:paraId="54822BF2" w14:textId="07A609B7" w:rsidR="00C175E4" w:rsidRPr="00D768EF" w:rsidRDefault="00C175E4" w:rsidP="00622285">
            <w:pPr>
              <w:jc w:val="left"/>
              <w:rPr>
                <w:color w:val="000000"/>
                <w:szCs w:val="22"/>
                <w:lang w:val="sr-Latn-ME"/>
              </w:rPr>
            </w:pPr>
            <w:r w:rsidRPr="00D768EF">
              <w:rPr>
                <w:color w:val="000000"/>
                <w:szCs w:val="22"/>
                <w:lang w:val="sr-Latn-ME"/>
              </w:rPr>
              <w:t>0.43</w:t>
            </w:r>
          </w:p>
        </w:tc>
        <w:tc>
          <w:tcPr>
            <w:tcW w:w="1276" w:type="dxa"/>
            <w:vAlign w:val="center"/>
          </w:tcPr>
          <w:p w14:paraId="20DCBA5C" w14:textId="07CF6B67" w:rsidR="00C175E4" w:rsidRPr="00D768EF" w:rsidRDefault="00C175E4" w:rsidP="00622285">
            <w:pPr>
              <w:jc w:val="left"/>
              <w:rPr>
                <w:color w:val="000000"/>
                <w:szCs w:val="22"/>
                <w:lang w:val="sr-Latn-ME"/>
              </w:rPr>
            </w:pPr>
            <w:r w:rsidRPr="00D768EF">
              <w:rPr>
                <w:color w:val="000000"/>
                <w:szCs w:val="22"/>
                <w:lang w:val="sr-Latn-ME"/>
              </w:rPr>
              <w:t>0.00</w:t>
            </w:r>
          </w:p>
        </w:tc>
        <w:tc>
          <w:tcPr>
            <w:tcW w:w="1276" w:type="dxa"/>
            <w:vAlign w:val="center"/>
          </w:tcPr>
          <w:p w14:paraId="4EE60DEC" w14:textId="3B58118E" w:rsidR="00C175E4" w:rsidRPr="00D768EF" w:rsidRDefault="00C175E4" w:rsidP="00622285">
            <w:pPr>
              <w:jc w:val="left"/>
              <w:rPr>
                <w:color w:val="000000"/>
                <w:szCs w:val="22"/>
                <w:lang w:val="sr-Latn-ME"/>
              </w:rPr>
            </w:pPr>
            <w:r w:rsidRPr="00D768EF">
              <w:rPr>
                <w:color w:val="000000"/>
                <w:szCs w:val="22"/>
                <w:lang w:val="sr-Latn-ME"/>
              </w:rPr>
              <w:t>0.00</w:t>
            </w:r>
          </w:p>
        </w:tc>
        <w:tc>
          <w:tcPr>
            <w:tcW w:w="1403" w:type="dxa"/>
            <w:vAlign w:val="center"/>
          </w:tcPr>
          <w:p w14:paraId="6AB100E8" w14:textId="3CA644D6" w:rsidR="00C175E4" w:rsidRPr="00D768EF" w:rsidRDefault="00C175E4" w:rsidP="00622285">
            <w:pPr>
              <w:jc w:val="left"/>
              <w:rPr>
                <w:color w:val="000000"/>
                <w:szCs w:val="22"/>
                <w:lang w:val="sr-Latn-ME"/>
              </w:rPr>
            </w:pPr>
            <w:r w:rsidRPr="00D768EF">
              <w:rPr>
                <w:color w:val="000000"/>
                <w:szCs w:val="22"/>
                <w:lang w:val="sr-Latn-ME"/>
              </w:rPr>
              <w:t>0.00</w:t>
            </w:r>
          </w:p>
        </w:tc>
      </w:tr>
      <w:tr w:rsidR="00324147" w:rsidRPr="00D768EF" w14:paraId="14C78B16" w14:textId="77777777" w:rsidTr="00743A44">
        <w:trPr>
          <w:cantSplit/>
          <w:trHeight w:val="320"/>
          <w:jc w:val="center"/>
        </w:trPr>
        <w:tc>
          <w:tcPr>
            <w:tcW w:w="9064" w:type="dxa"/>
            <w:gridSpan w:val="5"/>
            <w:vAlign w:val="center"/>
          </w:tcPr>
          <w:p w14:paraId="069171CD" w14:textId="4882AECF" w:rsidR="00324147" w:rsidRPr="00D768EF" w:rsidRDefault="00324147" w:rsidP="00622285">
            <w:pPr>
              <w:jc w:val="left"/>
              <w:rPr>
                <w:color w:val="000000"/>
                <w:szCs w:val="22"/>
                <w:lang w:val="sr-Latn-ME"/>
              </w:rPr>
            </w:pPr>
            <w:r w:rsidRPr="00D768EF">
              <w:rPr>
                <w:color w:val="000000"/>
                <w:szCs w:val="22"/>
                <w:lang w:val="sr-Latn-ME"/>
              </w:rPr>
              <w:t>Prosek poboljšanja HAQ u odnosu na početn</w:t>
            </w:r>
            <w:r w:rsidR="00307CC0" w:rsidRPr="00D768EF">
              <w:rPr>
                <w:color w:val="000000"/>
                <w:szCs w:val="22"/>
                <w:lang w:val="sr-Latn-ME"/>
              </w:rPr>
              <w:t>e</w:t>
            </w:r>
            <w:r w:rsidRPr="00D768EF">
              <w:rPr>
                <w:color w:val="000000"/>
                <w:szCs w:val="22"/>
                <w:lang w:val="sr-Latn-ME"/>
              </w:rPr>
              <w:t xml:space="preserve"> </w:t>
            </w:r>
            <w:r w:rsidR="00307CC0" w:rsidRPr="00D768EF">
              <w:rPr>
                <w:color w:val="000000"/>
                <w:szCs w:val="22"/>
                <w:lang w:val="sr-Latn-ME"/>
              </w:rPr>
              <w:t>vr</w:t>
            </w:r>
            <w:r w:rsidR="00E72128" w:rsidRPr="00D768EF">
              <w:rPr>
                <w:color w:val="000000"/>
                <w:szCs w:val="22"/>
                <w:lang w:val="sr-Latn-ME"/>
              </w:rPr>
              <w:t>ij</w:t>
            </w:r>
            <w:r w:rsidR="00307CC0" w:rsidRPr="00D768EF">
              <w:rPr>
                <w:color w:val="000000"/>
                <w:szCs w:val="22"/>
                <w:lang w:val="sr-Latn-ME"/>
              </w:rPr>
              <w:t>ednosti</w:t>
            </w:r>
            <w:r w:rsidRPr="00D768EF">
              <w:rPr>
                <w:color w:val="000000"/>
                <w:szCs w:val="22"/>
                <w:lang w:val="sr-Latn-ME"/>
              </w:rPr>
              <w:t>, tokom perioda od 30. nedjelje do 54. nedjelje</w:t>
            </w:r>
            <w:r w:rsidRPr="00D768EF">
              <w:rPr>
                <w:color w:val="000000"/>
                <w:szCs w:val="22"/>
                <w:vertAlign w:val="superscript"/>
                <w:lang w:val="sr-Latn-ME"/>
              </w:rPr>
              <w:t>c</w:t>
            </w:r>
          </w:p>
        </w:tc>
      </w:tr>
      <w:tr w:rsidR="00C175E4" w:rsidRPr="00D768EF" w14:paraId="5787E74C" w14:textId="77777777" w:rsidTr="00622285">
        <w:trPr>
          <w:cantSplit/>
          <w:trHeight w:val="320"/>
          <w:jc w:val="center"/>
        </w:trPr>
        <w:tc>
          <w:tcPr>
            <w:tcW w:w="3550" w:type="dxa"/>
            <w:vAlign w:val="center"/>
          </w:tcPr>
          <w:p w14:paraId="346B4227" w14:textId="46FD416A" w:rsidR="00C175E4" w:rsidRPr="00D768EF" w:rsidRDefault="00C175E4" w:rsidP="00622285">
            <w:pPr>
              <w:jc w:val="left"/>
              <w:rPr>
                <w:color w:val="000000"/>
                <w:szCs w:val="22"/>
                <w:lang w:val="sr-Latn-ME"/>
              </w:rPr>
            </w:pPr>
            <w:r w:rsidRPr="00D768EF">
              <w:rPr>
                <w:color w:val="000000"/>
                <w:szCs w:val="22"/>
                <w:lang w:val="sr-Latn-ME"/>
              </w:rPr>
              <w:t xml:space="preserve">Srednja </w:t>
            </w:r>
            <w:r w:rsidR="008A0A5C" w:rsidRPr="00D768EF">
              <w:rPr>
                <w:color w:val="000000"/>
                <w:szCs w:val="22"/>
                <w:lang w:val="sr-Latn-ME"/>
              </w:rPr>
              <w:t>vrijedno</w:t>
            </w:r>
            <w:r w:rsidRPr="00D768EF">
              <w:rPr>
                <w:color w:val="000000"/>
                <w:szCs w:val="22"/>
                <w:lang w:val="sr-Latn-ME"/>
              </w:rPr>
              <w:t>st ± SD</w:t>
            </w:r>
            <w:r w:rsidRPr="00D768EF">
              <w:rPr>
                <w:color w:val="000000"/>
                <w:szCs w:val="22"/>
                <w:vertAlign w:val="superscript"/>
                <w:lang w:val="sr-Latn-ME"/>
              </w:rPr>
              <w:t>d</w:t>
            </w:r>
          </w:p>
        </w:tc>
        <w:tc>
          <w:tcPr>
            <w:tcW w:w="1559" w:type="dxa"/>
            <w:vAlign w:val="center"/>
          </w:tcPr>
          <w:p w14:paraId="11D5A634" w14:textId="6FAEA153" w:rsidR="00C175E4" w:rsidRPr="00D768EF" w:rsidRDefault="00C175E4" w:rsidP="00622285">
            <w:pPr>
              <w:jc w:val="left"/>
              <w:rPr>
                <w:color w:val="000000"/>
                <w:szCs w:val="22"/>
                <w:lang w:val="sr-Latn-ME"/>
              </w:rPr>
            </w:pPr>
            <w:r w:rsidRPr="00D768EF">
              <w:rPr>
                <w:color w:val="000000"/>
                <w:szCs w:val="22"/>
                <w:lang w:val="sr-Latn-ME"/>
              </w:rPr>
              <w:t>0.68 ± 0.63</w:t>
            </w:r>
          </w:p>
        </w:tc>
        <w:tc>
          <w:tcPr>
            <w:tcW w:w="1276" w:type="dxa"/>
            <w:vAlign w:val="center"/>
          </w:tcPr>
          <w:p w14:paraId="4C55D46C" w14:textId="75F18DCD" w:rsidR="00C175E4" w:rsidRPr="00D768EF" w:rsidRDefault="00C175E4" w:rsidP="00622285">
            <w:pPr>
              <w:jc w:val="left"/>
              <w:rPr>
                <w:color w:val="000000"/>
                <w:szCs w:val="22"/>
                <w:lang w:val="sr-Latn-ME"/>
              </w:rPr>
            </w:pPr>
            <w:r w:rsidRPr="00D768EF">
              <w:rPr>
                <w:color w:val="000000"/>
                <w:szCs w:val="22"/>
                <w:lang w:val="sr-Latn-ME"/>
              </w:rPr>
              <w:t>0.80 ± 0.65</w:t>
            </w:r>
          </w:p>
        </w:tc>
        <w:tc>
          <w:tcPr>
            <w:tcW w:w="1276" w:type="dxa"/>
            <w:vAlign w:val="center"/>
          </w:tcPr>
          <w:p w14:paraId="13C305EC" w14:textId="1B13606C" w:rsidR="00C175E4" w:rsidRPr="00D768EF" w:rsidRDefault="00C175E4" w:rsidP="00622285">
            <w:pPr>
              <w:jc w:val="left"/>
              <w:rPr>
                <w:color w:val="000000"/>
                <w:szCs w:val="22"/>
                <w:lang w:val="sr-Latn-ME"/>
              </w:rPr>
            </w:pPr>
            <w:r w:rsidRPr="00D768EF">
              <w:rPr>
                <w:color w:val="000000"/>
                <w:szCs w:val="22"/>
                <w:lang w:val="sr-Latn-ME"/>
              </w:rPr>
              <w:t>0.88 ± 0.65</w:t>
            </w:r>
          </w:p>
        </w:tc>
        <w:tc>
          <w:tcPr>
            <w:tcW w:w="1403" w:type="dxa"/>
            <w:vAlign w:val="center"/>
          </w:tcPr>
          <w:p w14:paraId="3BC6DFE3" w14:textId="6E513166" w:rsidR="00C175E4" w:rsidRPr="00D768EF" w:rsidRDefault="00C175E4" w:rsidP="00622285">
            <w:pPr>
              <w:jc w:val="left"/>
              <w:rPr>
                <w:color w:val="000000"/>
                <w:szCs w:val="22"/>
                <w:lang w:val="sr-Latn-ME"/>
              </w:rPr>
            </w:pPr>
            <w:r w:rsidRPr="00D768EF">
              <w:rPr>
                <w:color w:val="000000"/>
                <w:szCs w:val="22"/>
                <w:lang w:val="sr-Latn-ME"/>
              </w:rPr>
              <w:t>0.84 ± 0.65</w:t>
            </w:r>
          </w:p>
        </w:tc>
      </w:tr>
      <w:tr w:rsidR="00C175E4" w:rsidRPr="00EE2CAE" w14:paraId="4095BABB" w14:textId="77777777" w:rsidTr="00622285">
        <w:trPr>
          <w:cantSplit/>
          <w:trHeight w:val="320"/>
          <w:jc w:val="center"/>
        </w:trPr>
        <w:tc>
          <w:tcPr>
            <w:tcW w:w="9064" w:type="dxa"/>
            <w:gridSpan w:val="5"/>
            <w:vAlign w:val="bottom"/>
          </w:tcPr>
          <w:p w14:paraId="13C134AA" w14:textId="3BE10972" w:rsidR="00C175E4" w:rsidRPr="00D768EF" w:rsidRDefault="00C175E4" w:rsidP="00622285">
            <w:pPr>
              <w:rPr>
                <w:snapToGrid w:val="0"/>
                <w:color w:val="000000"/>
                <w:szCs w:val="22"/>
                <w:lang w:val="sr-Latn-ME"/>
              </w:rPr>
            </w:pPr>
            <w:r w:rsidRPr="00D768EF">
              <w:rPr>
                <w:color w:val="000000"/>
                <w:szCs w:val="22"/>
                <w:vertAlign w:val="superscript"/>
                <w:lang w:val="sr-Latn-ME"/>
              </w:rPr>
              <w:t>a</w:t>
            </w:r>
            <w:r w:rsidRPr="00D768EF">
              <w:rPr>
                <w:color w:val="000000"/>
                <w:szCs w:val="22"/>
                <w:lang w:val="sr-Latn-ME"/>
              </w:rPr>
              <w:t xml:space="preserve"> </w:t>
            </w:r>
            <w:r w:rsidRPr="00D768EF">
              <w:rPr>
                <w:snapToGrid w:val="0"/>
                <w:color w:val="000000"/>
                <w:szCs w:val="22"/>
                <w:lang w:val="sr-Latn-ME"/>
              </w:rPr>
              <w:t>p &lt; 0.001, za svaku grupu koja je primala infliksimab u odnosu na kontrolnu grupu</w:t>
            </w:r>
          </w:p>
          <w:p w14:paraId="760E205E" w14:textId="77777777" w:rsidR="00C175E4" w:rsidRPr="00D768EF" w:rsidRDefault="00C175E4" w:rsidP="00622285">
            <w:pPr>
              <w:rPr>
                <w:color w:val="000000"/>
                <w:szCs w:val="22"/>
                <w:lang w:val="sr-Latn-ME"/>
              </w:rPr>
            </w:pPr>
            <w:r w:rsidRPr="00D768EF">
              <w:rPr>
                <w:color w:val="000000"/>
                <w:szCs w:val="22"/>
                <w:vertAlign w:val="superscript"/>
                <w:lang w:val="sr-Latn-ME"/>
              </w:rPr>
              <w:t>b</w:t>
            </w:r>
            <w:r w:rsidRPr="00D768EF">
              <w:rPr>
                <w:color w:val="000000"/>
                <w:szCs w:val="22"/>
                <w:lang w:val="sr-Latn-ME"/>
              </w:rPr>
              <w:t xml:space="preserve"> veće </w:t>
            </w:r>
            <w:r w:rsidR="008A0A5C" w:rsidRPr="00D768EF">
              <w:rPr>
                <w:color w:val="000000"/>
                <w:szCs w:val="22"/>
                <w:lang w:val="sr-Latn-ME"/>
              </w:rPr>
              <w:t>vrijedno</w:t>
            </w:r>
            <w:r w:rsidRPr="00D768EF">
              <w:rPr>
                <w:color w:val="000000"/>
                <w:szCs w:val="22"/>
                <w:lang w:val="sr-Latn-ME"/>
              </w:rPr>
              <w:t>sti ukazuju na veće oštećenje zgloba.</w:t>
            </w:r>
          </w:p>
          <w:p w14:paraId="16FCA259" w14:textId="433429C3" w:rsidR="00C175E4" w:rsidRPr="00D768EF" w:rsidRDefault="00C175E4" w:rsidP="00622285">
            <w:pPr>
              <w:rPr>
                <w:color w:val="000000"/>
                <w:szCs w:val="22"/>
                <w:lang w:val="sr-Latn-ME"/>
              </w:rPr>
            </w:pPr>
            <w:r w:rsidRPr="00D768EF">
              <w:rPr>
                <w:color w:val="000000"/>
                <w:szCs w:val="22"/>
                <w:vertAlign w:val="superscript"/>
                <w:lang w:val="sr-Latn-ME"/>
              </w:rPr>
              <w:t>c</w:t>
            </w:r>
            <w:r w:rsidRPr="00D768EF">
              <w:rPr>
                <w:color w:val="000000"/>
                <w:szCs w:val="22"/>
                <w:lang w:val="sr-Latn-ME"/>
              </w:rPr>
              <w:t xml:space="preserve"> HAQ = Upitnik o zdravstvenoj proc</w:t>
            </w:r>
            <w:r w:rsidR="00693634" w:rsidRPr="00D768EF">
              <w:rPr>
                <w:color w:val="000000"/>
                <w:szCs w:val="22"/>
                <w:lang w:val="sr-Latn-ME"/>
              </w:rPr>
              <w:t>j</w:t>
            </w:r>
            <w:r w:rsidRPr="00D768EF">
              <w:rPr>
                <w:color w:val="000000"/>
                <w:szCs w:val="22"/>
                <w:lang w:val="sr-Latn-ME"/>
              </w:rPr>
              <w:t>eni (eng</w:t>
            </w:r>
            <w:r w:rsidR="00872A2F" w:rsidRPr="00D768EF">
              <w:rPr>
                <w:color w:val="000000"/>
                <w:szCs w:val="22"/>
                <w:lang w:val="sr-Latn-ME"/>
              </w:rPr>
              <w:t>l</w:t>
            </w:r>
            <w:r w:rsidRPr="00D768EF">
              <w:rPr>
                <w:color w:val="000000"/>
                <w:szCs w:val="22"/>
                <w:lang w:val="sr-Latn-ME"/>
              </w:rPr>
              <w:t xml:space="preserve">. </w:t>
            </w:r>
            <w:r w:rsidRPr="00D768EF">
              <w:rPr>
                <w:i/>
                <w:iCs/>
                <w:szCs w:val="22"/>
                <w:lang w:val="sr-Latn-ME"/>
              </w:rPr>
              <w:t>Health Assessment Questionnaire)</w:t>
            </w:r>
            <w:r w:rsidRPr="00D768EF">
              <w:rPr>
                <w:color w:val="000000"/>
                <w:szCs w:val="22"/>
                <w:lang w:val="sr-Latn-ME"/>
              </w:rPr>
              <w:t xml:space="preserve">; veće </w:t>
            </w:r>
            <w:r w:rsidR="008A0A5C" w:rsidRPr="00D768EF">
              <w:rPr>
                <w:color w:val="000000"/>
                <w:szCs w:val="22"/>
                <w:lang w:val="sr-Latn-ME"/>
              </w:rPr>
              <w:t>vrijedno</w:t>
            </w:r>
            <w:r w:rsidRPr="00D768EF">
              <w:rPr>
                <w:color w:val="000000"/>
                <w:szCs w:val="22"/>
                <w:lang w:val="sr-Latn-ME"/>
              </w:rPr>
              <w:t>sti ukazuju na manji invaliditet.</w:t>
            </w:r>
          </w:p>
          <w:p w14:paraId="74ECEEE5" w14:textId="58517A47" w:rsidR="00C175E4" w:rsidRPr="00D768EF" w:rsidRDefault="00C175E4" w:rsidP="00622285">
            <w:pPr>
              <w:rPr>
                <w:color w:val="000000"/>
                <w:szCs w:val="22"/>
                <w:lang w:val="sr-Latn-ME"/>
              </w:rPr>
            </w:pPr>
            <w:r w:rsidRPr="00D768EF">
              <w:rPr>
                <w:color w:val="000000"/>
                <w:szCs w:val="22"/>
                <w:vertAlign w:val="superscript"/>
                <w:lang w:val="sr-Latn-ME"/>
              </w:rPr>
              <w:t>d</w:t>
            </w:r>
            <w:r w:rsidRPr="00D768EF">
              <w:rPr>
                <w:color w:val="000000"/>
                <w:szCs w:val="22"/>
                <w:lang w:val="sr-Latn-ME"/>
              </w:rPr>
              <w:t xml:space="preserve"> p = 0.030 za grupu koja je primala dozu od 3 mg/kg i p&lt; 0.001 za grupu koja je primala dozu od 6 mg/kg u odnosu na placebo + MTX.</w:t>
            </w:r>
          </w:p>
        </w:tc>
      </w:tr>
    </w:tbl>
    <w:p w14:paraId="4B29755E" w14:textId="77777777" w:rsidR="00C175E4" w:rsidRPr="00D768EF" w:rsidRDefault="00C175E4" w:rsidP="00C175E4">
      <w:pPr>
        <w:jc w:val="left"/>
        <w:rPr>
          <w:color w:val="000000"/>
          <w:szCs w:val="22"/>
          <w:lang w:val="sr-Latn-ME"/>
        </w:rPr>
      </w:pPr>
    </w:p>
    <w:p w14:paraId="10888466" w14:textId="361DC9D8" w:rsidR="00C175E4" w:rsidRPr="00D768EF" w:rsidRDefault="00C175E4" w:rsidP="00C175E4">
      <w:pPr>
        <w:autoSpaceDE w:val="0"/>
        <w:autoSpaceDN w:val="0"/>
        <w:adjustRightInd w:val="0"/>
        <w:rPr>
          <w:color w:val="000000"/>
          <w:szCs w:val="22"/>
          <w:lang w:val="sr-Latn-ME"/>
        </w:rPr>
      </w:pPr>
      <w:r w:rsidRPr="00D768EF">
        <w:rPr>
          <w:color w:val="000000"/>
          <w:szCs w:val="22"/>
          <w:lang w:val="sr-Latn-ME"/>
        </w:rPr>
        <w:t>Podaci koji podržavaju titraciju doze kod pacijenata sa reumatoidnim artritisom dobijeni su iz ATTRACT, ASPIRE i START studija. START je bila randomizovana, multicentrična, dvostruko sl</w:t>
      </w:r>
      <w:r w:rsidR="00693634" w:rsidRPr="00D768EF">
        <w:rPr>
          <w:color w:val="000000"/>
          <w:szCs w:val="22"/>
          <w:lang w:val="sr-Latn-ME"/>
        </w:rPr>
        <w:t>ij</w:t>
      </w:r>
      <w:r w:rsidRPr="00D768EF">
        <w:rPr>
          <w:color w:val="000000"/>
          <w:szCs w:val="22"/>
          <w:lang w:val="sr-Latn-ME"/>
        </w:rPr>
        <w:t xml:space="preserve">epa studija koja je ispitivala </w:t>
      </w:r>
      <w:r w:rsidR="00282A1E" w:rsidRPr="00D768EF">
        <w:rPr>
          <w:color w:val="000000"/>
          <w:szCs w:val="22"/>
          <w:lang w:val="sr-Latn-ME"/>
        </w:rPr>
        <w:t>bezbjedn</w:t>
      </w:r>
      <w:r w:rsidR="00220982" w:rsidRPr="00D768EF">
        <w:rPr>
          <w:color w:val="000000"/>
          <w:szCs w:val="22"/>
          <w:lang w:val="sr-Latn-ME"/>
        </w:rPr>
        <w:t>o</w:t>
      </w:r>
      <w:r w:rsidRPr="00D768EF">
        <w:rPr>
          <w:color w:val="000000"/>
          <w:szCs w:val="22"/>
          <w:lang w:val="sr-Latn-ME"/>
        </w:rPr>
        <w:t xml:space="preserve">st u tri terapijske grupe paralelnog dizajna. U jednoj </w:t>
      </w:r>
      <w:r w:rsidR="00307CC0" w:rsidRPr="00D768EF">
        <w:rPr>
          <w:color w:val="000000"/>
          <w:szCs w:val="22"/>
          <w:lang w:val="sr-Latn-ME"/>
        </w:rPr>
        <w:t xml:space="preserve">od </w:t>
      </w:r>
      <w:r w:rsidRPr="00D768EF">
        <w:rPr>
          <w:szCs w:val="22"/>
          <w:lang w:val="sr-Latn-ME"/>
        </w:rPr>
        <w:t>ispitivan</w:t>
      </w:r>
      <w:r w:rsidR="00307CC0" w:rsidRPr="00D768EF">
        <w:rPr>
          <w:szCs w:val="22"/>
          <w:lang w:val="sr-Latn-ME"/>
        </w:rPr>
        <w:t>ih</w:t>
      </w:r>
      <w:r w:rsidRPr="00D768EF">
        <w:rPr>
          <w:szCs w:val="22"/>
          <w:lang w:val="sr-Latn-ME"/>
        </w:rPr>
        <w:t xml:space="preserve"> grup</w:t>
      </w:r>
      <w:r w:rsidR="00307CC0" w:rsidRPr="00D768EF">
        <w:rPr>
          <w:szCs w:val="22"/>
          <w:lang w:val="sr-Latn-ME"/>
        </w:rPr>
        <w:t>a</w:t>
      </w:r>
      <w:r w:rsidRPr="00D768EF">
        <w:rPr>
          <w:color w:val="000000"/>
          <w:szCs w:val="22"/>
          <w:lang w:val="sr-Latn-ME"/>
        </w:rPr>
        <w:t xml:space="preserve"> studije (grupa 2, n=329) pacijentima sa neadekvatnim odgovorom na </w:t>
      </w:r>
      <w:r w:rsidR="00D57936" w:rsidRPr="00D768EF">
        <w:rPr>
          <w:color w:val="000000"/>
          <w:szCs w:val="22"/>
          <w:lang w:val="sr-Latn-ME"/>
        </w:rPr>
        <w:t>liječe</w:t>
      </w:r>
      <w:r w:rsidRPr="00D768EF">
        <w:rPr>
          <w:color w:val="000000"/>
          <w:szCs w:val="22"/>
          <w:lang w:val="sr-Latn-ME"/>
        </w:rPr>
        <w:t xml:space="preserve">nje bilo je dozvoljeno postupno povećati dozu sa 3mg/kg na najviše 9 mg/kg u koracima od 1,5 mg/kg. </w:t>
      </w:r>
      <w:bookmarkStart w:id="8" w:name="OLE_LINK2"/>
      <w:r w:rsidRPr="00D768EF">
        <w:rPr>
          <w:color w:val="000000"/>
          <w:szCs w:val="22"/>
          <w:lang w:val="sr-Latn-ME"/>
        </w:rPr>
        <w:t xml:space="preserve">Kod većine (67%) ovih pacijenata nije bila potrebna titracija doze. </w:t>
      </w:r>
      <w:bookmarkEnd w:id="8"/>
      <w:r w:rsidRPr="00D768EF">
        <w:rPr>
          <w:color w:val="000000"/>
          <w:szCs w:val="22"/>
          <w:lang w:val="sr-Latn-ME"/>
        </w:rPr>
        <w:t>Među pacijentima kod kojih je bila potrebna titracija doze, kod njih 80% je postignut klinički odgovor, pri čemu je u većini slučajeva (64%) bilo potrebno samo jednom prilagođavati doze za 1,5 mg/kg.</w:t>
      </w:r>
    </w:p>
    <w:p w14:paraId="604BEA16" w14:textId="77777777" w:rsidR="00C175E4" w:rsidRPr="00D768EF" w:rsidRDefault="00C175E4" w:rsidP="00C175E4">
      <w:pPr>
        <w:autoSpaceDE w:val="0"/>
        <w:autoSpaceDN w:val="0"/>
        <w:adjustRightInd w:val="0"/>
        <w:rPr>
          <w:color w:val="000000"/>
          <w:szCs w:val="22"/>
          <w:u w:val="single"/>
          <w:lang w:val="sr-Latn-ME"/>
        </w:rPr>
      </w:pPr>
    </w:p>
    <w:p w14:paraId="5B602E33" w14:textId="77777777" w:rsidR="00C175E4" w:rsidRPr="00D768EF" w:rsidRDefault="00C175E4" w:rsidP="00C175E4">
      <w:pPr>
        <w:autoSpaceDE w:val="0"/>
        <w:autoSpaceDN w:val="0"/>
        <w:adjustRightInd w:val="0"/>
        <w:rPr>
          <w:i/>
          <w:color w:val="000000"/>
          <w:szCs w:val="22"/>
          <w:u w:val="single"/>
          <w:lang w:val="sr-Latn-ME"/>
        </w:rPr>
      </w:pPr>
      <w:r w:rsidRPr="00D768EF">
        <w:rPr>
          <w:i/>
          <w:color w:val="000000"/>
          <w:szCs w:val="22"/>
          <w:u w:val="single"/>
          <w:lang w:val="sr-Latn-ME"/>
        </w:rPr>
        <w:t>Kronova bolest kod odraslih</w:t>
      </w:r>
    </w:p>
    <w:p w14:paraId="13D93D10" w14:textId="77777777" w:rsidR="00C175E4" w:rsidRPr="00D768EF" w:rsidRDefault="00C175E4" w:rsidP="00C175E4">
      <w:pPr>
        <w:autoSpaceDE w:val="0"/>
        <w:autoSpaceDN w:val="0"/>
        <w:adjustRightInd w:val="0"/>
        <w:rPr>
          <w:color w:val="000000"/>
          <w:szCs w:val="22"/>
          <w:u w:val="single"/>
          <w:lang w:val="sr-Latn-ME"/>
        </w:rPr>
      </w:pPr>
    </w:p>
    <w:p w14:paraId="10083CD2" w14:textId="2FC9FE5F" w:rsidR="00C175E4" w:rsidRPr="00D768EF" w:rsidRDefault="00C175E4" w:rsidP="00C175E4">
      <w:pPr>
        <w:rPr>
          <w:color w:val="000000"/>
          <w:szCs w:val="22"/>
          <w:lang w:val="sr-Latn-ME"/>
        </w:rPr>
      </w:pPr>
      <w:r w:rsidRPr="00D768EF">
        <w:rPr>
          <w:i/>
          <w:color w:val="000000"/>
          <w:szCs w:val="22"/>
          <w:lang w:val="sr-Latn-ME"/>
        </w:rPr>
        <w:t>Uvodna terapija kod um</w:t>
      </w:r>
      <w:r w:rsidR="00693634" w:rsidRPr="00D768EF">
        <w:rPr>
          <w:i/>
          <w:color w:val="000000"/>
          <w:szCs w:val="22"/>
          <w:lang w:val="sr-Latn-ME"/>
        </w:rPr>
        <w:t>j</w:t>
      </w:r>
      <w:r w:rsidRPr="00D768EF">
        <w:rPr>
          <w:i/>
          <w:color w:val="000000"/>
          <w:szCs w:val="22"/>
          <w:lang w:val="sr-Latn-ME"/>
        </w:rPr>
        <w:t>erenog do teškog oblika aktivne Kronove bolesti</w:t>
      </w:r>
    </w:p>
    <w:p w14:paraId="27120BFF" w14:textId="67B0A5E4" w:rsidR="00C175E4" w:rsidRPr="00D768EF" w:rsidRDefault="00C175E4" w:rsidP="00C175E4">
      <w:pPr>
        <w:rPr>
          <w:color w:val="000000"/>
          <w:szCs w:val="22"/>
          <w:lang w:val="sr-Latn-ME"/>
        </w:rPr>
      </w:pPr>
      <w:r w:rsidRPr="00D768EF">
        <w:rPr>
          <w:color w:val="000000"/>
          <w:szCs w:val="22"/>
          <w:lang w:val="sr-Latn-ME"/>
        </w:rPr>
        <w:t xml:space="preserve">Efikasnost </w:t>
      </w:r>
      <w:r w:rsidR="00D57936" w:rsidRPr="00D768EF">
        <w:rPr>
          <w:color w:val="000000"/>
          <w:szCs w:val="22"/>
          <w:lang w:val="sr-Latn-ME"/>
        </w:rPr>
        <w:t>liječe</w:t>
      </w:r>
      <w:r w:rsidRPr="00D768EF">
        <w:rPr>
          <w:color w:val="000000"/>
          <w:szCs w:val="22"/>
          <w:lang w:val="sr-Latn-ME"/>
        </w:rPr>
        <w:t>nja pojedinačnom dozom infliksimaba proc</w:t>
      </w:r>
      <w:r w:rsidR="00693634" w:rsidRPr="00D768EF">
        <w:rPr>
          <w:color w:val="000000"/>
          <w:szCs w:val="22"/>
          <w:lang w:val="sr-Latn-ME"/>
        </w:rPr>
        <w:t>ij</w:t>
      </w:r>
      <w:r w:rsidRPr="00D768EF">
        <w:rPr>
          <w:color w:val="000000"/>
          <w:szCs w:val="22"/>
          <w:lang w:val="sr-Latn-ME"/>
        </w:rPr>
        <w:t xml:space="preserve">enjena je kod 108 pacijenata sa aktivnom Kronovom bolešću (Indeks aktivnosti Kronove bolesti, </w:t>
      </w:r>
      <w:r w:rsidRPr="00D768EF">
        <w:rPr>
          <w:szCs w:val="22"/>
          <w:lang w:val="sr-Latn-ME"/>
        </w:rPr>
        <w:t xml:space="preserve">engl. </w:t>
      </w:r>
      <w:r w:rsidRPr="00D768EF">
        <w:rPr>
          <w:i/>
          <w:iCs/>
          <w:szCs w:val="22"/>
          <w:lang w:val="sr-Latn-ME"/>
        </w:rPr>
        <w:t xml:space="preserve">Crohn's Disease Activity Index, </w:t>
      </w:r>
      <w:r w:rsidRPr="00D768EF">
        <w:rPr>
          <w:color w:val="000000"/>
          <w:szCs w:val="22"/>
          <w:lang w:val="sr-Latn-ME"/>
        </w:rPr>
        <w:t>(CDAI) </w:t>
      </w:r>
      <w:r w:rsidRPr="00D768EF">
        <w:rPr>
          <w:color w:val="000000"/>
          <w:szCs w:val="22"/>
          <w:lang w:val="sr-Latn-ME"/>
        </w:rPr>
        <w:sym w:font="Symbol" w:char="F0B3"/>
      </w:r>
      <w:r w:rsidRPr="00D768EF">
        <w:rPr>
          <w:color w:val="000000"/>
          <w:szCs w:val="22"/>
          <w:lang w:val="sr-Latn-ME"/>
        </w:rPr>
        <w:t xml:space="preserve"> 220 i </w:t>
      </w:r>
      <w:r w:rsidRPr="00D768EF">
        <w:rPr>
          <w:color w:val="000000"/>
          <w:szCs w:val="22"/>
          <w:lang w:val="sr-Latn-ME"/>
        </w:rPr>
        <w:sym w:font="Symbol" w:char="F0A3"/>
      </w:r>
      <w:r w:rsidRPr="00D768EF">
        <w:rPr>
          <w:color w:val="000000"/>
          <w:szCs w:val="22"/>
          <w:lang w:val="sr-Latn-ME"/>
        </w:rPr>
        <w:t> 400) u randomizovano</w:t>
      </w:r>
      <w:r w:rsidR="00307CC0" w:rsidRPr="00D768EF">
        <w:rPr>
          <w:color w:val="000000"/>
          <w:szCs w:val="22"/>
          <w:lang w:val="sr-Latn-ME"/>
        </w:rPr>
        <w:t>j</w:t>
      </w:r>
      <w:r w:rsidRPr="00D768EF">
        <w:rPr>
          <w:color w:val="000000"/>
          <w:szCs w:val="22"/>
          <w:lang w:val="sr-Latn-ME"/>
        </w:rPr>
        <w:t>, dvostruko sl</w:t>
      </w:r>
      <w:r w:rsidR="00693634" w:rsidRPr="00D768EF">
        <w:rPr>
          <w:color w:val="000000"/>
          <w:szCs w:val="22"/>
          <w:lang w:val="sr-Latn-ME"/>
        </w:rPr>
        <w:t>ij</w:t>
      </w:r>
      <w:r w:rsidRPr="00D768EF">
        <w:rPr>
          <w:color w:val="000000"/>
          <w:szCs w:val="22"/>
          <w:lang w:val="sr-Latn-ME"/>
        </w:rPr>
        <w:t>epo</w:t>
      </w:r>
      <w:r w:rsidR="00307CC0" w:rsidRPr="00D768EF">
        <w:rPr>
          <w:color w:val="000000"/>
          <w:szCs w:val="22"/>
          <w:lang w:val="sr-Latn-ME"/>
        </w:rPr>
        <w:t>j</w:t>
      </w:r>
      <w:r w:rsidRPr="00D768EF">
        <w:rPr>
          <w:color w:val="000000"/>
          <w:szCs w:val="22"/>
          <w:lang w:val="sr-Latn-ME"/>
        </w:rPr>
        <w:t>, placebo kontrolisano</w:t>
      </w:r>
      <w:r w:rsidR="00307CC0" w:rsidRPr="00D768EF">
        <w:rPr>
          <w:color w:val="000000"/>
          <w:szCs w:val="22"/>
          <w:lang w:val="sr-Latn-ME"/>
        </w:rPr>
        <w:t>j</w:t>
      </w:r>
      <w:r w:rsidRPr="00D768EF">
        <w:rPr>
          <w:color w:val="000000"/>
          <w:szCs w:val="22"/>
          <w:lang w:val="sr-Latn-ME"/>
        </w:rPr>
        <w:t xml:space="preserve"> </w:t>
      </w:r>
      <w:r w:rsidR="00307CC0" w:rsidRPr="00D768EF">
        <w:rPr>
          <w:color w:val="000000"/>
          <w:szCs w:val="22"/>
          <w:lang w:val="sr-Latn-ME"/>
        </w:rPr>
        <w:t>studiji</w:t>
      </w:r>
      <w:r w:rsidRPr="00D768EF">
        <w:rPr>
          <w:color w:val="000000"/>
          <w:szCs w:val="22"/>
          <w:lang w:val="sr-Latn-ME"/>
        </w:rPr>
        <w:t xml:space="preserve"> odgovora na prim</w:t>
      </w:r>
      <w:r w:rsidR="00126595" w:rsidRPr="00D768EF">
        <w:rPr>
          <w:color w:val="000000"/>
          <w:szCs w:val="22"/>
          <w:lang w:val="sr-Latn-ME"/>
        </w:rPr>
        <w:t>ij</w:t>
      </w:r>
      <w:r w:rsidRPr="00D768EF">
        <w:rPr>
          <w:color w:val="000000"/>
          <w:szCs w:val="22"/>
          <w:lang w:val="sr-Latn-ME"/>
        </w:rPr>
        <w:t>enjenu dozu. Od tih 108 pacijenata, 27 je primalo preporučenu dozu infliksimaba od 5 mg/kg. Svi pacijenti su imali neadekvatan odgovor na prethodn</w:t>
      </w:r>
      <w:r w:rsidR="00307CC0" w:rsidRPr="00D768EF">
        <w:rPr>
          <w:color w:val="000000"/>
          <w:szCs w:val="22"/>
          <w:lang w:val="sr-Latn-ME"/>
        </w:rPr>
        <w:t>e</w:t>
      </w:r>
      <w:r w:rsidRPr="00D768EF">
        <w:rPr>
          <w:color w:val="000000"/>
          <w:szCs w:val="22"/>
          <w:lang w:val="sr-Latn-ME"/>
        </w:rPr>
        <w:t xml:space="preserve"> konvencionaln</w:t>
      </w:r>
      <w:r w:rsidR="00307CC0" w:rsidRPr="00D768EF">
        <w:rPr>
          <w:color w:val="000000"/>
          <w:szCs w:val="22"/>
          <w:lang w:val="sr-Latn-ME"/>
        </w:rPr>
        <w:t>e</w:t>
      </w:r>
      <w:r w:rsidRPr="00D768EF">
        <w:rPr>
          <w:color w:val="000000"/>
          <w:szCs w:val="22"/>
          <w:lang w:val="sr-Latn-ME"/>
        </w:rPr>
        <w:t xml:space="preserve"> terapij</w:t>
      </w:r>
      <w:r w:rsidR="00307CC0" w:rsidRPr="00D768EF">
        <w:rPr>
          <w:color w:val="000000"/>
          <w:szCs w:val="22"/>
          <w:lang w:val="sr-Latn-ME"/>
        </w:rPr>
        <w:t>e</w:t>
      </w:r>
      <w:r w:rsidRPr="00D768EF">
        <w:rPr>
          <w:color w:val="000000"/>
          <w:szCs w:val="22"/>
          <w:lang w:val="sr-Latn-ME"/>
        </w:rPr>
        <w:t xml:space="preserve">. Bila je dozvoljena istovremena </w:t>
      </w:r>
      <w:r w:rsidR="00D57936" w:rsidRPr="00D768EF">
        <w:rPr>
          <w:color w:val="000000"/>
          <w:szCs w:val="22"/>
          <w:lang w:val="sr-Latn-ME"/>
        </w:rPr>
        <w:t>primjena</w:t>
      </w:r>
      <w:r w:rsidRPr="00D768EF">
        <w:rPr>
          <w:color w:val="000000"/>
          <w:szCs w:val="22"/>
          <w:lang w:val="sr-Latn-ME"/>
        </w:rPr>
        <w:t xml:space="preserve"> konvencionaln</w:t>
      </w:r>
      <w:r w:rsidR="00307CC0" w:rsidRPr="00D768EF">
        <w:rPr>
          <w:color w:val="000000"/>
          <w:szCs w:val="22"/>
          <w:lang w:val="sr-Latn-ME"/>
        </w:rPr>
        <w:t>ih</w:t>
      </w:r>
      <w:r w:rsidRPr="00D768EF">
        <w:rPr>
          <w:color w:val="000000"/>
          <w:szCs w:val="22"/>
          <w:lang w:val="sr-Latn-ME"/>
        </w:rPr>
        <w:t xml:space="preserve"> terapij</w:t>
      </w:r>
      <w:r w:rsidR="00307CC0" w:rsidRPr="00D768EF">
        <w:rPr>
          <w:color w:val="000000"/>
          <w:szCs w:val="22"/>
          <w:lang w:val="sr-Latn-ME"/>
        </w:rPr>
        <w:t>a</w:t>
      </w:r>
      <w:r w:rsidRPr="00D768EF">
        <w:rPr>
          <w:color w:val="000000"/>
          <w:szCs w:val="22"/>
          <w:lang w:val="sr-Latn-ME"/>
        </w:rPr>
        <w:t xml:space="preserve"> u </w:t>
      </w:r>
      <w:r w:rsidR="00307CC0" w:rsidRPr="00D768EF">
        <w:rPr>
          <w:color w:val="000000"/>
          <w:szCs w:val="22"/>
          <w:lang w:val="sr-Latn-ME"/>
        </w:rPr>
        <w:t>stabilnim</w:t>
      </w:r>
      <w:r w:rsidRPr="00D768EF">
        <w:rPr>
          <w:color w:val="000000"/>
          <w:szCs w:val="22"/>
          <w:lang w:val="sr-Latn-ME"/>
        </w:rPr>
        <w:t xml:space="preserve"> doz</w:t>
      </w:r>
      <w:r w:rsidR="00307CC0" w:rsidRPr="00D768EF">
        <w:rPr>
          <w:color w:val="000000"/>
          <w:szCs w:val="22"/>
          <w:lang w:val="sr-Latn-ME"/>
        </w:rPr>
        <w:t>ama</w:t>
      </w:r>
      <w:r w:rsidRPr="00D768EF">
        <w:rPr>
          <w:color w:val="000000"/>
          <w:szCs w:val="22"/>
          <w:lang w:val="sr-Latn-ME"/>
        </w:rPr>
        <w:t>, koj</w:t>
      </w:r>
      <w:r w:rsidR="00307CC0" w:rsidRPr="00D768EF">
        <w:rPr>
          <w:color w:val="000000"/>
          <w:szCs w:val="22"/>
          <w:lang w:val="sr-Latn-ME"/>
        </w:rPr>
        <w:t>e</w:t>
      </w:r>
      <w:r w:rsidRPr="00D768EF">
        <w:rPr>
          <w:color w:val="000000"/>
          <w:szCs w:val="22"/>
          <w:lang w:val="sr-Latn-ME"/>
        </w:rPr>
        <w:t xml:space="preserve"> je nastavilo da prima 92% pacijenata.</w:t>
      </w:r>
    </w:p>
    <w:p w14:paraId="7A6308F4" w14:textId="77777777" w:rsidR="00C175E4" w:rsidRPr="00D768EF" w:rsidRDefault="00C175E4" w:rsidP="00C175E4">
      <w:pPr>
        <w:rPr>
          <w:color w:val="000000"/>
          <w:szCs w:val="22"/>
          <w:lang w:val="sr-Latn-ME"/>
        </w:rPr>
      </w:pPr>
    </w:p>
    <w:p w14:paraId="445B783E" w14:textId="7B5515E4" w:rsidR="00C175E4" w:rsidRPr="00D768EF" w:rsidRDefault="00C175E4" w:rsidP="00C175E4">
      <w:pPr>
        <w:rPr>
          <w:color w:val="000000"/>
          <w:szCs w:val="22"/>
          <w:lang w:val="sr-Latn-ME"/>
        </w:rPr>
      </w:pPr>
      <w:r w:rsidRPr="00D768EF">
        <w:rPr>
          <w:color w:val="000000"/>
          <w:szCs w:val="22"/>
          <w:lang w:val="sr-Latn-ME"/>
        </w:rPr>
        <w:t xml:space="preserve">Primarni </w:t>
      </w:r>
      <w:r w:rsidR="00307CC0" w:rsidRPr="00D768EF">
        <w:rPr>
          <w:color w:val="000000"/>
          <w:szCs w:val="22"/>
          <w:lang w:val="sr-Latn-ME"/>
        </w:rPr>
        <w:t>parametar praćenja</w:t>
      </w:r>
      <w:r w:rsidRPr="00D768EF">
        <w:rPr>
          <w:color w:val="000000"/>
          <w:szCs w:val="22"/>
          <w:lang w:val="sr-Latn-ME"/>
        </w:rPr>
        <w:t>bio je procenat pacijenata koji su pokazali klinički odgovor, definisan kao smanjenje CDAI za </w:t>
      </w:r>
      <w:r w:rsidRPr="00D768EF">
        <w:rPr>
          <w:color w:val="000000"/>
          <w:szCs w:val="22"/>
          <w:lang w:val="sr-Latn-ME"/>
        </w:rPr>
        <w:sym w:font="Symbol" w:char="F0B3"/>
      </w:r>
      <w:r w:rsidRPr="00D768EF">
        <w:rPr>
          <w:color w:val="000000"/>
          <w:szCs w:val="22"/>
          <w:lang w:val="sr-Latn-ME"/>
        </w:rPr>
        <w:t xml:space="preserve"> 70 bodova u odnosu na početne </w:t>
      </w:r>
      <w:r w:rsidR="008A0A5C" w:rsidRPr="00D768EF">
        <w:rPr>
          <w:color w:val="000000"/>
          <w:szCs w:val="22"/>
          <w:lang w:val="sr-Latn-ME"/>
        </w:rPr>
        <w:t>vrijedno</w:t>
      </w:r>
      <w:r w:rsidRPr="00D768EF">
        <w:rPr>
          <w:color w:val="000000"/>
          <w:szCs w:val="22"/>
          <w:lang w:val="sr-Latn-ME"/>
        </w:rPr>
        <w:t>sti posl</w:t>
      </w:r>
      <w:r w:rsidR="00CF5D59">
        <w:rPr>
          <w:color w:val="000000"/>
          <w:szCs w:val="22"/>
          <w:lang w:val="sr-Latn-ME"/>
        </w:rPr>
        <w:t>ij</w:t>
      </w:r>
      <w:r w:rsidRPr="00D768EF">
        <w:rPr>
          <w:color w:val="000000"/>
          <w:szCs w:val="22"/>
          <w:lang w:val="sr-Latn-ME"/>
        </w:rPr>
        <w:t xml:space="preserve">e 4 </w:t>
      </w:r>
      <w:r w:rsidR="00D57936" w:rsidRPr="00D768EF">
        <w:rPr>
          <w:color w:val="000000"/>
          <w:szCs w:val="22"/>
          <w:lang w:val="sr-Latn-ME"/>
        </w:rPr>
        <w:t>nedjelj</w:t>
      </w:r>
      <w:r w:rsidRPr="00D768EF">
        <w:rPr>
          <w:color w:val="000000"/>
          <w:szCs w:val="22"/>
          <w:lang w:val="sr-Latn-ME"/>
        </w:rPr>
        <w:t>e, bez povećanja potrebe za prim</w:t>
      </w:r>
      <w:r w:rsidR="00126595" w:rsidRPr="00D768EF">
        <w:rPr>
          <w:color w:val="000000"/>
          <w:szCs w:val="22"/>
          <w:lang w:val="sr-Latn-ME"/>
        </w:rPr>
        <w:t>j</w:t>
      </w:r>
      <w:r w:rsidRPr="00D768EF">
        <w:rPr>
          <w:color w:val="000000"/>
          <w:szCs w:val="22"/>
          <w:lang w:val="sr-Latn-ME"/>
        </w:rPr>
        <w:t>enom l</w:t>
      </w:r>
      <w:r w:rsidR="00126595" w:rsidRPr="00D768EF">
        <w:rPr>
          <w:color w:val="000000"/>
          <w:szCs w:val="22"/>
          <w:lang w:val="sr-Latn-ME"/>
        </w:rPr>
        <w:t>j</w:t>
      </w:r>
      <w:r w:rsidRPr="00D768EF">
        <w:rPr>
          <w:color w:val="000000"/>
          <w:szCs w:val="22"/>
          <w:lang w:val="sr-Latn-ME"/>
        </w:rPr>
        <w:t xml:space="preserve">ekova koji se daju za Kronovu bolest ili hirurškog </w:t>
      </w:r>
      <w:r w:rsidR="00D57936" w:rsidRPr="00D768EF">
        <w:rPr>
          <w:color w:val="000000"/>
          <w:szCs w:val="22"/>
          <w:lang w:val="sr-Latn-ME"/>
        </w:rPr>
        <w:t>liječe</w:t>
      </w:r>
      <w:r w:rsidRPr="00D768EF">
        <w:rPr>
          <w:color w:val="000000"/>
          <w:szCs w:val="22"/>
          <w:lang w:val="sr-Latn-ME"/>
        </w:rPr>
        <w:t xml:space="preserve">nja Kronove bolesti. Pacijenti koji su odgovorili na </w:t>
      </w:r>
      <w:r w:rsidR="00D57936" w:rsidRPr="00D768EF">
        <w:rPr>
          <w:color w:val="000000"/>
          <w:szCs w:val="22"/>
          <w:lang w:val="sr-Latn-ME"/>
        </w:rPr>
        <w:t>liječe</w:t>
      </w:r>
      <w:r w:rsidRPr="00D768EF">
        <w:rPr>
          <w:color w:val="000000"/>
          <w:szCs w:val="22"/>
          <w:lang w:val="sr-Latn-ME"/>
        </w:rPr>
        <w:t>nje posl</w:t>
      </w:r>
      <w:r w:rsidR="00CF5D59">
        <w:rPr>
          <w:color w:val="000000"/>
          <w:szCs w:val="22"/>
          <w:lang w:val="sr-Latn-ME"/>
        </w:rPr>
        <w:t>ij</w:t>
      </w:r>
      <w:r w:rsidRPr="00D768EF">
        <w:rPr>
          <w:color w:val="000000"/>
          <w:szCs w:val="22"/>
          <w:lang w:val="sr-Latn-ME"/>
        </w:rPr>
        <w:t xml:space="preserve">e 4 </w:t>
      </w:r>
      <w:r w:rsidR="00D57936" w:rsidRPr="00D768EF">
        <w:rPr>
          <w:color w:val="000000"/>
          <w:szCs w:val="22"/>
          <w:lang w:val="sr-Latn-ME"/>
        </w:rPr>
        <w:t>nedjelj</w:t>
      </w:r>
      <w:r w:rsidRPr="00D768EF">
        <w:rPr>
          <w:color w:val="000000"/>
          <w:szCs w:val="22"/>
          <w:lang w:val="sr-Latn-ME"/>
        </w:rPr>
        <w:t xml:space="preserve">e praćeni su do 12. </w:t>
      </w:r>
      <w:r w:rsidR="00D57936" w:rsidRPr="00D768EF">
        <w:rPr>
          <w:color w:val="000000"/>
          <w:szCs w:val="22"/>
          <w:lang w:val="sr-Latn-ME"/>
        </w:rPr>
        <w:t>nedjelj</w:t>
      </w:r>
      <w:r w:rsidRPr="00D768EF">
        <w:rPr>
          <w:color w:val="000000"/>
          <w:szCs w:val="22"/>
          <w:lang w:val="sr-Latn-ME"/>
        </w:rPr>
        <w:t xml:space="preserve">e. Sekundarni </w:t>
      </w:r>
      <w:r w:rsidR="00307CC0" w:rsidRPr="00D768EF">
        <w:rPr>
          <w:color w:val="000000"/>
          <w:szCs w:val="22"/>
          <w:lang w:val="sr-Latn-ME"/>
        </w:rPr>
        <w:t>parametri praćenja</w:t>
      </w:r>
      <w:r w:rsidRPr="00D768EF">
        <w:rPr>
          <w:color w:val="000000"/>
          <w:szCs w:val="22"/>
          <w:lang w:val="sr-Latn-ME"/>
        </w:rPr>
        <w:t xml:space="preserve"> uključi</w:t>
      </w:r>
      <w:r w:rsidR="00307CC0" w:rsidRPr="00D768EF">
        <w:rPr>
          <w:color w:val="000000"/>
          <w:szCs w:val="22"/>
          <w:lang w:val="sr-Latn-ME"/>
        </w:rPr>
        <w:t>va</w:t>
      </w:r>
      <w:r w:rsidRPr="00D768EF">
        <w:rPr>
          <w:color w:val="000000"/>
          <w:szCs w:val="22"/>
          <w:lang w:val="sr-Latn-ME"/>
        </w:rPr>
        <w:t xml:space="preserve">li su </w:t>
      </w:r>
      <w:r w:rsidR="00307CC0" w:rsidRPr="00D768EF">
        <w:rPr>
          <w:color w:val="000000"/>
          <w:szCs w:val="22"/>
          <w:lang w:val="sr-Latn-ME"/>
        </w:rPr>
        <w:t>ud</w:t>
      </w:r>
      <w:r w:rsidR="00162CCC" w:rsidRPr="00D768EF">
        <w:rPr>
          <w:color w:val="000000"/>
          <w:szCs w:val="22"/>
          <w:lang w:val="sr-Latn-ME"/>
        </w:rPr>
        <w:t>i</w:t>
      </w:r>
      <w:r w:rsidR="00307CC0" w:rsidRPr="00D768EF">
        <w:rPr>
          <w:color w:val="000000"/>
          <w:szCs w:val="22"/>
          <w:lang w:val="sr-Latn-ME"/>
        </w:rPr>
        <w:t xml:space="preserve">o </w:t>
      </w:r>
      <w:r w:rsidRPr="00D768EF">
        <w:rPr>
          <w:color w:val="000000"/>
          <w:szCs w:val="22"/>
          <w:lang w:val="sr-Latn-ME"/>
        </w:rPr>
        <w:t xml:space="preserve">pacijenata u kliničkoj remisiji </w:t>
      </w:r>
      <w:r w:rsidR="00307CC0" w:rsidRPr="00D768EF">
        <w:rPr>
          <w:color w:val="000000"/>
          <w:szCs w:val="22"/>
          <w:lang w:val="sr-Latn-ME"/>
        </w:rPr>
        <w:t xml:space="preserve">u </w:t>
      </w:r>
      <w:r w:rsidRPr="00D768EF">
        <w:rPr>
          <w:color w:val="000000"/>
          <w:szCs w:val="22"/>
          <w:lang w:val="sr-Latn-ME"/>
        </w:rPr>
        <w:t>4</w:t>
      </w:r>
      <w:r w:rsidR="00307CC0" w:rsidRPr="00D768EF">
        <w:rPr>
          <w:color w:val="000000"/>
          <w:szCs w:val="22"/>
          <w:lang w:val="sr-Latn-ME"/>
        </w:rPr>
        <w:t>.</w:t>
      </w:r>
      <w:r w:rsidRPr="00D768EF">
        <w:rPr>
          <w:color w:val="000000"/>
          <w:szCs w:val="22"/>
          <w:lang w:val="sr-Latn-ME"/>
        </w:rPr>
        <w:t xml:space="preserve"> </w:t>
      </w:r>
      <w:r w:rsidR="00D57936" w:rsidRPr="00D768EF">
        <w:rPr>
          <w:color w:val="000000"/>
          <w:szCs w:val="22"/>
          <w:lang w:val="sr-Latn-ME"/>
        </w:rPr>
        <w:t>nedjelj</w:t>
      </w:r>
      <w:r w:rsidR="00307CC0" w:rsidRPr="00D768EF">
        <w:rPr>
          <w:color w:val="000000"/>
          <w:szCs w:val="22"/>
          <w:lang w:val="sr-Latn-ME"/>
        </w:rPr>
        <w:t>i</w:t>
      </w:r>
      <w:r w:rsidRPr="00D768EF">
        <w:rPr>
          <w:color w:val="000000"/>
          <w:szCs w:val="22"/>
          <w:lang w:val="sr-Latn-ME"/>
        </w:rPr>
        <w:t xml:space="preserve"> </w:t>
      </w:r>
      <w:r w:rsidR="00D57936" w:rsidRPr="00D768EF">
        <w:rPr>
          <w:color w:val="000000"/>
          <w:szCs w:val="22"/>
          <w:lang w:val="sr-Latn-ME"/>
        </w:rPr>
        <w:t>liječe</w:t>
      </w:r>
      <w:r w:rsidRPr="00D768EF">
        <w:rPr>
          <w:color w:val="000000"/>
          <w:szCs w:val="22"/>
          <w:lang w:val="sr-Latn-ME"/>
        </w:rPr>
        <w:t>nja (CDAI &lt; 150) i održivost kliničkog odgovora tokom vremena.</w:t>
      </w:r>
    </w:p>
    <w:p w14:paraId="0420C941" w14:textId="77777777" w:rsidR="00C175E4" w:rsidRPr="00D768EF" w:rsidRDefault="00C175E4" w:rsidP="00C175E4">
      <w:pPr>
        <w:rPr>
          <w:color w:val="000000"/>
          <w:szCs w:val="22"/>
          <w:lang w:val="sr-Latn-ME"/>
        </w:rPr>
      </w:pPr>
    </w:p>
    <w:p w14:paraId="78D57736" w14:textId="2388C7B9" w:rsidR="00C175E4" w:rsidRPr="00D768EF" w:rsidRDefault="00C175E4" w:rsidP="00C175E4">
      <w:pPr>
        <w:rPr>
          <w:color w:val="000000"/>
          <w:szCs w:val="22"/>
          <w:lang w:val="sr-Latn-ME"/>
        </w:rPr>
      </w:pPr>
      <w:r w:rsidRPr="00D768EF">
        <w:rPr>
          <w:color w:val="000000"/>
          <w:szCs w:val="22"/>
          <w:lang w:val="sr-Latn-ME"/>
        </w:rPr>
        <w:t xml:space="preserve">Četvrte </w:t>
      </w:r>
      <w:r w:rsidR="00D57936" w:rsidRPr="00D768EF">
        <w:rPr>
          <w:color w:val="000000"/>
          <w:szCs w:val="22"/>
          <w:lang w:val="sr-Latn-ME"/>
        </w:rPr>
        <w:t>nedjelj</w:t>
      </w:r>
      <w:r w:rsidRPr="00D768EF">
        <w:rPr>
          <w:color w:val="000000"/>
          <w:szCs w:val="22"/>
          <w:lang w:val="sr-Latn-ME"/>
        </w:rPr>
        <w:t>e posl</w:t>
      </w:r>
      <w:r w:rsidR="00CF5D59">
        <w:rPr>
          <w:color w:val="000000"/>
          <w:szCs w:val="22"/>
          <w:lang w:val="sr-Latn-ME"/>
        </w:rPr>
        <w:t>ij</w:t>
      </w:r>
      <w:r w:rsidRPr="00D768EF">
        <w:rPr>
          <w:color w:val="000000"/>
          <w:szCs w:val="22"/>
          <w:lang w:val="sr-Latn-ME"/>
        </w:rPr>
        <w:t>e prim</w:t>
      </w:r>
      <w:r w:rsidR="00126595" w:rsidRPr="00D768EF">
        <w:rPr>
          <w:color w:val="000000"/>
          <w:szCs w:val="22"/>
          <w:lang w:val="sr-Latn-ME"/>
        </w:rPr>
        <w:t>j</w:t>
      </w:r>
      <w:r w:rsidRPr="00D768EF">
        <w:rPr>
          <w:color w:val="000000"/>
          <w:szCs w:val="22"/>
          <w:lang w:val="sr-Latn-ME"/>
        </w:rPr>
        <w:t xml:space="preserve">ene jedne doze, 22/27 (81%) pacijenata koji su primali infliksimab u dozi od 5 mg/kg ostvarili su klinički odgovor, u odnosu na 4/25 (16%) pacijenata koji su primali placebo </w:t>
      </w:r>
      <w:r w:rsidRPr="00D768EF">
        <w:rPr>
          <w:color w:val="000000"/>
          <w:szCs w:val="22"/>
          <w:lang w:val="sr-Latn-ME"/>
        </w:rPr>
        <w:lastRenderedPageBreak/>
        <w:t>(p &lt; 0</w:t>
      </w:r>
      <w:r w:rsidR="00307CC0" w:rsidRPr="00D768EF">
        <w:rPr>
          <w:color w:val="000000"/>
          <w:szCs w:val="22"/>
          <w:lang w:val="sr-Latn-ME"/>
        </w:rPr>
        <w:t>,</w:t>
      </w:r>
      <w:r w:rsidRPr="00D768EF">
        <w:rPr>
          <w:color w:val="000000"/>
          <w:szCs w:val="22"/>
          <w:lang w:val="sr-Latn-ME"/>
        </w:rPr>
        <w:t xml:space="preserve">001). Takođe, u 4. </w:t>
      </w:r>
      <w:r w:rsidR="00D57936" w:rsidRPr="00D768EF">
        <w:rPr>
          <w:color w:val="000000"/>
          <w:szCs w:val="22"/>
          <w:lang w:val="sr-Latn-ME"/>
        </w:rPr>
        <w:t>nedjelj</w:t>
      </w:r>
      <w:r w:rsidRPr="00D768EF">
        <w:rPr>
          <w:color w:val="000000"/>
          <w:szCs w:val="22"/>
          <w:lang w:val="sr-Latn-ME"/>
        </w:rPr>
        <w:t xml:space="preserve">i, 13/27 (48%) pacijenata koji su primali infliksimab ostvarili su kliničku remisiju bolesti (CDAI &lt; 150), u odnosu na 1/25 (4%) pacijenata koji su primali placebo. Odgovor na </w:t>
      </w:r>
      <w:r w:rsidR="00D57936" w:rsidRPr="00D768EF">
        <w:rPr>
          <w:color w:val="000000"/>
          <w:szCs w:val="22"/>
          <w:lang w:val="sr-Latn-ME"/>
        </w:rPr>
        <w:t>liječe</w:t>
      </w:r>
      <w:r w:rsidRPr="00D768EF">
        <w:rPr>
          <w:color w:val="000000"/>
          <w:szCs w:val="22"/>
          <w:lang w:val="sr-Latn-ME"/>
        </w:rPr>
        <w:t xml:space="preserve">nje je </w:t>
      </w:r>
      <w:r w:rsidR="001B0A77" w:rsidRPr="00D768EF">
        <w:rPr>
          <w:color w:val="000000"/>
          <w:szCs w:val="22"/>
          <w:lang w:val="sr-Latn-ME"/>
        </w:rPr>
        <w:t>zabilje</w:t>
      </w:r>
      <w:r w:rsidRPr="00D768EF">
        <w:rPr>
          <w:color w:val="000000"/>
          <w:szCs w:val="22"/>
          <w:lang w:val="sr-Latn-ME"/>
        </w:rPr>
        <w:t>žen u periodu od 2 </w:t>
      </w:r>
      <w:r w:rsidR="00D57936" w:rsidRPr="00D768EF">
        <w:rPr>
          <w:color w:val="000000"/>
          <w:szCs w:val="22"/>
          <w:lang w:val="sr-Latn-ME"/>
        </w:rPr>
        <w:t>nedjelj</w:t>
      </w:r>
      <w:r w:rsidRPr="00D768EF">
        <w:rPr>
          <w:color w:val="000000"/>
          <w:szCs w:val="22"/>
          <w:lang w:val="sr-Latn-ME"/>
        </w:rPr>
        <w:t xml:space="preserve">e, a najjači je bio u 4. </w:t>
      </w:r>
      <w:r w:rsidR="00D57936" w:rsidRPr="00D768EF">
        <w:rPr>
          <w:color w:val="000000"/>
          <w:szCs w:val="22"/>
          <w:lang w:val="sr-Latn-ME"/>
        </w:rPr>
        <w:t>nedjelj</w:t>
      </w:r>
      <w:r w:rsidRPr="00D768EF">
        <w:rPr>
          <w:color w:val="000000"/>
          <w:szCs w:val="22"/>
          <w:lang w:val="sr-Latn-ME"/>
        </w:rPr>
        <w:t>i. Na posl</w:t>
      </w:r>
      <w:r w:rsidR="00CF5D59">
        <w:rPr>
          <w:color w:val="000000"/>
          <w:szCs w:val="22"/>
          <w:lang w:val="sr-Latn-ME"/>
        </w:rPr>
        <w:t>j</w:t>
      </w:r>
      <w:r w:rsidRPr="00D768EF">
        <w:rPr>
          <w:color w:val="000000"/>
          <w:szCs w:val="22"/>
          <w:lang w:val="sr-Latn-ME"/>
        </w:rPr>
        <w:t>ednjem pregledu posl</w:t>
      </w:r>
      <w:r w:rsidR="00CF5D59">
        <w:rPr>
          <w:color w:val="000000"/>
          <w:szCs w:val="22"/>
          <w:lang w:val="sr-Latn-ME"/>
        </w:rPr>
        <w:t>ij</w:t>
      </w:r>
      <w:r w:rsidRPr="00D768EF">
        <w:rPr>
          <w:color w:val="000000"/>
          <w:szCs w:val="22"/>
          <w:lang w:val="sr-Latn-ME"/>
        </w:rPr>
        <w:t xml:space="preserve">e 12 </w:t>
      </w:r>
      <w:r w:rsidR="00D57936" w:rsidRPr="00D768EF">
        <w:rPr>
          <w:color w:val="000000"/>
          <w:szCs w:val="22"/>
          <w:lang w:val="sr-Latn-ME"/>
        </w:rPr>
        <w:t>nedjelj</w:t>
      </w:r>
      <w:r w:rsidRPr="00D768EF">
        <w:rPr>
          <w:color w:val="000000"/>
          <w:szCs w:val="22"/>
          <w:lang w:val="sr-Latn-ME"/>
        </w:rPr>
        <w:t xml:space="preserve">a, 13/27 (48%) pacijenata koji su primali infliksimab i dalje je pokazivalo klinički odgovor na </w:t>
      </w:r>
      <w:r w:rsidR="00D57936" w:rsidRPr="00D768EF">
        <w:rPr>
          <w:color w:val="000000"/>
          <w:szCs w:val="22"/>
          <w:lang w:val="sr-Latn-ME"/>
        </w:rPr>
        <w:t>liječe</w:t>
      </w:r>
      <w:r w:rsidRPr="00D768EF">
        <w:rPr>
          <w:color w:val="000000"/>
          <w:szCs w:val="22"/>
          <w:lang w:val="sr-Latn-ME"/>
        </w:rPr>
        <w:t>nje.</w:t>
      </w:r>
    </w:p>
    <w:p w14:paraId="304B4017" w14:textId="77777777" w:rsidR="00C175E4" w:rsidRPr="00D768EF" w:rsidRDefault="00C175E4" w:rsidP="00C175E4">
      <w:pPr>
        <w:rPr>
          <w:color w:val="000000"/>
          <w:szCs w:val="22"/>
          <w:lang w:val="sr-Latn-ME"/>
        </w:rPr>
      </w:pPr>
    </w:p>
    <w:p w14:paraId="51E6745E" w14:textId="77777777" w:rsidR="00C175E4" w:rsidRPr="00D768EF" w:rsidRDefault="00C175E4" w:rsidP="00C175E4">
      <w:pPr>
        <w:rPr>
          <w:color w:val="000000"/>
          <w:szCs w:val="22"/>
          <w:lang w:val="sr-Latn-ME"/>
        </w:rPr>
      </w:pPr>
      <w:r w:rsidRPr="00D768EF">
        <w:rPr>
          <w:i/>
          <w:color w:val="000000"/>
          <w:szCs w:val="22"/>
          <w:lang w:val="sr-Latn-ME"/>
        </w:rPr>
        <w:t>Terapija održavanja kod um</w:t>
      </w:r>
      <w:r w:rsidR="00693634" w:rsidRPr="00D768EF">
        <w:rPr>
          <w:i/>
          <w:color w:val="000000"/>
          <w:szCs w:val="22"/>
          <w:lang w:val="sr-Latn-ME"/>
        </w:rPr>
        <w:t>j</w:t>
      </w:r>
      <w:r w:rsidRPr="00D768EF">
        <w:rPr>
          <w:i/>
          <w:color w:val="000000"/>
          <w:szCs w:val="22"/>
          <w:lang w:val="sr-Latn-ME"/>
        </w:rPr>
        <w:t>erenog do teškog oblika aktivne Kronove bolesti kod odraslih pacijenata</w:t>
      </w:r>
    </w:p>
    <w:p w14:paraId="110B14F7" w14:textId="77777777" w:rsidR="00C175E4" w:rsidRPr="00D768EF" w:rsidRDefault="00C175E4" w:rsidP="00C175E4">
      <w:pPr>
        <w:tabs>
          <w:tab w:val="left" w:pos="-1022"/>
          <w:tab w:val="left" w:pos="-720"/>
          <w:tab w:val="left" w:pos="1"/>
          <w:tab w:val="left" w:pos="240"/>
          <w:tab w:val="left" w:pos="510"/>
          <w:tab w:val="left" w:pos="1440"/>
          <w:tab w:val="left" w:pos="2160"/>
          <w:tab w:val="left" w:pos="2880"/>
          <w:tab w:val="left" w:pos="3600"/>
          <w:tab w:val="left" w:pos="4320"/>
          <w:tab w:val="left" w:pos="5040"/>
          <w:tab w:val="left" w:pos="5760"/>
          <w:tab w:val="left" w:pos="6480"/>
          <w:tab w:val="lef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2"/>
          <w:lang w:val="sr-Latn-ME"/>
        </w:rPr>
      </w:pPr>
      <w:r w:rsidRPr="00D768EF">
        <w:rPr>
          <w:color w:val="000000"/>
          <w:szCs w:val="22"/>
          <w:lang w:val="sr-Latn-ME"/>
        </w:rPr>
        <w:t>Efikasnost ponovljenih infuzija infliksimaba ispitivana je u jednogodišnjoj kliničkoj studiji (ACCENT I).</w:t>
      </w:r>
    </w:p>
    <w:p w14:paraId="713000E6" w14:textId="11FA3B92" w:rsidR="00C175E4" w:rsidRPr="00D768EF" w:rsidRDefault="00C175E4" w:rsidP="00C175E4">
      <w:pPr>
        <w:tabs>
          <w:tab w:val="left" w:pos="-1022"/>
          <w:tab w:val="left" w:pos="-720"/>
          <w:tab w:val="left" w:pos="1"/>
          <w:tab w:val="left" w:pos="240"/>
          <w:tab w:val="left" w:pos="510"/>
          <w:tab w:val="left" w:pos="1440"/>
          <w:tab w:val="left" w:pos="2160"/>
          <w:tab w:val="left" w:pos="2880"/>
          <w:tab w:val="left" w:pos="3600"/>
          <w:tab w:val="left" w:pos="4320"/>
          <w:tab w:val="left" w:pos="5040"/>
          <w:tab w:val="left" w:pos="5760"/>
          <w:tab w:val="left" w:pos="6480"/>
          <w:tab w:val="lef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2"/>
          <w:lang w:val="sr-Latn-ME"/>
        </w:rPr>
      </w:pPr>
      <w:r w:rsidRPr="00D768EF">
        <w:rPr>
          <w:color w:val="000000"/>
          <w:szCs w:val="22"/>
          <w:lang w:val="sr-Latn-ME"/>
        </w:rPr>
        <w:t>Ukupno 573 pacijenta sa um</w:t>
      </w:r>
      <w:r w:rsidR="00693634" w:rsidRPr="00D768EF">
        <w:rPr>
          <w:color w:val="000000"/>
          <w:szCs w:val="22"/>
          <w:lang w:val="sr-Latn-ME"/>
        </w:rPr>
        <w:t>j</w:t>
      </w:r>
      <w:r w:rsidRPr="00D768EF">
        <w:rPr>
          <w:color w:val="000000"/>
          <w:szCs w:val="22"/>
          <w:lang w:val="sr-Latn-ME"/>
        </w:rPr>
        <w:t>erenom do teškom aktivnom Kronovom bolešću (CDAI </w:t>
      </w:r>
      <w:r w:rsidRPr="00D768EF">
        <w:rPr>
          <w:color w:val="000000"/>
          <w:szCs w:val="22"/>
          <w:lang w:val="sr-Latn-ME"/>
        </w:rPr>
        <w:sym w:font="Symbol" w:char="F0B3"/>
      </w:r>
      <w:r w:rsidRPr="00D768EF">
        <w:rPr>
          <w:color w:val="000000"/>
          <w:szCs w:val="22"/>
          <w:lang w:val="sr-Latn-ME"/>
        </w:rPr>
        <w:t> 220 </w:t>
      </w:r>
      <w:r w:rsidRPr="00D768EF">
        <w:rPr>
          <w:color w:val="000000"/>
          <w:szCs w:val="22"/>
          <w:lang w:val="sr-Latn-ME"/>
        </w:rPr>
        <w:sym w:font="Symbol" w:char="F0A3"/>
      </w:r>
      <w:r w:rsidRPr="00D768EF">
        <w:rPr>
          <w:color w:val="000000"/>
          <w:szCs w:val="22"/>
          <w:lang w:val="sr-Latn-ME"/>
        </w:rPr>
        <w:t xml:space="preserve"> 400) primilo je jednu infuziju infliksimaba od 5 mg/kg u </w:t>
      </w:r>
      <w:r w:rsidR="001D4BD4" w:rsidRPr="00D768EF">
        <w:rPr>
          <w:color w:val="000000"/>
          <w:szCs w:val="22"/>
          <w:lang w:val="sr-Latn-ME"/>
        </w:rPr>
        <w:t xml:space="preserve">0. </w:t>
      </w:r>
      <w:r w:rsidR="00D57936" w:rsidRPr="00D768EF">
        <w:rPr>
          <w:color w:val="000000"/>
          <w:szCs w:val="22"/>
          <w:lang w:val="sr-Latn-ME"/>
        </w:rPr>
        <w:t>nedjelj</w:t>
      </w:r>
      <w:r w:rsidRPr="00D768EF">
        <w:rPr>
          <w:color w:val="000000"/>
          <w:szCs w:val="22"/>
          <w:lang w:val="sr-Latn-ME"/>
        </w:rPr>
        <w:t xml:space="preserve">i. Od 580 uključenih pacijenata 178 (30.7%) je imalo težak oblik bolesti (CDAI </w:t>
      </w:r>
      <w:r w:rsidR="001D4BD4" w:rsidRPr="00D768EF">
        <w:rPr>
          <w:color w:val="000000"/>
          <w:szCs w:val="22"/>
          <w:lang w:val="sr-Latn-ME"/>
        </w:rPr>
        <w:t xml:space="preserve">skor </w:t>
      </w:r>
      <w:r w:rsidRPr="00D768EF">
        <w:rPr>
          <w:color w:val="000000"/>
          <w:szCs w:val="22"/>
          <w:lang w:val="sr-Latn-ME"/>
        </w:rPr>
        <w:t>&gt; 300 uz istovremenu prim</w:t>
      </w:r>
      <w:r w:rsidR="00126595" w:rsidRPr="00D768EF">
        <w:rPr>
          <w:color w:val="000000"/>
          <w:szCs w:val="22"/>
          <w:lang w:val="sr-Latn-ME"/>
        </w:rPr>
        <w:t>j</w:t>
      </w:r>
      <w:r w:rsidRPr="00D768EF">
        <w:rPr>
          <w:color w:val="000000"/>
          <w:szCs w:val="22"/>
          <w:lang w:val="sr-Latn-ME"/>
        </w:rPr>
        <w:t>enu kortikosteroida i/ili imunosupresiva), što je odgovaralo populaciji koja je definisana u indikaciji (</w:t>
      </w:r>
      <w:r w:rsidR="00282A1E" w:rsidRPr="00D768EF">
        <w:rPr>
          <w:color w:val="000000"/>
          <w:szCs w:val="22"/>
          <w:lang w:val="sr-Latn-ME"/>
        </w:rPr>
        <w:t>vidjeti</w:t>
      </w:r>
      <w:r w:rsidRPr="00D768EF">
        <w:rPr>
          <w:color w:val="000000"/>
          <w:szCs w:val="22"/>
          <w:lang w:val="sr-Latn-ME"/>
        </w:rPr>
        <w:t xml:space="preserve"> </w:t>
      </w:r>
      <w:r w:rsidR="00454E9F" w:rsidRPr="00D768EF">
        <w:rPr>
          <w:color w:val="000000"/>
          <w:szCs w:val="22"/>
          <w:lang w:val="sr-Latn-ME"/>
        </w:rPr>
        <w:t>dio</w:t>
      </w:r>
      <w:r w:rsidRPr="00D768EF">
        <w:rPr>
          <w:color w:val="000000"/>
          <w:szCs w:val="22"/>
          <w:lang w:val="sr-Latn-ME"/>
        </w:rPr>
        <w:t xml:space="preserve"> 4.1). U 2. </w:t>
      </w:r>
      <w:r w:rsidR="00D57936" w:rsidRPr="00D768EF">
        <w:rPr>
          <w:color w:val="000000"/>
          <w:szCs w:val="22"/>
          <w:lang w:val="sr-Latn-ME"/>
        </w:rPr>
        <w:t>nedjelj</w:t>
      </w:r>
      <w:r w:rsidRPr="00D768EF">
        <w:rPr>
          <w:color w:val="000000"/>
          <w:szCs w:val="22"/>
          <w:lang w:val="sr-Latn-ME"/>
        </w:rPr>
        <w:t>i, proc</w:t>
      </w:r>
      <w:r w:rsidR="00693634" w:rsidRPr="00D768EF">
        <w:rPr>
          <w:color w:val="000000"/>
          <w:szCs w:val="22"/>
          <w:lang w:val="sr-Latn-ME"/>
        </w:rPr>
        <w:t>ij</w:t>
      </w:r>
      <w:r w:rsidRPr="00D768EF">
        <w:rPr>
          <w:color w:val="000000"/>
          <w:szCs w:val="22"/>
          <w:lang w:val="sr-Latn-ME"/>
        </w:rPr>
        <w:t xml:space="preserve">enjen je klinički odgovor kod svih pacijenata koji su potom randomizovani u jednu od 3 terapijske grupe: grupu koja je kao terapiju održavanja primala placebo, grupu koja je kao terapiju održavanja primala infuziju u dozi od 5 mg/kg i grupu koja je kao terapiju održavanja primala infuziju u dozi od 10 mg/kg. Pacijenti u sve 3 grupe primali su ponovne infuzije u 2. i 6. </w:t>
      </w:r>
      <w:r w:rsidR="00D57936" w:rsidRPr="00D768EF">
        <w:rPr>
          <w:color w:val="000000"/>
          <w:szCs w:val="22"/>
          <w:lang w:val="sr-Latn-ME"/>
        </w:rPr>
        <w:t>nedjelj</w:t>
      </w:r>
      <w:r w:rsidRPr="00D768EF">
        <w:rPr>
          <w:color w:val="000000"/>
          <w:szCs w:val="22"/>
          <w:lang w:val="sr-Latn-ME"/>
        </w:rPr>
        <w:t xml:space="preserve">i, a zatim svakih 8 </w:t>
      </w:r>
      <w:r w:rsidR="00D57936" w:rsidRPr="00D768EF">
        <w:rPr>
          <w:color w:val="000000"/>
          <w:szCs w:val="22"/>
          <w:lang w:val="sr-Latn-ME"/>
        </w:rPr>
        <w:t>nedjelj</w:t>
      </w:r>
      <w:r w:rsidRPr="00D768EF">
        <w:rPr>
          <w:color w:val="000000"/>
          <w:szCs w:val="22"/>
          <w:lang w:val="sr-Latn-ME"/>
        </w:rPr>
        <w:t>a posl</w:t>
      </w:r>
      <w:r w:rsidR="00CF5D59">
        <w:rPr>
          <w:color w:val="000000"/>
          <w:szCs w:val="22"/>
          <w:lang w:val="sr-Latn-ME"/>
        </w:rPr>
        <w:t>ij</w:t>
      </w:r>
      <w:r w:rsidRPr="00D768EF">
        <w:rPr>
          <w:color w:val="000000"/>
          <w:szCs w:val="22"/>
          <w:lang w:val="sr-Latn-ME"/>
        </w:rPr>
        <w:t>e toga.</w:t>
      </w:r>
    </w:p>
    <w:p w14:paraId="599F6819" w14:textId="77777777" w:rsidR="00C175E4" w:rsidRPr="00D768EF" w:rsidRDefault="00C175E4" w:rsidP="00C175E4">
      <w:pPr>
        <w:tabs>
          <w:tab w:val="left" w:pos="-1022"/>
          <w:tab w:val="left" w:pos="-720"/>
          <w:tab w:val="left" w:pos="1"/>
          <w:tab w:val="left" w:pos="240"/>
          <w:tab w:val="left" w:pos="510"/>
          <w:tab w:val="left" w:pos="1440"/>
          <w:tab w:val="left" w:pos="2160"/>
          <w:tab w:val="left" w:pos="2880"/>
          <w:tab w:val="left" w:pos="3600"/>
          <w:tab w:val="left" w:pos="4320"/>
          <w:tab w:val="left" w:pos="5040"/>
          <w:tab w:val="left" w:pos="5760"/>
          <w:tab w:val="left" w:pos="6480"/>
          <w:tab w:val="lef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2"/>
          <w:lang w:val="sr-Latn-ME"/>
        </w:rPr>
      </w:pPr>
    </w:p>
    <w:p w14:paraId="53695A54" w14:textId="15773BC5" w:rsidR="00C175E4" w:rsidRPr="00D768EF" w:rsidRDefault="00C175E4" w:rsidP="00C175E4">
      <w:pPr>
        <w:rPr>
          <w:szCs w:val="22"/>
          <w:lang w:val="sr-Latn-ME"/>
        </w:rPr>
      </w:pPr>
      <w:r w:rsidRPr="00D768EF">
        <w:rPr>
          <w:szCs w:val="22"/>
          <w:lang w:val="sr-Latn-ME"/>
        </w:rPr>
        <w:t>Od 573 randomizovana pacijenta, 335 (58%) je ostvarilo klinički</w:t>
      </w:r>
      <w:r w:rsidRPr="00D768EF">
        <w:rPr>
          <w:color w:val="000000"/>
          <w:szCs w:val="22"/>
          <w:lang w:val="sr-Latn-ME"/>
        </w:rPr>
        <w:t xml:space="preserve"> odgovor </w:t>
      </w:r>
      <w:r w:rsidRPr="00D768EF">
        <w:rPr>
          <w:szCs w:val="22"/>
          <w:lang w:val="sr-Latn-ME"/>
        </w:rPr>
        <w:t xml:space="preserve">do 2. </w:t>
      </w:r>
      <w:r w:rsidR="00D57936" w:rsidRPr="00D768EF">
        <w:rPr>
          <w:szCs w:val="22"/>
          <w:lang w:val="sr-Latn-ME"/>
        </w:rPr>
        <w:t>nedjelj</w:t>
      </w:r>
      <w:r w:rsidRPr="00D768EF">
        <w:rPr>
          <w:szCs w:val="22"/>
          <w:lang w:val="sr-Latn-ME"/>
        </w:rPr>
        <w:t xml:space="preserve">e. Ti pacijenti su klasifikovani kao pacijenti sa odgovorom u 2. </w:t>
      </w:r>
      <w:r w:rsidR="00D57936" w:rsidRPr="00D768EF">
        <w:rPr>
          <w:szCs w:val="22"/>
          <w:lang w:val="sr-Latn-ME"/>
        </w:rPr>
        <w:t>nedjelj</w:t>
      </w:r>
      <w:r w:rsidRPr="00D768EF">
        <w:rPr>
          <w:szCs w:val="22"/>
          <w:lang w:val="sr-Latn-ME"/>
        </w:rPr>
        <w:t>i i uključeni su u primarnu analizu (</w:t>
      </w:r>
      <w:r w:rsidR="00282A1E" w:rsidRPr="00D768EF">
        <w:rPr>
          <w:szCs w:val="22"/>
          <w:lang w:val="sr-Latn-ME"/>
        </w:rPr>
        <w:t>vidjeti</w:t>
      </w:r>
      <w:r w:rsidRPr="00D768EF">
        <w:rPr>
          <w:szCs w:val="22"/>
          <w:lang w:val="sr-Latn-ME"/>
        </w:rPr>
        <w:t xml:space="preserve"> Tabelu 5). Među pacijentima koji su klasifikovani kao pacijenti koji nisu odgovorili na terapiju u 2. </w:t>
      </w:r>
      <w:r w:rsidR="00D57936" w:rsidRPr="00D768EF">
        <w:rPr>
          <w:szCs w:val="22"/>
          <w:lang w:val="sr-Latn-ME"/>
        </w:rPr>
        <w:t>nedjelj</w:t>
      </w:r>
      <w:r w:rsidRPr="00D768EF">
        <w:rPr>
          <w:szCs w:val="22"/>
          <w:lang w:val="sr-Latn-ME"/>
        </w:rPr>
        <w:t xml:space="preserve">i, njih 32% (26/81) u </w:t>
      </w:r>
      <w:r w:rsidRPr="00D768EF">
        <w:rPr>
          <w:color w:val="000000"/>
          <w:szCs w:val="22"/>
          <w:lang w:val="sr-Latn-ME"/>
        </w:rPr>
        <w:t>grupi koja je primala placebo terapiju održavanja</w:t>
      </w:r>
      <w:r w:rsidRPr="00D768EF">
        <w:rPr>
          <w:szCs w:val="22"/>
          <w:lang w:val="sr-Latn-ME"/>
        </w:rPr>
        <w:t xml:space="preserve"> i 42% (68/163) u infliksimab grupi ostvarilo je klinički odgovor</w:t>
      </w:r>
      <w:r w:rsidRPr="00D768EF">
        <w:rPr>
          <w:color w:val="000000"/>
          <w:szCs w:val="22"/>
          <w:lang w:val="sr-Latn-ME"/>
        </w:rPr>
        <w:t xml:space="preserve"> </w:t>
      </w:r>
      <w:r w:rsidRPr="00D768EF">
        <w:rPr>
          <w:szCs w:val="22"/>
          <w:lang w:val="sr-Latn-ME"/>
        </w:rPr>
        <w:t xml:space="preserve">do 6. </w:t>
      </w:r>
      <w:r w:rsidR="00D57936" w:rsidRPr="00D768EF">
        <w:rPr>
          <w:szCs w:val="22"/>
          <w:lang w:val="sr-Latn-ME"/>
        </w:rPr>
        <w:t>nedjelj</w:t>
      </w:r>
      <w:r w:rsidRPr="00D768EF">
        <w:rPr>
          <w:szCs w:val="22"/>
          <w:lang w:val="sr-Latn-ME"/>
        </w:rPr>
        <w:t>e. Posl</w:t>
      </w:r>
      <w:r w:rsidR="00CF5D59">
        <w:rPr>
          <w:szCs w:val="22"/>
          <w:lang w:val="sr-Latn-ME"/>
        </w:rPr>
        <w:t>ij</w:t>
      </w:r>
      <w:r w:rsidRPr="00D768EF">
        <w:rPr>
          <w:szCs w:val="22"/>
          <w:lang w:val="sr-Latn-ME"/>
        </w:rPr>
        <w:t xml:space="preserve">e toga nije bilo razlike između grupa u broju onih pacijenata kod kojih se pojavio kasni odgovor. </w:t>
      </w:r>
    </w:p>
    <w:p w14:paraId="0BBB1ACA" w14:textId="77777777" w:rsidR="00C175E4" w:rsidRPr="00D768EF" w:rsidRDefault="00C175E4" w:rsidP="00C175E4">
      <w:pPr>
        <w:rPr>
          <w:szCs w:val="22"/>
          <w:lang w:val="sr-Latn-ME"/>
        </w:rPr>
      </w:pPr>
    </w:p>
    <w:p w14:paraId="00860CD9" w14:textId="35F2680F" w:rsidR="00D26136" w:rsidRDefault="00C175E4" w:rsidP="00DF4274">
      <w:pPr>
        <w:rPr>
          <w:b/>
          <w:color w:val="000000"/>
          <w:szCs w:val="22"/>
          <w:lang w:val="sr-Latn-ME"/>
        </w:rPr>
      </w:pPr>
      <w:r w:rsidRPr="00D768EF">
        <w:rPr>
          <w:color w:val="000000"/>
          <w:szCs w:val="22"/>
          <w:lang w:val="sr-Latn-ME"/>
        </w:rPr>
        <w:t xml:space="preserve">Ko-primarni ishodi bili su procenat pacijenata u kliničkoj remisiji (CDAI &lt; 150) u 30. </w:t>
      </w:r>
      <w:r w:rsidR="00D57936" w:rsidRPr="00D768EF">
        <w:rPr>
          <w:color w:val="000000"/>
          <w:szCs w:val="22"/>
          <w:lang w:val="sr-Latn-ME"/>
        </w:rPr>
        <w:t>nedjelj</w:t>
      </w:r>
      <w:r w:rsidRPr="00D768EF">
        <w:rPr>
          <w:color w:val="000000"/>
          <w:szCs w:val="22"/>
          <w:lang w:val="sr-Latn-ME"/>
        </w:rPr>
        <w:t xml:space="preserve">i i vreme do gubitka odgovora do 54. </w:t>
      </w:r>
      <w:r w:rsidR="00D57936" w:rsidRPr="00D768EF">
        <w:rPr>
          <w:color w:val="000000"/>
          <w:szCs w:val="22"/>
          <w:lang w:val="sr-Latn-ME"/>
        </w:rPr>
        <w:t>nedjelj</w:t>
      </w:r>
      <w:r w:rsidRPr="00D768EF">
        <w:rPr>
          <w:color w:val="000000"/>
          <w:szCs w:val="22"/>
          <w:lang w:val="sr-Latn-ME"/>
        </w:rPr>
        <w:t>e. Postepeno smanjenje doze kortikosteroida bilo je dopušteno posl</w:t>
      </w:r>
      <w:r w:rsidR="00CF5D59">
        <w:rPr>
          <w:color w:val="000000"/>
          <w:szCs w:val="22"/>
          <w:lang w:val="sr-Latn-ME"/>
        </w:rPr>
        <w:t>ij</w:t>
      </w:r>
      <w:r w:rsidRPr="00D768EF">
        <w:rPr>
          <w:color w:val="000000"/>
          <w:szCs w:val="22"/>
          <w:lang w:val="sr-Latn-ME"/>
        </w:rPr>
        <w:t xml:space="preserve">e 6. </w:t>
      </w:r>
      <w:r w:rsidR="00D57936" w:rsidRPr="00D768EF">
        <w:rPr>
          <w:color w:val="000000"/>
          <w:szCs w:val="22"/>
          <w:lang w:val="sr-Latn-ME"/>
        </w:rPr>
        <w:t>nedjelj</w:t>
      </w:r>
      <w:r w:rsidRPr="00D768EF">
        <w:rPr>
          <w:color w:val="000000"/>
          <w:szCs w:val="22"/>
          <w:lang w:val="sr-Latn-ME"/>
        </w:rPr>
        <w:t>e.</w:t>
      </w:r>
    </w:p>
    <w:p w14:paraId="1B3CEE5E" w14:textId="59C89EEF" w:rsidR="00C175E4" w:rsidRPr="00D768EF" w:rsidRDefault="00C175E4" w:rsidP="00C175E4">
      <w:pPr>
        <w:jc w:val="center"/>
        <w:rPr>
          <w:b/>
          <w:color w:val="000000"/>
          <w:szCs w:val="22"/>
          <w:lang w:val="sr-Latn-ME"/>
        </w:rPr>
      </w:pPr>
      <w:r w:rsidRPr="00D768EF">
        <w:rPr>
          <w:b/>
          <w:color w:val="000000"/>
          <w:szCs w:val="22"/>
          <w:lang w:val="sr-Latn-ME"/>
        </w:rPr>
        <w:t>Tabela 5</w:t>
      </w:r>
    </w:p>
    <w:p w14:paraId="5CA06C73" w14:textId="77777777" w:rsidR="001D4BD4" w:rsidRPr="00D768EF" w:rsidRDefault="00C175E4" w:rsidP="00C175E4">
      <w:pPr>
        <w:jc w:val="left"/>
        <w:rPr>
          <w:b/>
          <w:color w:val="000000"/>
          <w:szCs w:val="22"/>
          <w:lang w:val="sr-Latn-ME"/>
        </w:rPr>
      </w:pPr>
      <w:r w:rsidRPr="00D768EF">
        <w:rPr>
          <w:b/>
          <w:color w:val="000000"/>
          <w:szCs w:val="22"/>
          <w:lang w:val="sr-Latn-ME"/>
        </w:rPr>
        <w:t xml:space="preserve">Dejstva na stope odgovora i remisije, podaci iz ACCENT I studije </w:t>
      </w:r>
    </w:p>
    <w:p w14:paraId="0B915AE7" w14:textId="51C062F0" w:rsidR="00C175E4" w:rsidRPr="00D768EF" w:rsidRDefault="00C175E4" w:rsidP="00C175E4">
      <w:pPr>
        <w:jc w:val="left"/>
        <w:rPr>
          <w:b/>
          <w:color w:val="000000"/>
          <w:szCs w:val="22"/>
          <w:lang w:val="sr-Latn-ME"/>
        </w:rPr>
      </w:pPr>
      <w:r w:rsidRPr="00D768EF">
        <w:rPr>
          <w:b/>
          <w:color w:val="000000"/>
          <w:szCs w:val="22"/>
          <w:lang w:val="sr-Latn-ME"/>
        </w:rPr>
        <w:t xml:space="preserve">(pacijenti koji su ostvarili reakciju u 2. </w:t>
      </w:r>
      <w:r w:rsidR="00D57936" w:rsidRPr="00D768EF">
        <w:rPr>
          <w:b/>
          <w:color w:val="000000"/>
          <w:szCs w:val="22"/>
          <w:lang w:val="sr-Latn-ME"/>
        </w:rPr>
        <w:t>nedjelj</w:t>
      </w:r>
      <w:r w:rsidRPr="00D768EF">
        <w:rPr>
          <w:b/>
          <w:color w:val="000000"/>
          <w:szCs w:val="22"/>
          <w:lang w:val="sr-Latn-ME"/>
        </w:rPr>
        <w:t>i)</w:t>
      </w:r>
    </w:p>
    <w:tbl>
      <w:tblPr>
        <w:tblW w:w="917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686"/>
        <w:gridCol w:w="1831"/>
        <w:gridCol w:w="1831"/>
        <w:gridCol w:w="1831"/>
      </w:tblGrid>
      <w:tr w:rsidR="00C175E4" w:rsidRPr="00EE2CAE" w14:paraId="3334DAA3" w14:textId="77777777" w:rsidTr="00622285">
        <w:trPr>
          <w:cantSplit/>
        </w:trPr>
        <w:tc>
          <w:tcPr>
            <w:tcW w:w="3686" w:type="dxa"/>
            <w:vMerge w:val="restart"/>
            <w:vAlign w:val="center"/>
          </w:tcPr>
          <w:p w14:paraId="6258FFB8" w14:textId="77777777" w:rsidR="00C175E4" w:rsidRPr="00D768EF" w:rsidRDefault="00C175E4" w:rsidP="00622285">
            <w:pPr>
              <w:spacing w:after="40"/>
              <w:jc w:val="left"/>
              <w:rPr>
                <w:color w:val="000000"/>
                <w:szCs w:val="22"/>
                <w:lang w:val="sr-Latn-ME"/>
              </w:rPr>
            </w:pPr>
          </w:p>
        </w:tc>
        <w:tc>
          <w:tcPr>
            <w:tcW w:w="5493" w:type="dxa"/>
            <w:gridSpan w:val="3"/>
            <w:vAlign w:val="center"/>
          </w:tcPr>
          <w:p w14:paraId="0B5731B4" w14:textId="073C2299" w:rsidR="00C175E4" w:rsidRPr="00D768EF" w:rsidRDefault="00C175E4" w:rsidP="00622285">
            <w:pPr>
              <w:spacing w:after="40"/>
              <w:jc w:val="center"/>
              <w:rPr>
                <w:color w:val="000000"/>
                <w:szCs w:val="22"/>
                <w:lang w:val="sr-Latn-ME"/>
              </w:rPr>
            </w:pPr>
            <w:r w:rsidRPr="00D768EF">
              <w:rPr>
                <w:color w:val="000000"/>
                <w:szCs w:val="22"/>
                <w:lang w:val="sr-Latn-ME"/>
              </w:rPr>
              <w:t xml:space="preserve">ACCENT I (pacijenti koji su ostvarili reakciju u 2. </w:t>
            </w:r>
            <w:r w:rsidR="00D57936" w:rsidRPr="00D768EF">
              <w:rPr>
                <w:color w:val="000000"/>
                <w:szCs w:val="22"/>
                <w:lang w:val="sr-Latn-ME"/>
              </w:rPr>
              <w:t>nedjelj</w:t>
            </w:r>
            <w:r w:rsidRPr="00D768EF">
              <w:rPr>
                <w:color w:val="000000"/>
                <w:szCs w:val="22"/>
                <w:lang w:val="sr-Latn-ME"/>
              </w:rPr>
              <w:t>i)</w:t>
            </w:r>
          </w:p>
          <w:p w14:paraId="2B1A8389" w14:textId="77777777" w:rsidR="00C175E4" w:rsidRPr="00D768EF" w:rsidRDefault="00C175E4" w:rsidP="00622285">
            <w:pPr>
              <w:spacing w:after="40"/>
              <w:jc w:val="center"/>
              <w:rPr>
                <w:color w:val="000000"/>
                <w:szCs w:val="22"/>
                <w:lang w:val="sr-Latn-ME"/>
              </w:rPr>
            </w:pPr>
            <w:r w:rsidRPr="00D768EF">
              <w:rPr>
                <w:color w:val="000000"/>
                <w:szCs w:val="22"/>
                <w:lang w:val="sr-Latn-ME"/>
              </w:rPr>
              <w:t>% pacijenata</w:t>
            </w:r>
          </w:p>
        </w:tc>
      </w:tr>
      <w:tr w:rsidR="00C175E4" w:rsidRPr="00D768EF" w14:paraId="25B76481" w14:textId="77777777" w:rsidTr="00622285">
        <w:tc>
          <w:tcPr>
            <w:tcW w:w="3686" w:type="dxa"/>
            <w:vMerge/>
            <w:vAlign w:val="center"/>
          </w:tcPr>
          <w:p w14:paraId="0DB47E14" w14:textId="77777777" w:rsidR="00C175E4" w:rsidRPr="00D768EF" w:rsidRDefault="00C175E4" w:rsidP="00622285">
            <w:pPr>
              <w:spacing w:after="40"/>
              <w:jc w:val="left"/>
              <w:rPr>
                <w:color w:val="000000"/>
                <w:szCs w:val="22"/>
                <w:lang w:val="sr-Latn-ME"/>
              </w:rPr>
            </w:pPr>
          </w:p>
        </w:tc>
        <w:tc>
          <w:tcPr>
            <w:tcW w:w="1831" w:type="dxa"/>
            <w:vAlign w:val="center"/>
          </w:tcPr>
          <w:p w14:paraId="60557717" w14:textId="77777777" w:rsidR="00C175E4" w:rsidRPr="00D768EF" w:rsidRDefault="00C175E4" w:rsidP="00622285">
            <w:pPr>
              <w:spacing w:after="40"/>
              <w:jc w:val="left"/>
              <w:rPr>
                <w:color w:val="000000"/>
                <w:szCs w:val="22"/>
                <w:lang w:val="sr-Latn-ME"/>
              </w:rPr>
            </w:pPr>
            <w:r w:rsidRPr="00D768EF">
              <w:rPr>
                <w:color w:val="000000"/>
                <w:szCs w:val="22"/>
                <w:lang w:val="sr-Latn-ME"/>
              </w:rPr>
              <w:t>Terapija održavanja placebom</w:t>
            </w:r>
          </w:p>
          <w:p w14:paraId="49C6A58A" w14:textId="77777777" w:rsidR="00C175E4" w:rsidRPr="00D768EF" w:rsidRDefault="00C175E4" w:rsidP="00622285">
            <w:pPr>
              <w:spacing w:after="40"/>
              <w:jc w:val="left"/>
              <w:rPr>
                <w:color w:val="000000"/>
                <w:szCs w:val="22"/>
                <w:lang w:val="sr-Latn-ME"/>
              </w:rPr>
            </w:pPr>
            <w:r w:rsidRPr="00D768EF">
              <w:rPr>
                <w:color w:val="000000"/>
                <w:szCs w:val="22"/>
                <w:lang w:val="sr-Latn-ME"/>
              </w:rPr>
              <w:t>(n=110)</w:t>
            </w:r>
          </w:p>
        </w:tc>
        <w:tc>
          <w:tcPr>
            <w:tcW w:w="1831" w:type="dxa"/>
            <w:vAlign w:val="center"/>
          </w:tcPr>
          <w:p w14:paraId="64C98675" w14:textId="77777777" w:rsidR="00C175E4" w:rsidRPr="00D768EF" w:rsidRDefault="00C175E4" w:rsidP="00622285">
            <w:pPr>
              <w:spacing w:after="40"/>
              <w:jc w:val="left"/>
              <w:rPr>
                <w:color w:val="000000"/>
                <w:szCs w:val="22"/>
                <w:lang w:val="sr-Latn-ME"/>
              </w:rPr>
            </w:pPr>
            <w:r w:rsidRPr="00D768EF">
              <w:rPr>
                <w:color w:val="000000"/>
                <w:szCs w:val="22"/>
                <w:lang w:val="sr-Latn-ME"/>
              </w:rPr>
              <w:t>Terapija održavanja infliksimabom</w:t>
            </w:r>
          </w:p>
          <w:p w14:paraId="223822DA" w14:textId="77777777" w:rsidR="00C175E4" w:rsidRPr="00D768EF" w:rsidRDefault="00C175E4" w:rsidP="00622285">
            <w:pPr>
              <w:spacing w:after="40"/>
              <w:jc w:val="left"/>
              <w:rPr>
                <w:color w:val="000000"/>
                <w:szCs w:val="22"/>
                <w:lang w:val="sr-Latn-ME"/>
              </w:rPr>
            </w:pPr>
            <w:r w:rsidRPr="00D768EF">
              <w:rPr>
                <w:color w:val="000000"/>
                <w:szCs w:val="22"/>
                <w:lang w:val="sr-Latn-ME"/>
              </w:rPr>
              <w:t>5 mg/kg</w:t>
            </w:r>
          </w:p>
          <w:p w14:paraId="5E9DD1B2" w14:textId="77777777" w:rsidR="00C175E4" w:rsidRPr="00D768EF" w:rsidRDefault="00C175E4" w:rsidP="00622285">
            <w:pPr>
              <w:spacing w:after="40"/>
              <w:jc w:val="left"/>
              <w:rPr>
                <w:color w:val="000000"/>
                <w:szCs w:val="22"/>
                <w:lang w:val="sr-Latn-ME"/>
              </w:rPr>
            </w:pPr>
            <w:r w:rsidRPr="00D768EF">
              <w:rPr>
                <w:color w:val="000000"/>
                <w:szCs w:val="22"/>
                <w:lang w:val="sr-Latn-ME"/>
              </w:rPr>
              <w:t>(n=113)</w:t>
            </w:r>
          </w:p>
          <w:p w14:paraId="678284F6" w14:textId="77777777" w:rsidR="00C175E4" w:rsidRPr="00D768EF" w:rsidRDefault="00C175E4" w:rsidP="00622285">
            <w:pPr>
              <w:spacing w:after="40"/>
              <w:jc w:val="left"/>
              <w:rPr>
                <w:color w:val="000000"/>
                <w:szCs w:val="22"/>
                <w:lang w:val="sr-Latn-ME"/>
              </w:rPr>
            </w:pPr>
            <w:r w:rsidRPr="00D768EF">
              <w:rPr>
                <w:color w:val="000000"/>
                <w:szCs w:val="22"/>
                <w:lang w:val="sr-Latn-ME"/>
              </w:rPr>
              <w:t xml:space="preserve">(p </w:t>
            </w:r>
            <w:r w:rsidR="008A0A5C" w:rsidRPr="00D768EF">
              <w:rPr>
                <w:color w:val="000000"/>
                <w:szCs w:val="22"/>
                <w:lang w:val="sr-Latn-ME"/>
              </w:rPr>
              <w:t>vrijedno</w:t>
            </w:r>
            <w:r w:rsidRPr="00D768EF">
              <w:rPr>
                <w:color w:val="000000"/>
                <w:szCs w:val="22"/>
                <w:lang w:val="sr-Latn-ME"/>
              </w:rPr>
              <w:t>st)</w:t>
            </w:r>
          </w:p>
        </w:tc>
        <w:tc>
          <w:tcPr>
            <w:tcW w:w="1831" w:type="dxa"/>
            <w:vAlign w:val="center"/>
          </w:tcPr>
          <w:p w14:paraId="1533AF68" w14:textId="77777777" w:rsidR="00C175E4" w:rsidRPr="00D768EF" w:rsidRDefault="00C175E4" w:rsidP="00622285">
            <w:pPr>
              <w:spacing w:after="40"/>
              <w:jc w:val="left"/>
              <w:rPr>
                <w:color w:val="000000"/>
                <w:szCs w:val="22"/>
                <w:lang w:val="sr-Latn-ME"/>
              </w:rPr>
            </w:pPr>
            <w:r w:rsidRPr="00D768EF">
              <w:rPr>
                <w:color w:val="000000"/>
                <w:szCs w:val="22"/>
                <w:lang w:val="sr-Latn-ME"/>
              </w:rPr>
              <w:t>Terapija održavanja infliksimabom</w:t>
            </w:r>
          </w:p>
          <w:p w14:paraId="7ADCDAAE" w14:textId="77777777" w:rsidR="00C175E4" w:rsidRPr="00D768EF" w:rsidRDefault="00C175E4" w:rsidP="00622285">
            <w:pPr>
              <w:spacing w:after="40"/>
              <w:jc w:val="left"/>
              <w:rPr>
                <w:color w:val="000000"/>
                <w:szCs w:val="22"/>
                <w:lang w:val="sr-Latn-ME"/>
              </w:rPr>
            </w:pPr>
            <w:r w:rsidRPr="00D768EF">
              <w:rPr>
                <w:color w:val="000000"/>
                <w:szCs w:val="22"/>
                <w:lang w:val="sr-Latn-ME"/>
              </w:rPr>
              <w:t>10 mg/kg</w:t>
            </w:r>
          </w:p>
          <w:p w14:paraId="05BE445E" w14:textId="77777777" w:rsidR="00C175E4" w:rsidRPr="00D768EF" w:rsidRDefault="00C175E4" w:rsidP="00622285">
            <w:pPr>
              <w:spacing w:after="40"/>
              <w:jc w:val="left"/>
              <w:rPr>
                <w:color w:val="000000"/>
                <w:szCs w:val="22"/>
                <w:lang w:val="sr-Latn-ME"/>
              </w:rPr>
            </w:pPr>
            <w:r w:rsidRPr="00D768EF">
              <w:rPr>
                <w:color w:val="000000"/>
                <w:szCs w:val="22"/>
                <w:lang w:val="sr-Latn-ME"/>
              </w:rPr>
              <w:t>(n=112)</w:t>
            </w:r>
          </w:p>
          <w:p w14:paraId="6F518710" w14:textId="77777777" w:rsidR="00C175E4" w:rsidRPr="00D768EF" w:rsidRDefault="00C175E4" w:rsidP="00622285">
            <w:pPr>
              <w:spacing w:after="40"/>
              <w:jc w:val="left"/>
              <w:rPr>
                <w:color w:val="000000"/>
                <w:szCs w:val="22"/>
                <w:lang w:val="sr-Latn-ME"/>
              </w:rPr>
            </w:pPr>
            <w:r w:rsidRPr="00D768EF">
              <w:rPr>
                <w:color w:val="000000"/>
                <w:szCs w:val="22"/>
                <w:lang w:val="sr-Latn-ME"/>
              </w:rPr>
              <w:t xml:space="preserve">(p </w:t>
            </w:r>
            <w:r w:rsidR="008A0A5C" w:rsidRPr="00D768EF">
              <w:rPr>
                <w:color w:val="000000"/>
                <w:szCs w:val="22"/>
                <w:lang w:val="sr-Latn-ME"/>
              </w:rPr>
              <w:t>vrijedno</w:t>
            </w:r>
            <w:r w:rsidRPr="00D768EF">
              <w:rPr>
                <w:color w:val="000000"/>
                <w:szCs w:val="22"/>
                <w:lang w:val="sr-Latn-ME"/>
              </w:rPr>
              <w:t>st)</w:t>
            </w:r>
          </w:p>
        </w:tc>
      </w:tr>
      <w:tr w:rsidR="00C175E4" w:rsidRPr="00D768EF" w14:paraId="3CA2E094" w14:textId="77777777" w:rsidTr="00622285">
        <w:tc>
          <w:tcPr>
            <w:tcW w:w="3686" w:type="dxa"/>
            <w:vAlign w:val="center"/>
          </w:tcPr>
          <w:p w14:paraId="07976DBA" w14:textId="41D51C75" w:rsidR="00C175E4" w:rsidRPr="00D768EF" w:rsidRDefault="00C175E4" w:rsidP="00622285">
            <w:pPr>
              <w:spacing w:after="40"/>
              <w:jc w:val="left"/>
              <w:rPr>
                <w:color w:val="000000"/>
                <w:szCs w:val="22"/>
                <w:lang w:val="sr-Latn-ME"/>
              </w:rPr>
            </w:pPr>
            <w:r w:rsidRPr="00D768EF">
              <w:rPr>
                <w:color w:val="000000"/>
                <w:szCs w:val="22"/>
                <w:lang w:val="sr-Latn-ME"/>
              </w:rPr>
              <w:t xml:space="preserve">Medijana vremena do gubitka reakcije u periodu do 54. </w:t>
            </w:r>
            <w:r w:rsidR="00D57936" w:rsidRPr="00D768EF">
              <w:rPr>
                <w:color w:val="000000"/>
                <w:szCs w:val="22"/>
                <w:lang w:val="sr-Latn-ME"/>
              </w:rPr>
              <w:t>nedjelj</w:t>
            </w:r>
            <w:r w:rsidRPr="00D768EF">
              <w:rPr>
                <w:color w:val="000000"/>
                <w:szCs w:val="22"/>
                <w:lang w:val="sr-Latn-ME"/>
              </w:rPr>
              <w:t>e</w:t>
            </w:r>
          </w:p>
        </w:tc>
        <w:tc>
          <w:tcPr>
            <w:tcW w:w="1831" w:type="dxa"/>
            <w:vAlign w:val="center"/>
          </w:tcPr>
          <w:p w14:paraId="57592946" w14:textId="77777777" w:rsidR="00C175E4" w:rsidRPr="00D768EF" w:rsidRDefault="00C175E4" w:rsidP="00622285">
            <w:pPr>
              <w:jc w:val="left"/>
              <w:rPr>
                <w:color w:val="000000"/>
                <w:szCs w:val="22"/>
                <w:lang w:val="sr-Latn-ME"/>
              </w:rPr>
            </w:pPr>
            <w:r w:rsidRPr="00D768EF">
              <w:rPr>
                <w:color w:val="000000"/>
                <w:szCs w:val="22"/>
                <w:lang w:val="sr-Latn-ME"/>
              </w:rPr>
              <w:t xml:space="preserve">19 </w:t>
            </w:r>
            <w:r w:rsidR="00D57936" w:rsidRPr="00D768EF">
              <w:rPr>
                <w:color w:val="000000"/>
                <w:szCs w:val="22"/>
                <w:lang w:val="sr-Latn-ME"/>
              </w:rPr>
              <w:t>nedjelj</w:t>
            </w:r>
            <w:r w:rsidRPr="00D768EF">
              <w:rPr>
                <w:color w:val="000000"/>
                <w:szCs w:val="22"/>
                <w:lang w:val="sr-Latn-ME"/>
              </w:rPr>
              <w:t>a</w:t>
            </w:r>
          </w:p>
        </w:tc>
        <w:tc>
          <w:tcPr>
            <w:tcW w:w="1831" w:type="dxa"/>
            <w:vAlign w:val="center"/>
          </w:tcPr>
          <w:p w14:paraId="12913ED2" w14:textId="77777777" w:rsidR="00C175E4" w:rsidRPr="00D768EF" w:rsidRDefault="00C175E4" w:rsidP="00622285">
            <w:pPr>
              <w:jc w:val="left"/>
              <w:rPr>
                <w:color w:val="000000"/>
                <w:szCs w:val="22"/>
                <w:lang w:val="sr-Latn-ME"/>
              </w:rPr>
            </w:pPr>
            <w:r w:rsidRPr="00D768EF">
              <w:rPr>
                <w:color w:val="000000"/>
                <w:szCs w:val="22"/>
                <w:lang w:val="sr-Latn-ME"/>
              </w:rPr>
              <w:t xml:space="preserve">38 </w:t>
            </w:r>
            <w:r w:rsidR="00D57936" w:rsidRPr="00D768EF">
              <w:rPr>
                <w:color w:val="000000"/>
                <w:szCs w:val="22"/>
                <w:lang w:val="sr-Latn-ME"/>
              </w:rPr>
              <w:t>nedjelj</w:t>
            </w:r>
            <w:r w:rsidRPr="00D768EF">
              <w:rPr>
                <w:color w:val="000000"/>
                <w:szCs w:val="22"/>
                <w:lang w:val="sr-Latn-ME"/>
              </w:rPr>
              <w:t>a</w:t>
            </w:r>
          </w:p>
          <w:p w14:paraId="6923B057" w14:textId="27B182F5" w:rsidR="00C175E4" w:rsidRPr="00D768EF" w:rsidRDefault="00C175E4" w:rsidP="00622285">
            <w:pPr>
              <w:jc w:val="left"/>
              <w:rPr>
                <w:color w:val="000000"/>
                <w:szCs w:val="22"/>
                <w:lang w:val="sr-Latn-ME"/>
              </w:rPr>
            </w:pPr>
            <w:r w:rsidRPr="00D768EF">
              <w:rPr>
                <w:color w:val="000000"/>
                <w:szCs w:val="22"/>
                <w:lang w:val="sr-Latn-ME"/>
              </w:rPr>
              <w:t>(0.002)</w:t>
            </w:r>
          </w:p>
        </w:tc>
        <w:tc>
          <w:tcPr>
            <w:tcW w:w="1831" w:type="dxa"/>
            <w:vAlign w:val="center"/>
          </w:tcPr>
          <w:p w14:paraId="1930E056" w14:textId="77777777" w:rsidR="00C175E4" w:rsidRPr="00D768EF" w:rsidRDefault="00C175E4" w:rsidP="00622285">
            <w:pPr>
              <w:jc w:val="left"/>
              <w:rPr>
                <w:color w:val="000000"/>
                <w:szCs w:val="22"/>
                <w:lang w:val="sr-Latn-ME"/>
              </w:rPr>
            </w:pPr>
            <w:r w:rsidRPr="00D768EF">
              <w:rPr>
                <w:color w:val="000000"/>
                <w:szCs w:val="22"/>
                <w:lang w:val="sr-Latn-ME"/>
              </w:rPr>
              <w:t xml:space="preserve">&gt;54 </w:t>
            </w:r>
            <w:r w:rsidR="00D57936" w:rsidRPr="00D768EF">
              <w:rPr>
                <w:color w:val="000000"/>
                <w:szCs w:val="22"/>
                <w:lang w:val="sr-Latn-ME"/>
              </w:rPr>
              <w:t>nedjelj</w:t>
            </w:r>
            <w:r w:rsidRPr="00D768EF">
              <w:rPr>
                <w:color w:val="000000"/>
                <w:szCs w:val="22"/>
                <w:lang w:val="sr-Latn-ME"/>
              </w:rPr>
              <w:t>e</w:t>
            </w:r>
          </w:p>
          <w:p w14:paraId="031AF7D9" w14:textId="5FF9AB4C" w:rsidR="00C175E4" w:rsidRPr="00D768EF" w:rsidRDefault="00C175E4" w:rsidP="00622285">
            <w:pPr>
              <w:jc w:val="left"/>
              <w:rPr>
                <w:color w:val="000000"/>
                <w:szCs w:val="22"/>
                <w:lang w:val="sr-Latn-ME"/>
              </w:rPr>
            </w:pPr>
            <w:r w:rsidRPr="00D768EF">
              <w:rPr>
                <w:color w:val="000000"/>
                <w:szCs w:val="22"/>
                <w:lang w:val="sr-Latn-ME"/>
              </w:rPr>
              <w:t>(&lt;0.001)</w:t>
            </w:r>
          </w:p>
        </w:tc>
      </w:tr>
      <w:tr w:rsidR="00324147" w:rsidRPr="00D768EF" w14:paraId="30690FDF" w14:textId="77777777" w:rsidTr="00743A44">
        <w:tc>
          <w:tcPr>
            <w:tcW w:w="9179" w:type="dxa"/>
            <w:gridSpan w:val="4"/>
            <w:vAlign w:val="center"/>
          </w:tcPr>
          <w:p w14:paraId="11BD90CF" w14:textId="77777777" w:rsidR="00324147" w:rsidRPr="00D768EF" w:rsidRDefault="00324147" w:rsidP="00622285">
            <w:pPr>
              <w:spacing w:after="40"/>
              <w:jc w:val="left"/>
              <w:rPr>
                <w:color w:val="000000"/>
                <w:szCs w:val="22"/>
                <w:lang w:val="sr-Latn-ME"/>
              </w:rPr>
            </w:pPr>
            <w:r w:rsidRPr="00D768EF">
              <w:rPr>
                <w:b/>
                <w:bCs/>
                <w:color w:val="000000"/>
                <w:szCs w:val="22"/>
                <w:lang w:val="sr-Latn-ME"/>
              </w:rPr>
              <w:t>30. nedjelja</w:t>
            </w:r>
          </w:p>
        </w:tc>
      </w:tr>
      <w:tr w:rsidR="00C175E4" w:rsidRPr="00D768EF" w14:paraId="133E0B12" w14:textId="77777777" w:rsidTr="00622285">
        <w:tc>
          <w:tcPr>
            <w:tcW w:w="3686" w:type="dxa"/>
            <w:vAlign w:val="center"/>
          </w:tcPr>
          <w:p w14:paraId="5C7AD9BF" w14:textId="77777777" w:rsidR="00C175E4" w:rsidRPr="00D768EF" w:rsidRDefault="00C175E4" w:rsidP="00622285">
            <w:pPr>
              <w:spacing w:after="40"/>
              <w:jc w:val="left"/>
              <w:rPr>
                <w:color w:val="000000"/>
                <w:szCs w:val="22"/>
                <w:lang w:val="sr-Latn-ME"/>
              </w:rPr>
            </w:pPr>
            <w:r w:rsidRPr="00D768EF">
              <w:rPr>
                <w:color w:val="000000"/>
                <w:szCs w:val="22"/>
                <w:lang w:val="sr-Latn-ME"/>
              </w:rPr>
              <w:t>Klinički odgovor</w:t>
            </w:r>
            <w:r w:rsidRPr="00D768EF">
              <w:rPr>
                <w:color w:val="000000"/>
                <w:szCs w:val="22"/>
                <w:vertAlign w:val="superscript"/>
                <w:lang w:val="sr-Latn-ME"/>
              </w:rPr>
              <w:t>a</w:t>
            </w:r>
            <w:r w:rsidRPr="00D768EF">
              <w:rPr>
                <w:color w:val="000000"/>
                <w:szCs w:val="22"/>
                <w:lang w:val="sr-Latn-ME"/>
              </w:rPr>
              <w:t xml:space="preserve"> </w:t>
            </w:r>
          </w:p>
        </w:tc>
        <w:tc>
          <w:tcPr>
            <w:tcW w:w="1831" w:type="dxa"/>
            <w:vAlign w:val="center"/>
          </w:tcPr>
          <w:p w14:paraId="70006560" w14:textId="49929A1B" w:rsidR="00C175E4" w:rsidRPr="00D768EF" w:rsidRDefault="00C175E4" w:rsidP="00622285">
            <w:pPr>
              <w:spacing w:after="40"/>
              <w:jc w:val="left"/>
              <w:rPr>
                <w:color w:val="000000"/>
                <w:szCs w:val="22"/>
                <w:lang w:val="sr-Latn-ME"/>
              </w:rPr>
            </w:pPr>
            <w:r w:rsidRPr="00D768EF">
              <w:rPr>
                <w:color w:val="000000"/>
                <w:szCs w:val="22"/>
                <w:lang w:val="sr-Latn-ME"/>
              </w:rPr>
              <w:t>27.3</w:t>
            </w:r>
          </w:p>
        </w:tc>
        <w:tc>
          <w:tcPr>
            <w:tcW w:w="1831" w:type="dxa"/>
            <w:vAlign w:val="center"/>
          </w:tcPr>
          <w:p w14:paraId="5A3E10C7" w14:textId="182ECB36" w:rsidR="00C175E4" w:rsidRPr="00D768EF" w:rsidRDefault="00C175E4" w:rsidP="00622285">
            <w:pPr>
              <w:spacing w:after="40"/>
              <w:jc w:val="left"/>
              <w:rPr>
                <w:color w:val="000000"/>
                <w:szCs w:val="22"/>
                <w:lang w:val="sr-Latn-ME"/>
              </w:rPr>
            </w:pPr>
            <w:r w:rsidRPr="00D768EF">
              <w:rPr>
                <w:color w:val="000000"/>
                <w:szCs w:val="22"/>
                <w:lang w:val="sr-Latn-ME"/>
              </w:rPr>
              <w:t>51.3</w:t>
            </w:r>
          </w:p>
          <w:p w14:paraId="1A169AB5" w14:textId="5636A272" w:rsidR="00C175E4" w:rsidRPr="00D768EF" w:rsidRDefault="00C175E4" w:rsidP="00622285">
            <w:pPr>
              <w:spacing w:after="40"/>
              <w:jc w:val="left"/>
              <w:rPr>
                <w:color w:val="000000"/>
                <w:szCs w:val="22"/>
                <w:lang w:val="sr-Latn-ME"/>
              </w:rPr>
            </w:pPr>
            <w:r w:rsidRPr="00D768EF">
              <w:rPr>
                <w:color w:val="000000"/>
                <w:szCs w:val="22"/>
                <w:lang w:val="sr-Latn-ME"/>
              </w:rPr>
              <w:t>(&lt;0.001)</w:t>
            </w:r>
          </w:p>
        </w:tc>
        <w:tc>
          <w:tcPr>
            <w:tcW w:w="1831" w:type="dxa"/>
            <w:vAlign w:val="center"/>
          </w:tcPr>
          <w:p w14:paraId="7039C141" w14:textId="77777777" w:rsidR="00C175E4" w:rsidRPr="00D768EF" w:rsidRDefault="00C175E4" w:rsidP="00622285">
            <w:pPr>
              <w:spacing w:after="40"/>
              <w:jc w:val="left"/>
              <w:rPr>
                <w:color w:val="000000"/>
                <w:szCs w:val="22"/>
                <w:lang w:val="sr-Latn-ME"/>
              </w:rPr>
            </w:pPr>
            <w:r w:rsidRPr="00D768EF">
              <w:rPr>
                <w:color w:val="000000"/>
                <w:szCs w:val="22"/>
                <w:lang w:val="sr-Latn-ME"/>
              </w:rPr>
              <w:t>59.1</w:t>
            </w:r>
          </w:p>
          <w:p w14:paraId="72B7E0F5" w14:textId="0902C25D" w:rsidR="00C175E4" w:rsidRPr="00D768EF" w:rsidRDefault="00C175E4" w:rsidP="00622285">
            <w:pPr>
              <w:spacing w:after="40"/>
              <w:jc w:val="left"/>
              <w:rPr>
                <w:color w:val="000000"/>
                <w:szCs w:val="22"/>
                <w:lang w:val="sr-Latn-ME"/>
              </w:rPr>
            </w:pPr>
            <w:r w:rsidRPr="00D768EF">
              <w:rPr>
                <w:color w:val="000000"/>
                <w:szCs w:val="22"/>
                <w:lang w:val="sr-Latn-ME"/>
              </w:rPr>
              <w:t>(&lt;0.001)</w:t>
            </w:r>
          </w:p>
        </w:tc>
      </w:tr>
      <w:tr w:rsidR="00C175E4" w:rsidRPr="00D768EF" w14:paraId="29DAC25E" w14:textId="77777777" w:rsidTr="00622285">
        <w:tc>
          <w:tcPr>
            <w:tcW w:w="3686" w:type="dxa"/>
            <w:vAlign w:val="center"/>
          </w:tcPr>
          <w:p w14:paraId="4E3B72F3" w14:textId="77777777" w:rsidR="00C175E4" w:rsidRPr="00D768EF" w:rsidRDefault="00C175E4" w:rsidP="00622285">
            <w:pPr>
              <w:spacing w:after="40"/>
              <w:jc w:val="left"/>
              <w:rPr>
                <w:color w:val="000000"/>
                <w:szCs w:val="22"/>
                <w:lang w:val="sr-Latn-ME"/>
              </w:rPr>
            </w:pPr>
            <w:r w:rsidRPr="00D768EF">
              <w:rPr>
                <w:color w:val="000000"/>
                <w:szCs w:val="22"/>
                <w:lang w:val="sr-Latn-ME"/>
              </w:rPr>
              <w:t>Klinička remisija</w:t>
            </w:r>
          </w:p>
        </w:tc>
        <w:tc>
          <w:tcPr>
            <w:tcW w:w="1831" w:type="dxa"/>
            <w:vAlign w:val="center"/>
          </w:tcPr>
          <w:p w14:paraId="59B5C412" w14:textId="49E7202F" w:rsidR="00C175E4" w:rsidRPr="00D768EF" w:rsidRDefault="00C175E4" w:rsidP="00622285">
            <w:pPr>
              <w:spacing w:after="40"/>
              <w:jc w:val="left"/>
              <w:rPr>
                <w:color w:val="000000"/>
                <w:szCs w:val="22"/>
                <w:lang w:val="sr-Latn-ME"/>
              </w:rPr>
            </w:pPr>
            <w:r w:rsidRPr="00D768EF">
              <w:rPr>
                <w:color w:val="000000"/>
                <w:szCs w:val="22"/>
                <w:lang w:val="sr-Latn-ME"/>
              </w:rPr>
              <w:t>20.9</w:t>
            </w:r>
          </w:p>
        </w:tc>
        <w:tc>
          <w:tcPr>
            <w:tcW w:w="1831" w:type="dxa"/>
            <w:vAlign w:val="center"/>
          </w:tcPr>
          <w:p w14:paraId="2D2FC0AE" w14:textId="42CA7FF8" w:rsidR="00C175E4" w:rsidRPr="00D768EF" w:rsidRDefault="00C175E4" w:rsidP="00622285">
            <w:pPr>
              <w:spacing w:after="40"/>
              <w:jc w:val="left"/>
              <w:rPr>
                <w:color w:val="000000"/>
                <w:szCs w:val="22"/>
                <w:lang w:val="sr-Latn-ME"/>
              </w:rPr>
            </w:pPr>
            <w:r w:rsidRPr="00D768EF">
              <w:rPr>
                <w:color w:val="000000"/>
                <w:szCs w:val="22"/>
                <w:lang w:val="sr-Latn-ME"/>
              </w:rPr>
              <w:t>38.9</w:t>
            </w:r>
          </w:p>
          <w:p w14:paraId="1BFF9A65" w14:textId="6D9C1F36" w:rsidR="00C175E4" w:rsidRPr="00D768EF" w:rsidRDefault="00C175E4" w:rsidP="00622285">
            <w:pPr>
              <w:spacing w:after="40"/>
              <w:jc w:val="left"/>
              <w:rPr>
                <w:color w:val="000000"/>
                <w:szCs w:val="22"/>
                <w:lang w:val="sr-Latn-ME"/>
              </w:rPr>
            </w:pPr>
            <w:r w:rsidRPr="00D768EF">
              <w:rPr>
                <w:color w:val="000000"/>
                <w:szCs w:val="22"/>
                <w:lang w:val="sr-Latn-ME"/>
              </w:rPr>
              <w:t>(0.003)</w:t>
            </w:r>
          </w:p>
        </w:tc>
        <w:tc>
          <w:tcPr>
            <w:tcW w:w="1831" w:type="dxa"/>
            <w:vAlign w:val="center"/>
          </w:tcPr>
          <w:p w14:paraId="37D2DD99" w14:textId="19665DD2" w:rsidR="00C175E4" w:rsidRPr="00D768EF" w:rsidRDefault="00C175E4" w:rsidP="00622285">
            <w:pPr>
              <w:spacing w:after="40"/>
              <w:jc w:val="left"/>
              <w:rPr>
                <w:color w:val="000000"/>
                <w:szCs w:val="22"/>
                <w:lang w:val="sr-Latn-ME"/>
              </w:rPr>
            </w:pPr>
            <w:r w:rsidRPr="00D768EF">
              <w:rPr>
                <w:color w:val="000000"/>
                <w:szCs w:val="22"/>
                <w:lang w:val="sr-Latn-ME"/>
              </w:rPr>
              <w:t>45.5</w:t>
            </w:r>
          </w:p>
          <w:p w14:paraId="2F8C064F" w14:textId="0729F6DE" w:rsidR="00C175E4" w:rsidRPr="00D768EF" w:rsidRDefault="00C175E4" w:rsidP="00622285">
            <w:pPr>
              <w:spacing w:after="40"/>
              <w:jc w:val="left"/>
              <w:rPr>
                <w:color w:val="000000"/>
                <w:szCs w:val="22"/>
                <w:lang w:val="sr-Latn-ME"/>
              </w:rPr>
            </w:pPr>
            <w:r w:rsidRPr="00D768EF">
              <w:rPr>
                <w:color w:val="000000"/>
                <w:szCs w:val="22"/>
                <w:lang w:val="sr-Latn-ME"/>
              </w:rPr>
              <w:t>(&lt;0.001)</w:t>
            </w:r>
          </w:p>
        </w:tc>
      </w:tr>
      <w:tr w:rsidR="00C175E4" w:rsidRPr="00D768EF" w14:paraId="738B09A3" w14:textId="77777777" w:rsidTr="00622285">
        <w:tc>
          <w:tcPr>
            <w:tcW w:w="3686" w:type="dxa"/>
            <w:vAlign w:val="center"/>
          </w:tcPr>
          <w:p w14:paraId="485F566E" w14:textId="77777777" w:rsidR="00C175E4" w:rsidRPr="00D768EF" w:rsidRDefault="00C175E4" w:rsidP="00622285">
            <w:pPr>
              <w:spacing w:after="40"/>
              <w:jc w:val="left"/>
              <w:rPr>
                <w:color w:val="000000"/>
                <w:szCs w:val="22"/>
                <w:lang w:val="sr-Latn-ME"/>
              </w:rPr>
            </w:pPr>
            <w:r w:rsidRPr="00D768EF">
              <w:rPr>
                <w:color w:val="000000"/>
                <w:szCs w:val="22"/>
                <w:lang w:val="sr-Latn-ME"/>
              </w:rPr>
              <w:t xml:space="preserve">Remisija bez steroida </w:t>
            </w:r>
          </w:p>
        </w:tc>
        <w:tc>
          <w:tcPr>
            <w:tcW w:w="1831" w:type="dxa"/>
            <w:vAlign w:val="center"/>
          </w:tcPr>
          <w:p w14:paraId="0C83A257" w14:textId="6FF05140" w:rsidR="00C175E4" w:rsidRPr="00D768EF" w:rsidRDefault="00C175E4" w:rsidP="00622285">
            <w:pPr>
              <w:spacing w:after="40"/>
              <w:jc w:val="left"/>
              <w:rPr>
                <w:color w:val="000000"/>
                <w:szCs w:val="22"/>
                <w:lang w:val="sr-Latn-ME"/>
              </w:rPr>
            </w:pPr>
            <w:r w:rsidRPr="00D768EF">
              <w:rPr>
                <w:color w:val="000000"/>
                <w:szCs w:val="22"/>
                <w:lang w:val="sr-Latn-ME"/>
              </w:rPr>
              <w:t>10.7 (6/56)</w:t>
            </w:r>
          </w:p>
        </w:tc>
        <w:tc>
          <w:tcPr>
            <w:tcW w:w="1831" w:type="dxa"/>
            <w:vAlign w:val="center"/>
          </w:tcPr>
          <w:p w14:paraId="30F7980E" w14:textId="716A03B3" w:rsidR="00C175E4" w:rsidRPr="00D768EF" w:rsidRDefault="00C175E4" w:rsidP="00622285">
            <w:pPr>
              <w:spacing w:after="40"/>
              <w:jc w:val="left"/>
              <w:rPr>
                <w:color w:val="000000"/>
                <w:szCs w:val="22"/>
                <w:lang w:val="sr-Latn-ME"/>
              </w:rPr>
            </w:pPr>
            <w:r w:rsidRPr="00D768EF">
              <w:rPr>
                <w:color w:val="000000"/>
                <w:szCs w:val="22"/>
                <w:lang w:val="sr-Latn-ME"/>
              </w:rPr>
              <w:t>31.0 (18/58)</w:t>
            </w:r>
          </w:p>
          <w:p w14:paraId="2591309F" w14:textId="0B1CE92F" w:rsidR="00C175E4" w:rsidRPr="00D768EF" w:rsidRDefault="00C175E4" w:rsidP="00622285">
            <w:pPr>
              <w:spacing w:after="40"/>
              <w:jc w:val="left"/>
              <w:rPr>
                <w:color w:val="000000"/>
                <w:szCs w:val="22"/>
                <w:lang w:val="sr-Latn-ME"/>
              </w:rPr>
            </w:pPr>
            <w:r w:rsidRPr="00D768EF">
              <w:rPr>
                <w:color w:val="000000"/>
                <w:szCs w:val="22"/>
                <w:lang w:val="sr-Latn-ME"/>
              </w:rPr>
              <w:t>(0.008)</w:t>
            </w:r>
          </w:p>
        </w:tc>
        <w:tc>
          <w:tcPr>
            <w:tcW w:w="1831" w:type="dxa"/>
            <w:vAlign w:val="center"/>
          </w:tcPr>
          <w:p w14:paraId="4E030DF1" w14:textId="6F2A6CFD" w:rsidR="00C175E4" w:rsidRPr="00D768EF" w:rsidRDefault="00C175E4" w:rsidP="00622285">
            <w:pPr>
              <w:spacing w:after="40"/>
              <w:jc w:val="left"/>
              <w:rPr>
                <w:color w:val="000000"/>
                <w:szCs w:val="22"/>
                <w:lang w:val="sr-Latn-ME"/>
              </w:rPr>
            </w:pPr>
            <w:r w:rsidRPr="00D768EF">
              <w:rPr>
                <w:color w:val="000000"/>
                <w:szCs w:val="22"/>
                <w:lang w:val="sr-Latn-ME"/>
              </w:rPr>
              <w:t>36.8 (21/57)</w:t>
            </w:r>
          </w:p>
          <w:p w14:paraId="663AA9A5" w14:textId="49A41999" w:rsidR="00C175E4" w:rsidRPr="00D768EF" w:rsidRDefault="00C175E4" w:rsidP="00622285">
            <w:pPr>
              <w:spacing w:after="40"/>
              <w:jc w:val="left"/>
              <w:rPr>
                <w:color w:val="000000"/>
                <w:szCs w:val="22"/>
                <w:lang w:val="sr-Latn-ME"/>
              </w:rPr>
            </w:pPr>
            <w:r w:rsidRPr="00D768EF">
              <w:rPr>
                <w:color w:val="000000"/>
                <w:szCs w:val="22"/>
                <w:lang w:val="sr-Latn-ME"/>
              </w:rPr>
              <w:t>(0.001)</w:t>
            </w:r>
          </w:p>
        </w:tc>
      </w:tr>
      <w:tr w:rsidR="00324147" w:rsidRPr="00D768EF" w14:paraId="4ACDEED8" w14:textId="77777777" w:rsidTr="00743A44">
        <w:tc>
          <w:tcPr>
            <w:tcW w:w="9179" w:type="dxa"/>
            <w:gridSpan w:val="4"/>
            <w:vAlign w:val="center"/>
          </w:tcPr>
          <w:p w14:paraId="60DAF3F5" w14:textId="77777777" w:rsidR="00324147" w:rsidRPr="00D768EF" w:rsidRDefault="00324147" w:rsidP="00622285">
            <w:pPr>
              <w:spacing w:after="40"/>
              <w:jc w:val="left"/>
              <w:rPr>
                <w:color w:val="000000"/>
                <w:szCs w:val="22"/>
                <w:lang w:val="sr-Latn-ME"/>
              </w:rPr>
            </w:pPr>
            <w:r w:rsidRPr="00D768EF">
              <w:rPr>
                <w:b/>
                <w:bCs/>
                <w:color w:val="000000"/>
                <w:szCs w:val="22"/>
                <w:lang w:val="sr-Latn-ME"/>
              </w:rPr>
              <w:t>54. nedjelja</w:t>
            </w:r>
          </w:p>
        </w:tc>
      </w:tr>
      <w:tr w:rsidR="00C175E4" w:rsidRPr="00D768EF" w14:paraId="4127C997" w14:textId="77777777" w:rsidTr="00622285">
        <w:tc>
          <w:tcPr>
            <w:tcW w:w="3686" w:type="dxa"/>
            <w:vAlign w:val="center"/>
          </w:tcPr>
          <w:p w14:paraId="7D2DB4FF" w14:textId="77777777" w:rsidR="00C175E4" w:rsidRPr="00D768EF" w:rsidRDefault="00C175E4" w:rsidP="00622285">
            <w:pPr>
              <w:spacing w:after="40"/>
              <w:jc w:val="left"/>
              <w:rPr>
                <w:color w:val="000000"/>
                <w:szCs w:val="22"/>
                <w:lang w:val="sr-Latn-ME"/>
              </w:rPr>
            </w:pPr>
            <w:r w:rsidRPr="00D768EF">
              <w:rPr>
                <w:color w:val="000000"/>
                <w:szCs w:val="22"/>
                <w:lang w:val="sr-Latn-ME"/>
              </w:rPr>
              <w:t>Klinički odgovor</w:t>
            </w:r>
            <w:r w:rsidRPr="00D768EF">
              <w:rPr>
                <w:color w:val="000000"/>
                <w:szCs w:val="22"/>
                <w:vertAlign w:val="superscript"/>
                <w:lang w:val="sr-Latn-ME"/>
              </w:rPr>
              <w:t>a</w:t>
            </w:r>
          </w:p>
        </w:tc>
        <w:tc>
          <w:tcPr>
            <w:tcW w:w="1831" w:type="dxa"/>
            <w:vAlign w:val="center"/>
          </w:tcPr>
          <w:p w14:paraId="5D8595E4" w14:textId="5950C370" w:rsidR="00C175E4" w:rsidRPr="00D768EF" w:rsidRDefault="00C175E4" w:rsidP="00622285">
            <w:pPr>
              <w:spacing w:after="40"/>
              <w:jc w:val="left"/>
              <w:rPr>
                <w:color w:val="000000"/>
                <w:szCs w:val="22"/>
                <w:lang w:val="sr-Latn-ME"/>
              </w:rPr>
            </w:pPr>
            <w:r w:rsidRPr="00D768EF">
              <w:rPr>
                <w:color w:val="000000"/>
                <w:szCs w:val="22"/>
                <w:lang w:val="sr-Latn-ME"/>
              </w:rPr>
              <w:t>15.5</w:t>
            </w:r>
          </w:p>
        </w:tc>
        <w:tc>
          <w:tcPr>
            <w:tcW w:w="1831" w:type="dxa"/>
            <w:vAlign w:val="center"/>
          </w:tcPr>
          <w:p w14:paraId="68D44463" w14:textId="77777777" w:rsidR="00C175E4" w:rsidRPr="00D768EF" w:rsidRDefault="00C175E4" w:rsidP="00622285">
            <w:pPr>
              <w:spacing w:after="40"/>
              <w:jc w:val="left"/>
              <w:rPr>
                <w:color w:val="000000"/>
                <w:szCs w:val="22"/>
                <w:lang w:val="sr-Latn-ME"/>
              </w:rPr>
            </w:pPr>
            <w:r w:rsidRPr="00D768EF">
              <w:rPr>
                <w:color w:val="000000"/>
                <w:szCs w:val="22"/>
                <w:lang w:val="sr-Latn-ME"/>
              </w:rPr>
              <w:t>38.1</w:t>
            </w:r>
          </w:p>
          <w:p w14:paraId="32506DC5" w14:textId="0A6679E8" w:rsidR="00C175E4" w:rsidRPr="00D768EF" w:rsidRDefault="00C175E4" w:rsidP="00622285">
            <w:pPr>
              <w:spacing w:after="40"/>
              <w:jc w:val="left"/>
              <w:rPr>
                <w:color w:val="000000"/>
                <w:szCs w:val="22"/>
                <w:lang w:val="sr-Latn-ME"/>
              </w:rPr>
            </w:pPr>
            <w:r w:rsidRPr="00D768EF">
              <w:rPr>
                <w:color w:val="000000"/>
                <w:szCs w:val="22"/>
                <w:lang w:val="sr-Latn-ME"/>
              </w:rPr>
              <w:lastRenderedPageBreak/>
              <w:t>(&lt;0.001)</w:t>
            </w:r>
          </w:p>
        </w:tc>
        <w:tc>
          <w:tcPr>
            <w:tcW w:w="1831" w:type="dxa"/>
            <w:vAlign w:val="center"/>
          </w:tcPr>
          <w:p w14:paraId="528FF64E" w14:textId="185F6112" w:rsidR="00C175E4" w:rsidRPr="00D768EF" w:rsidRDefault="00C175E4" w:rsidP="00622285">
            <w:pPr>
              <w:spacing w:after="40"/>
              <w:jc w:val="left"/>
              <w:rPr>
                <w:color w:val="000000"/>
                <w:szCs w:val="22"/>
                <w:lang w:val="sr-Latn-ME"/>
              </w:rPr>
            </w:pPr>
            <w:r w:rsidRPr="00D768EF">
              <w:rPr>
                <w:color w:val="000000"/>
                <w:szCs w:val="22"/>
                <w:lang w:val="sr-Latn-ME"/>
              </w:rPr>
              <w:lastRenderedPageBreak/>
              <w:t>47.7</w:t>
            </w:r>
          </w:p>
          <w:p w14:paraId="77E90312" w14:textId="1E1BB453" w:rsidR="00C175E4" w:rsidRPr="00D768EF" w:rsidRDefault="00C175E4" w:rsidP="00622285">
            <w:pPr>
              <w:spacing w:after="40"/>
              <w:jc w:val="left"/>
              <w:rPr>
                <w:color w:val="000000"/>
                <w:szCs w:val="22"/>
                <w:lang w:val="sr-Latn-ME"/>
              </w:rPr>
            </w:pPr>
            <w:r w:rsidRPr="00D768EF">
              <w:rPr>
                <w:color w:val="000000"/>
                <w:szCs w:val="22"/>
                <w:lang w:val="sr-Latn-ME"/>
              </w:rPr>
              <w:lastRenderedPageBreak/>
              <w:t>(&lt;0.001)</w:t>
            </w:r>
          </w:p>
        </w:tc>
      </w:tr>
      <w:tr w:rsidR="00C175E4" w:rsidRPr="00D768EF" w14:paraId="2B6AC24D" w14:textId="77777777" w:rsidTr="00622285">
        <w:tc>
          <w:tcPr>
            <w:tcW w:w="3686" w:type="dxa"/>
            <w:vAlign w:val="center"/>
          </w:tcPr>
          <w:p w14:paraId="2E6D9008" w14:textId="77777777" w:rsidR="00C175E4" w:rsidRPr="00D768EF" w:rsidRDefault="00C175E4" w:rsidP="00622285">
            <w:pPr>
              <w:spacing w:after="40"/>
              <w:jc w:val="left"/>
              <w:rPr>
                <w:color w:val="000000"/>
                <w:szCs w:val="22"/>
                <w:lang w:val="sr-Latn-ME"/>
              </w:rPr>
            </w:pPr>
            <w:r w:rsidRPr="00D768EF">
              <w:rPr>
                <w:color w:val="000000"/>
                <w:szCs w:val="22"/>
                <w:lang w:val="sr-Latn-ME"/>
              </w:rPr>
              <w:lastRenderedPageBreak/>
              <w:t>Klinička remisija</w:t>
            </w:r>
          </w:p>
        </w:tc>
        <w:tc>
          <w:tcPr>
            <w:tcW w:w="1831" w:type="dxa"/>
            <w:vAlign w:val="center"/>
          </w:tcPr>
          <w:p w14:paraId="3C3B4525" w14:textId="27E1A441" w:rsidR="00C175E4" w:rsidRPr="00D768EF" w:rsidRDefault="00C175E4" w:rsidP="00622285">
            <w:pPr>
              <w:spacing w:after="40"/>
              <w:jc w:val="left"/>
              <w:rPr>
                <w:color w:val="000000"/>
                <w:szCs w:val="22"/>
                <w:lang w:val="sr-Latn-ME"/>
              </w:rPr>
            </w:pPr>
            <w:r w:rsidRPr="00D768EF">
              <w:rPr>
                <w:color w:val="000000"/>
                <w:szCs w:val="22"/>
                <w:lang w:val="sr-Latn-ME"/>
              </w:rPr>
              <w:t>13.6</w:t>
            </w:r>
          </w:p>
        </w:tc>
        <w:tc>
          <w:tcPr>
            <w:tcW w:w="1831" w:type="dxa"/>
            <w:vAlign w:val="center"/>
          </w:tcPr>
          <w:p w14:paraId="48D865CC" w14:textId="16670BC3" w:rsidR="00C175E4" w:rsidRPr="00D768EF" w:rsidRDefault="00C175E4" w:rsidP="00622285">
            <w:pPr>
              <w:spacing w:after="40"/>
              <w:jc w:val="left"/>
              <w:rPr>
                <w:color w:val="000000"/>
                <w:szCs w:val="22"/>
                <w:lang w:val="sr-Latn-ME"/>
              </w:rPr>
            </w:pPr>
            <w:r w:rsidRPr="00D768EF">
              <w:rPr>
                <w:color w:val="000000"/>
                <w:szCs w:val="22"/>
                <w:lang w:val="sr-Latn-ME"/>
              </w:rPr>
              <w:t>28.3</w:t>
            </w:r>
          </w:p>
          <w:p w14:paraId="30C61648" w14:textId="0A3AE985" w:rsidR="00C175E4" w:rsidRPr="00D768EF" w:rsidRDefault="00C175E4" w:rsidP="00622285">
            <w:pPr>
              <w:spacing w:after="40"/>
              <w:jc w:val="left"/>
              <w:rPr>
                <w:color w:val="000000"/>
                <w:szCs w:val="22"/>
                <w:lang w:val="sr-Latn-ME"/>
              </w:rPr>
            </w:pPr>
            <w:r w:rsidRPr="00D768EF">
              <w:rPr>
                <w:color w:val="000000"/>
                <w:szCs w:val="22"/>
                <w:lang w:val="sr-Latn-ME"/>
              </w:rPr>
              <w:t>(0.007)</w:t>
            </w:r>
          </w:p>
        </w:tc>
        <w:tc>
          <w:tcPr>
            <w:tcW w:w="1831" w:type="dxa"/>
            <w:vAlign w:val="center"/>
          </w:tcPr>
          <w:p w14:paraId="3A519376" w14:textId="111D5734" w:rsidR="00C175E4" w:rsidRPr="00D768EF" w:rsidRDefault="00C175E4" w:rsidP="00622285">
            <w:pPr>
              <w:spacing w:after="40"/>
              <w:jc w:val="left"/>
              <w:rPr>
                <w:color w:val="000000"/>
                <w:szCs w:val="22"/>
                <w:lang w:val="sr-Latn-ME"/>
              </w:rPr>
            </w:pPr>
            <w:r w:rsidRPr="00D768EF">
              <w:rPr>
                <w:color w:val="000000"/>
                <w:szCs w:val="22"/>
                <w:lang w:val="sr-Latn-ME"/>
              </w:rPr>
              <w:t>38.4</w:t>
            </w:r>
          </w:p>
          <w:p w14:paraId="6692DE65" w14:textId="2DA72F19" w:rsidR="00C175E4" w:rsidRPr="00D768EF" w:rsidRDefault="00C175E4" w:rsidP="00622285">
            <w:pPr>
              <w:spacing w:after="40"/>
              <w:jc w:val="left"/>
              <w:rPr>
                <w:color w:val="000000"/>
                <w:szCs w:val="22"/>
                <w:lang w:val="sr-Latn-ME"/>
              </w:rPr>
            </w:pPr>
            <w:r w:rsidRPr="00D768EF">
              <w:rPr>
                <w:color w:val="000000"/>
                <w:szCs w:val="22"/>
                <w:lang w:val="sr-Latn-ME"/>
              </w:rPr>
              <w:t>(&lt;0.001)</w:t>
            </w:r>
          </w:p>
        </w:tc>
      </w:tr>
      <w:tr w:rsidR="00C175E4" w:rsidRPr="00D768EF" w14:paraId="2FCDE1F6" w14:textId="77777777" w:rsidTr="00622285">
        <w:tc>
          <w:tcPr>
            <w:tcW w:w="3686" w:type="dxa"/>
            <w:vAlign w:val="center"/>
          </w:tcPr>
          <w:p w14:paraId="39ACD63F" w14:textId="35DD525D" w:rsidR="00C175E4" w:rsidRPr="00D768EF" w:rsidRDefault="001D4BD4" w:rsidP="00622285">
            <w:pPr>
              <w:spacing w:after="40"/>
              <w:jc w:val="left"/>
              <w:rPr>
                <w:color w:val="000000"/>
                <w:szCs w:val="22"/>
                <w:lang w:val="sr-Latn-ME"/>
              </w:rPr>
            </w:pPr>
            <w:r w:rsidRPr="00D768EF">
              <w:rPr>
                <w:color w:val="000000"/>
                <w:szCs w:val="22"/>
                <w:lang w:val="sr-Latn-ME"/>
              </w:rPr>
              <w:t xml:space="preserve">Održana </w:t>
            </w:r>
            <w:r w:rsidR="00C175E4" w:rsidRPr="00D768EF">
              <w:rPr>
                <w:color w:val="000000"/>
                <w:szCs w:val="22"/>
                <w:lang w:val="sr-Latn-ME"/>
              </w:rPr>
              <w:t>remisija bez steroida</w:t>
            </w:r>
            <w:r w:rsidR="00C175E4" w:rsidRPr="00D768EF">
              <w:rPr>
                <w:color w:val="000000"/>
                <w:szCs w:val="22"/>
                <w:vertAlign w:val="superscript"/>
                <w:lang w:val="sr-Latn-ME"/>
              </w:rPr>
              <w:t>b</w:t>
            </w:r>
          </w:p>
        </w:tc>
        <w:tc>
          <w:tcPr>
            <w:tcW w:w="1831" w:type="dxa"/>
            <w:vAlign w:val="center"/>
          </w:tcPr>
          <w:p w14:paraId="36A3F34C" w14:textId="01C69752" w:rsidR="00C175E4" w:rsidRPr="00D768EF" w:rsidRDefault="00C175E4" w:rsidP="00622285">
            <w:pPr>
              <w:spacing w:after="40"/>
              <w:jc w:val="left"/>
              <w:rPr>
                <w:color w:val="000000"/>
                <w:szCs w:val="22"/>
                <w:lang w:val="sr-Latn-ME"/>
              </w:rPr>
            </w:pPr>
            <w:r w:rsidRPr="00D768EF">
              <w:rPr>
                <w:color w:val="000000"/>
                <w:szCs w:val="22"/>
                <w:lang w:val="sr-Latn-ME"/>
              </w:rPr>
              <w:t>5.7 (3/53)</w:t>
            </w:r>
          </w:p>
        </w:tc>
        <w:tc>
          <w:tcPr>
            <w:tcW w:w="1831" w:type="dxa"/>
            <w:vAlign w:val="center"/>
          </w:tcPr>
          <w:p w14:paraId="4AB97E3B" w14:textId="3AA7D1F9" w:rsidR="00C175E4" w:rsidRPr="00D768EF" w:rsidRDefault="00C175E4" w:rsidP="00622285">
            <w:pPr>
              <w:spacing w:after="40"/>
              <w:jc w:val="left"/>
              <w:rPr>
                <w:color w:val="000000"/>
                <w:szCs w:val="22"/>
                <w:lang w:val="sr-Latn-ME"/>
              </w:rPr>
            </w:pPr>
            <w:r w:rsidRPr="00D768EF">
              <w:rPr>
                <w:color w:val="000000"/>
                <w:szCs w:val="22"/>
                <w:lang w:val="sr-Latn-ME"/>
              </w:rPr>
              <w:t>17.9 (10/56)</w:t>
            </w:r>
          </w:p>
          <w:p w14:paraId="492C6C2F" w14:textId="532F053D" w:rsidR="00C175E4" w:rsidRPr="00D768EF" w:rsidRDefault="00C175E4" w:rsidP="00622285">
            <w:pPr>
              <w:spacing w:after="40"/>
              <w:jc w:val="left"/>
              <w:rPr>
                <w:color w:val="000000"/>
                <w:szCs w:val="22"/>
                <w:lang w:val="sr-Latn-ME"/>
              </w:rPr>
            </w:pPr>
            <w:r w:rsidRPr="00D768EF">
              <w:rPr>
                <w:color w:val="000000"/>
                <w:szCs w:val="22"/>
                <w:lang w:val="sr-Latn-ME"/>
              </w:rPr>
              <w:t>(0.075)</w:t>
            </w:r>
          </w:p>
        </w:tc>
        <w:tc>
          <w:tcPr>
            <w:tcW w:w="1831" w:type="dxa"/>
            <w:vAlign w:val="center"/>
          </w:tcPr>
          <w:p w14:paraId="483F1D3E" w14:textId="4DE8E674" w:rsidR="00C175E4" w:rsidRPr="00D768EF" w:rsidRDefault="00C175E4" w:rsidP="00622285">
            <w:pPr>
              <w:spacing w:after="40"/>
              <w:jc w:val="left"/>
              <w:rPr>
                <w:color w:val="000000"/>
                <w:szCs w:val="22"/>
                <w:lang w:val="sr-Latn-ME"/>
              </w:rPr>
            </w:pPr>
            <w:r w:rsidRPr="00D768EF">
              <w:rPr>
                <w:color w:val="000000"/>
                <w:szCs w:val="22"/>
                <w:lang w:val="sr-Latn-ME"/>
              </w:rPr>
              <w:t>28.6 (16/56)</w:t>
            </w:r>
          </w:p>
          <w:p w14:paraId="3851A904" w14:textId="7ADDBC31" w:rsidR="00C175E4" w:rsidRPr="00D768EF" w:rsidRDefault="00C175E4" w:rsidP="00622285">
            <w:pPr>
              <w:spacing w:after="40"/>
              <w:jc w:val="left"/>
              <w:rPr>
                <w:color w:val="000000"/>
                <w:szCs w:val="22"/>
                <w:lang w:val="sr-Latn-ME"/>
              </w:rPr>
            </w:pPr>
            <w:r w:rsidRPr="00D768EF">
              <w:rPr>
                <w:color w:val="000000"/>
                <w:szCs w:val="22"/>
                <w:lang w:val="sr-Latn-ME"/>
              </w:rPr>
              <w:t>(0.002)</w:t>
            </w:r>
          </w:p>
        </w:tc>
      </w:tr>
      <w:tr w:rsidR="00C175E4" w:rsidRPr="00EE2CAE" w14:paraId="0972773A" w14:textId="77777777" w:rsidTr="00622285">
        <w:trPr>
          <w:cantSplit/>
        </w:trPr>
        <w:tc>
          <w:tcPr>
            <w:tcW w:w="9179" w:type="dxa"/>
            <w:gridSpan w:val="4"/>
          </w:tcPr>
          <w:p w14:paraId="0862563D" w14:textId="77777777" w:rsidR="00C175E4" w:rsidRPr="00D768EF" w:rsidRDefault="00C175E4" w:rsidP="00622285">
            <w:pPr>
              <w:spacing w:before="120"/>
              <w:rPr>
                <w:color w:val="000000"/>
                <w:szCs w:val="22"/>
                <w:lang w:val="sr-Latn-ME"/>
              </w:rPr>
            </w:pPr>
            <w:r w:rsidRPr="00D768EF">
              <w:rPr>
                <w:color w:val="000000"/>
                <w:szCs w:val="22"/>
                <w:vertAlign w:val="superscript"/>
                <w:lang w:val="sr-Latn-ME"/>
              </w:rPr>
              <w:t>a</w:t>
            </w:r>
            <w:r w:rsidRPr="00D768EF">
              <w:rPr>
                <w:color w:val="000000"/>
                <w:szCs w:val="22"/>
                <w:lang w:val="sr-Latn-ME"/>
              </w:rPr>
              <w:t xml:space="preserve"> Smanjenje CDAI </w:t>
            </w:r>
            <w:r w:rsidRPr="00D768EF">
              <w:rPr>
                <w:color w:val="000000"/>
                <w:szCs w:val="22"/>
                <w:lang w:val="sr-Latn-ME"/>
              </w:rPr>
              <w:sym w:font="Symbol" w:char="F0B3"/>
            </w:r>
            <w:r w:rsidRPr="00D768EF">
              <w:rPr>
                <w:color w:val="000000"/>
                <w:szCs w:val="22"/>
                <w:lang w:val="sr-Latn-ME"/>
              </w:rPr>
              <w:t xml:space="preserve"> 25% i </w:t>
            </w:r>
            <w:r w:rsidRPr="00D768EF">
              <w:rPr>
                <w:color w:val="000000"/>
                <w:szCs w:val="22"/>
                <w:lang w:val="sr-Latn-ME"/>
              </w:rPr>
              <w:sym w:font="Symbol" w:char="F0B3"/>
            </w:r>
            <w:r w:rsidRPr="00D768EF">
              <w:rPr>
                <w:color w:val="000000"/>
                <w:szCs w:val="22"/>
                <w:lang w:val="sr-Latn-ME"/>
              </w:rPr>
              <w:t xml:space="preserve"> 70 bodova.</w:t>
            </w:r>
          </w:p>
          <w:p w14:paraId="3F931AA8" w14:textId="615B5FEF" w:rsidR="00C175E4" w:rsidRPr="00D768EF" w:rsidRDefault="00C175E4" w:rsidP="00622285">
            <w:pPr>
              <w:rPr>
                <w:color w:val="000000"/>
                <w:szCs w:val="22"/>
                <w:lang w:val="sr-Latn-ME"/>
              </w:rPr>
            </w:pPr>
            <w:r w:rsidRPr="00D768EF">
              <w:rPr>
                <w:color w:val="000000"/>
                <w:szCs w:val="22"/>
                <w:vertAlign w:val="superscript"/>
                <w:lang w:val="sr-Latn-ME"/>
              </w:rPr>
              <w:t>b</w:t>
            </w:r>
            <w:r w:rsidRPr="00D768EF">
              <w:rPr>
                <w:color w:val="000000"/>
                <w:szCs w:val="22"/>
                <w:lang w:val="sr-Latn-ME"/>
              </w:rPr>
              <w:t xml:space="preserve"> CDAI &lt; 150 i u 30. i u 54. </w:t>
            </w:r>
            <w:r w:rsidR="00D57936" w:rsidRPr="00D768EF">
              <w:rPr>
                <w:color w:val="000000"/>
                <w:szCs w:val="22"/>
                <w:lang w:val="sr-Latn-ME"/>
              </w:rPr>
              <w:t>nedjelj</w:t>
            </w:r>
            <w:r w:rsidRPr="00D768EF">
              <w:rPr>
                <w:color w:val="000000"/>
                <w:szCs w:val="22"/>
                <w:lang w:val="sr-Latn-ME"/>
              </w:rPr>
              <w:t>i, bez uzimanja kortikosterioda 3 meseca pr</w:t>
            </w:r>
            <w:r w:rsidR="00EB3683" w:rsidRPr="00D768EF">
              <w:rPr>
                <w:color w:val="000000"/>
                <w:szCs w:val="22"/>
                <w:lang w:val="sr-Latn-ME"/>
              </w:rPr>
              <w:t>ij</w:t>
            </w:r>
            <w:r w:rsidRPr="00D768EF">
              <w:rPr>
                <w:color w:val="000000"/>
                <w:szCs w:val="22"/>
                <w:lang w:val="sr-Latn-ME"/>
              </w:rPr>
              <w:t xml:space="preserve">e 54. </w:t>
            </w:r>
            <w:r w:rsidR="00D57936" w:rsidRPr="00D768EF">
              <w:rPr>
                <w:color w:val="000000"/>
                <w:szCs w:val="22"/>
                <w:lang w:val="sr-Latn-ME"/>
              </w:rPr>
              <w:t>nedjelj</w:t>
            </w:r>
            <w:r w:rsidRPr="00D768EF">
              <w:rPr>
                <w:color w:val="000000"/>
                <w:szCs w:val="22"/>
                <w:lang w:val="sr-Latn-ME"/>
              </w:rPr>
              <w:t>e kod pacijenata koji su primali kortikosteriode na početku studije.</w:t>
            </w:r>
          </w:p>
        </w:tc>
      </w:tr>
    </w:tbl>
    <w:p w14:paraId="07549788" w14:textId="77777777" w:rsidR="00C175E4" w:rsidRPr="00D768EF" w:rsidRDefault="00C175E4" w:rsidP="00C175E4">
      <w:pPr>
        <w:jc w:val="left"/>
        <w:rPr>
          <w:color w:val="000000"/>
          <w:szCs w:val="22"/>
          <w:lang w:val="sr-Latn-ME"/>
        </w:rPr>
      </w:pPr>
    </w:p>
    <w:p w14:paraId="5345FD5E" w14:textId="096CA336" w:rsidR="00C175E4" w:rsidRPr="00D768EF" w:rsidRDefault="00C175E4" w:rsidP="00C175E4">
      <w:pPr>
        <w:tabs>
          <w:tab w:val="clear" w:pos="284"/>
        </w:tabs>
        <w:autoSpaceDE w:val="0"/>
        <w:autoSpaceDN w:val="0"/>
        <w:adjustRightInd w:val="0"/>
        <w:rPr>
          <w:szCs w:val="22"/>
          <w:lang w:val="sr-Latn-ME"/>
        </w:rPr>
      </w:pPr>
      <w:r w:rsidRPr="00D768EF">
        <w:rPr>
          <w:color w:val="000000"/>
          <w:szCs w:val="22"/>
          <w:lang w:val="sr-Latn-ME"/>
        </w:rPr>
        <w:t xml:space="preserve">Počevši od 14. </w:t>
      </w:r>
      <w:r w:rsidR="00D57936" w:rsidRPr="00D768EF">
        <w:rPr>
          <w:color w:val="000000"/>
          <w:szCs w:val="22"/>
          <w:lang w:val="sr-Latn-ME"/>
        </w:rPr>
        <w:t>nedjelj</w:t>
      </w:r>
      <w:r w:rsidRPr="00D768EF">
        <w:rPr>
          <w:color w:val="000000"/>
          <w:szCs w:val="22"/>
          <w:lang w:val="sr-Latn-ME"/>
        </w:rPr>
        <w:t>e, pacijentima koji su reagovali na terapiju, ali kod kojih se kliničko poboljšanje kasnije izgubilo, dozvoljeno je da pređu na dozu infliksimaba koja je bila za 5 mg/kg veća od doze koju su primali posl</w:t>
      </w:r>
      <w:r w:rsidR="00CF5D59">
        <w:rPr>
          <w:color w:val="000000"/>
          <w:szCs w:val="22"/>
          <w:lang w:val="sr-Latn-ME"/>
        </w:rPr>
        <w:t>ij</w:t>
      </w:r>
      <w:r w:rsidRPr="00D768EF">
        <w:rPr>
          <w:color w:val="000000"/>
          <w:szCs w:val="22"/>
          <w:lang w:val="sr-Latn-ME"/>
        </w:rPr>
        <w:t xml:space="preserve">e randomizacije. Osamdeset devet procenata (50/56) pacijenata </w:t>
      </w:r>
      <w:r w:rsidRPr="00D768EF">
        <w:rPr>
          <w:szCs w:val="22"/>
          <w:lang w:val="sr-Latn-ME"/>
        </w:rPr>
        <w:t>kod kojih se klinički odgovor na terapiju održavanja infliksimabom u dozi od 5 mg/kg izgubio posl</w:t>
      </w:r>
      <w:r w:rsidR="00CF5D59">
        <w:rPr>
          <w:szCs w:val="22"/>
          <w:lang w:val="sr-Latn-ME"/>
        </w:rPr>
        <w:t>ij</w:t>
      </w:r>
      <w:r w:rsidRPr="00D768EF">
        <w:rPr>
          <w:szCs w:val="22"/>
          <w:lang w:val="sr-Latn-ME"/>
        </w:rPr>
        <w:t xml:space="preserve">e 14. </w:t>
      </w:r>
      <w:r w:rsidR="00D57936" w:rsidRPr="00D768EF">
        <w:rPr>
          <w:szCs w:val="22"/>
          <w:lang w:val="sr-Latn-ME"/>
        </w:rPr>
        <w:t>nedjelj</w:t>
      </w:r>
      <w:r w:rsidRPr="00D768EF">
        <w:rPr>
          <w:szCs w:val="22"/>
          <w:lang w:val="sr-Latn-ME"/>
        </w:rPr>
        <w:t xml:space="preserve">e reagovalo je na </w:t>
      </w:r>
      <w:r w:rsidR="00D57936" w:rsidRPr="00D768EF">
        <w:rPr>
          <w:szCs w:val="22"/>
          <w:lang w:val="sr-Latn-ME"/>
        </w:rPr>
        <w:t>liječe</w:t>
      </w:r>
      <w:r w:rsidRPr="00D768EF">
        <w:rPr>
          <w:szCs w:val="22"/>
          <w:lang w:val="sr-Latn-ME"/>
        </w:rPr>
        <w:t>nje infliksimabom u dozi od 10 mg/kg.</w:t>
      </w:r>
    </w:p>
    <w:p w14:paraId="3F15EB7F" w14:textId="77777777" w:rsidR="00C175E4" w:rsidRPr="00D768EF" w:rsidRDefault="00C175E4" w:rsidP="00C175E4">
      <w:pPr>
        <w:rPr>
          <w:szCs w:val="22"/>
          <w:lang w:val="sr-Latn-ME"/>
        </w:rPr>
      </w:pPr>
    </w:p>
    <w:p w14:paraId="46F833A3" w14:textId="53FD35BB" w:rsidR="00C175E4" w:rsidRPr="00D768EF" w:rsidRDefault="00C175E4" w:rsidP="00C175E4">
      <w:pPr>
        <w:tabs>
          <w:tab w:val="clear" w:pos="284"/>
        </w:tabs>
        <w:autoSpaceDE w:val="0"/>
        <w:autoSpaceDN w:val="0"/>
        <w:adjustRightInd w:val="0"/>
        <w:rPr>
          <w:szCs w:val="22"/>
          <w:lang w:val="sr-Latn-ME"/>
        </w:rPr>
      </w:pPr>
      <w:r w:rsidRPr="00D768EF">
        <w:rPr>
          <w:szCs w:val="22"/>
          <w:lang w:val="sr-Latn-ME"/>
        </w:rPr>
        <w:t xml:space="preserve">U odnosu na grupu koja je primala placebo, u grupama koje su primale infliksimab kao terapiju održavanja </w:t>
      </w:r>
      <w:r w:rsidR="001B0A77" w:rsidRPr="00D768EF">
        <w:rPr>
          <w:szCs w:val="22"/>
          <w:lang w:val="sr-Latn-ME"/>
        </w:rPr>
        <w:t>zabilje</w:t>
      </w:r>
      <w:r w:rsidRPr="00D768EF">
        <w:rPr>
          <w:szCs w:val="22"/>
          <w:lang w:val="sr-Latn-ME"/>
        </w:rPr>
        <w:t xml:space="preserve">ženo je poboljšanje u kvalitetu života, smanjenje hospitalizacija zbog bolesti, kao i smanjena </w:t>
      </w:r>
      <w:r w:rsidR="00D57936" w:rsidRPr="00D768EF">
        <w:rPr>
          <w:szCs w:val="22"/>
          <w:lang w:val="sr-Latn-ME"/>
        </w:rPr>
        <w:t>primjena</w:t>
      </w:r>
      <w:r w:rsidRPr="00D768EF">
        <w:rPr>
          <w:szCs w:val="22"/>
          <w:lang w:val="sr-Latn-ME"/>
        </w:rPr>
        <w:t xml:space="preserve"> kortikosteroida u 30. i 54. </w:t>
      </w:r>
      <w:r w:rsidR="00D57936" w:rsidRPr="00D768EF">
        <w:rPr>
          <w:szCs w:val="22"/>
          <w:lang w:val="sr-Latn-ME"/>
        </w:rPr>
        <w:t>nedjelj</w:t>
      </w:r>
      <w:r w:rsidRPr="00D768EF">
        <w:rPr>
          <w:szCs w:val="22"/>
          <w:lang w:val="sr-Latn-ME"/>
        </w:rPr>
        <w:t>i ispitivanja.</w:t>
      </w:r>
    </w:p>
    <w:p w14:paraId="3AE1DF83" w14:textId="77777777" w:rsidR="00C175E4" w:rsidRPr="00D768EF" w:rsidRDefault="00C175E4" w:rsidP="00C175E4">
      <w:pPr>
        <w:rPr>
          <w:color w:val="000000"/>
          <w:szCs w:val="22"/>
          <w:lang w:val="sr-Latn-ME"/>
        </w:rPr>
      </w:pPr>
    </w:p>
    <w:p w14:paraId="064882A1" w14:textId="5D2C878E" w:rsidR="00C175E4" w:rsidRPr="00D768EF" w:rsidRDefault="00C175E4" w:rsidP="00C175E4">
      <w:pPr>
        <w:rPr>
          <w:szCs w:val="22"/>
          <w:lang w:val="sr-Latn-ME"/>
        </w:rPr>
      </w:pPr>
      <w:r w:rsidRPr="00D768EF">
        <w:rPr>
          <w:szCs w:val="22"/>
          <w:lang w:val="sr-Latn-ME"/>
        </w:rPr>
        <w:t>Infliksimab sa ili bez AZA proc</w:t>
      </w:r>
      <w:r w:rsidR="00BB5F87" w:rsidRPr="00D768EF">
        <w:rPr>
          <w:szCs w:val="22"/>
          <w:lang w:val="sr-Latn-ME"/>
        </w:rPr>
        <w:t>ij</w:t>
      </w:r>
      <w:r w:rsidRPr="00D768EF">
        <w:rPr>
          <w:szCs w:val="22"/>
          <w:lang w:val="sr-Latn-ME"/>
        </w:rPr>
        <w:t>enjen je u randomizovanoj, dvostruko sl</w:t>
      </w:r>
      <w:r w:rsidR="00A94902" w:rsidRPr="00D768EF">
        <w:rPr>
          <w:szCs w:val="22"/>
          <w:lang w:val="sr-Latn-ME"/>
        </w:rPr>
        <w:t>ij</w:t>
      </w:r>
      <w:r w:rsidRPr="00D768EF">
        <w:rPr>
          <w:szCs w:val="22"/>
          <w:lang w:val="sr-Latn-ME"/>
        </w:rPr>
        <w:t>epoj studiji sa aktivnim komparatorom (SONIC) kod 508 odraslih pacijenata sa um</w:t>
      </w:r>
      <w:r w:rsidR="00A94902" w:rsidRPr="00D768EF">
        <w:rPr>
          <w:szCs w:val="22"/>
          <w:lang w:val="sr-Latn-ME"/>
        </w:rPr>
        <w:t>j</w:t>
      </w:r>
      <w:r w:rsidRPr="00D768EF">
        <w:rPr>
          <w:szCs w:val="22"/>
          <w:lang w:val="sr-Latn-ME"/>
        </w:rPr>
        <w:t>erenom do teškom Kronovom bolešću (CDAI </w:t>
      </w:r>
      <w:r w:rsidRPr="00D768EF">
        <w:rPr>
          <w:szCs w:val="22"/>
          <w:lang w:val="sr-Latn-ME"/>
        </w:rPr>
        <w:sym w:font="Symbol" w:char="F0B3"/>
      </w:r>
      <w:r w:rsidRPr="00D768EF">
        <w:rPr>
          <w:szCs w:val="22"/>
          <w:lang w:val="sr-Latn-ME"/>
        </w:rPr>
        <w:t> 220 </w:t>
      </w:r>
      <w:r w:rsidRPr="00D768EF">
        <w:rPr>
          <w:szCs w:val="22"/>
          <w:lang w:val="sr-Latn-ME"/>
        </w:rPr>
        <w:sym w:font="Symbol" w:char="F0A3"/>
      </w:r>
      <w:r w:rsidRPr="00D768EF">
        <w:rPr>
          <w:szCs w:val="22"/>
          <w:lang w:val="sr-Latn-ME"/>
        </w:rPr>
        <w:t> 450) koji pr</w:t>
      </w:r>
      <w:r w:rsidR="00A94902" w:rsidRPr="00D768EF">
        <w:rPr>
          <w:szCs w:val="22"/>
          <w:lang w:val="sr-Latn-ME"/>
        </w:rPr>
        <w:t>ij</w:t>
      </w:r>
      <w:r w:rsidRPr="00D768EF">
        <w:rPr>
          <w:szCs w:val="22"/>
          <w:lang w:val="sr-Latn-ME"/>
        </w:rPr>
        <w:t>e početka studije nisu primali biološku terapiju niti imunosupresive i kod kojih je ova bolest u proseku trajala 2,3 godine. Na početku studije, 27,4% pacijenata je primalo sistemske kortikosteriode, 14</w:t>
      </w:r>
      <w:r w:rsidR="001D4BD4" w:rsidRPr="00D768EF">
        <w:rPr>
          <w:szCs w:val="22"/>
          <w:lang w:val="sr-Latn-ME"/>
        </w:rPr>
        <w:t>,</w:t>
      </w:r>
      <w:r w:rsidRPr="00D768EF">
        <w:rPr>
          <w:szCs w:val="22"/>
          <w:lang w:val="sr-Latn-ME"/>
        </w:rPr>
        <w:t>2% pacijenata je primalo budesonid, a 54</w:t>
      </w:r>
      <w:r w:rsidR="001D4BD4" w:rsidRPr="00D768EF">
        <w:rPr>
          <w:szCs w:val="22"/>
          <w:lang w:val="sr-Latn-ME"/>
        </w:rPr>
        <w:t>,</w:t>
      </w:r>
      <w:r w:rsidRPr="00D768EF">
        <w:rPr>
          <w:szCs w:val="22"/>
          <w:lang w:val="sr-Latn-ME"/>
        </w:rPr>
        <w:t>3% pacijenata je primalo 5-ASA jedinjenja. Pacijenti su bili randomizovani u grupu koja je primala AZA monoterapiju, grupu koja je primala infliksimab monoterapiju, ili u grupu koja je primala kombinovanu terapiju infliksimab + AZA. Infliksimab je prim</w:t>
      </w:r>
      <w:r w:rsidR="00126595" w:rsidRPr="00D768EF">
        <w:rPr>
          <w:szCs w:val="22"/>
          <w:lang w:val="sr-Latn-ME"/>
        </w:rPr>
        <w:t>ij</w:t>
      </w:r>
      <w:r w:rsidRPr="00D768EF">
        <w:rPr>
          <w:szCs w:val="22"/>
          <w:lang w:val="sr-Latn-ME"/>
        </w:rPr>
        <w:t xml:space="preserve">enjen u dozi od 5 mg/kg u 0., 2. i 6. </w:t>
      </w:r>
      <w:r w:rsidR="00D57936" w:rsidRPr="00D768EF">
        <w:rPr>
          <w:szCs w:val="22"/>
          <w:lang w:val="sr-Latn-ME"/>
        </w:rPr>
        <w:t>nedjelj</w:t>
      </w:r>
      <w:r w:rsidRPr="00D768EF">
        <w:rPr>
          <w:szCs w:val="22"/>
          <w:lang w:val="sr-Latn-ME"/>
        </w:rPr>
        <w:t xml:space="preserve">i, a zatim svakih 8 </w:t>
      </w:r>
      <w:r w:rsidR="00D57936" w:rsidRPr="00D768EF">
        <w:rPr>
          <w:szCs w:val="22"/>
          <w:lang w:val="sr-Latn-ME"/>
        </w:rPr>
        <w:t>nedjelj</w:t>
      </w:r>
      <w:r w:rsidRPr="00D768EF">
        <w:rPr>
          <w:szCs w:val="22"/>
          <w:lang w:val="sr-Latn-ME"/>
        </w:rPr>
        <w:t>a. AZA se prim</w:t>
      </w:r>
      <w:r w:rsidR="00126595" w:rsidRPr="00D768EF">
        <w:rPr>
          <w:szCs w:val="22"/>
          <w:lang w:val="sr-Latn-ME"/>
        </w:rPr>
        <w:t>j</w:t>
      </w:r>
      <w:r w:rsidRPr="00D768EF">
        <w:rPr>
          <w:szCs w:val="22"/>
          <w:lang w:val="sr-Latn-ME"/>
        </w:rPr>
        <w:t>enjivao u dozi od 2</w:t>
      </w:r>
      <w:r w:rsidR="001D4BD4" w:rsidRPr="00D768EF">
        <w:rPr>
          <w:szCs w:val="22"/>
          <w:lang w:val="sr-Latn-ME"/>
        </w:rPr>
        <w:t>,</w:t>
      </w:r>
      <w:r w:rsidRPr="00D768EF">
        <w:rPr>
          <w:szCs w:val="22"/>
          <w:lang w:val="sr-Latn-ME"/>
        </w:rPr>
        <w:t xml:space="preserve">5 mg/kg dnevno. </w:t>
      </w:r>
    </w:p>
    <w:p w14:paraId="26C80C64" w14:textId="77777777" w:rsidR="00C175E4" w:rsidRPr="00D768EF" w:rsidRDefault="00C175E4" w:rsidP="00C175E4">
      <w:pPr>
        <w:rPr>
          <w:szCs w:val="22"/>
          <w:lang w:val="sr-Latn-ME"/>
        </w:rPr>
      </w:pPr>
    </w:p>
    <w:p w14:paraId="2DB92F1B" w14:textId="7AE7A518" w:rsidR="00C175E4" w:rsidRPr="00D768EF" w:rsidRDefault="00C175E4" w:rsidP="00DF4274">
      <w:pPr>
        <w:tabs>
          <w:tab w:val="clear" w:pos="284"/>
        </w:tabs>
        <w:autoSpaceDE w:val="0"/>
        <w:autoSpaceDN w:val="0"/>
        <w:adjustRightInd w:val="0"/>
        <w:rPr>
          <w:color w:val="000000"/>
          <w:szCs w:val="22"/>
          <w:u w:val="single"/>
          <w:lang w:val="sr-Latn-ME"/>
        </w:rPr>
      </w:pPr>
      <w:r w:rsidRPr="00D768EF">
        <w:rPr>
          <w:szCs w:val="22"/>
          <w:lang w:val="sr-Latn-ME"/>
        </w:rPr>
        <w:t>Primarni ishod studije bila je klinička remisija bez prim</w:t>
      </w:r>
      <w:r w:rsidR="00126595" w:rsidRPr="00D768EF">
        <w:rPr>
          <w:szCs w:val="22"/>
          <w:lang w:val="sr-Latn-ME"/>
        </w:rPr>
        <w:t>j</w:t>
      </w:r>
      <w:r w:rsidRPr="00D768EF">
        <w:rPr>
          <w:szCs w:val="22"/>
          <w:lang w:val="sr-Latn-ME"/>
        </w:rPr>
        <w:t xml:space="preserve">ene kortikosteroida u 26. </w:t>
      </w:r>
      <w:r w:rsidR="00D57936" w:rsidRPr="00D768EF">
        <w:rPr>
          <w:szCs w:val="22"/>
          <w:lang w:val="sr-Latn-ME"/>
        </w:rPr>
        <w:t>nedjelj</w:t>
      </w:r>
      <w:r w:rsidRPr="00D768EF">
        <w:rPr>
          <w:szCs w:val="22"/>
          <w:lang w:val="sr-Latn-ME"/>
        </w:rPr>
        <w:t xml:space="preserve">i, što je značilo da pacijent u kliničkoj remisiji (CDAI &lt; 150) najmanje tri </w:t>
      </w:r>
      <w:r w:rsidR="00D57936" w:rsidRPr="00D768EF">
        <w:rPr>
          <w:szCs w:val="22"/>
          <w:lang w:val="sr-Latn-ME"/>
        </w:rPr>
        <w:t>nedjelj</w:t>
      </w:r>
      <w:r w:rsidRPr="00D768EF">
        <w:rPr>
          <w:szCs w:val="22"/>
          <w:lang w:val="sr-Latn-ME"/>
        </w:rPr>
        <w:t>e nije uzimao peroralne sistemske kortikosteroide (prednizon ili ekvivalentan l</w:t>
      </w:r>
      <w:r w:rsidR="00A94902" w:rsidRPr="00D768EF">
        <w:rPr>
          <w:szCs w:val="22"/>
          <w:lang w:val="sr-Latn-ME"/>
        </w:rPr>
        <w:t>ij</w:t>
      </w:r>
      <w:r w:rsidRPr="00D768EF">
        <w:rPr>
          <w:szCs w:val="22"/>
          <w:lang w:val="sr-Latn-ME"/>
        </w:rPr>
        <w:t>ek), ni budesonid u dozi od &gt; 6 mg/dan. Rezultati su prikazani u Tabeli 6. Procenat pacijenata sa zac</w:t>
      </w:r>
      <w:r w:rsidR="00A94902" w:rsidRPr="00D768EF">
        <w:rPr>
          <w:szCs w:val="22"/>
          <w:lang w:val="sr-Latn-ME"/>
        </w:rPr>
        <w:t>j</w:t>
      </w:r>
      <w:r w:rsidRPr="00D768EF">
        <w:rPr>
          <w:szCs w:val="22"/>
          <w:lang w:val="sr-Latn-ME"/>
        </w:rPr>
        <w:t xml:space="preserve">eljenjem mukoze u 26. </w:t>
      </w:r>
      <w:r w:rsidR="00D57936" w:rsidRPr="00D768EF">
        <w:rPr>
          <w:szCs w:val="22"/>
          <w:lang w:val="sr-Latn-ME"/>
        </w:rPr>
        <w:t>nedjelj</w:t>
      </w:r>
      <w:r w:rsidRPr="00D768EF">
        <w:rPr>
          <w:szCs w:val="22"/>
          <w:lang w:val="sr-Latn-ME"/>
        </w:rPr>
        <w:t>i bio je značajno veći u grupi koja je primala kombinaciju infliksimab + AZA (43</w:t>
      </w:r>
      <w:r w:rsidR="001D4BD4" w:rsidRPr="00D768EF">
        <w:rPr>
          <w:szCs w:val="22"/>
          <w:lang w:val="sr-Latn-ME"/>
        </w:rPr>
        <w:t>,</w:t>
      </w:r>
      <w:r w:rsidRPr="00D768EF">
        <w:rPr>
          <w:szCs w:val="22"/>
          <w:lang w:val="sr-Latn-ME"/>
        </w:rPr>
        <w:t>9%, p&lt;0</w:t>
      </w:r>
      <w:r w:rsidR="001D4BD4" w:rsidRPr="00D768EF">
        <w:rPr>
          <w:szCs w:val="22"/>
          <w:lang w:val="sr-Latn-ME"/>
        </w:rPr>
        <w:t>,</w:t>
      </w:r>
      <w:r w:rsidRPr="00D768EF">
        <w:rPr>
          <w:szCs w:val="22"/>
          <w:lang w:val="sr-Latn-ME"/>
        </w:rPr>
        <w:t>001) i grupi koja je primala infliksimab monoterapiju (30</w:t>
      </w:r>
      <w:r w:rsidR="001D4BD4" w:rsidRPr="00D768EF">
        <w:rPr>
          <w:szCs w:val="22"/>
          <w:lang w:val="sr-Latn-ME"/>
        </w:rPr>
        <w:t>,</w:t>
      </w:r>
      <w:r w:rsidRPr="00D768EF">
        <w:rPr>
          <w:szCs w:val="22"/>
          <w:lang w:val="sr-Latn-ME"/>
        </w:rPr>
        <w:t>1%, p=0</w:t>
      </w:r>
      <w:r w:rsidR="001D4BD4" w:rsidRPr="00D768EF">
        <w:rPr>
          <w:szCs w:val="22"/>
          <w:lang w:val="sr-Latn-ME"/>
        </w:rPr>
        <w:t>,</w:t>
      </w:r>
      <w:r w:rsidRPr="00D768EF">
        <w:rPr>
          <w:szCs w:val="22"/>
          <w:lang w:val="sr-Latn-ME"/>
        </w:rPr>
        <w:t>023), u poređenju sa grupom koja je primala AZA monoterapiju (16</w:t>
      </w:r>
      <w:r w:rsidR="001D4BD4" w:rsidRPr="00D768EF">
        <w:rPr>
          <w:szCs w:val="22"/>
          <w:lang w:val="sr-Latn-ME"/>
        </w:rPr>
        <w:t>,</w:t>
      </w:r>
      <w:r w:rsidRPr="00D768EF">
        <w:rPr>
          <w:szCs w:val="22"/>
          <w:lang w:val="sr-Latn-ME"/>
        </w:rPr>
        <w:t>5%).</w:t>
      </w:r>
    </w:p>
    <w:p w14:paraId="3450E52B" w14:textId="77777777" w:rsidR="00C175E4" w:rsidRPr="00D768EF" w:rsidRDefault="00C175E4" w:rsidP="00C175E4">
      <w:pPr>
        <w:jc w:val="center"/>
        <w:rPr>
          <w:b/>
          <w:color w:val="000000"/>
          <w:szCs w:val="22"/>
          <w:lang w:val="sr-Latn-ME"/>
        </w:rPr>
      </w:pPr>
      <w:r w:rsidRPr="00D768EF">
        <w:rPr>
          <w:b/>
          <w:color w:val="000000"/>
          <w:szCs w:val="22"/>
          <w:lang w:val="sr-Latn-ME"/>
        </w:rPr>
        <w:t>Tabela 6</w:t>
      </w:r>
    </w:p>
    <w:p w14:paraId="1E746B9B" w14:textId="74D0AA69" w:rsidR="00C175E4" w:rsidRPr="00D768EF" w:rsidRDefault="00C175E4" w:rsidP="00C175E4">
      <w:pPr>
        <w:jc w:val="left"/>
        <w:rPr>
          <w:b/>
          <w:color w:val="000000"/>
          <w:szCs w:val="22"/>
          <w:lang w:val="sr-Latn-ME"/>
        </w:rPr>
      </w:pPr>
      <w:r w:rsidRPr="00D768EF">
        <w:rPr>
          <w:b/>
          <w:szCs w:val="22"/>
          <w:lang w:val="sr-Latn-ME"/>
        </w:rPr>
        <w:t xml:space="preserve">Procenat pacijenata koji su ostvarili kliničku remisiju bez kortikosteroida u 26. </w:t>
      </w:r>
      <w:r w:rsidR="00D57936" w:rsidRPr="00D768EF">
        <w:rPr>
          <w:b/>
          <w:szCs w:val="22"/>
          <w:lang w:val="sr-Latn-ME"/>
        </w:rPr>
        <w:t>nedjelj</w:t>
      </w:r>
      <w:r w:rsidRPr="00D768EF">
        <w:rPr>
          <w:b/>
          <w:szCs w:val="22"/>
          <w:lang w:val="sr-Latn-ME"/>
        </w:rPr>
        <w:t>i, SONIC</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109"/>
        <w:gridCol w:w="1984"/>
        <w:gridCol w:w="37"/>
        <w:gridCol w:w="1782"/>
        <w:gridCol w:w="24"/>
        <w:gridCol w:w="2064"/>
      </w:tblGrid>
      <w:tr w:rsidR="00C175E4" w:rsidRPr="00D768EF" w14:paraId="0A51797F" w14:textId="77777777" w:rsidTr="00622285">
        <w:trPr>
          <w:cantSplit/>
        </w:trPr>
        <w:tc>
          <w:tcPr>
            <w:tcW w:w="3109" w:type="dxa"/>
            <w:vAlign w:val="center"/>
          </w:tcPr>
          <w:p w14:paraId="7350C9A2" w14:textId="77777777" w:rsidR="00C175E4" w:rsidRPr="00D768EF" w:rsidRDefault="00C175E4" w:rsidP="00622285">
            <w:pPr>
              <w:widowControl w:val="0"/>
              <w:adjustRightInd w:val="0"/>
              <w:spacing w:before="10" w:after="10"/>
              <w:ind w:left="90" w:hanging="90"/>
              <w:jc w:val="left"/>
              <w:rPr>
                <w:color w:val="000000"/>
                <w:szCs w:val="22"/>
                <w:lang w:val="sr-Latn-ME"/>
              </w:rPr>
            </w:pPr>
          </w:p>
        </w:tc>
        <w:tc>
          <w:tcPr>
            <w:tcW w:w="1984" w:type="dxa"/>
            <w:vAlign w:val="center"/>
          </w:tcPr>
          <w:p w14:paraId="7D54521F" w14:textId="77777777" w:rsidR="00C175E4" w:rsidRPr="00D768EF" w:rsidRDefault="00C175E4" w:rsidP="00622285">
            <w:pPr>
              <w:widowControl w:val="0"/>
              <w:adjustRightInd w:val="0"/>
              <w:spacing w:before="10" w:after="10"/>
              <w:jc w:val="left"/>
              <w:rPr>
                <w:color w:val="000000"/>
                <w:szCs w:val="22"/>
                <w:lang w:val="sr-Latn-ME"/>
              </w:rPr>
            </w:pPr>
            <w:r w:rsidRPr="00D768EF">
              <w:rPr>
                <w:color w:val="000000"/>
                <w:szCs w:val="22"/>
                <w:lang w:val="sr-Latn-ME"/>
              </w:rPr>
              <w:t>AZA</w:t>
            </w:r>
          </w:p>
          <w:p w14:paraId="26DF5C49" w14:textId="77777777" w:rsidR="00C175E4" w:rsidRPr="00D768EF" w:rsidRDefault="00C175E4" w:rsidP="00622285">
            <w:pPr>
              <w:widowControl w:val="0"/>
              <w:adjustRightInd w:val="0"/>
              <w:spacing w:before="10" w:after="10"/>
              <w:jc w:val="left"/>
              <w:rPr>
                <w:color w:val="000000"/>
                <w:szCs w:val="22"/>
                <w:lang w:val="sr-Latn-ME"/>
              </w:rPr>
            </w:pPr>
            <w:r w:rsidRPr="00D768EF">
              <w:rPr>
                <w:color w:val="000000"/>
                <w:szCs w:val="22"/>
                <w:lang w:val="sr-Latn-ME"/>
              </w:rPr>
              <w:t>Monoterapija</w:t>
            </w:r>
          </w:p>
        </w:tc>
        <w:tc>
          <w:tcPr>
            <w:tcW w:w="1843" w:type="dxa"/>
            <w:gridSpan w:val="3"/>
            <w:vAlign w:val="center"/>
          </w:tcPr>
          <w:p w14:paraId="61E41B15" w14:textId="77777777" w:rsidR="00C175E4" w:rsidRPr="00D768EF" w:rsidRDefault="00C175E4" w:rsidP="00622285">
            <w:pPr>
              <w:widowControl w:val="0"/>
              <w:adjustRightInd w:val="0"/>
              <w:spacing w:before="10" w:after="10"/>
              <w:jc w:val="left"/>
              <w:rPr>
                <w:szCs w:val="22"/>
                <w:lang w:val="sr-Latn-ME"/>
              </w:rPr>
            </w:pPr>
            <w:r w:rsidRPr="00D768EF">
              <w:rPr>
                <w:color w:val="000000"/>
                <w:szCs w:val="22"/>
                <w:lang w:val="sr-Latn-ME"/>
              </w:rPr>
              <w:t>Infliksimab</w:t>
            </w:r>
          </w:p>
          <w:p w14:paraId="06EFE82C" w14:textId="77777777" w:rsidR="00C175E4" w:rsidRPr="00D768EF" w:rsidRDefault="00C175E4" w:rsidP="00622285">
            <w:pPr>
              <w:widowControl w:val="0"/>
              <w:adjustRightInd w:val="0"/>
              <w:spacing w:before="10" w:after="10"/>
              <w:jc w:val="left"/>
              <w:rPr>
                <w:color w:val="000000"/>
                <w:szCs w:val="22"/>
                <w:lang w:val="sr-Latn-ME"/>
              </w:rPr>
            </w:pPr>
            <w:r w:rsidRPr="00D768EF">
              <w:rPr>
                <w:color w:val="000000"/>
                <w:szCs w:val="22"/>
                <w:lang w:val="sr-Latn-ME"/>
              </w:rPr>
              <w:t>Monoterapija</w:t>
            </w:r>
          </w:p>
        </w:tc>
        <w:tc>
          <w:tcPr>
            <w:tcW w:w="2064" w:type="dxa"/>
            <w:vAlign w:val="center"/>
          </w:tcPr>
          <w:p w14:paraId="3CAA96E8" w14:textId="77777777" w:rsidR="00C175E4" w:rsidRPr="00D768EF" w:rsidRDefault="00C175E4" w:rsidP="00622285">
            <w:pPr>
              <w:widowControl w:val="0"/>
              <w:adjustRightInd w:val="0"/>
              <w:spacing w:before="10" w:after="10"/>
              <w:jc w:val="left"/>
              <w:rPr>
                <w:color w:val="000000"/>
                <w:szCs w:val="22"/>
                <w:lang w:val="sr-Latn-ME"/>
              </w:rPr>
            </w:pPr>
            <w:r w:rsidRPr="00D768EF">
              <w:rPr>
                <w:color w:val="000000"/>
                <w:szCs w:val="22"/>
                <w:lang w:val="sr-Latn-ME"/>
              </w:rPr>
              <w:t>Infliksimab + AZA</w:t>
            </w:r>
          </w:p>
          <w:p w14:paraId="776C2196" w14:textId="77777777" w:rsidR="00C175E4" w:rsidRPr="00D768EF" w:rsidRDefault="00C175E4" w:rsidP="00622285">
            <w:pPr>
              <w:widowControl w:val="0"/>
              <w:adjustRightInd w:val="0"/>
              <w:spacing w:before="10" w:after="10"/>
              <w:jc w:val="left"/>
              <w:rPr>
                <w:color w:val="000000"/>
                <w:szCs w:val="22"/>
                <w:lang w:val="sr-Latn-ME"/>
              </w:rPr>
            </w:pPr>
            <w:r w:rsidRPr="00D768EF">
              <w:rPr>
                <w:color w:val="000000"/>
                <w:szCs w:val="22"/>
                <w:lang w:val="sr-Latn-ME"/>
              </w:rPr>
              <w:t>Kombinovana terapija</w:t>
            </w:r>
          </w:p>
        </w:tc>
      </w:tr>
      <w:tr w:rsidR="00C175E4" w:rsidRPr="00D768EF" w14:paraId="3394BEE1" w14:textId="77777777" w:rsidTr="00622285">
        <w:trPr>
          <w:cantSplit/>
        </w:trPr>
        <w:tc>
          <w:tcPr>
            <w:tcW w:w="9000" w:type="dxa"/>
            <w:gridSpan w:val="6"/>
            <w:vAlign w:val="center"/>
          </w:tcPr>
          <w:p w14:paraId="72AEB64E" w14:textId="0F18B5D3" w:rsidR="00C175E4" w:rsidRPr="00D768EF" w:rsidRDefault="00C175E4" w:rsidP="00622285">
            <w:pPr>
              <w:widowControl w:val="0"/>
              <w:adjustRightInd w:val="0"/>
              <w:spacing w:before="10" w:after="10"/>
              <w:jc w:val="left"/>
              <w:rPr>
                <w:b/>
                <w:bCs/>
                <w:color w:val="000000"/>
                <w:szCs w:val="22"/>
                <w:lang w:val="sr-Latn-ME"/>
              </w:rPr>
            </w:pPr>
            <w:r w:rsidRPr="00D768EF">
              <w:rPr>
                <w:b/>
                <w:bCs/>
                <w:color w:val="000000"/>
                <w:szCs w:val="22"/>
                <w:lang w:val="sr-Latn-ME"/>
              </w:rPr>
              <w:t xml:space="preserve">26. </w:t>
            </w:r>
            <w:r w:rsidR="00D57936" w:rsidRPr="00D768EF">
              <w:rPr>
                <w:b/>
                <w:bCs/>
                <w:color w:val="000000"/>
                <w:szCs w:val="22"/>
                <w:lang w:val="sr-Latn-ME"/>
              </w:rPr>
              <w:t>nedjelj</w:t>
            </w:r>
            <w:r w:rsidRPr="00D768EF">
              <w:rPr>
                <w:b/>
                <w:bCs/>
                <w:color w:val="000000"/>
                <w:szCs w:val="22"/>
                <w:lang w:val="sr-Latn-ME"/>
              </w:rPr>
              <w:t>a</w:t>
            </w:r>
          </w:p>
        </w:tc>
      </w:tr>
      <w:tr w:rsidR="00C175E4" w:rsidRPr="00D768EF" w14:paraId="0D1370F1" w14:textId="77777777" w:rsidTr="00622285">
        <w:trPr>
          <w:cantSplit/>
        </w:trPr>
        <w:tc>
          <w:tcPr>
            <w:tcW w:w="3109" w:type="dxa"/>
            <w:vAlign w:val="center"/>
          </w:tcPr>
          <w:p w14:paraId="6C6B90FB" w14:textId="42041394" w:rsidR="00C175E4" w:rsidRPr="00D768EF" w:rsidRDefault="00C175E4" w:rsidP="00622285">
            <w:pPr>
              <w:widowControl w:val="0"/>
              <w:tabs>
                <w:tab w:val="left" w:pos="180"/>
              </w:tabs>
              <w:adjustRightInd w:val="0"/>
              <w:spacing w:before="120" w:after="240"/>
              <w:ind w:right="180"/>
              <w:jc w:val="left"/>
              <w:rPr>
                <w:bCs/>
                <w:color w:val="000000"/>
                <w:szCs w:val="22"/>
                <w:lang w:val="sr-Latn-ME"/>
              </w:rPr>
            </w:pPr>
            <w:r w:rsidRPr="00D768EF">
              <w:rPr>
                <w:bCs/>
                <w:color w:val="000000"/>
                <w:szCs w:val="22"/>
                <w:lang w:val="sr-Latn-ME"/>
              </w:rPr>
              <w:t>Svi randomizovani pacijenti</w:t>
            </w:r>
          </w:p>
        </w:tc>
        <w:tc>
          <w:tcPr>
            <w:tcW w:w="2021" w:type="dxa"/>
            <w:gridSpan w:val="2"/>
            <w:vAlign w:val="center"/>
          </w:tcPr>
          <w:p w14:paraId="75A5E5D1" w14:textId="316FE9E3" w:rsidR="00C175E4" w:rsidRPr="00D768EF" w:rsidRDefault="00C175E4" w:rsidP="00622285">
            <w:pPr>
              <w:widowControl w:val="0"/>
              <w:adjustRightInd w:val="0"/>
              <w:spacing w:before="120" w:after="240"/>
              <w:jc w:val="left"/>
              <w:rPr>
                <w:color w:val="000000"/>
                <w:szCs w:val="22"/>
                <w:lang w:val="sr-Latn-ME"/>
              </w:rPr>
            </w:pPr>
            <w:r w:rsidRPr="00D768EF">
              <w:rPr>
                <w:color w:val="000000"/>
                <w:szCs w:val="22"/>
                <w:lang w:val="sr-Latn-ME"/>
              </w:rPr>
              <w:t>30.0% (51/170)</w:t>
            </w:r>
          </w:p>
        </w:tc>
        <w:tc>
          <w:tcPr>
            <w:tcW w:w="1782" w:type="dxa"/>
            <w:vAlign w:val="center"/>
          </w:tcPr>
          <w:p w14:paraId="786E6DD8" w14:textId="2D6C6A21" w:rsidR="00C175E4" w:rsidRPr="00D768EF" w:rsidRDefault="00C175E4" w:rsidP="00622285">
            <w:pPr>
              <w:spacing w:before="120" w:after="240"/>
              <w:jc w:val="left"/>
              <w:rPr>
                <w:color w:val="000000"/>
                <w:szCs w:val="22"/>
                <w:lang w:val="sr-Latn-ME"/>
              </w:rPr>
            </w:pPr>
            <w:r w:rsidRPr="00D768EF">
              <w:rPr>
                <w:color w:val="000000"/>
                <w:szCs w:val="22"/>
                <w:lang w:val="sr-Latn-ME"/>
              </w:rPr>
              <w:t>44.4% (75/169)</w:t>
            </w:r>
          </w:p>
          <w:p w14:paraId="3F78FF77" w14:textId="33304476" w:rsidR="00C175E4" w:rsidRPr="00D768EF" w:rsidRDefault="00C175E4" w:rsidP="00622285">
            <w:pPr>
              <w:spacing w:after="240"/>
              <w:jc w:val="left"/>
              <w:rPr>
                <w:color w:val="000000"/>
                <w:szCs w:val="22"/>
                <w:vertAlign w:val="superscript"/>
                <w:lang w:val="sr-Latn-ME"/>
              </w:rPr>
            </w:pPr>
            <w:r w:rsidRPr="00D768EF">
              <w:rPr>
                <w:color w:val="000000"/>
                <w:szCs w:val="22"/>
                <w:lang w:val="sr-Latn-ME"/>
              </w:rPr>
              <w:t>(p=0.006)</w:t>
            </w:r>
            <w:r w:rsidRPr="00D768EF">
              <w:rPr>
                <w:color w:val="000000"/>
                <w:szCs w:val="22"/>
                <w:vertAlign w:val="superscript"/>
                <w:lang w:val="sr-Latn-ME"/>
              </w:rPr>
              <w:t>*</w:t>
            </w:r>
          </w:p>
        </w:tc>
        <w:tc>
          <w:tcPr>
            <w:tcW w:w="2088" w:type="dxa"/>
            <w:gridSpan w:val="2"/>
            <w:vAlign w:val="center"/>
          </w:tcPr>
          <w:p w14:paraId="1FED45C9" w14:textId="5DBF3FDA" w:rsidR="00C175E4" w:rsidRPr="00D768EF" w:rsidRDefault="00C175E4" w:rsidP="00622285">
            <w:pPr>
              <w:spacing w:before="120" w:after="240"/>
              <w:jc w:val="left"/>
              <w:rPr>
                <w:color w:val="000000"/>
                <w:szCs w:val="22"/>
                <w:lang w:val="sr-Latn-ME"/>
              </w:rPr>
            </w:pPr>
            <w:r w:rsidRPr="00D768EF">
              <w:rPr>
                <w:color w:val="000000"/>
                <w:szCs w:val="22"/>
                <w:lang w:val="sr-Latn-ME"/>
              </w:rPr>
              <w:t>56.8% (96/169)</w:t>
            </w:r>
          </w:p>
          <w:p w14:paraId="6C9AE36B" w14:textId="0D0177FF" w:rsidR="00C175E4" w:rsidRPr="00D768EF" w:rsidRDefault="00C175E4" w:rsidP="00622285">
            <w:pPr>
              <w:spacing w:after="240"/>
              <w:jc w:val="left"/>
              <w:rPr>
                <w:color w:val="000000"/>
                <w:szCs w:val="22"/>
                <w:lang w:val="sr-Latn-ME"/>
              </w:rPr>
            </w:pPr>
            <w:r w:rsidRPr="00D768EF">
              <w:rPr>
                <w:color w:val="000000"/>
                <w:szCs w:val="22"/>
                <w:lang w:val="sr-Latn-ME"/>
              </w:rPr>
              <w:t>(p&lt;0.001)</w:t>
            </w:r>
            <w:r w:rsidRPr="00D768EF">
              <w:rPr>
                <w:color w:val="000000"/>
                <w:szCs w:val="22"/>
                <w:vertAlign w:val="superscript"/>
                <w:lang w:val="sr-Latn-ME"/>
              </w:rPr>
              <w:t>*</w:t>
            </w:r>
          </w:p>
        </w:tc>
      </w:tr>
      <w:tr w:rsidR="00C175E4" w:rsidRPr="00EE2CAE" w14:paraId="1B55B4E8" w14:textId="77777777" w:rsidTr="00622285">
        <w:tblPrEx>
          <w:tblCellMar>
            <w:left w:w="108" w:type="dxa"/>
            <w:right w:w="108" w:type="dxa"/>
          </w:tblCellMar>
        </w:tblPrEx>
        <w:trPr>
          <w:cantSplit/>
        </w:trPr>
        <w:tc>
          <w:tcPr>
            <w:tcW w:w="9000" w:type="dxa"/>
            <w:gridSpan w:val="6"/>
          </w:tcPr>
          <w:p w14:paraId="3DE084C6" w14:textId="0703E686" w:rsidR="00C175E4" w:rsidRPr="00D768EF" w:rsidRDefault="00C175E4" w:rsidP="00622285">
            <w:pPr>
              <w:jc w:val="left"/>
              <w:rPr>
                <w:szCs w:val="22"/>
                <w:lang w:val="sr-Latn-ME"/>
              </w:rPr>
            </w:pPr>
            <w:r w:rsidRPr="00D768EF">
              <w:rPr>
                <w:szCs w:val="22"/>
                <w:lang w:val="sr-Latn-ME"/>
              </w:rPr>
              <w:t xml:space="preserve">* </w:t>
            </w:r>
            <w:r w:rsidR="001D4BD4" w:rsidRPr="00D768EF">
              <w:rPr>
                <w:szCs w:val="22"/>
                <w:lang w:val="sr-Latn-ME"/>
              </w:rPr>
              <w:t>p</w:t>
            </w:r>
            <w:r w:rsidRPr="00D768EF">
              <w:rPr>
                <w:szCs w:val="22"/>
                <w:lang w:val="sr-Latn-ME"/>
              </w:rPr>
              <w:t>-</w:t>
            </w:r>
            <w:r w:rsidR="008A0A5C" w:rsidRPr="00D768EF">
              <w:rPr>
                <w:szCs w:val="22"/>
                <w:lang w:val="sr-Latn-ME"/>
              </w:rPr>
              <w:t>vrijedno</w:t>
            </w:r>
            <w:r w:rsidRPr="00D768EF">
              <w:rPr>
                <w:szCs w:val="22"/>
                <w:lang w:val="sr-Latn-ME"/>
              </w:rPr>
              <w:t>sti se odnose na poređenje svake grupe koja je primala infliksimab sa grupom koja je primala AZA monoterapiju.</w:t>
            </w:r>
          </w:p>
          <w:p w14:paraId="695274BF" w14:textId="77777777" w:rsidR="00C175E4" w:rsidRPr="00D768EF" w:rsidRDefault="00C175E4" w:rsidP="00622285">
            <w:pPr>
              <w:jc w:val="left"/>
              <w:rPr>
                <w:szCs w:val="22"/>
                <w:lang w:val="sr-Latn-ME"/>
              </w:rPr>
            </w:pPr>
          </w:p>
        </w:tc>
      </w:tr>
    </w:tbl>
    <w:p w14:paraId="105186DE" w14:textId="3D5CBB82" w:rsidR="00C175E4" w:rsidRPr="00D768EF" w:rsidRDefault="00C175E4" w:rsidP="00C175E4">
      <w:pPr>
        <w:rPr>
          <w:color w:val="000000"/>
          <w:szCs w:val="22"/>
          <w:lang w:val="sr-Latn-ME"/>
        </w:rPr>
      </w:pPr>
      <w:r w:rsidRPr="00D768EF">
        <w:rPr>
          <w:szCs w:val="22"/>
          <w:lang w:val="sr-Latn-ME"/>
        </w:rPr>
        <w:br/>
        <w:t>Slični trendovi u postizanju kliničke remisije bez kortikosteroida prim</w:t>
      </w:r>
      <w:r w:rsidR="00A94902" w:rsidRPr="00D768EF">
        <w:rPr>
          <w:szCs w:val="22"/>
          <w:lang w:val="sr-Latn-ME"/>
        </w:rPr>
        <w:t>ij</w:t>
      </w:r>
      <w:r w:rsidRPr="00D768EF">
        <w:rPr>
          <w:szCs w:val="22"/>
          <w:lang w:val="sr-Latn-ME"/>
        </w:rPr>
        <w:t xml:space="preserve">ećeni su u 50. </w:t>
      </w:r>
      <w:r w:rsidR="00D57936" w:rsidRPr="00D768EF">
        <w:rPr>
          <w:szCs w:val="22"/>
          <w:lang w:val="sr-Latn-ME"/>
        </w:rPr>
        <w:t>nedjelj</w:t>
      </w:r>
      <w:r w:rsidRPr="00D768EF">
        <w:rPr>
          <w:szCs w:val="22"/>
          <w:lang w:val="sr-Latn-ME"/>
        </w:rPr>
        <w:t xml:space="preserve">i. Štaviše, u infliksimab grupi </w:t>
      </w:r>
      <w:r w:rsidR="001B0A77" w:rsidRPr="00D768EF">
        <w:rPr>
          <w:szCs w:val="22"/>
          <w:lang w:val="sr-Latn-ME"/>
        </w:rPr>
        <w:t>zabilje</w:t>
      </w:r>
      <w:r w:rsidRPr="00D768EF">
        <w:rPr>
          <w:szCs w:val="22"/>
          <w:lang w:val="sr-Latn-ME"/>
        </w:rPr>
        <w:t>ženo je poboljšanje kvaliteta života, m</w:t>
      </w:r>
      <w:r w:rsidR="00A94902" w:rsidRPr="00D768EF">
        <w:rPr>
          <w:szCs w:val="22"/>
          <w:lang w:val="sr-Latn-ME"/>
        </w:rPr>
        <w:t>j</w:t>
      </w:r>
      <w:r w:rsidRPr="00D768EF">
        <w:rPr>
          <w:szCs w:val="22"/>
          <w:lang w:val="sr-Latn-ME"/>
        </w:rPr>
        <w:t>ereno pomoću upitnika IBDQ.</w:t>
      </w:r>
    </w:p>
    <w:p w14:paraId="22AF9DCF" w14:textId="77777777" w:rsidR="00C175E4" w:rsidRPr="00D768EF" w:rsidRDefault="00C175E4" w:rsidP="00C175E4">
      <w:pPr>
        <w:rPr>
          <w:i/>
          <w:iCs/>
          <w:color w:val="000000"/>
          <w:szCs w:val="22"/>
          <w:lang w:val="sr-Latn-ME"/>
        </w:rPr>
      </w:pPr>
      <w:r w:rsidRPr="00D768EF">
        <w:rPr>
          <w:i/>
          <w:iCs/>
          <w:color w:val="000000"/>
          <w:szCs w:val="22"/>
          <w:lang w:val="sr-Latn-ME"/>
        </w:rPr>
        <w:lastRenderedPageBreak/>
        <w:t>Indukciona terapija kod fistulizirajuće aktivne Kronove bolesti</w:t>
      </w:r>
    </w:p>
    <w:p w14:paraId="4645D9A7" w14:textId="1582E03C" w:rsidR="00C175E4" w:rsidRPr="00D768EF" w:rsidRDefault="00C175E4" w:rsidP="00C175E4">
      <w:pPr>
        <w:rPr>
          <w:color w:val="000000"/>
          <w:szCs w:val="22"/>
          <w:lang w:val="sr-Latn-ME"/>
        </w:rPr>
      </w:pPr>
      <w:r w:rsidRPr="00D768EF">
        <w:rPr>
          <w:color w:val="000000"/>
          <w:szCs w:val="22"/>
          <w:lang w:val="sr-Latn-ME"/>
        </w:rPr>
        <w:t>Efikasnost l</w:t>
      </w:r>
      <w:r w:rsidR="00A94902" w:rsidRPr="00D768EF">
        <w:rPr>
          <w:color w:val="000000"/>
          <w:szCs w:val="22"/>
          <w:lang w:val="sr-Latn-ME"/>
        </w:rPr>
        <w:t>ij</w:t>
      </w:r>
      <w:r w:rsidRPr="00D768EF">
        <w:rPr>
          <w:color w:val="000000"/>
          <w:szCs w:val="22"/>
          <w:lang w:val="sr-Latn-ME"/>
        </w:rPr>
        <w:t>eka je</w:t>
      </w:r>
      <w:r w:rsidRPr="00D768EF">
        <w:rPr>
          <w:szCs w:val="22"/>
          <w:lang w:val="sr-Latn-ME"/>
        </w:rPr>
        <w:t xml:space="preserve"> proc</w:t>
      </w:r>
      <w:r w:rsidR="00A94902" w:rsidRPr="00D768EF">
        <w:rPr>
          <w:szCs w:val="22"/>
          <w:lang w:val="sr-Latn-ME"/>
        </w:rPr>
        <w:t>ij</w:t>
      </w:r>
      <w:r w:rsidRPr="00D768EF">
        <w:rPr>
          <w:szCs w:val="22"/>
          <w:lang w:val="sr-Latn-ME"/>
        </w:rPr>
        <w:t>enjena</w:t>
      </w:r>
      <w:r w:rsidRPr="00D768EF">
        <w:rPr>
          <w:color w:val="000000"/>
          <w:szCs w:val="22"/>
          <w:lang w:val="sr-Latn-ME"/>
        </w:rPr>
        <w:t xml:space="preserve"> </w:t>
      </w:r>
      <w:r w:rsidRPr="00D768EF">
        <w:rPr>
          <w:szCs w:val="22"/>
          <w:lang w:val="sr-Latn-ME"/>
        </w:rPr>
        <w:t>u randomizovanoj, dvostruko sl</w:t>
      </w:r>
      <w:r w:rsidR="00A94902" w:rsidRPr="00D768EF">
        <w:rPr>
          <w:szCs w:val="22"/>
          <w:lang w:val="sr-Latn-ME"/>
        </w:rPr>
        <w:t>ij</w:t>
      </w:r>
      <w:r w:rsidRPr="00D768EF">
        <w:rPr>
          <w:szCs w:val="22"/>
          <w:lang w:val="sr-Latn-ME"/>
        </w:rPr>
        <w:t>epoj, placebo kontrolisanoj studiji na</w:t>
      </w:r>
      <w:r w:rsidRPr="00D768EF">
        <w:rPr>
          <w:color w:val="000000"/>
          <w:szCs w:val="22"/>
          <w:lang w:val="sr-Latn-ME"/>
        </w:rPr>
        <w:t xml:space="preserve"> 94 pacijenta sa </w:t>
      </w:r>
      <w:r w:rsidRPr="00D768EF">
        <w:rPr>
          <w:iCs/>
          <w:color w:val="000000"/>
          <w:szCs w:val="22"/>
          <w:lang w:val="sr-Latn-ME"/>
        </w:rPr>
        <w:t>fistulizirajućom</w:t>
      </w:r>
      <w:r w:rsidRPr="00D768EF">
        <w:rPr>
          <w:i/>
          <w:iCs/>
          <w:color w:val="000000"/>
          <w:szCs w:val="22"/>
          <w:lang w:val="sr-Latn-ME"/>
        </w:rPr>
        <w:t xml:space="preserve"> </w:t>
      </w:r>
      <w:r w:rsidRPr="00D768EF">
        <w:rPr>
          <w:color w:val="000000"/>
          <w:szCs w:val="22"/>
          <w:lang w:val="sr-Latn-ME"/>
        </w:rPr>
        <w:t>Kronovom bolešću koji su imali fistule u periodu od najmanje 3 m</w:t>
      </w:r>
      <w:r w:rsidR="00A94902" w:rsidRPr="00D768EF">
        <w:rPr>
          <w:color w:val="000000"/>
          <w:szCs w:val="22"/>
          <w:lang w:val="sr-Latn-ME"/>
        </w:rPr>
        <w:t>j</w:t>
      </w:r>
      <w:r w:rsidRPr="00D768EF">
        <w:rPr>
          <w:color w:val="000000"/>
          <w:szCs w:val="22"/>
          <w:lang w:val="sr-Latn-ME"/>
        </w:rPr>
        <w:t xml:space="preserve">eseca. Trideset jedan od ovih pacijenata </w:t>
      </w:r>
      <w:r w:rsidR="00D57936" w:rsidRPr="00D768EF">
        <w:rPr>
          <w:color w:val="000000"/>
          <w:szCs w:val="22"/>
          <w:lang w:val="sr-Latn-ME"/>
        </w:rPr>
        <w:t>liječe</w:t>
      </w:r>
      <w:r w:rsidRPr="00D768EF">
        <w:rPr>
          <w:color w:val="000000"/>
          <w:szCs w:val="22"/>
          <w:lang w:val="sr-Latn-ME"/>
        </w:rPr>
        <w:t>n je infliksimabom u dozi od 5 mg/kg. Oko 93% pacijenata prethodno je primalo antibiotsku ili imunosupresivnu terapiju.</w:t>
      </w:r>
    </w:p>
    <w:p w14:paraId="00BBB224" w14:textId="77777777" w:rsidR="00C175E4" w:rsidRPr="00D768EF" w:rsidRDefault="00C175E4" w:rsidP="00C175E4">
      <w:pPr>
        <w:rPr>
          <w:color w:val="000000"/>
          <w:szCs w:val="22"/>
          <w:lang w:val="sr-Latn-ME"/>
        </w:rPr>
      </w:pPr>
    </w:p>
    <w:p w14:paraId="3BADB3B8" w14:textId="449F0D8A" w:rsidR="00C175E4" w:rsidRPr="00D768EF" w:rsidRDefault="001D4BD4" w:rsidP="00C175E4">
      <w:pPr>
        <w:rPr>
          <w:color w:val="000000"/>
          <w:szCs w:val="22"/>
          <w:lang w:val="sr-Latn-ME"/>
        </w:rPr>
      </w:pPr>
      <w:r w:rsidRPr="00D768EF">
        <w:rPr>
          <w:color w:val="000000"/>
          <w:szCs w:val="22"/>
          <w:lang w:val="sr-Latn-ME"/>
        </w:rPr>
        <w:t>Bila je dozvoljena i</w:t>
      </w:r>
      <w:r w:rsidR="00C175E4" w:rsidRPr="00D768EF">
        <w:rPr>
          <w:color w:val="000000"/>
          <w:szCs w:val="22"/>
          <w:lang w:val="sr-Latn-ME"/>
        </w:rPr>
        <w:t>stovremena upotreba konvencionalnih l</w:t>
      </w:r>
      <w:r w:rsidR="00A94902" w:rsidRPr="00D768EF">
        <w:rPr>
          <w:color w:val="000000"/>
          <w:szCs w:val="22"/>
          <w:lang w:val="sr-Latn-ME"/>
        </w:rPr>
        <w:t>j</w:t>
      </w:r>
      <w:r w:rsidR="00C175E4" w:rsidRPr="00D768EF">
        <w:rPr>
          <w:color w:val="000000"/>
          <w:szCs w:val="22"/>
          <w:lang w:val="sr-Latn-ME"/>
        </w:rPr>
        <w:t xml:space="preserve">ekova </w:t>
      </w:r>
      <w:r w:rsidR="00274985" w:rsidRPr="00D768EF">
        <w:rPr>
          <w:color w:val="000000"/>
          <w:szCs w:val="22"/>
          <w:lang w:val="sr-Latn-ME"/>
        </w:rPr>
        <w:t xml:space="preserve">u stabilnim dozama </w:t>
      </w:r>
      <w:r w:rsidR="00C175E4" w:rsidRPr="00D768EF">
        <w:rPr>
          <w:color w:val="000000"/>
          <w:szCs w:val="22"/>
          <w:lang w:val="sr-Latn-ME"/>
        </w:rPr>
        <w:t>i 83% pacijenata nastavilo je da prima najmanje jedan od tih l</w:t>
      </w:r>
      <w:r w:rsidR="00A94902" w:rsidRPr="00D768EF">
        <w:rPr>
          <w:color w:val="000000"/>
          <w:szCs w:val="22"/>
          <w:lang w:val="sr-Latn-ME"/>
        </w:rPr>
        <w:t>j</w:t>
      </w:r>
      <w:r w:rsidR="00C175E4" w:rsidRPr="00D768EF">
        <w:rPr>
          <w:color w:val="000000"/>
          <w:szCs w:val="22"/>
          <w:lang w:val="sr-Latn-ME"/>
        </w:rPr>
        <w:t xml:space="preserve">ekova. Pacijenti su primali po tri doze ili placeba ili infliksimaba u 0, 2. i 6. </w:t>
      </w:r>
      <w:r w:rsidR="00D57936" w:rsidRPr="00D768EF">
        <w:rPr>
          <w:color w:val="000000"/>
          <w:szCs w:val="22"/>
          <w:lang w:val="sr-Latn-ME"/>
        </w:rPr>
        <w:t>nedjelj</w:t>
      </w:r>
      <w:r w:rsidR="00C175E4" w:rsidRPr="00D768EF">
        <w:rPr>
          <w:color w:val="000000"/>
          <w:szCs w:val="22"/>
          <w:lang w:val="sr-Latn-ME"/>
        </w:rPr>
        <w:t xml:space="preserve">i. Pacijenti su praćeni </w:t>
      </w:r>
      <w:r w:rsidR="00274985" w:rsidRPr="00D768EF">
        <w:rPr>
          <w:color w:val="000000"/>
          <w:szCs w:val="22"/>
          <w:lang w:val="sr-Latn-ME"/>
        </w:rPr>
        <w:t>do</w:t>
      </w:r>
      <w:r w:rsidR="00C175E4" w:rsidRPr="00D768EF">
        <w:rPr>
          <w:color w:val="000000"/>
          <w:szCs w:val="22"/>
          <w:lang w:val="sr-Latn-ME"/>
        </w:rPr>
        <w:t xml:space="preserve"> 26 </w:t>
      </w:r>
      <w:r w:rsidR="00D57936" w:rsidRPr="00D768EF">
        <w:rPr>
          <w:color w:val="000000"/>
          <w:szCs w:val="22"/>
          <w:lang w:val="sr-Latn-ME"/>
        </w:rPr>
        <w:t>nedjelj</w:t>
      </w:r>
      <w:r w:rsidR="00274985" w:rsidRPr="00D768EF">
        <w:rPr>
          <w:color w:val="000000"/>
          <w:szCs w:val="22"/>
          <w:lang w:val="sr-Latn-ME"/>
        </w:rPr>
        <w:t>e</w:t>
      </w:r>
      <w:r w:rsidR="00C175E4" w:rsidRPr="00D768EF">
        <w:rPr>
          <w:color w:val="000000"/>
          <w:szCs w:val="22"/>
          <w:lang w:val="sr-Latn-ME"/>
        </w:rPr>
        <w:t xml:space="preserve">. Primarni </w:t>
      </w:r>
      <w:r w:rsidR="00274985" w:rsidRPr="00D768EF">
        <w:rPr>
          <w:color w:val="000000"/>
          <w:szCs w:val="22"/>
          <w:lang w:val="sr-Latn-ME"/>
        </w:rPr>
        <w:t>parametar praćenja</w:t>
      </w:r>
      <w:r w:rsidR="00C175E4" w:rsidRPr="00D768EF">
        <w:rPr>
          <w:color w:val="000000"/>
          <w:szCs w:val="22"/>
          <w:lang w:val="sr-Latn-ME"/>
        </w:rPr>
        <w:t xml:space="preserve"> bio je </w:t>
      </w:r>
      <w:r w:rsidR="00274985" w:rsidRPr="00D768EF">
        <w:rPr>
          <w:color w:val="000000"/>
          <w:szCs w:val="22"/>
          <w:lang w:val="sr-Latn-ME"/>
        </w:rPr>
        <w:t xml:space="preserve">udeo </w:t>
      </w:r>
      <w:r w:rsidR="00C175E4" w:rsidRPr="00D768EF">
        <w:rPr>
          <w:color w:val="000000"/>
          <w:szCs w:val="22"/>
          <w:lang w:val="sr-Latn-ME"/>
        </w:rPr>
        <w:t>pacijenata kod kojih se ostvario klinički odgovor, a koji je definisan kao </w:t>
      </w:r>
      <w:r w:rsidR="00C175E4" w:rsidRPr="00D768EF">
        <w:rPr>
          <w:color w:val="000000"/>
          <w:szCs w:val="22"/>
          <w:lang w:val="sr-Latn-ME"/>
        </w:rPr>
        <w:sym w:font="Symbol" w:char="F0B3"/>
      </w:r>
      <w:r w:rsidR="00C175E4" w:rsidRPr="00D768EF">
        <w:rPr>
          <w:color w:val="000000"/>
          <w:szCs w:val="22"/>
          <w:lang w:val="sr-Latn-ME"/>
        </w:rPr>
        <w:t> 50%-tno smanjenje početnog broja fistula koje su se drenirale na lagani pritisak u najmanje dve uzastopne pos</w:t>
      </w:r>
      <w:r w:rsidR="00CF5D59">
        <w:rPr>
          <w:color w:val="000000"/>
          <w:szCs w:val="22"/>
          <w:lang w:val="sr-Latn-ME"/>
        </w:rPr>
        <w:t>j</w:t>
      </w:r>
      <w:r w:rsidR="00C175E4" w:rsidRPr="00D768EF">
        <w:rPr>
          <w:color w:val="000000"/>
          <w:szCs w:val="22"/>
          <w:lang w:val="sr-Latn-ME"/>
        </w:rPr>
        <w:t>ete l</w:t>
      </w:r>
      <w:r w:rsidR="00C3214E" w:rsidRPr="00D768EF">
        <w:rPr>
          <w:color w:val="000000"/>
          <w:szCs w:val="22"/>
          <w:lang w:val="sr-Latn-ME"/>
        </w:rPr>
        <w:t>j</w:t>
      </w:r>
      <w:r w:rsidR="00C175E4" w:rsidRPr="00D768EF">
        <w:rPr>
          <w:color w:val="000000"/>
          <w:szCs w:val="22"/>
          <w:lang w:val="sr-Latn-ME"/>
        </w:rPr>
        <w:t xml:space="preserve">ekaru (sa razmakom od 4 </w:t>
      </w:r>
      <w:r w:rsidR="00D57936" w:rsidRPr="00D768EF">
        <w:rPr>
          <w:color w:val="000000"/>
          <w:szCs w:val="22"/>
          <w:lang w:val="sr-Latn-ME"/>
        </w:rPr>
        <w:t>nedjelj</w:t>
      </w:r>
      <w:r w:rsidR="00C175E4" w:rsidRPr="00D768EF">
        <w:rPr>
          <w:color w:val="000000"/>
          <w:szCs w:val="22"/>
          <w:lang w:val="sr-Latn-ME"/>
        </w:rPr>
        <w:t>e), bez povećanja doze l</w:t>
      </w:r>
      <w:r w:rsidR="00C3214E" w:rsidRPr="00D768EF">
        <w:rPr>
          <w:color w:val="000000"/>
          <w:szCs w:val="22"/>
          <w:lang w:val="sr-Latn-ME"/>
        </w:rPr>
        <w:t>j</w:t>
      </w:r>
      <w:r w:rsidR="00C175E4" w:rsidRPr="00D768EF">
        <w:rPr>
          <w:color w:val="000000"/>
          <w:szCs w:val="22"/>
          <w:lang w:val="sr-Latn-ME"/>
        </w:rPr>
        <w:t xml:space="preserve">ekova za Kronovu bolest ili hirurškog </w:t>
      </w:r>
      <w:r w:rsidR="00D57936" w:rsidRPr="00D768EF">
        <w:rPr>
          <w:color w:val="000000"/>
          <w:szCs w:val="22"/>
          <w:lang w:val="sr-Latn-ME"/>
        </w:rPr>
        <w:t>liječe</w:t>
      </w:r>
      <w:r w:rsidR="00C175E4" w:rsidRPr="00D768EF">
        <w:rPr>
          <w:color w:val="000000"/>
          <w:szCs w:val="22"/>
          <w:lang w:val="sr-Latn-ME"/>
        </w:rPr>
        <w:t>nja Kronove bolesti.</w:t>
      </w:r>
    </w:p>
    <w:p w14:paraId="11D46CDE" w14:textId="77777777" w:rsidR="00C175E4" w:rsidRPr="00D768EF" w:rsidRDefault="00C175E4" w:rsidP="00C175E4">
      <w:pPr>
        <w:rPr>
          <w:color w:val="000000"/>
          <w:szCs w:val="22"/>
          <w:lang w:val="sr-Latn-ME"/>
        </w:rPr>
      </w:pPr>
    </w:p>
    <w:p w14:paraId="1D61497B" w14:textId="32E5F18B" w:rsidR="00C175E4" w:rsidRPr="00D768EF" w:rsidRDefault="00C175E4" w:rsidP="00C175E4">
      <w:pPr>
        <w:rPr>
          <w:szCs w:val="22"/>
          <w:lang w:val="sr-Latn-ME"/>
        </w:rPr>
      </w:pPr>
      <w:r w:rsidRPr="00D768EF">
        <w:rPr>
          <w:szCs w:val="22"/>
          <w:lang w:val="sr-Latn-ME"/>
        </w:rPr>
        <w:t xml:space="preserve">Kod šezdeset osam procenata (21/31) pacijenata </w:t>
      </w:r>
      <w:r w:rsidR="00D57936" w:rsidRPr="00D768EF">
        <w:rPr>
          <w:szCs w:val="22"/>
          <w:lang w:val="sr-Latn-ME"/>
        </w:rPr>
        <w:t>liječe</w:t>
      </w:r>
      <w:r w:rsidRPr="00D768EF">
        <w:rPr>
          <w:szCs w:val="22"/>
          <w:lang w:val="sr-Latn-ME"/>
        </w:rPr>
        <w:t xml:space="preserve">nih infliksimabom u dozi od 5 mg/kg postignut je klinički </w:t>
      </w:r>
      <w:r w:rsidRPr="00D768EF">
        <w:rPr>
          <w:color w:val="000000"/>
          <w:szCs w:val="22"/>
          <w:lang w:val="sr-Latn-ME"/>
        </w:rPr>
        <w:t xml:space="preserve">odgovor </w:t>
      </w:r>
      <w:r w:rsidRPr="00D768EF">
        <w:rPr>
          <w:szCs w:val="22"/>
          <w:lang w:val="sr-Latn-ME"/>
        </w:rPr>
        <w:t>u odnosu na 26% (8/31) pacijenata koji su primali placebo (p = 0</w:t>
      </w:r>
      <w:r w:rsidR="00274985" w:rsidRPr="00D768EF">
        <w:rPr>
          <w:szCs w:val="22"/>
          <w:lang w:val="sr-Latn-ME"/>
        </w:rPr>
        <w:t>,</w:t>
      </w:r>
      <w:r w:rsidRPr="00D768EF">
        <w:rPr>
          <w:szCs w:val="22"/>
          <w:lang w:val="sr-Latn-ME"/>
        </w:rPr>
        <w:t>002). Medijana vremena do pojave kliničkog odgovora</w:t>
      </w:r>
      <w:r w:rsidRPr="00D768EF">
        <w:rPr>
          <w:color w:val="000000"/>
          <w:szCs w:val="22"/>
          <w:lang w:val="sr-Latn-ME"/>
        </w:rPr>
        <w:t xml:space="preserve"> </w:t>
      </w:r>
      <w:r w:rsidRPr="00D768EF">
        <w:rPr>
          <w:szCs w:val="22"/>
          <w:lang w:val="sr-Latn-ME"/>
        </w:rPr>
        <w:t>kod pacijenata koji su primali infliksimab iznosila je 2 </w:t>
      </w:r>
      <w:r w:rsidR="00D57936" w:rsidRPr="00D768EF">
        <w:rPr>
          <w:szCs w:val="22"/>
          <w:lang w:val="sr-Latn-ME"/>
        </w:rPr>
        <w:t>nedjelj</w:t>
      </w:r>
      <w:r w:rsidRPr="00D768EF">
        <w:rPr>
          <w:szCs w:val="22"/>
          <w:lang w:val="sr-Latn-ME"/>
        </w:rPr>
        <w:t xml:space="preserve">e. Medijana trajanje </w:t>
      </w:r>
      <w:r w:rsidRPr="00D768EF">
        <w:rPr>
          <w:color w:val="000000"/>
          <w:szCs w:val="22"/>
          <w:lang w:val="sr-Latn-ME"/>
        </w:rPr>
        <w:t xml:space="preserve">odgovora </w:t>
      </w:r>
      <w:r w:rsidRPr="00D768EF">
        <w:rPr>
          <w:szCs w:val="22"/>
          <w:lang w:val="sr-Latn-ME"/>
        </w:rPr>
        <w:t>bila je 12 </w:t>
      </w:r>
      <w:r w:rsidR="00D57936" w:rsidRPr="00D768EF">
        <w:rPr>
          <w:szCs w:val="22"/>
          <w:lang w:val="sr-Latn-ME"/>
        </w:rPr>
        <w:t>nedjelj</w:t>
      </w:r>
      <w:r w:rsidRPr="00D768EF">
        <w:rPr>
          <w:szCs w:val="22"/>
          <w:lang w:val="sr-Latn-ME"/>
        </w:rPr>
        <w:t>a. Pored toga, zatvaranje svih fistula ostvareno je kod 55% pacijenata koji su primali infliksimab u poređenju sa 13% pacijenata koji su primali placebo (p = 0</w:t>
      </w:r>
      <w:r w:rsidR="00274985" w:rsidRPr="00D768EF">
        <w:rPr>
          <w:szCs w:val="22"/>
          <w:lang w:val="sr-Latn-ME"/>
        </w:rPr>
        <w:t>,</w:t>
      </w:r>
      <w:r w:rsidRPr="00D768EF">
        <w:rPr>
          <w:szCs w:val="22"/>
          <w:lang w:val="sr-Latn-ME"/>
        </w:rPr>
        <w:t>001).</w:t>
      </w:r>
    </w:p>
    <w:p w14:paraId="384CBC71" w14:textId="77777777" w:rsidR="00C175E4" w:rsidRPr="00D768EF" w:rsidRDefault="00C175E4" w:rsidP="00C175E4">
      <w:pPr>
        <w:rPr>
          <w:color w:val="000000"/>
          <w:szCs w:val="22"/>
          <w:lang w:val="sr-Latn-ME"/>
        </w:rPr>
      </w:pPr>
    </w:p>
    <w:p w14:paraId="72E5FCD6" w14:textId="77777777" w:rsidR="00C175E4" w:rsidRPr="00D768EF" w:rsidRDefault="00C175E4" w:rsidP="00C175E4">
      <w:pPr>
        <w:rPr>
          <w:color w:val="000000"/>
          <w:szCs w:val="22"/>
          <w:lang w:val="sr-Latn-ME"/>
        </w:rPr>
      </w:pPr>
      <w:r w:rsidRPr="00D768EF">
        <w:rPr>
          <w:i/>
          <w:color w:val="000000"/>
          <w:szCs w:val="22"/>
          <w:lang w:val="sr-Latn-ME"/>
        </w:rPr>
        <w:t xml:space="preserve">Terapija održavanja </w:t>
      </w:r>
      <w:r w:rsidRPr="00D768EF">
        <w:rPr>
          <w:i/>
          <w:iCs/>
          <w:color w:val="000000"/>
          <w:szCs w:val="22"/>
          <w:lang w:val="sr-Latn-ME"/>
        </w:rPr>
        <w:t>kod fistulizirajuće aktivne Kronove bolesti</w:t>
      </w:r>
    </w:p>
    <w:p w14:paraId="7C218A03" w14:textId="3A701E7D" w:rsidR="00C175E4" w:rsidRPr="00D768EF" w:rsidRDefault="00C175E4" w:rsidP="00C175E4">
      <w:pPr>
        <w:rPr>
          <w:color w:val="000000"/>
          <w:szCs w:val="22"/>
          <w:lang w:val="sr-Latn-ME"/>
        </w:rPr>
      </w:pPr>
      <w:r w:rsidRPr="00D768EF">
        <w:rPr>
          <w:color w:val="000000"/>
          <w:szCs w:val="22"/>
          <w:lang w:val="sr-Latn-ME"/>
        </w:rPr>
        <w:t xml:space="preserve">Efikasnost ponovljenih infuzija infliksimaba kod pacijenata sa </w:t>
      </w:r>
      <w:r w:rsidRPr="00D768EF">
        <w:rPr>
          <w:iCs/>
          <w:color w:val="000000"/>
          <w:szCs w:val="22"/>
          <w:lang w:val="sr-Latn-ME"/>
        </w:rPr>
        <w:t>fistulizirajućom</w:t>
      </w:r>
      <w:r w:rsidRPr="00D768EF">
        <w:rPr>
          <w:i/>
          <w:iCs/>
          <w:color w:val="000000"/>
          <w:szCs w:val="22"/>
          <w:lang w:val="sr-Latn-ME"/>
        </w:rPr>
        <w:t xml:space="preserve"> </w:t>
      </w:r>
      <w:r w:rsidRPr="00D768EF">
        <w:rPr>
          <w:color w:val="000000"/>
          <w:szCs w:val="22"/>
          <w:lang w:val="sr-Latn-ME"/>
        </w:rPr>
        <w:t>Kronovom bolešću ispitivana je u jednogodišnjoj kliničkoj studiji (ACCENT II). Ukupno 306 pacijenata primilo je 3 doze infliksimaba od po 5 mg/kg u 0</w:t>
      </w:r>
      <w:r w:rsidR="00274985" w:rsidRPr="00D768EF">
        <w:rPr>
          <w:color w:val="000000"/>
          <w:szCs w:val="22"/>
          <w:lang w:val="sr-Latn-ME"/>
        </w:rPr>
        <w:t xml:space="preserve"> </w:t>
      </w:r>
      <w:r w:rsidRPr="00D768EF">
        <w:rPr>
          <w:color w:val="000000"/>
          <w:szCs w:val="22"/>
          <w:lang w:val="sr-Latn-ME"/>
        </w:rPr>
        <w:t xml:space="preserve">,2. i 6. </w:t>
      </w:r>
      <w:r w:rsidR="00D57936" w:rsidRPr="00D768EF">
        <w:rPr>
          <w:color w:val="000000"/>
          <w:szCs w:val="22"/>
          <w:lang w:val="sr-Latn-ME"/>
        </w:rPr>
        <w:t>nedjelj</w:t>
      </w:r>
      <w:r w:rsidRPr="00D768EF">
        <w:rPr>
          <w:color w:val="000000"/>
          <w:szCs w:val="22"/>
          <w:lang w:val="sr-Latn-ME"/>
        </w:rPr>
        <w:t>i. Na početku studije, 87% pacijenata imalo je</w:t>
      </w:r>
      <w:r w:rsidRPr="00D768EF">
        <w:rPr>
          <w:szCs w:val="22"/>
          <w:lang w:val="sr-Latn-ME"/>
        </w:rPr>
        <w:t xml:space="preserve"> </w:t>
      </w:r>
      <w:r w:rsidRPr="00D768EF">
        <w:rPr>
          <w:color w:val="000000"/>
          <w:szCs w:val="22"/>
          <w:lang w:val="sr-Latn-ME"/>
        </w:rPr>
        <w:t xml:space="preserve">perianalne fistule, 14% je imalo abdominalne fistule, a 9% je imalo rektovaginalne fistule. Medijana CDAI skora bila je 180. U 14. </w:t>
      </w:r>
      <w:r w:rsidR="00D57936" w:rsidRPr="00D768EF">
        <w:rPr>
          <w:color w:val="000000"/>
          <w:szCs w:val="22"/>
          <w:lang w:val="sr-Latn-ME"/>
        </w:rPr>
        <w:t>nedjelj</w:t>
      </w:r>
      <w:r w:rsidRPr="00D768EF">
        <w:rPr>
          <w:color w:val="000000"/>
          <w:szCs w:val="22"/>
          <w:lang w:val="sr-Latn-ME"/>
        </w:rPr>
        <w:t>i proc</w:t>
      </w:r>
      <w:r w:rsidR="00A94902" w:rsidRPr="00D768EF">
        <w:rPr>
          <w:color w:val="000000"/>
          <w:szCs w:val="22"/>
          <w:lang w:val="sr-Latn-ME"/>
        </w:rPr>
        <w:t>ij</w:t>
      </w:r>
      <w:r w:rsidRPr="00D768EF">
        <w:rPr>
          <w:color w:val="000000"/>
          <w:szCs w:val="22"/>
          <w:lang w:val="sr-Latn-ME"/>
        </w:rPr>
        <w:t xml:space="preserve">enjen je klinički odgovor 282 pacijenta koji su randomizovani da do 46. </w:t>
      </w:r>
      <w:r w:rsidR="00D57936" w:rsidRPr="00D768EF">
        <w:rPr>
          <w:color w:val="000000"/>
          <w:szCs w:val="22"/>
          <w:lang w:val="sr-Latn-ME"/>
        </w:rPr>
        <w:t>nedjelj</w:t>
      </w:r>
      <w:r w:rsidRPr="00D768EF">
        <w:rPr>
          <w:color w:val="000000"/>
          <w:szCs w:val="22"/>
          <w:lang w:val="sr-Latn-ME"/>
        </w:rPr>
        <w:t>e primaju ili placebo ili dozu od 5 mg/kg infliksimaba svakih 8 </w:t>
      </w:r>
      <w:r w:rsidR="00D57936" w:rsidRPr="00D768EF">
        <w:rPr>
          <w:color w:val="000000"/>
          <w:szCs w:val="22"/>
          <w:lang w:val="sr-Latn-ME"/>
        </w:rPr>
        <w:t>nedjelj</w:t>
      </w:r>
      <w:r w:rsidRPr="00D768EF">
        <w:rPr>
          <w:color w:val="000000"/>
          <w:szCs w:val="22"/>
          <w:lang w:val="sr-Latn-ME"/>
        </w:rPr>
        <w:t>a.</w:t>
      </w:r>
    </w:p>
    <w:p w14:paraId="2DB88110" w14:textId="77777777" w:rsidR="00C175E4" w:rsidRPr="00D768EF" w:rsidRDefault="00C175E4" w:rsidP="00C175E4">
      <w:pPr>
        <w:rPr>
          <w:color w:val="000000"/>
          <w:szCs w:val="22"/>
          <w:lang w:val="sr-Latn-ME"/>
        </w:rPr>
      </w:pPr>
    </w:p>
    <w:p w14:paraId="1A3C12EA" w14:textId="7D0FE8C2" w:rsidR="00C175E4" w:rsidRPr="00D768EF" w:rsidRDefault="00C175E4" w:rsidP="00C175E4">
      <w:pPr>
        <w:rPr>
          <w:color w:val="000000"/>
          <w:szCs w:val="22"/>
          <w:lang w:val="sr-Latn-ME"/>
        </w:rPr>
      </w:pPr>
      <w:r w:rsidRPr="00D768EF">
        <w:rPr>
          <w:color w:val="000000"/>
          <w:szCs w:val="22"/>
          <w:lang w:val="sr-Latn-ME"/>
        </w:rPr>
        <w:t xml:space="preserve">Pacijenti kod kojih je došlo do odgovora u 14. </w:t>
      </w:r>
      <w:r w:rsidR="00D57936" w:rsidRPr="00D768EF">
        <w:rPr>
          <w:color w:val="000000"/>
          <w:szCs w:val="22"/>
          <w:lang w:val="sr-Latn-ME"/>
        </w:rPr>
        <w:t>nedjelj</w:t>
      </w:r>
      <w:r w:rsidRPr="00D768EF">
        <w:rPr>
          <w:color w:val="000000"/>
          <w:szCs w:val="22"/>
          <w:lang w:val="sr-Latn-ME"/>
        </w:rPr>
        <w:t xml:space="preserve">i (195/282) analizirani su za primarni </w:t>
      </w:r>
      <w:r w:rsidR="00274985" w:rsidRPr="00D768EF">
        <w:rPr>
          <w:color w:val="000000"/>
          <w:szCs w:val="22"/>
          <w:lang w:val="sr-Latn-ME"/>
        </w:rPr>
        <w:t>parametar praćenja</w:t>
      </w:r>
      <w:r w:rsidRPr="00D768EF">
        <w:rPr>
          <w:color w:val="000000"/>
          <w:szCs w:val="22"/>
          <w:lang w:val="sr-Latn-ME"/>
        </w:rPr>
        <w:t>, koji je definisan kao vr</w:t>
      </w:r>
      <w:r w:rsidR="00A94902" w:rsidRPr="00D768EF">
        <w:rPr>
          <w:color w:val="000000"/>
          <w:szCs w:val="22"/>
          <w:lang w:val="sr-Latn-ME"/>
        </w:rPr>
        <w:t>ij</w:t>
      </w:r>
      <w:r w:rsidRPr="00D768EF">
        <w:rPr>
          <w:color w:val="000000"/>
          <w:szCs w:val="22"/>
          <w:lang w:val="sr-Latn-ME"/>
        </w:rPr>
        <w:t>eme od randomizacije do gubitka odgovora (</w:t>
      </w:r>
      <w:r w:rsidR="00282A1E" w:rsidRPr="00D768EF">
        <w:rPr>
          <w:color w:val="000000"/>
          <w:szCs w:val="22"/>
          <w:lang w:val="sr-Latn-ME"/>
        </w:rPr>
        <w:t>vidjeti</w:t>
      </w:r>
      <w:r w:rsidRPr="00D768EF">
        <w:rPr>
          <w:color w:val="000000"/>
          <w:szCs w:val="22"/>
          <w:lang w:val="sr-Latn-ME"/>
        </w:rPr>
        <w:t xml:space="preserve"> Tabelu 7). Postepeno smanjenje doze kortikosteroida bilo je dopušteno posl</w:t>
      </w:r>
      <w:r w:rsidR="00CF5D59">
        <w:rPr>
          <w:color w:val="000000"/>
          <w:szCs w:val="22"/>
          <w:lang w:val="sr-Latn-ME"/>
        </w:rPr>
        <w:t>ij</w:t>
      </w:r>
      <w:r w:rsidRPr="00D768EF">
        <w:rPr>
          <w:color w:val="000000"/>
          <w:szCs w:val="22"/>
          <w:lang w:val="sr-Latn-ME"/>
        </w:rPr>
        <w:t xml:space="preserve">e 6. </w:t>
      </w:r>
      <w:r w:rsidR="00D57936" w:rsidRPr="00D768EF">
        <w:rPr>
          <w:color w:val="000000"/>
          <w:szCs w:val="22"/>
          <w:lang w:val="sr-Latn-ME"/>
        </w:rPr>
        <w:t>nedjelj</w:t>
      </w:r>
      <w:r w:rsidRPr="00D768EF">
        <w:rPr>
          <w:color w:val="000000"/>
          <w:szCs w:val="22"/>
          <w:lang w:val="sr-Latn-ME"/>
        </w:rPr>
        <w:t xml:space="preserve">e. </w:t>
      </w:r>
    </w:p>
    <w:p w14:paraId="5C3C3C3A" w14:textId="77777777" w:rsidR="00D26136" w:rsidRDefault="00D26136" w:rsidP="00C175E4">
      <w:pPr>
        <w:jc w:val="center"/>
        <w:rPr>
          <w:b/>
          <w:color w:val="000000"/>
          <w:szCs w:val="22"/>
          <w:lang w:val="sr-Latn-ME"/>
        </w:rPr>
      </w:pPr>
    </w:p>
    <w:p w14:paraId="74059135" w14:textId="3CD54170" w:rsidR="00C175E4" w:rsidRPr="00D768EF" w:rsidRDefault="00C175E4" w:rsidP="00C175E4">
      <w:pPr>
        <w:jc w:val="center"/>
        <w:rPr>
          <w:b/>
          <w:color w:val="000000"/>
          <w:szCs w:val="22"/>
          <w:lang w:val="sr-Latn-ME"/>
        </w:rPr>
      </w:pPr>
      <w:r w:rsidRPr="00D768EF">
        <w:rPr>
          <w:b/>
          <w:color w:val="000000"/>
          <w:szCs w:val="22"/>
          <w:lang w:val="sr-Latn-ME"/>
        </w:rPr>
        <w:t>Tabela 7</w:t>
      </w:r>
    </w:p>
    <w:p w14:paraId="6CBBD36B" w14:textId="22D6F638" w:rsidR="00274985" w:rsidRPr="00D768EF" w:rsidRDefault="00274985" w:rsidP="00C175E4">
      <w:pPr>
        <w:jc w:val="left"/>
        <w:rPr>
          <w:b/>
          <w:color w:val="000000"/>
          <w:szCs w:val="22"/>
          <w:lang w:val="sr-Latn-ME"/>
        </w:rPr>
      </w:pPr>
      <w:r w:rsidRPr="00D768EF">
        <w:rPr>
          <w:b/>
          <w:color w:val="000000"/>
          <w:szCs w:val="22"/>
          <w:lang w:val="sr-Latn-ME"/>
        </w:rPr>
        <w:t>Dejstva</w:t>
      </w:r>
      <w:r w:rsidR="00C175E4" w:rsidRPr="00D768EF">
        <w:rPr>
          <w:b/>
          <w:color w:val="000000"/>
          <w:szCs w:val="22"/>
          <w:lang w:val="sr-Latn-ME"/>
        </w:rPr>
        <w:t xml:space="preserve"> na stopu odgovora, podaci iz </w:t>
      </w:r>
      <w:r w:rsidRPr="00D768EF">
        <w:rPr>
          <w:b/>
          <w:color w:val="000000"/>
          <w:szCs w:val="22"/>
          <w:lang w:val="sr-Latn-ME"/>
        </w:rPr>
        <w:t xml:space="preserve">studije </w:t>
      </w:r>
      <w:r w:rsidR="00C175E4" w:rsidRPr="00D768EF">
        <w:rPr>
          <w:b/>
          <w:color w:val="000000"/>
          <w:szCs w:val="22"/>
          <w:lang w:val="sr-Latn-ME"/>
        </w:rPr>
        <w:t xml:space="preserve">ACCENT II </w:t>
      </w:r>
    </w:p>
    <w:p w14:paraId="14A08881" w14:textId="2B7F6CA5" w:rsidR="00C175E4" w:rsidRPr="00D768EF" w:rsidRDefault="00C175E4" w:rsidP="00C175E4">
      <w:pPr>
        <w:jc w:val="left"/>
        <w:rPr>
          <w:color w:val="000000"/>
          <w:szCs w:val="22"/>
          <w:lang w:val="sr-Latn-ME"/>
        </w:rPr>
      </w:pPr>
      <w:r w:rsidRPr="00D768EF">
        <w:rPr>
          <w:b/>
          <w:color w:val="000000"/>
          <w:szCs w:val="22"/>
          <w:lang w:val="sr-Latn-ME"/>
        </w:rPr>
        <w:t>(</w:t>
      </w:r>
      <w:r w:rsidR="00274985" w:rsidRPr="00D768EF">
        <w:rPr>
          <w:b/>
          <w:color w:val="000000"/>
          <w:szCs w:val="22"/>
          <w:lang w:val="sr-Latn-ME"/>
        </w:rPr>
        <w:t>p</w:t>
      </w:r>
      <w:r w:rsidRPr="00D768EF">
        <w:rPr>
          <w:b/>
          <w:color w:val="000000"/>
          <w:szCs w:val="22"/>
          <w:lang w:val="sr-Latn-ME"/>
        </w:rPr>
        <w:t xml:space="preserve">acijenti koji su </w:t>
      </w:r>
      <w:r w:rsidR="00274985" w:rsidRPr="00D768EF">
        <w:rPr>
          <w:b/>
          <w:color w:val="000000"/>
          <w:szCs w:val="22"/>
          <w:lang w:val="sr-Latn-ME"/>
        </w:rPr>
        <w:t>ostvarili odgovor</w:t>
      </w:r>
      <w:r w:rsidRPr="00D768EF">
        <w:rPr>
          <w:b/>
          <w:color w:val="000000"/>
          <w:szCs w:val="22"/>
          <w:lang w:val="sr-Latn-ME"/>
        </w:rPr>
        <w:t xml:space="preserve"> u 14. </w:t>
      </w:r>
      <w:r w:rsidR="00D57936" w:rsidRPr="00D768EF">
        <w:rPr>
          <w:b/>
          <w:color w:val="000000"/>
          <w:szCs w:val="22"/>
          <w:lang w:val="sr-Latn-ME"/>
        </w:rPr>
        <w:t>nedjelj</w:t>
      </w:r>
      <w:r w:rsidRPr="00D768EF">
        <w:rPr>
          <w:b/>
          <w:color w:val="000000"/>
          <w:szCs w:val="22"/>
          <w:lang w:val="sr-Latn-ME"/>
        </w:rPr>
        <w:t>i)</w:t>
      </w:r>
    </w:p>
    <w:tbl>
      <w:tblPr>
        <w:tblW w:w="8874"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686"/>
        <w:gridCol w:w="1729"/>
        <w:gridCol w:w="1729"/>
        <w:gridCol w:w="1730"/>
      </w:tblGrid>
      <w:tr w:rsidR="00C175E4" w:rsidRPr="00EE2CAE" w14:paraId="65BFC467" w14:textId="77777777" w:rsidTr="00622285">
        <w:trPr>
          <w:cantSplit/>
        </w:trPr>
        <w:tc>
          <w:tcPr>
            <w:tcW w:w="3686" w:type="dxa"/>
            <w:vMerge w:val="restart"/>
            <w:vAlign w:val="center"/>
          </w:tcPr>
          <w:p w14:paraId="6DA18637" w14:textId="77777777" w:rsidR="00C175E4" w:rsidRPr="00D768EF" w:rsidRDefault="00C175E4" w:rsidP="00622285">
            <w:pPr>
              <w:spacing w:after="40"/>
              <w:jc w:val="left"/>
              <w:rPr>
                <w:color w:val="000000"/>
                <w:szCs w:val="22"/>
                <w:lang w:val="sr-Latn-ME"/>
              </w:rPr>
            </w:pPr>
          </w:p>
        </w:tc>
        <w:tc>
          <w:tcPr>
            <w:tcW w:w="5188" w:type="dxa"/>
            <w:gridSpan w:val="3"/>
            <w:vAlign w:val="center"/>
          </w:tcPr>
          <w:p w14:paraId="68A6E583" w14:textId="47E10D59" w:rsidR="00C175E4" w:rsidRPr="00D768EF" w:rsidRDefault="00C175E4" w:rsidP="00622285">
            <w:pPr>
              <w:spacing w:after="40"/>
              <w:jc w:val="left"/>
              <w:rPr>
                <w:b/>
                <w:bCs/>
                <w:color w:val="000000"/>
                <w:szCs w:val="22"/>
                <w:lang w:val="sr-Latn-ME"/>
              </w:rPr>
            </w:pPr>
            <w:r w:rsidRPr="00D768EF">
              <w:rPr>
                <w:color w:val="000000"/>
                <w:szCs w:val="22"/>
                <w:lang w:val="sr-Latn-ME"/>
              </w:rPr>
              <w:t>ACCENT II (</w:t>
            </w:r>
            <w:r w:rsidR="00274985" w:rsidRPr="00D768EF">
              <w:rPr>
                <w:color w:val="000000"/>
                <w:szCs w:val="22"/>
                <w:lang w:val="sr-Latn-ME"/>
              </w:rPr>
              <w:t>p</w:t>
            </w:r>
            <w:r w:rsidRPr="00D768EF">
              <w:rPr>
                <w:color w:val="000000"/>
                <w:szCs w:val="22"/>
                <w:lang w:val="sr-Latn-ME"/>
              </w:rPr>
              <w:t xml:space="preserve">acijenti koji su </w:t>
            </w:r>
            <w:r w:rsidR="00274985" w:rsidRPr="00D768EF">
              <w:rPr>
                <w:color w:val="000000"/>
                <w:szCs w:val="22"/>
                <w:lang w:val="sr-Latn-ME"/>
              </w:rPr>
              <w:t>ostvarili odgovor</w:t>
            </w:r>
            <w:r w:rsidRPr="00D768EF">
              <w:rPr>
                <w:color w:val="000000"/>
                <w:szCs w:val="22"/>
                <w:lang w:val="sr-Latn-ME"/>
              </w:rPr>
              <w:t xml:space="preserve"> u 14. </w:t>
            </w:r>
            <w:r w:rsidR="00D57936" w:rsidRPr="00D768EF">
              <w:rPr>
                <w:color w:val="000000"/>
                <w:szCs w:val="22"/>
                <w:lang w:val="sr-Latn-ME"/>
              </w:rPr>
              <w:t>nedjelj</w:t>
            </w:r>
            <w:r w:rsidRPr="00D768EF">
              <w:rPr>
                <w:color w:val="000000"/>
                <w:szCs w:val="22"/>
                <w:lang w:val="sr-Latn-ME"/>
              </w:rPr>
              <w:t>i)</w:t>
            </w:r>
          </w:p>
        </w:tc>
      </w:tr>
      <w:tr w:rsidR="00C175E4" w:rsidRPr="00D768EF" w14:paraId="60C254ED" w14:textId="77777777" w:rsidTr="00622285">
        <w:tc>
          <w:tcPr>
            <w:tcW w:w="3686" w:type="dxa"/>
            <w:vMerge/>
            <w:vAlign w:val="center"/>
          </w:tcPr>
          <w:p w14:paraId="08DEA041" w14:textId="77777777" w:rsidR="00C175E4" w:rsidRPr="00D768EF" w:rsidRDefault="00C175E4" w:rsidP="00622285">
            <w:pPr>
              <w:spacing w:after="40"/>
              <w:jc w:val="left"/>
              <w:rPr>
                <w:color w:val="000000"/>
                <w:szCs w:val="22"/>
                <w:lang w:val="sr-Latn-ME"/>
              </w:rPr>
            </w:pPr>
          </w:p>
        </w:tc>
        <w:tc>
          <w:tcPr>
            <w:tcW w:w="1729" w:type="dxa"/>
            <w:vAlign w:val="center"/>
          </w:tcPr>
          <w:p w14:paraId="5FB68240" w14:textId="77777777" w:rsidR="00C175E4" w:rsidRPr="00D768EF" w:rsidRDefault="00C175E4" w:rsidP="00274985">
            <w:pPr>
              <w:spacing w:after="40"/>
              <w:jc w:val="center"/>
              <w:rPr>
                <w:color w:val="000000"/>
                <w:szCs w:val="22"/>
                <w:lang w:val="sr-Latn-ME"/>
              </w:rPr>
            </w:pPr>
            <w:r w:rsidRPr="00D768EF">
              <w:rPr>
                <w:color w:val="000000"/>
                <w:szCs w:val="22"/>
                <w:lang w:val="sr-Latn-ME"/>
              </w:rPr>
              <w:t>Terapija održavanja placebom</w:t>
            </w:r>
          </w:p>
          <w:p w14:paraId="77AFCAA1" w14:textId="0CC28F8E" w:rsidR="00C175E4" w:rsidRPr="00D768EF" w:rsidRDefault="00C175E4" w:rsidP="00274985">
            <w:pPr>
              <w:spacing w:after="40"/>
              <w:jc w:val="center"/>
              <w:rPr>
                <w:bCs/>
                <w:color w:val="000000"/>
                <w:szCs w:val="22"/>
                <w:lang w:val="sr-Latn-ME"/>
              </w:rPr>
            </w:pPr>
            <w:r w:rsidRPr="00D768EF">
              <w:rPr>
                <w:bCs/>
                <w:color w:val="000000"/>
                <w:szCs w:val="22"/>
                <w:lang w:val="sr-Latn-ME"/>
              </w:rPr>
              <w:t>(n=99)</w:t>
            </w:r>
          </w:p>
        </w:tc>
        <w:tc>
          <w:tcPr>
            <w:tcW w:w="1729" w:type="dxa"/>
            <w:vAlign w:val="center"/>
          </w:tcPr>
          <w:p w14:paraId="2DFD8C95" w14:textId="77777777" w:rsidR="00C175E4" w:rsidRPr="00D768EF" w:rsidRDefault="00C175E4" w:rsidP="00274985">
            <w:pPr>
              <w:spacing w:after="40"/>
              <w:jc w:val="center"/>
              <w:rPr>
                <w:color w:val="000000"/>
                <w:szCs w:val="22"/>
                <w:lang w:val="sr-Latn-ME"/>
              </w:rPr>
            </w:pPr>
            <w:r w:rsidRPr="00D768EF">
              <w:rPr>
                <w:color w:val="000000"/>
                <w:szCs w:val="22"/>
                <w:lang w:val="sr-Latn-ME"/>
              </w:rPr>
              <w:t>Terapija održavanja infliksimabom</w:t>
            </w:r>
          </w:p>
          <w:p w14:paraId="730700F9" w14:textId="1F09ED8A" w:rsidR="00C175E4" w:rsidRPr="00D768EF" w:rsidRDefault="00C175E4" w:rsidP="00274985">
            <w:pPr>
              <w:spacing w:after="40"/>
              <w:jc w:val="center"/>
              <w:rPr>
                <w:bCs/>
                <w:color w:val="000000"/>
                <w:szCs w:val="22"/>
                <w:lang w:val="sr-Latn-ME"/>
              </w:rPr>
            </w:pPr>
            <w:r w:rsidRPr="00D768EF">
              <w:rPr>
                <w:bCs/>
                <w:color w:val="000000"/>
                <w:szCs w:val="22"/>
                <w:lang w:val="sr-Latn-ME"/>
              </w:rPr>
              <w:t>(5 mg/kg)</w:t>
            </w:r>
          </w:p>
          <w:p w14:paraId="6EBD5048" w14:textId="77777777" w:rsidR="00C175E4" w:rsidRPr="00D768EF" w:rsidRDefault="00C175E4" w:rsidP="00274985">
            <w:pPr>
              <w:spacing w:after="40"/>
              <w:jc w:val="center"/>
              <w:rPr>
                <w:bCs/>
                <w:color w:val="000000"/>
                <w:szCs w:val="22"/>
                <w:lang w:val="sr-Latn-ME"/>
              </w:rPr>
            </w:pPr>
            <w:r w:rsidRPr="00D768EF">
              <w:rPr>
                <w:bCs/>
                <w:color w:val="000000"/>
                <w:szCs w:val="22"/>
                <w:lang w:val="sr-Latn-ME"/>
              </w:rPr>
              <w:t>(n=96)</w:t>
            </w:r>
          </w:p>
        </w:tc>
        <w:tc>
          <w:tcPr>
            <w:tcW w:w="1730" w:type="dxa"/>
            <w:vAlign w:val="center"/>
          </w:tcPr>
          <w:p w14:paraId="6FBDD5DC" w14:textId="77777777" w:rsidR="00C175E4" w:rsidRPr="00D768EF" w:rsidRDefault="00C175E4" w:rsidP="00274985">
            <w:pPr>
              <w:spacing w:after="40"/>
              <w:jc w:val="center"/>
              <w:rPr>
                <w:bCs/>
                <w:color w:val="000000"/>
                <w:szCs w:val="22"/>
                <w:lang w:val="sr-Latn-ME"/>
              </w:rPr>
            </w:pPr>
            <w:r w:rsidRPr="00D768EF">
              <w:rPr>
                <w:bCs/>
                <w:color w:val="000000"/>
                <w:szCs w:val="22"/>
                <w:lang w:val="sr-Latn-ME"/>
              </w:rPr>
              <w:t>p-</w:t>
            </w:r>
            <w:r w:rsidR="008A0A5C" w:rsidRPr="00D768EF">
              <w:rPr>
                <w:bCs/>
                <w:color w:val="000000"/>
                <w:szCs w:val="22"/>
                <w:lang w:val="sr-Latn-ME"/>
              </w:rPr>
              <w:t>vrijedno</w:t>
            </w:r>
            <w:r w:rsidRPr="00D768EF">
              <w:rPr>
                <w:bCs/>
                <w:color w:val="000000"/>
                <w:szCs w:val="22"/>
                <w:lang w:val="sr-Latn-ME"/>
              </w:rPr>
              <w:t>st</w:t>
            </w:r>
          </w:p>
        </w:tc>
      </w:tr>
      <w:tr w:rsidR="00C175E4" w:rsidRPr="00D768EF" w14:paraId="0EBE2C3E" w14:textId="77777777" w:rsidTr="00622285">
        <w:tc>
          <w:tcPr>
            <w:tcW w:w="3686" w:type="dxa"/>
            <w:vAlign w:val="center"/>
          </w:tcPr>
          <w:p w14:paraId="1A40F99E" w14:textId="68939283" w:rsidR="00C175E4" w:rsidRPr="00D768EF" w:rsidRDefault="00C175E4" w:rsidP="00622285">
            <w:pPr>
              <w:spacing w:after="40"/>
              <w:jc w:val="left"/>
              <w:rPr>
                <w:color w:val="000000"/>
                <w:szCs w:val="22"/>
                <w:lang w:val="sr-Latn-ME"/>
              </w:rPr>
            </w:pPr>
            <w:r w:rsidRPr="00D768EF">
              <w:rPr>
                <w:color w:val="000000"/>
                <w:szCs w:val="22"/>
                <w:lang w:val="sr-Latn-ME"/>
              </w:rPr>
              <w:t xml:space="preserve">Medijana vremena do gubitka odgovora u periodu do 54. </w:t>
            </w:r>
            <w:r w:rsidR="00D57936" w:rsidRPr="00D768EF">
              <w:rPr>
                <w:color w:val="000000"/>
                <w:szCs w:val="22"/>
                <w:lang w:val="sr-Latn-ME"/>
              </w:rPr>
              <w:t>nedjelj</w:t>
            </w:r>
            <w:r w:rsidRPr="00D768EF">
              <w:rPr>
                <w:color w:val="000000"/>
                <w:szCs w:val="22"/>
                <w:lang w:val="sr-Latn-ME"/>
              </w:rPr>
              <w:t xml:space="preserve">e </w:t>
            </w:r>
          </w:p>
        </w:tc>
        <w:tc>
          <w:tcPr>
            <w:tcW w:w="1729" w:type="dxa"/>
            <w:vAlign w:val="center"/>
          </w:tcPr>
          <w:p w14:paraId="49B4DCFE" w14:textId="77777777" w:rsidR="00C175E4" w:rsidRPr="00D768EF" w:rsidRDefault="00C175E4" w:rsidP="00622285">
            <w:pPr>
              <w:spacing w:after="40"/>
              <w:jc w:val="left"/>
              <w:rPr>
                <w:color w:val="000000"/>
                <w:szCs w:val="22"/>
                <w:lang w:val="sr-Latn-ME"/>
              </w:rPr>
            </w:pPr>
            <w:r w:rsidRPr="00D768EF">
              <w:rPr>
                <w:color w:val="000000"/>
                <w:szCs w:val="22"/>
                <w:lang w:val="sr-Latn-ME"/>
              </w:rPr>
              <w:t xml:space="preserve">14 </w:t>
            </w:r>
            <w:r w:rsidR="00D57936" w:rsidRPr="00D768EF">
              <w:rPr>
                <w:color w:val="000000"/>
                <w:szCs w:val="22"/>
                <w:lang w:val="sr-Latn-ME"/>
              </w:rPr>
              <w:t>nedjelj</w:t>
            </w:r>
            <w:r w:rsidRPr="00D768EF">
              <w:rPr>
                <w:color w:val="000000"/>
                <w:szCs w:val="22"/>
                <w:lang w:val="sr-Latn-ME"/>
              </w:rPr>
              <w:t>a</w:t>
            </w:r>
          </w:p>
        </w:tc>
        <w:tc>
          <w:tcPr>
            <w:tcW w:w="1729" w:type="dxa"/>
            <w:vAlign w:val="center"/>
          </w:tcPr>
          <w:p w14:paraId="3A8ED7C3" w14:textId="77777777" w:rsidR="00C175E4" w:rsidRPr="00D768EF" w:rsidRDefault="00C175E4" w:rsidP="00622285">
            <w:pPr>
              <w:spacing w:after="40"/>
              <w:jc w:val="left"/>
              <w:rPr>
                <w:color w:val="000000"/>
                <w:szCs w:val="22"/>
                <w:lang w:val="sr-Latn-ME"/>
              </w:rPr>
            </w:pPr>
            <w:r w:rsidRPr="00D768EF">
              <w:rPr>
                <w:color w:val="000000"/>
                <w:szCs w:val="22"/>
                <w:lang w:val="sr-Latn-ME"/>
              </w:rPr>
              <w:t xml:space="preserve">&gt; 40 </w:t>
            </w:r>
            <w:r w:rsidR="00D57936" w:rsidRPr="00D768EF">
              <w:rPr>
                <w:color w:val="000000"/>
                <w:szCs w:val="22"/>
                <w:lang w:val="sr-Latn-ME"/>
              </w:rPr>
              <w:t>nedjelj</w:t>
            </w:r>
            <w:r w:rsidRPr="00D768EF">
              <w:rPr>
                <w:color w:val="000000"/>
                <w:szCs w:val="22"/>
                <w:lang w:val="sr-Latn-ME"/>
              </w:rPr>
              <w:t>a</w:t>
            </w:r>
          </w:p>
        </w:tc>
        <w:tc>
          <w:tcPr>
            <w:tcW w:w="1730" w:type="dxa"/>
            <w:vAlign w:val="center"/>
          </w:tcPr>
          <w:p w14:paraId="14F8255D" w14:textId="00688775" w:rsidR="00C175E4" w:rsidRPr="00D768EF" w:rsidRDefault="00C175E4" w:rsidP="00622285">
            <w:pPr>
              <w:spacing w:after="40"/>
              <w:jc w:val="left"/>
              <w:rPr>
                <w:color w:val="000000"/>
                <w:szCs w:val="22"/>
                <w:lang w:val="sr-Latn-ME"/>
              </w:rPr>
            </w:pPr>
            <w:r w:rsidRPr="00D768EF">
              <w:rPr>
                <w:color w:val="000000"/>
                <w:szCs w:val="22"/>
                <w:lang w:val="sr-Latn-ME"/>
              </w:rPr>
              <w:t>&lt; 0.001</w:t>
            </w:r>
          </w:p>
        </w:tc>
      </w:tr>
      <w:tr w:rsidR="00274985" w:rsidRPr="00D768EF" w14:paraId="7023FC8D" w14:textId="77777777" w:rsidTr="00274985">
        <w:tc>
          <w:tcPr>
            <w:tcW w:w="3686" w:type="dxa"/>
            <w:tcBorders>
              <w:top w:val="single" w:sz="8" w:space="0" w:color="auto"/>
              <w:left w:val="single" w:sz="8" w:space="0" w:color="auto"/>
              <w:bottom w:val="single" w:sz="8" w:space="0" w:color="auto"/>
              <w:right w:val="single" w:sz="8" w:space="0" w:color="auto"/>
            </w:tcBorders>
            <w:vAlign w:val="center"/>
          </w:tcPr>
          <w:p w14:paraId="4948910C" w14:textId="77777777" w:rsidR="00274985" w:rsidRPr="00D768EF" w:rsidRDefault="00274985" w:rsidP="009165E6">
            <w:pPr>
              <w:spacing w:after="40"/>
              <w:jc w:val="left"/>
              <w:rPr>
                <w:b/>
                <w:bCs/>
                <w:color w:val="000000"/>
                <w:szCs w:val="22"/>
                <w:lang w:val="sr-Latn-ME"/>
              </w:rPr>
            </w:pPr>
            <w:r w:rsidRPr="00D768EF">
              <w:rPr>
                <w:b/>
                <w:bCs/>
                <w:color w:val="000000"/>
                <w:szCs w:val="22"/>
                <w:lang w:val="sr-Latn-ME"/>
              </w:rPr>
              <w:t>54. nedjelja</w:t>
            </w:r>
          </w:p>
        </w:tc>
        <w:tc>
          <w:tcPr>
            <w:tcW w:w="1729" w:type="dxa"/>
            <w:tcBorders>
              <w:top w:val="single" w:sz="8" w:space="0" w:color="auto"/>
              <w:left w:val="single" w:sz="8" w:space="0" w:color="auto"/>
              <w:bottom w:val="single" w:sz="8" w:space="0" w:color="auto"/>
              <w:right w:val="single" w:sz="8" w:space="0" w:color="auto"/>
            </w:tcBorders>
            <w:vAlign w:val="center"/>
          </w:tcPr>
          <w:p w14:paraId="7FF16255" w14:textId="77777777" w:rsidR="00274985" w:rsidRPr="00D768EF" w:rsidRDefault="00274985" w:rsidP="00274985">
            <w:pPr>
              <w:spacing w:after="40"/>
              <w:jc w:val="left"/>
              <w:rPr>
                <w:color w:val="000000"/>
                <w:szCs w:val="22"/>
                <w:lang w:val="sr-Latn-ME"/>
              </w:rPr>
            </w:pPr>
          </w:p>
        </w:tc>
        <w:tc>
          <w:tcPr>
            <w:tcW w:w="1729" w:type="dxa"/>
            <w:tcBorders>
              <w:top w:val="single" w:sz="8" w:space="0" w:color="auto"/>
              <w:left w:val="single" w:sz="8" w:space="0" w:color="auto"/>
              <w:bottom w:val="single" w:sz="8" w:space="0" w:color="auto"/>
              <w:right w:val="single" w:sz="8" w:space="0" w:color="auto"/>
            </w:tcBorders>
            <w:vAlign w:val="center"/>
          </w:tcPr>
          <w:p w14:paraId="6A564313" w14:textId="77777777" w:rsidR="00274985" w:rsidRPr="00D768EF" w:rsidRDefault="00274985" w:rsidP="00274985">
            <w:pPr>
              <w:spacing w:after="40"/>
              <w:jc w:val="left"/>
              <w:rPr>
                <w:color w:val="000000"/>
                <w:szCs w:val="22"/>
                <w:lang w:val="sr-Latn-ME"/>
              </w:rPr>
            </w:pPr>
          </w:p>
        </w:tc>
        <w:tc>
          <w:tcPr>
            <w:tcW w:w="1730" w:type="dxa"/>
            <w:tcBorders>
              <w:top w:val="single" w:sz="8" w:space="0" w:color="auto"/>
              <w:left w:val="single" w:sz="8" w:space="0" w:color="auto"/>
              <w:bottom w:val="single" w:sz="8" w:space="0" w:color="auto"/>
              <w:right w:val="single" w:sz="8" w:space="0" w:color="auto"/>
            </w:tcBorders>
            <w:vAlign w:val="center"/>
          </w:tcPr>
          <w:p w14:paraId="0A5814D6" w14:textId="77777777" w:rsidR="00274985" w:rsidRPr="00D768EF" w:rsidRDefault="00274985" w:rsidP="00274985">
            <w:pPr>
              <w:spacing w:after="40"/>
              <w:jc w:val="left"/>
              <w:rPr>
                <w:color w:val="000000"/>
                <w:szCs w:val="22"/>
                <w:lang w:val="sr-Latn-ME"/>
              </w:rPr>
            </w:pPr>
          </w:p>
        </w:tc>
      </w:tr>
      <w:tr w:rsidR="00274985" w:rsidRPr="00D768EF" w14:paraId="5957C2DD" w14:textId="77777777" w:rsidTr="00274985">
        <w:tc>
          <w:tcPr>
            <w:tcW w:w="3686" w:type="dxa"/>
            <w:tcBorders>
              <w:top w:val="single" w:sz="8" w:space="0" w:color="auto"/>
              <w:left w:val="single" w:sz="8" w:space="0" w:color="auto"/>
              <w:bottom w:val="single" w:sz="8" w:space="0" w:color="auto"/>
              <w:right w:val="single" w:sz="8" w:space="0" w:color="auto"/>
            </w:tcBorders>
            <w:vAlign w:val="center"/>
          </w:tcPr>
          <w:p w14:paraId="2F9CB0DF" w14:textId="77777777" w:rsidR="00274985" w:rsidRPr="00D768EF" w:rsidRDefault="00274985" w:rsidP="009165E6">
            <w:pPr>
              <w:spacing w:after="40"/>
              <w:jc w:val="left"/>
              <w:rPr>
                <w:color w:val="000000"/>
                <w:szCs w:val="22"/>
                <w:lang w:val="sr-Latn-ME"/>
              </w:rPr>
            </w:pPr>
            <w:r w:rsidRPr="00D768EF">
              <w:rPr>
                <w:color w:val="000000"/>
                <w:szCs w:val="22"/>
                <w:lang w:val="sr-Latn-ME"/>
              </w:rPr>
              <w:t>Odgovor fistula (%) a</w:t>
            </w:r>
          </w:p>
        </w:tc>
        <w:tc>
          <w:tcPr>
            <w:tcW w:w="1729" w:type="dxa"/>
            <w:tcBorders>
              <w:top w:val="single" w:sz="8" w:space="0" w:color="auto"/>
              <w:left w:val="single" w:sz="8" w:space="0" w:color="auto"/>
              <w:bottom w:val="single" w:sz="8" w:space="0" w:color="auto"/>
              <w:right w:val="single" w:sz="8" w:space="0" w:color="auto"/>
            </w:tcBorders>
            <w:vAlign w:val="center"/>
          </w:tcPr>
          <w:p w14:paraId="293A3A66" w14:textId="77777777" w:rsidR="00274985" w:rsidRPr="00D768EF" w:rsidRDefault="00274985" w:rsidP="00274985">
            <w:pPr>
              <w:spacing w:after="40"/>
              <w:jc w:val="left"/>
              <w:rPr>
                <w:color w:val="000000"/>
                <w:szCs w:val="22"/>
                <w:lang w:val="sr-Latn-ME"/>
              </w:rPr>
            </w:pPr>
            <w:r w:rsidRPr="00D768EF">
              <w:rPr>
                <w:color w:val="000000"/>
                <w:szCs w:val="22"/>
                <w:lang w:val="sr-Latn-ME"/>
              </w:rPr>
              <w:t>23.5</w:t>
            </w:r>
          </w:p>
        </w:tc>
        <w:tc>
          <w:tcPr>
            <w:tcW w:w="1729" w:type="dxa"/>
            <w:tcBorders>
              <w:top w:val="single" w:sz="8" w:space="0" w:color="auto"/>
              <w:left w:val="single" w:sz="8" w:space="0" w:color="auto"/>
              <w:bottom w:val="single" w:sz="8" w:space="0" w:color="auto"/>
              <w:right w:val="single" w:sz="8" w:space="0" w:color="auto"/>
            </w:tcBorders>
            <w:vAlign w:val="center"/>
          </w:tcPr>
          <w:p w14:paraId="39DF174C" w14:textId="77777777" w:rsidR="00274985" w:rsidRPr="00D768EF" w:rsidRDefault="00274985" w:rsidP="00274985">
            <w:pPr>
              <w:spacing w:after="40"/>
              <w:jc w:val="left"/>
              <w:rPr>
                <w:color w:val="000000"/>
                <w:szCs w:val="22"/>
                <w:lang w:val="sr-Latn-ME"/>
              </w:rPr>
            </w:pPr>
            <w:r w:rsidRPr="00D768EF">
              <w:rPr>
                <w:color w:val="000000"/>
                <w:szCs w:val="22"/>
                <w:lang w:val="sr-Latn-ME"/>
              </w:rPr>
              <w:t>46.2</w:t>
            </w:r>
          </w:p>
        </w:tc>
        <w:tc>
          <w:tcPr>
            <w:tcW w:w="1730" w:type="dxa"/>
            <w:tcBorders>
              <w:top w:val="single" w:sz="8" w:space="0" w:color="auto"/>
              <w:left w:val="single" w:sz="8" w:space="0" w:color="auto"/>
              <w:bottom w:val="single" w:sz="8" w:space="0" w:color="auto"/>
              <w:right w:val="single" w:sz="8" w:space="0" w:color="auto"/>
            </w:tcBorders>
            <w:vAlign w:val="center"/>
          </w:tcPr>
          <w:p w14:paraId="3E8D99F3" w14:textId="77777777" w:rsidR="00274985" w:rsidRPr="00D768EF" w:rsidRDefault="00274985" w:rsidP="00274985">
            <w:pPr>
              <w:spacing w:after="40"/>
              <w:jc w:val="left"/>
              <w:rPr>
                <w:color w:val="000000"/>
                <w:szCs w:val="22"/>
                <w:lang w:val="sr-Latn-ME"/>
              </w:rPr>
            </w:pPr>
            <w:r w:rsidRPr="00D768EF">
              <w:rPr>
                <w:color w:val="000000"/>
                <w:szCs w:val="22"/>
                <w:lang w:val="sr-Latn-ME"/>
              </w:rPr>
              <w:t>0.001</w:t>
            </w:r>
          </w:p>
        </w:tc>
      </w:tr>
      <w:tr w:rsidR="00274985" w:rsidRPr="00D768EF" w14:paraId="48E53E70" w14:textId="77777777" w:rsidTr="00274985">
        <w:tc>
          <w:tcPr>
            <w:tcW w:w="3686" w:type="dxa"/>
            <w:tcBorders>
              <w:top w:val="single" w:sz="8" w:space="0" w:color="auto"/>
              <w:left w:val="single" w:sz="8" w:space="0" w:color="auto"/>
              <w:bottom w:val="single" w:sz="8" w:space="0" w:color="auto"/>
              <w:right w:val="single" w:sz="8" w:space="0" w:color="auto"/>
            </w:tcBorders>
            <w:vAlign w:val="center"/>
          </w:tcPr>
          <w:p w14:paraId="16DB6BFC" w14:textId="77777777" w:rsidR="00274985" w:rsidRPr="00D768EF" w:rsidRDefault="00274985" w:rsidP="009165E6">
            <w:pPr>
              <w:spacing w:after="40"/>
              <w:jc w:val="left"/>
              <w:rPr>
                <w:color w:val="000000"/>
                <w:szCs w:val="22"/>
                <w:lang w:val="sr-Latn-ME"/>
              </w:rPr>
            </w:pPr>
            <w:r w:rsidRPr="00D768EF">
              <w:rPr>
                <w:color w:val="000000"/>
                <w:szCs w:val="22"/>
                <w:lang w:val="sr-Latn-ME"/>
              </w:rPr>
              <w:t>Kompletni odgovor fistula (%) b</w:t>
            </w:r>
          </w:p>
        </w:tc>
        <w:tc>
          <w:tcPr>
            <w:tcW w:w="1729" w:type="dxa"/>
            <w:tcBorders>
              <w:top w:val="single" w:sz="8" w:space="0" w:color="auto"/>
              <w:left w:val="single" w:sz="8" w:space="0" w:color="auto"/>
              <w:bottom w:val="single" w:sz="8" w:space="0" w:color="auto"/>
              <w:right w:val="single" w:sz="8" w:space="0" w:color="auto"/>
            </w:tcBorders>
            <w:vAlign w:val="center"/>
          </w:tcPr>
          <w:p w14:paraId="7ACA51E6" w14:textId="77777777" w:rsidR="00274985" w:rsidRPr="00D768EF" w:rsidRDefault="00274985" w:rsidP="009165E6">
            <w:pPr>
              <w:spacing w:after="40"/>
              <w:jc w:val="left"/>
              <w:rPr>
                <w:color w:val="000000"/>
                <w:szCs w:val="22"/>
                <w:lang w:val="sr-Latn-ME"/>
              </w:rPr>
            </w:pPr>
            <w:r w:rsidRPr="00D768EF">
              <w:rPr>
                <w:color w:val="000000"/>
                <w:szCs w:val="22"/>
                <w:lang w:val="sr-Latn-ME"/>
              </w:rPr>
              <w:t>19.4</w:t>
            </w:r>
          </w:p>
        </w:tc>
        <w:tc>
          <w:tcPr>
            <w:tcW w:w="1729" w:type="dxa"/>
            <w:tcBorders>
              <w:top w:val="single" w:sz="8" w:space="0" w:color="auto"/>
              <w:left w:val="single" w:sz="8" w:space="0" w:color="auto"/>
              <w:bottom w:val="single" w:sz="8" w:space="0" w:color="auto"/>
              <w:right w:val="single" w:sz="8" w:space="0" w:color="auto"/>
            </w:tcBorders>
            <w:vAlign w:val="center"/>
          </w:tcPr>
          <w:p w14:paraId="3EB4DCF7" w14:textId="77777777" w:rsidR="00274985" w:rsidRPr="00D768EF" w:rsidRDefault="00274985" w:rsidP="009165E6">
            <w:pPr>
              <w:spacing w:after="40"/>
              <w:jc w:val="left"/>
              <w:rPr>
                <w:color w:val="000000"/>
                <w:szCs w:val="22"/>
                <w:lang w:val="sr-Latn-ME"/>
              </w:rPr>
            </w:pPr>
            <w:r w:rsidRPr="00D768EF">
              <w:rPr>
                <w:color w:val="000000"/>
                <w:szCs w:val="22"/>
                <w:lang w:val="sr-Latn-ME"/>
              </w:rPr>
              <w:t>36.3</w:t>
            </w:r>
          </w:p>
        </w:tc>
        <w:tc>
          <w:tcPr>
            <w:tcW w:w="1730" w:type="dxa"/>
            <w:tcBorders>
              <w:top w:val="single" w:sz="8" w:space="0" w:color="auto"/>
              <w:left w:val="single" w:sz="8" w:space="0" w:color="auto"/>
              <w:bottom w:val="single" w:sz="8" w:space="0" w:color="auto"/>
              <w:right w:val="single" w:sz="8" w:space="0" w:color="auto"/>
            </w:tcBorders>
            <w:vAlign w:val="center"/>
          </w:tcPr>
          <w:p w14:paraId="3B8DC5AC" w14:textId="77777777" w:rsidR="00274985" w:rsidRPr="00D768EF" w:rsidRDefault="00274985" w:rsidP="009165E6">
            <w:pPr>
              <w:spacing w:after="40"/>
              <w:jc w:val="left"/>
              <w:rPr>
                <w:color w:val="000000"/>
                <w:szCs w:val="22"/>
                <w:lang w:val="sr-Latn-ME"/>
              </w:rPr>
            </w:pPr>
            <w:r w:rsidRPr="00D768EF">
              <w:rPr>
                <w:color w:val="000000"/>
                <w:szCs w:val="22"/>
                <w:lang w:val="sr-Latn-ME"/>
              </w:rPr>
              <w:t>0.009</w:t>
            </w:r>
          </w:p>
        </w:tc>
      </w:tr>
      <w:tr w:rsidR="00274985" w:rsidRPr="00EE2CAE" w14:paraId="1DC3DDB5" w14:textId="77777777" w:rsidTr="00274985">
        <w:trPr>
          <w:cantSplit/>
          <w:trHeight w:val="50"/>
        </w:trPr>
        <w:tc>
          <w:tcPr>
            <w:tcW w:w="8874" w:type="dxa"/>
            <w:gridSpan w:val="4"/>
          </w:tcPr>
          <w:p w14:paraId="1D991832" w14:textId="77777777" w:rsidR="00274985" w:rsidRPr="00D768EF" w:rsidRDefault="00274985" w:rsidP="009165E6">
            <w:pPr>
              <w:spacing w:before="120"/>
              <w:jc w:val="left"/>
              <w:rPr>
                <w:color w:val="000000"/>
                <w:szCs w:val="22"/>
                <w:lang w:val="sr-Latn-ME"/>
              </w:rPr>
            </w:pPr>
            <w:r w:rsidRPr="00D768EF">
              <w:rPr>
                <w:color w:val="000000"/>
                <w:szCs w:val="22"/>
                <w:vertAlign w:val="superscript"/>
                <w:lang w:val="sr-Latn-ME"/>
              </w:rPr>
              <w:t>a</w:t>
            </w:r>
            <w:r w:rsidRPr="00D768EF">
              <w:rPr>
                <w:color w:val="000000"/>
                <w:szCs w:val="22"/>
                <w:lang w:val="sr-Latn-ME"/>
              </w:rPr>
              <w:t xml:space="preserve"> Smanjenje početnog broja fistula iz kojih se cijedi sadržaj za </w:t>
            </w:r>
            <w:r w:rsidRPr="00D768EF">
              <w:rPr>
                <w:color w:val="000000"/>
                <w:szCs w:val="22"/>
                <w:lang w:val="sr-Latn-ME"/>
              </w:rPr>
              <w:sym w:font="Symbol" w:char="F0B3"/>
            </w:r>
            <w:r w:rsidRPr="00D768EF">
              <w:rPr>
                <w:color w:val="000000"/>
                <w:szCs w:val="22"/>
                <w:lang w:val="sr-Latn-ME"/>
              </w:rPr>
              <w:t xml:space="preserve"> 50% tokom perioda od </w:t>
            </w:r>
            <w:r w:rsidRPr="00D768EF">
              <w:rPr>
                <w:color w:val="000000"/>
                <w:szCs w:val="22"/>
                <w:lang w:val="sr-Latn-ME"/>
              </w:rPr>
              <w:sym w:font="Symbol" w:char="F0B3"/>
            </w:r>
            <w:r w:rsidRPr="00D768EF">
              <w:rPr>
                <w:color w:val="000000"/>
                <w:szCs w:val="22"/>
                <w:lang w:val="sr-Latn-ME"/>
              </w:rPr>
              <w:t xml:space="preserve">4 nedjelje </w:t>
            </w:r>
          </w:p>
          <w:p w14:paraId="1541F0E9" w14:textId="77777777" w:rsidR="00274985" w:rsidRPr="00D768EF" w:rsidRDefault="00274985" w:rsidP="009165E6">
            <w:pPr>
              <w:jc w:val="left"/>
              <w:rPr>
                <w:color w:val="000000"/>
                <w:szCs w:val="22"/>
                <w:lang w:val="sr-Latn-ME"/>
              </w:rPr>
            </w:pPr>
            <w:r w:rsidRPr="00D768EF">
              <w:rPr>
                <w:color w:val="000000"/>
                <w:szCs w:val="22"/>
                <w:vertAlign w:val="superscript"/>
                <w:lang w:val="sr-Latn-ME"/>
              </w:rPr>
              <w:t>b</w:t>
            </w:r>
            <w:r w:rsidRPr="00D768EF">
              <w:rPr>
                <w:color w:val="000000"/>
                <w:szCs w:val="22"/>
                <w:lang w:val="sr-Latn-ME"/>
              </w:rPr>
              <w:t xml:space="preserve"> Odsustvo bilo kojih fistula iz kojih se cijedi sadržaj</w:t>
            </w:r>
          </w:p>
        </w:tc>
      </w:tr>
    </w:tbl>
    <w:p w14:paraId="30D78BF7" w14:textId="77777777" w:rsidR="00C175E4" w:rsidRPr="00D768EF" w:rsidRDefault="00C175E4" w:rsidP="00C175E4">
      <w:pPr>
        <w:rPr>
          <w:color w:val="000000"/>
          <w:szCs w:val="22"/>
          <w:lang w:val="sr-Latn-ME"/>
        </w:rPr>
      </w:pPr>
    </w:p>
    <w:p w14:paraId="58215886" w14:textId="6E786354" w:rsidR="00C175E4" w:rsidRPr="00D768EF" w:rsidRDefault="00C175E4" w:rsidP="00C175E4">
      <w:pPr>
        <w:rPr>
          <w:szCs w:val="22"/>
          <w:lang w:val="sr-Latn-ME"/>
        </w:rPr>
      </w:pPr>
      <w:r w:rsidRPr="00D768EF">
        <w:rPr>
          <w:color w:val="000000"/>
          <w:szCs w:val="22"/>
          <w:lang w:val="sr-Latn-ME"/>
        </w:rPr>
        <w:lastRenderedPageBreak/>
        <w:t xml:space="preserve">Počevši od 22. </w:t>
      </w:r>
      <w:r w:rsidR="00D57936" w:rsidRPr="00D768EF">
        <w:rPr>
          <w:color w:val="000000"/>
          <w:szCs w:val="22"/>
          <w:lang w:val="sr-Latn-ME"/>
        </w:rPr>
        <w:t>nedjelj</w:t>
      </w:r>
      <w:r w:rsidRPr="00D768EF">
        <w:rPr>
          <w:color w:val="000000"/>
          <w:szCs w:val="22"/>
          <w:lang w:val="sr-Latn-ME"/>
        </w:rPr>
        <w:t xml:space="preserve">e, pacijenti koji su inicijalno odgovorili na terapiju, ali kod kojih se klinički odgovor kasnije izgubio, mogli su da pređu na aktivno ponovno </w:t>
      </w:r>
      <w:r w:rsidR="00D57936" w:rsidRPr="00D768EF">
        <w:rPr>
          <w:color w:val="000000"/>
          <w:szCs w:val="22"/>
          <w:lang w:val="sr-Latn-ME"/>
        </w:rPr>
        <w:t>liječe</w:t>
      </w:r>
      <w:r w:rsidRPr="00D768EF">
        <w:rPr>
          <w:color w:val="000000"/>
          <w:szCs w:val="22"/>
          <w:lang w:val="sr-Latn-ME"/>
        </w:rPr>
        <w:t xml:space="preserve">nje svakih 8 </w:t>
      </w:r>
      <w:r w:rsidR="00D57936" w:rsidRPr="00D768EF">
        <w:rPr>
          <w:color w:val="000000"/>
          <w:szCs w:val="22"/>
          <w:lang w:val="sr-Latn-ME"/>
        </w:rPr>
        <w:t>nedjelj</w:t>
      </w:r>
      <w:r w:rsidRPr="00D768EF">
        <w:rPr>
          <w:color w:val="000000"/>
          <w:szCs w:val="22"/>
          <w:lang w:val="sr-Latn-ME"/>
        </w:rPr>
        <w:t xml:space="preserve">a, dozom infliksimaba koja je bila za 5 mg/kg veća od one koju su primali posle randomizacije. </w:t>
      </w:r>
      <w:r w:rsidRPr="00D768EF">
        <w:rPr>
          <w:szCs w:val="22"/>
          <w:lang w:val="sr-Latn-ME"/>
        </w:rPr>
        <w:t xml:space="preserve">Među pacijentima koji su prvo primali infliksimab u dozi od 5 mg/kg, a zatim se posle 22. </w:t>
      </w:r>
      <w:r w:rsidR="00D57936" w:rsidRPr="00D768EF">
        <w:rPr>
          <w:szCs w:val="22"/>
          <w:lang w:val="sr-Latn-ME"/>
        </w:rPr>
        <w:t>nedjelj</w:t>
      </w:r>
      <w:r w:rsidRPr="00D768EF">
        <w:rPr>
          <w:szCs w:val="22"/>
          <w:lang w:val="sr-Latn-ME"/>
        </w:rPr>
        <w:t>e prebacili na drugu dozu zbog prestanka efekta terapije na fistule, njih 57% (12/21) je reagovalo na ponovnu prim</w:t>
      </w:r>
      <w:r w:rsidR="00126595" w:rsidRPr="00D768EF">
        <w:rPr>
          <w:szCs w:val="22"/>
          <w:lang w:val="sr-Latn-ME"/>
        </w:rPr>
        <w:t>j</w:t>
      </w:r>
      <w:r w:rsidRPr="00D768EF">
        <w:rPr>
          <w:szCs w:val="22"/>
          <w:lang w:val="sr-Latn-ME"/>
        </w:rPr>
        <w:t xml:space="preserve">enu infliksimaba u dozi od 10 mg/kg svakih 8 </w:t>
      </w:r>
      <w:r w:rsidR="00D57936" w:rsidRPr="00D768EF">
        <w:rPr>
          <w:szCs w:val="22"/>
          <w:lang w:val="sr-Latn-ME"/>
        </w:rPr>
        <w:t>nedjelj</w:t>
      </w:r>
      <w:r w:rsidRPr="00D768EF">
        <w:rPr>
          <w:szCs w:val="22"/>
          <w:lang w:val="sr-Latn-ME"/>
        </w:rPr>
        <w:t>a.</w:t>
      </w:r>
    </w:p>
    <w:p w14:paraId="124DE5B3" w14:textId="1B876E2E" w:rsidR="00C175E4" w:rsidRPr="00D768EF" w:rsidRDefault="00C175E4" w:rsidP="00C175E4">
      <w:pPr>
        <w:rPr>
          <w:color w:val="000000"/>
          <w:szCs w:val="22"/>
          <w:lang w:val="sr-Latn-ME"/>
        </w:rPr>
      </w:pPr>
    </w:p>
    <w:p w14:paraId="5171AF69" w14:textId="1FC9DAA3" w:rsidR="00C175E4" w:rsidRPr="00D768EF" w:rsidRDefault="00C175E4" w:rsidP="00C175E4">
      <w:pPr>
        <w:tabs>
          <w:tab w:val="clear" w:pos="284"/>
        </w:tabs>
        <w:autoSpaceDE w:val="0"/>
        <w:autoSpaceDN w:val="0"/>
        <w:adjustRightInd w:val="0"/>
        <w:rPr>
          <w:color w:val="000000"/>
          <w:szCs w:val="22"/>
          <w:lang w:val="sr-Latn-ME"/>
        </w:rPr>
      </w:pPr>
      <w:r w:rsidRPr="00D768EF">
        <w:rPr>
          <w:szCs w:val="22"/>
          <w:lang w:val="sr-Latn-ME"/>
        </w:rPr>
        <w:t xml:space="preserve">Nije bilo značajne razlike između placeba i infliksimaba s obzirom na procenat pacijenata kod kojih su fistule ostale zatvorene do kraja 54. </w:t>
      </w:r>
      <w:r w:rsidR="00D57936" w:rsidRPr="00D768EF">
        <w:rPr>
          <w:szCs w:val="22"/>
          <w:lang w:val="sr-Latn-ME"/>
        </w:rPr>
        <w:t>nedjelj</w:t>
      </w:r>
      <w:r w:rsidRPr="00D768EF">
        <w:rPr>
          <w:szCs w:val="22"/>
          <w:lang w:val="sr-Latn-ME"/>
        </w:rPr>
        <w:t xml:space="preserve">e, s obzirom na simptome kao što su proktalgija, apscesi i infekcije mokraćnih puteva, </w:t>
      </w:r>
      <w:r w:rsidR="00274985" w:rsidRPr="00D768EF">
        <w:rPr>
          <w:szCs w:val="22"/>
          <w:lang w:val="sr-Latn-ME"/>
        </w:rPr>
        <w:t>ili u</w:t>
      </w:r>
      <w:r w:rsidRPr="00D768EF">
        <w:rPr>
          <w:szCs w:val="22"/>
          <w:lang w:val="sr-Latn-ME"/>
        </w:rPr>
        <w:t xml:space="preserve"> broj</w:t>
      </w:r>
      <w:r w:rsidR="00274985" w:rsidRPr="00D768EF">
        <w:rPr>
          <w:szCs w:val="22"/>
          <w:lang w:val="sr-Latn-ME"/>
        </w:rPr>
        <w:t>u</w:t>
      </w:r>
      <w:r w:rsidRPr="00D768EF">
        <w:rPr>
          <w:szCs w:val="22"/>
          <w:lang w:val="sr-Latn-ME"/>
        </w:rPr>
        <w:t xml:space="preserve"> novonastalih fistula tokom </w:t>
      </w:r>
      <w:r w:rsidR="00D57936" w:rsidRPr="00D768EF">
        <w:rPr>
          <w:szCs w:val="22"/>
          <w:lang w:val="sr-Latn-ME"/>
        </w:rPr>
        <w:t>liječe</w:t>
      </w:r>
      <w:r w:rsidRPr="00D768EF">
        <w:rPr>
          <w:szCs w:val="22"/>
          <w:lang w:val="sr-Latn-ME"/>
        </w:rPr>
        <w:t>nja.</w:t>
      </w:r>
    </w:p>
    <w:p w14:paraId="11632F81" w14:textId="77777777" w:rsidR="00C175E4" w:rsidRPr="00D768EF" w:rsidRDefault="00C175E4" w:rsidP="00C175E4">
      <w:pPr>
        <w:rPr>
          <w:color w:val="000000"/>
          <w:szCs w:val="22"/>
          <w:lang w:val="sr-Latn-ME"/>
        </w:rPr>
      </w:pPr>
    </w:p>
    <w:p w14:paraId="252231F8" w14:textId="2C15A5DA" w:rsidR="00C175E4" w:rsidRPr="00D768EF" w:rsidRDefault="00C175E4" w:rsidP="00C175E4">
      <w:pPr>
        <w:tabs>
          <w:tab w:val="clear" w:pos="284"/>
        </w:tabs>
        <w:autoSpaceDE w:val="0"/>
        <w:autoSpaceDN w:val="0"/>
        <w:adjustRightInd w:val="0"/>
        <w:rPr>
          <w:color w:val="000000"/>
          <w:szCs w:val="22"/>
          <w:lang w:val="sr-Latn-ME"/>
        </w:rPr>
      </w:pPr>
      <w:r w:rsidRPr="00D768EF">
        <w:rPr>
          <w:color w:val="000000"/>
          <w:szCs w:val="22"/>
          <w:lang w:val="sr-Latn-ME"/>
        </w:rPr>
        <w:t xml:space="preserve">Terapija održavanja infliksimabom svakih 8 </w:t>
      </w:r>
      <w:r w:rsidR="00D57936" w:rsidRPr="00D768EF">
        <w:rPr>
          <w:color w:val="000000"/>
          <w:szCs w:val="22"/>
          <w:lang w:val="sr-Latn-ME"/>
        </w:rPr>
        <w:t>nedjelj</w:t>
      </w:r>
      <w:r w:rsidRPr="00D768EF">
        <w:rPr>
          <w:color w:val="000000"/>
          <w:szCs w:val="22"/>
          <w:lang w:val="sr-Latn-ME"/>
        </w:rPr>
        <w:t>a značajno je smanjila broj hospitalizacija i operacija vezanih za bolest u poređenju sa placebom. Štaviše, prim</w:t>
      </w:r>
      <w:r w:rsidR="00A94902" w:rsidRPr="00D768EF">
        <w:rPr>
          <w:color w:val="000000"/>
          <w:szCs w:val="22"/>
          <w:lang w:val="sr-Latn-ME"/>
        </w:rPr>
        <w:t>ij</w:t>
      </w:r>
      <w:r w:rsidRPr="00D768EF">
        <w:rPr>
          <w:color w:val="000000"/>
          <w:szCs w:val="22"/>
          <w:lang w:val="sr-Latn-ME"/>
        </w:rPr>
        <w:t xml:space="preserve">ećeno je smanjenje upotrebe kortikosteroida i poboljšanje kvaliteta života. </w:t>
      </w:r>
    </w:p>
    <w:p w14:paraId="2BE3C339" w14:textId="77777777" w:rsidR="00C175E4" w:rsidRPr="00D768EF" w:rsidRDefault="00C175E4" w:rsidP="00C175E4">
      <w:pPr>
        <w:tabs>
          <w:tab w:val="clear" w:pos="284"/>
        </w:tabs>
        <w:autoSpaceDE w:val="0"/>
        <w:autoSpaceDN w:val="0"/>
        <w:adjustRightInd w:val="0"/>
        <w:rPr>
          <w:color w:val="000000"/>
          <w:szCs w:val="22"/>
          <w:lang w:val="sr-Latn-ME"/>
        </w:rPr>
      </w:pPr>
    </w:p>
    <w:p w14:paraId="5BC52A29" w14:textId="77777777" w:rsidR="00C175E4" w:rsidRPr="00D768EF" w:rsidRDefault="00C175E4" w:rsidP="00C175E4">
      <w:pPr>
        <w:rPr>
          <w:i/>
          <w:color w:val="000000"/>
          <w:szCs w:val="22"/>
          <w:u w:val="single"/>
          <w:lang w:val="sr-Latn-ME"/>
        </w:rPr>
      </w:pPr>
      <w:r w:rsidRPr="00D768EF">
        <w:rPr>
          <w:i/>
          <w:color w:val="000000"/>
          <w:szCs w:val="22"/>
          <w:u w:val="single"/>
          <w:lang w:val="sr-Latn-ME"/>
        </w:rPr>
        <w:t>Ulcerozni kolitis kod odraslih pacijenata</w:t>
      </w:r>
    </w:p>
    <w:p w14:paraId="35EF5989" w14:textId="77777777" w:rsidR="00C175E4" w:rsidRPr="00D768EF" w:rsidRDefault="00C175E4" w:rsidP="00C175E4">
      <w:pPr>
        <w:rPr>
          <w:color w:val="000000"/>
          <w:szCs w:val="22"/>
          <w:u w:val="single"/>
          <w:lang w:val="sr-Latn-ME"/>
        </w:rPr>
      </w:pPr>
    </w:p>
    <w:p w14:paraId="7840D8FD" w14:textId="381B2B39" w:rsidR="00D26136" w:rsidRDefault="00282A1E" w:rsidP="00DF4274">
      <w:pPr>
        <w:rPr>
          <w:b/>
          <w:color w:val="000000"/>
          <w:szCs w:val="22"/>
          <w:lang w:val="sr-Latn-ME"/>
        </w:rPr>
      </w:pPr>
      <w:r w:rsidRPr="00D768EF">
        <w:rPr>
          <w:color w:val="000000"/>
          <w:szCs w:val="22"/>
          <w:lang w:val="sr-Latn-ME"/>
        </w:rPr>
        <w:t>Bezbjedn</w:t>
      </w:r>
      <w:r w:rsidR="00220982" w:rsidRPr="00D768EF">
        <w:rPr>
          <w:color w:val="000000"/>
          <w:szCs w:val="22"/>
          <w:lang w:val="sr-Latn-ME"/>
        </w:rPr>
        <w:t>o</w:t>
      </w:r>
      <w:r w:rsidR="00C175E4" w:rsidRPr="00D768EF">
        <w:rPr>
          <w:color w:val="000000"/>
          <w:szCs w:val="22"/>
          <w:lang w:val="sr-Latn-ME"/>
        </w:rPr>
        <w:t>st i efikasnost infliksimaba proc</w:t>
      </w:r>
      <w:r w:rsidR="00BB5F87" w:rsidRPr="00D768EF">
        <w:rPr>
          <w:color w:val="000000"/>
          <w:szCs w:val="22"/>
          <w:lang w:val="sr-Latn-ME"/>
        </w:rPr>
        <w:t>ij</w:t>
      </w:r>
      <w:r w:rsidR="00C175E4" w:rsidRPr="00D768EF">
        <w:rPr>
          <w:color w:val="000000"/>
          <w:szCs w:val="22"/>
          <w:lang w:val="sr-Latn-ME"/>
        </w:rPr>
        <w:t>enjeni su u dve (ACT 1 i ACT 2) randomizovane, dvostruko sl</w:t>
      </w:r>
      <w:r w:rsidR="00A94902" w:rsidRPr="00D768EF">
        <w:rPr>
          <w:color w:val="000000"/>
          <w:szCs w:val="22"/>
          <w:lang w:val="sr-Latn-ME"/>
        </w:rPr>
        <w:t>ij</w:t>
      </w:r>
      <w:r w:rsidR="00C175E4" w:rsidRPr="00D768EF">
        <w:rPr>
          <w:color w:val="000000"/>
          <w:szCs w:val="22"/>
          <w:lang w:val="sr-Latn-ME"/>
        </w:rPr>
        <w:t>epe, placebo</w:t>
      </w:r>
      <w:r w:rsidR="00274985" w:rsidRPr="00D768EF">
        <w:rPr>
          <w:color w:val="000000"/>
          <w:szCs w:val="22"/>
          <w:lang w:val="sr-Latn-ME"/>
        </w:rPr>
        <w:t xml:space="preserve"> </w:t>
      </w:r>
      <w:r w:rsidR="00C175E4" w:rsidRPr="00D768EF">
        <w:rPr>
          <w:color w:val="000000"/>
          <w:szCs w:val="22"/>
          <w:lang w:val="sr-Latn-ME"/>
        </w:rPr>
        <w:t>kontrolisane kliničke studije kod odraslih pacijenata sa um</w:t>
      </w:r>
      <w:r w:rsidR="00BB5F87" w:rsidRPr="00D768EF">
        <w:rPr>
          <w:color w:val="000000"/>
          <w:szCs w:val="22"/>
          <w:lang w:val="sr-Latn-ME"/>
        </w:rPr>
        <w:t>j</w:t>
      </w:r>
      <w:r w:rsidR="00C175E4" w:rsidRPr="00D768EF">
        <w:rPr>
          <w:color w:val="000000"/>
          <w:szCs w:val="22"/>
          <w:lang w:val="sr-Latn-ME"/>
        </w:rPr>
        <w:t xml:space="preserve">erenim do teškim aktivnim ulceroznim kolitisom (Mayo skor od 6 do 12; podrezultat endoskopije </w:t>
      </w:r>
      <w:r w:rsidR="00C175E4" w:rsidRPr="00D768EF">
        <w:rPr>
          <w:color w:val="000000"/>
          <w:szCs w:val="22"/>
          <w:lang w:val="sr-Latn-ME"/>
        </w:rPr>
        <w:sym w:font="SymbolPS" w:char="F0B3"/>
      </w:r>
      <w:r w:rsidR="00C175E4" w:rsidRPr="00D768EF">
        <w:rPr>
          <w:color w:val="000000"/>
          <w:szCs w:val="22"/>
          <w:lang w:val="sr-Latn-ME"/>
        </w:rPr>
        <w:t xml:space="preserve"> 2) koji nisu na odgovarajući način odgovorili na konvencionalnu terapiju [oralne kortikosteriode, aminosalicilate i/ili imunomodulatore (6-MP, AZA)]. </w:t>
      </w:r>
      <w:r w:rsidR="00274985" w:rsidRPr="00D768EF">
        <w:rPr>
          <w:color w:val="000000"/>
          <w:szCs w:val="22"/>
          <w:lang w:val="sr-Latn-ME"/>
        </w:rPr>
        <w:t>Bila je dozvoljena i</w:t>
      </w:r>
      <w:r w:rsidR="00C175E4" w:rsidRPr="00D768EF">
        <w:rPr>
          <w:color w:val="000000"/>
          <w:szCs w:val="22"/>
          <w:lang w:val="sr-Latn-ME"/>
        </w:rPr>
        <w:t xml:space="preserve">stovremena upotreba </w:t>
      </w:r>
      <w:r w:rsidR="00274985" w:rsidRPr="00D768EF">
        <w:rPr>
          <w:color w:val="000000"/>
          <w:szCs w:val="22"/>
          <w:lang w:val="sr-Latn-ME"/>
        </w:rPr>
        <w:t xml:space="preserve">stabilnih </w:t>
      </w:r>
      <w:r w:rsidR="00C175E4" w:rsidRPr="00D768EF">
        <w:rPr>
          <w:color w:val="000000"/>
          <w:szCs w:val="22"/>
          <w:lang w:val="sr-Latn-ME"/>
        </w:rPr>
        <w:t>doza oralnih aminosalicilata, kortikosterioda i/ili imunomodulatora. U ob</w:t>
      </w:r>
      <w:r w:rsidR="00E72ECA" w:rsidRPr="00D768EF">
        <w:rPr>
          <w:color w:val="000000"/>
          <w:szCs w:val="22"/>
          <w:lang w:val="sr-Latn-ME"/>
        </w:rPr>
        <w:t>j</w:t>
      </w:r>
      <w:r w:rsidR="00C175E4" w:rsidRPr="00D768EF">
        <w:rPr>
          <w:color w:val="000000"/>
          <w:szCs w:val="22"/>
          <w:lang w:val="sr-Latn-ME"/>
        </w:rPr>
        <w:t xml:space="preserve">e studije, pacijenti su bili randomizovani tako da su primali ili placebo ili 5 mg/kg infliksimaba ili 10 mg/kg infliksimaba i to u 0, 2, 6, 14 i 22. </w:t>
      </w:r>
      <w:r w:rsidR="00D57936" w:rsidRPr="00D768EF">
        <w:rPr>
          <w:color w:val="000000"/>
          <w:szCs w:val="22"/>
          <w:lang w:val="sr-Latn-ME"/>
        </w:rPr>
        <w:t>nedjelj</w:t>
      </w:r>
      <w:r w:rsidR="00C175E4" w:rsidRPr="00D768EF">
        <w:rPr>
          <w:color w:val="000000"/>
          <w:szCs w:val="22"/>
          <w:lang w:val="sr-Latn-ME"/>
        </w:rPr>
        <w:t xml:space="preserve">i, a u ACT 1 studiji i još u 30, 38 i 46. </w:t>
      </w:r>
      <w:r w:rsidR="00D57936" w:rsidRPr="00D768EF">
        <w:rPr>
          <w:color w:val="000000"/>
          <w:szCs w:val="22"/>
          <w:lang w:val="sr-Latn-ME"/>
        </w:rPr>
        <w:t>nedjelj</w:t>
      </w:r>
      <w:r w:rsidR="00C175E4" w:rsidRPr="00D768EF">
        <w:rPr>
          <w:color w:val="000000"/>
          <w:szCs w:val="22"/>
          <w:lang w:val="sr-Latn-ME"/>
        </w:rPr>
        <w:t xml:space="preserve">i. Postepeno smanjenje doze kortikosteroida bilo je </w:t>
      </w:r>
      <w:r w:rsidR="00274985" w:rsidRPr="00D768EF">
        <w:rPr>
          <w:color w:val="000000"/>
          <w:szCs w:val="22"/>
          <w:lang w:val="sr-Latn-ME"/>
        </w:rPr>
        <w:t xml:space="preserve">dozvoljeno </w:t>
      </w:r>
      <w:r w:rsidR="00C175E4" w:rsidRPr="00D768EF">
        <w:rPr>
          <w:color w:val="000000"/>
          <w:szCs w:val="22"/>
          <w:lang w:val="sr-Latn-ME"/>
        </w:rPr>
        <w:t>posl</w:t>
      </w:r>
      <w:r w:rsidR="00CF5D59">
        <w:rPr>
          <w:color w:val="000000"/>
          <w:szCs w:val="22"/>
          <w:lang w:val="sr-Latn-ME"/>
        </w:rPr>
        <w:t>ij</w:t>
      </w:r>
      <w:r w:rsidR="00C175E4" w:rsidRPr="00D768EF">
        <w:rPr>
          <w:color w:val="000000"/>
          <w:szCs w:val="22"/>
          <w:lang w:val="sr-Latn-ME"/>
        </w:rPr>
        <w:t xml:space="preserve">e 8. </w:t>
      </w:r>
      <w:r w:rsidR="00D57936" w:rsidRPr="00D768EF">
        <w:rPr>
          <w:color w:val="000000"/>
          <w:szCs w:val="22"/>
          <w:lang w:val="sr-Latn-ME"/>
        </w:rPr>
        <w:t>nedjelj</w:t>
      </w:r>
      <w:r w:rsidR="00C175E4" w:rsidRPr="00D768EF">
        <w:rPr>
          <w:color w:val="000000"/>
          <w:szCs w:val="22"/>
          <w:lang w:val="sr-Latn-ME"/>
        </w:rPr>
        <w:t xml:space="preserve">e. </w:t>
      </w:r>
    </w:p>
    <w:p w14:paraId="3D0C1263" w14:textId="24E4CAB2" w:rsidR="00C175E4" w:rsidRPr="00D768EF" w:rsidRDefault="00C175E4" w:rsidP="00C175E4">
      <w:pPr>
        <w:jc w:val="center"/>
        <w:rPr>
          <w:b/>
          <w:color w:val="000000"/>
          <w:szCs w:val="22"/>
          <w:lang w:val="sr-Latn-ME"/>
        </w:rPr>
      </w:pPr>
      <w:r w:rsidRPr="00D768EF">
        <w:rPr>
          <w:b/>
          <w:color w:val="000000"/>
          <w:szCs w:val="22"/>
          <w:lang w:val="sr-Latn-ME"/>
        </w:rPr>
        <w:t>Tabela 8</w:t>
      </w:r>
    </w:p>
    <w:p w14:paraId="132A4353" w14:textId="51AF2A2D" w:rsidR="00C175E4" w:rsidRPr="00D768EF" w:rsidRDefault="00274985" w:rsidP="00C175E4">
      <w:pPr>
        <w:jc w:val="left"/>
        <w:rPr>
          <w:b/>
          <w:color w:val="000000"/>
          <w:szCs w:val="22"/>
          <w:lang w:val="sr-Latn-ME"/>
        </w:rPr>
      </w:pPr>
      <w:r w:rsidRPr="00D768EF">
        <w:rPr>
          <w:b/>
          <w:color w:val="000000"/>
          <w:szCs w:val="22"/>
          <w:lang w:val="sr-Latn-ME"/>
        </w:rPr>
        <w:t>Dejstva</w:t>
      </w:r>
      <w:r w:rsidR="00C175E4" w:rsidRPr="00D768EF">
        <w:rPr>
          <w:b/>
          <w:color w:val="000000"/>
          <w:szCs w:val="22"/>
          <w:lang w:val="sr-Latn-ME"/>
        </w:rPr>
        <w:t xml:space="preserve"> na klinički odgovor, kliničku remisiju i zac</w:t>
      </w:r>
      <w:r w:rsidR="00E72ECA" w:rsidRPr="00D768EF">
        <w:rPr>
          <w:b/>
          <w:color w:val="000000"/>
          <w:szCs w:val="22"/>
          <w:lang w:val="sr-Latn-ME"/>
        </w:rPr>
        <w:t>j</w:t>
      </w:r>
      <w:r w:rsidR="00C175E4" w:rsidRPr="00D768EF">
        <w:rPr>
          <w:b/>
          <w:color w:val="000000"/>
          <w:szCs w:val="22"/>
          <w:lang w:val="sr-Latn-ME"/>
        </w:rPr>
        <w:t xml:space="preserve">eljenje mukoze u 8. i 30. </w:t>
      </w:r>
      <w:r w:rsidR="00D57936" w:rsidRPr="00D768EF">
        <w:rPr>
          <w:b/>
          <w:color w:val="000000"/>
          <w:szCs w:val="22"/>
          <w:lang w:val="sr-Latn-ME"/>
        </w:rPr>
        <w:t>nedjelj</w:t>
      </w:r>
      <w:r w:rsidR="00C175E4" w:rsidRPr="00D768EF">
        <w:rPr>
          <w:b/>
          <w:color w:val="000000"/>
          <w:szCs w:val="22"/>
          <w:lang w:val="sr-Latn-ME"/>
        </w:rPr>
        <w:t>i</w:t>
      </w:r>
    </w:p>
    <w:p w14:paraId="57657515" w14:textId="77777777" w:rsidR="00C175E4" w:rsidRPr="00D768EF" w:rsidRDefault="00C175E4" w:rsidP="00C175E4">
      <w:pPr>
        <w:jc w:val="left"/>
        <w:rPr>
          <w:b/>
          <w:color w:val="000000"/>
          <w:szCs w:val="22"/>
          <w:lang w:val="sr-Latn-ME"/>
        </w:rPr>
      </w:pPr>
      <w:r w:rsidRPr="00D768EF">
        <w:rPr>
          <w:b/>
          <w:color w:val="000000"/>
          <w:szCs w:val="22"/>
          <w:lang w:val="sr-Latn-ME"/>
        </w:rPr>
        <w:t>Kombinovani podaci iz ACT 1 i ACT 2.</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967"/>
        <w:gridCol w:w="1418"/>
        <w:gridCol w:w="1417"/>
        <w:gridCol w:w="1418"/>
        <w:gridCol w:w="1420"/>
      </w:tblGrid>
      <w:tr w:rsidR="00C175E4" w:rsidRPr="00D768EF" w14:paraId="20A5F1D6" w14:textId="77777777" w:rsidTr="00622285">
        <w:trPr>
          <w:cantSplit/>
          <w:tblHeader/>
        </w:trPr>
        <w:tc>
          <w:tcPr>
            <w:tcW w:w="2967" w:type="dxa"/>
            <w:vMerge w:val="restart"/>
            <w:vAlign w:val="center"/>
          </w:tcPr>
          <w:p w14:paraId="6A498DBA" w14:textId="77777777" w:rsidR="00C175E4" w:rsidRPr="00D768EF" w:rsidRDefault="00C175E4" w:rsidP="00622285">
            <w:pPr>
              <w:widowControl w:val="0"/>
              <w:adjustRightInd w:val="0"/>
              <w:jc w:val="left"/>
              <w:rPr>
                <w:color w:val="000000"/>
                <w:szCs w:val="22"/>
                <w:lang w:val="sr-Latn-ME"/>
              </w:rPr>
            </w:pPr>
          </w:p>
        </w:tc>
        <w:tc>
          <w:tcPr>
            <w:tcW w:w="1418" w:type="dxa"/>
            <w:vMerge w:val="restart"/>
            <w:vAlign w:val="center"/>
          </w:tcPr>
          <w:p w14:paraId="22CF1661" w14:textId="77777777" w:rsidR="00C175E4" w:rsidRPr="00D768EF" w:rsidRDefault="00C175E4" w:rsidP="00622285">
            <w:pPr>
              <w:widowControl w:val="0"/>
              <w:adjustRightInd w:val="0"/>
              <w:spacing w:before="30" w:after="30"/>
              <w:jc w:val="left"/>
              <w:rPr>
                <w:color w:val="000000"/>
                <w:szCs w:val="22"/>
                <w:lang w:val="sr-Latn-ME"/>
              </w:rPr>
            </w:pPr>
            <w:r w:rsidRPr="00D768EF">
              <w:rPr>
                <w:color w:val="000000"/>
                <w:szCs w:val="22"/>
                <w:lang w:val="sr-Latn-ME"/>
              </w:rPr>
              <w:t>Placebo</w:t>
            </w:r>
          </w:p>
        </w:tc>
        <w:tc>
          <w:tcPr>
            <w:tcW w:w="4255" w:type="dxa"/>
            <w:gridSpan w:val="3"/>
            <w:vAlign w:val="center"/>
          </w:tcPr>
          <w:p w14:paraId="7D9A39BD" w14:textId="77777777" w:rsidR="00C175E4" w:rsidRPr="00D768EF" w:rsidRDefault="00C175E4" w:rsidP="00622285">
            <w:pPr>
              <w:widowControl w:val="0"/>
              <w:adjustRightInd w:val="0"/>
              <w:spacing w:before="30" w:after="30"/>
              <w:jc w:val="left"/>
              <w:rPr>
                <w:color w:val="000000"/>
                <w:szCs w:val="22"/>
                <w:lang w:val="sr-Latn-ME"/>
              </w:rPr>
            </w:pPr>
            <w:r w:rsidRPr="00D768EF">
              <w:rPr>
                <w:color w:val="000000"/>
                <w:szCs w:val="22"/>
                <w:lang w:val="sr-Latn-ME"/>
              </w:rPr>
              <w:t>Infliksimab</w:t>
            </w:r>
          </w:p>
        </w:tc>
      </w:tr>
      <w:tr w:rsidR="00C175E4" w:rsidRPr="00D768EF" w14:paraId="62CFF252" w14:textId="77777777" w:rsidTr="00622285">
        <w:trPr>
          <w:cantSplit/>
          <w:tblHeader/>
        </w:trPr>
        <w:tc>
          <w:tcPr>
            <w:tcW w:w="2967" w:type="dxa"/>
            <w:vMerge/>
            <w:vAlign w:val="center"/>
          </w:tcPr>
          <w:p w14:paraId="193B610E" w14:textId="77777777" w:rsidR="00C175E4" w:rsidRPr="00D768EF" w:rsidRDefault="00C175E4" w:rsidP="00622285">
            <w:pPr>
              <w:widowControl w:val="0"/>
              <w:adjustRightInd w:val="0"/>
              <w:jc w:val="left"/>
              <w:rPr>
                <w:color w:val="000000"/>
                <w:szCs w:val="22"/>
                <w:lang w:val="sr-Latn-ME"/>
              </w:rPr>
            </w:pPr>
          </w:p>
        </w:tc>
        <w:tc>
          <w:tcPr>
            <w:tcW w:w="1418" w:type="dxa"/>
            <w:vMerge/>
            <w:vAlign w:val="center"/>
          </w:tcPr>
          <w:p w14:paraId="16072669" w14:textId="77777777" w:rsidR="00C175E4" w:rsidRPr="00D768EF" w:rsidRDefault="00C175E4" w:rsidP="00622285">
            <w:pPr>
              <w:widowControl w:val="0"/>
              <w:adjustRightInd w:val="0"/>
              <w:jc w:val="left"/>
              <w:rPr>
                <w:color w:val="000000"/>
                <w:szCs w:val="22"/>
                <w:lang w:val="sr-Latn-ME"/>
              </w:rPr>
            </w:pPr>
          </w:p>
        </w:tc>
        <w:tc>
          <w:tcPr>
            <w:tcW w:w="1417" w:type="dxa"/>
            <w:vAlign w:val="center"/>
          </w:tcPr>
          <w:p w14:paraId="2B595932" w14:textId="77777777" w:rsidR="00C175E4" w:rsidRPr="00D768EF" w:rsidRDefault="00C175E4" w:rsidP="00622285">
            <w:pPr>
              <w:widowControl w:val="0"/>
              <w:adjustRightInd w:val="0"/>
              <w:jc w:val="left"/>
              <w:rPr>
                <w:color w:val="000000"/>
                <w:szCs w:val="22"/>
                <w:lang w:val="sr-Latn-ME"/>
              </w:rPr>
            </w:pPr>
            <w:r w:rsidRPr="00D768EF">
              <w:rPr>
                <w:color w:val="000000"/>
                <w:szCs w:val="22"/>
                <w:lang w:val="sr-Latn-ME"/>
              </w:rPr>
              <w:t>5 mg/kg</w:t>
            </w:r>
          </w:p>
        </w:tc>
        <w:tc>
          <w:tcPr>
            <w:tcW w:w="1418" w:type="dxa"/>
            <w:vAlign w:val="center"/>
          </w:tcPr>
          <w:p w14:paraId="1DBF9ED8" w14:textId="77777777" w:rsidR="00C175E4" w:rsidRPr="00D768EF" w:rsidRDefault="00C175E4" w:rsidP="00622285">
            <w:pPr>
              <w:widowControl w:val="0"/>
              <w:adjustRightInd w:val="0"/>
              <w:spacing w:before="30" w:after="30"/>
              <w:jc w:val="left"/>
              <w:rPr>
                <w:color w:val="000000"/>
                <w:szCs w:val="22"/>
                <w:lang w:val="sr-Latn-ME"/>
              </w:rPr>
            </w:pPr>
            <w:r w:rsidRPr="00D768EF">
              <w:rPr>
                <w:color w:val="000000"/>
                <w:szCs w:val="22"/>
                <w:lang w:val="sr-Latn-ME"/>
              </w:rPr>
              <w:t>10 mg/kg</w:t>
            </w:r>
          </w:p>
        </w:tc>
        <w:tc>
          <w:tcPr>
            <w:tcW w:w="1420" w:type="dxa"/>
            <w:vAlign w:val="center"/>
          </w:tcPr>
          <w:p w14:paraId="5B3D897A" w14:textId="47F1E547" w:rsidR="00C175E4" w:rsidRPr="00D768EF" w:rsidRDefault="002D408F" w:rsidP="00622285">
            <w:pPr>
              <w:widowControl w:val="0"/>
              <w:adjustRightInd w:val="0"/>
              <w:spacing w:before="30" w:after="30"/>
              <w:jc w:val="left"/>
              <w:rPr>
                <w:color w:val="000000"/>
                <w:szCs w:val="22"/>
                <w:lang w:val="sr-Latn-ME"/>
              </w:rPr>
            </w:pPr>
            <w:r w:rsidRPr="00D768EF">
              <w:rPr>
                <w:color w:val="000000"/>
                <w:szCs w:val="22"/>
                <w:lang w:val="sr-Latn-ME"/>
              </w:rPr>
              <w:t xml:space="preserve">Kombinovani </w:t>
            </w:r>
            <w:r w:rsidR="00C175E4" w:rsidRPr="00D768EF">
              <w:rPr>
                <w:color w:val="000000"/>
                <w:szCs w:val="22"/>
                <w:lang w:val="sr-Latn-ME"/>
              </w:rPr>
              <w:t>podaci</w:t>
            </w:r>
          </w:p>
        </w:tc>
      </w:tr>
      <w:tr w:rsidR="00C175E4" w:rsidRPr="00D768EF" w14:paraId="2552C244" w14:textId="77777777" w:rsidTr="00622285">
        <w:trPr>
          <w:cantSplit/>
        </w:trPr>
        <w:tc>
          <w:tcPr>
            <w:tcW w:w="2967" w:type="dxa"/>
            <w:vAlign w:val="center"/>
          </w:tcPr>
          <w:p w14:paraId="5E902E4C" w14:textId="0D813E7E" w:rsidR="00C175E4" w:rsidRPr="00D768EF" w:rsidRDefault="00C175E4" w:rsidP="002F6CF0">
            <w:pPr>
              <w:widowControl w:val="0"/>
              <w:adjustRightInd w:val="0"/>
              <w:ind w:firstLine="67"/>
              <w:jc w:val="left"/>
              <w:rPr>
                <w:color w:val="000000"/>
                <w:szCs w:val="22"/>
                <w:lang w:val="sr-Latn-ME"/>
              </w:rPr>
            </w:pPr>
            <w:r w:rsidRPr="00D768EF">
              <w:rPr>
                <w:color w:val="000000"/>
                <w:szCs w:val="22"/>
                <w:lang w:val="sr-Latn-ME"/>
              </w:rPr>
              <w:t>Broj randomizovanih ispitanika</w:t>
            </w:r>
          </w:p>
        </w:tc>
        <w:tc>
          <w:tcPr>
            <w:tcW w:w="1418" w:type="dxa"/>
            <w:vAlign w:val="center"/>
          </w:tcPr>
          <w:p w14:paraId="5C4CF2C6" w14:textId="77777777" w:rsidR="00C175E4" w:rsidRPr="00D768EF" w:rsidRDefault="00C175E4" w:rsidP="00622285">
            <w:pPr>
              <w:widowControl w:val="0"/>
              <w:adjustRightInd w:val="0"/>
              <w:jc w:val="left"/>
              <w:rPr>
                <w:color w:val="000000"/>
                <w:szCs w:val="22"/>
                <w:lang w:val="sr-Latn-ME"/>
              </w:rPr>
            </w:pPr>
            <w:r w:rsidRPr="00D768EF">
              <w:rPr>
                <w:color w:val="000000"/>
                <w:szCs w:val="22"/>
                <w:lang w:val="sr-Latn-ME"/>
              </w:rPr>
              <w:t>244</w:t>
            </w:r>
          </w:p>
        </w:tc>
        <w:tc>
          <w:tcPr>
            <w:tcW w:w="1417" w:type="dxa"/>
            <w:vAlign w:val="center"/>
          </w:tcPr>
          <w:p w14:paraId="0F0A759E" w14:textId="77777777" w:rsidR="00C175E4" w:rsidRPr="00D768EF" w:rsidRDefault="00C175E4" w:rsidP="00622285">
            <w:pPr>
              <w:widowControl w:val="0"/>
              <w:adjustRightInd w:val="0"/>
              <w:jc w:val="left"/>
              <w:rPr>
                <w:color w:val="000000"/>
                <w:szCs w:val="22"/>
                <w:lang w:val="sr-Latn-ME"/>
              </w:rPr>
            </w:pPr>
            <w:r w:rsidRPr="00D768EF">
              <w:rPr>
                <w:color w:val="000000"/>
                <w:szCs w:val="22"/>
                <w:lang w:val="sr-Latn-ME"/>
              </w:rPr>
              <w:t>242</w:t>
            </w:r>
          </w:p>
        </w:tc>
        <w:tc>
          <w:tcPr>
            <w:tcW w:w="1418" w:type="dxa"/>
            <w:vAlign w:val="center"/>
          </w:tcPr>
          <w:p w14:paraId="1F4EE027" w14:textId="77777777" w:rsidR="00C175E4" w:rsidRPr="00D768EF" w:rsidRDefault="00C175E4" w:rsidP="00622285">
            <w:pPr>
              <w:widowControl w:val="0"/>
              <w:adjustRightInd w:val="0"/>
              <w:jc w:val="left"/>
              <w:rPr>
                <w:color w:val="000000"/>
                <w:szCs w:val="22"/>
                <w:lang w:val="sr-Latn-ME"/>
              </w:rPr>
            </w:pPr>
            <w:r w:rsidRPr="00D768EF">
              <w:rPr>
                <w:color w:val="000000"/>
                <w:szCs w:val="22"/>
                <w:lang w:val="sr-Latn-ME"/>
              </w:rPr>
              <w:t>242</w:t>
            </w:r>
          </w:p>
        </w:tc>
        <w:tc>
          <w:tcPr>
            <w:tcW w:w="1420" w:type="dxa"/>
            <w:vAlign w:val="center"/>
          </w:tcPr>
          <w:p w14:paraId="2FFA0306" w14:textId="77777777" w:rsidR="00C175E4" w:rsidRPr="00D768EF" w:rsidRDefault="00C175E4" w:rsidP="00622285">
            <w:pPr>
              <w:widowControl w:val="0"/>
              <w:adjustRightInd w:val="0"/>
              <w:jc w:val="left"/>
              <w:rPr>
                <w:color w:val="000000"/>
                <w:szCs w:val="22"/>
                <w:lang w:val="sr-Latn-ME"/>
              </w:rPr>
            </w:pPr>
            <w:r w:rsidRPr="00D768EF">
              <w:rPr>
                <w:color w:val="000000"/>
                <w:szCs w:val="22"/>
                <w:lang w:val="sr-Latn-ME"/>
              </w:rPr>
              <w:t>484</w:t>
            </w:r>
          </w:p>
        </w:tc>
      </w:tr>
      <w:tr w:rsidR="00C175E4" w:rsidRPr="00D768EF" w14:paraId="00287D17" w14:textId="77777777" w:rsidTr="00622285">
        <w:trPr>
          <w:cantSplit/>
        </w:trPr>
        <w:tc>
          <w:tcPr>
            <w:tcW w:w="8640" w:type="dxa"/>
            <w:gridSpan w:val="5"/>
            <w:vAlign w:val="center"/>
          </w:tcPr>
          <w:p w14:paraId="72F3704F" w14:textId="1164100F" w:rsidR="00C175E4" w:rsidRPr="00D768EF" w:rsidRDefault="00C175E4" w:rsidP="002F6CF0">
            <w:pPr>
              <w:widowControl w:val="0"/>
              <w:adjustRightInd w:val="0"/>
              <w:ind w:firstLine="67"/>
              <w:jc w:val="left"/>
              <w:rPr>
                <w:b/>
                <w:bCs/>
                <w:color w:val="000000"/>
                <w:szCs w:val="22"/>
                <w:lang w:val="sr-Latn-ME"/>
              </w:rPr>
            </w:pPr>
            <w:r w:rsidRPr="00D768EF">
              <w:rPr>
                <w:b/>
                <w:bCs/>
                <w:color w:val="000000"/>
                <w:szCs w:val="22"/>
                <w:lang w:val="sr-Latn-ME"/>
              </w:rPr>
              <w:t>Procenat ispitanika sa kliničkim odgovorom i održanim kliničkim odgovorom</w:t>
            </w:r>
          </w:p>
        </w:tc>
      </w:tr>
      <w:tr w:rsidR="00C175E4" w:rsidRPr="00D768EF" w14:paraId="4504B780" w14:textId="77777777" w:rsidTr="00622285">
        <w:trPr>
          <w:cantSplit/>
        </w:trPr>
        <w:tc>
          <w:tcPr>
            <w:tcW w:w="2967" w:type="dxa"/>
            <w:vAlign w:val="center"/>
          </w:tcPr>
          <w:p w14:paraId="2C538E88" w14:textId="15CECE90" w:rsidR="00C175E4" w:rsidRPr="00D768EF" w:rsidRDefault="00C175E4" w:rsidP="002F6CF0">
            <w:pPr>
              <w:widowControl w:val="0"/>
              <w:adjustRightInd w:val="0"/>
              <w:ind w:firstLine="67"/>
              <w:jc w:val="left"/>
              <w:rPr>
                <w:color w:val="000000"/>
                <w:szCs w:val="22"/>
                <w:lang w:val="sr-Latn-ME"/>
              </w:rPr>
            </w:pPr>
            <w:r w:rsidRPr="00D768EF">
              <w:rPr>
                <w:color w:val="000000"/>
                <w:szCs w:val="22"/>
                <w:lang w:val="sr-Latn-ME"/>
              </w:rPr>
              <w:t xml:space="preserve">Klinički odgovor u 8. </w:t>
            </w:r>
            <w:r w:rsidR="00D57936" w:rsidRPr="00D768EF">
              <w:rPr>
                <w:color w:val="000000"/>
                <w:szCs w:val="22"/>
                <w:lang w:val="sr-Latn-ME"/>
              </w:rPr>
              <w:t>nedjelj</w:t>
            </w:r>
            <w:r w:rsidRPr="00D768EF">
              <w:rPr>
                <w:color w:val="000000"/>
                <w:szCs w:val="22"/>
                <w:lang w:val="sr-Latn-ME"/>
              </w:rPr>
              <w:t>i</w:t>
            </w:r>
            <w:r w:rsidRPr="00D768EF">
              <w:rPr>
                <w:color w:val="000000"/>
                <w:szCs w:val="22"/>
                <w:vertAlign w:val="superscript"/>
                <w:lang w:val="sr-Latn-ME"/>
              </w:rPr>
              <w:t>a</w:t>
            </w:r>
          </w:p>
        </w:tc>
        <w:tc>
          <w:tcPr>
            <w:tcW w:w="1418" w:type="dxa"/>
            <w:vAlign w:val="center"/>
          </w:tcPr>
          <w:p w14:paraId="1C8FD392" w14:textId="39D73265" w:rsidR="00C175E4" w:rsidRPr="00D768EF" w:rsidRDefault="00C175E4" w:rsidP="00622285">
            <w:pPr>
              <w:widowControl w:val="0"/>
              <w:adjustRightInd w:val="0"/>
              <w:jc w:val="left"/>
              <w:rPr>
                <w:color w:val="000000"/>
                <w:szCs w:val="22"/>
                <w:lang w:val="sr-Latn-ME"/>
              </w:rPr>
            </w:pPr>
            <w:r w:rsidRPr="00D768EF">
              <w:rPr>
                <w:color w:val="000000"/>
                <w:szCs w:val="22"/>
                <w:lang w:val="sr-Latn-ME"/>
              </w:rPr>
              <w:t>33.2%</w:t>
            </w:r>
          </w:p>
        </w:tc>
        <w:tc>
          <w:tcPr>
            <w:tcW w:w="1417" w:type="dxa"/>
            <w:vAlign w:val="center"/>
          </w:tcPr>
          <w:p w14:paraId="54B459EF" w14:textId="0FB51C7E" w:rsidR="00C175E4" w:rsidRPr="00D768EF" w:rsidRDefault="00C175E4" w:rsidP="00622285">
            <w:pPr>
              <w:widowControl w:val="0"/>
              <w:adjustRightInd w:val="0"/>
              <w:jc w:val="left"/>
              <w:rPr>
                <w:color w:val="000000"/>
                <w:szCs w:val="22"/>
                <w:lang w:val="sr-Latn-ME"/>
              </w:rPr>
            </w:pPr>
            <w:r w:rsidRPr="00D768EF">
              <w:rPr>
                <w:color w:val="000000"/>
                <w:szCs w:val="22"/>
                <w:lang w:val="sr-Latn-ME"/>
              </w:rPr>
              <w:t>66.9%</w:t>
            </w:r>
          </w:p>
        </w:tc>
        <w:tc>
          <w:tcPr>
            <w:tcW w:w="1418" w:type="dxa"/>
            <w:vAlign w:val="center"/>
          </w:tcPr>
          <w:p w14:paraId="25EB141F" w14:textId="3212D269" w:rsidR="00C175E4" w:rsidRPr="00D768EF" w:rsidRDefault="00C175E4" w:rsidP="00622285">
            <w:pPr>
              <w:widowControl w:val="0"/>
              <w:adjustRightInd w:val="0"/>
              <w:jc w:val="left"/>
              <w:rPr>
                <w:color w:val="000000"/>
                <w:szCs w:val="22"/>
                <w:lang w:val="sr-Latn-ME"/>
              </w:rPr>
            </w:pPr>
            <w:r w:rsidRPr="00D768EF">
              <w:rPr>
                <w:color w:val="000000"/>
                <w:szCs w:val="22"/>
                <w:lang w:val="sr-Latn-ME"/>
              </w:rPr>
              <w:t>65.3%</w:t>
            </w:r>
          </w:p>
        </w:tc>
        <w:tc>
          <w:tcPr>
            <w:tcW w:w="1420" w:type="dxa"/>
            <w:vAlign w:val="center"/>
          </w:tcPr>
          <w:p w14:paraId="466FAB20" w14:textId="171EC84F" w:rsidR="00C175E4" w:rsidRPr="00D768EF" w:rsidRDefault="00C175E4" w:rsidP="00622285">
            <w:pPr>
              <w:widowControl w:val="0"/>
              <w:adjustRightInd w:val="0"/>
              <w:jc w:val="left"/>
              <w:rPr>
                <w:color w:val="000000"/>
                <w:szCs w:val="22"/>
                <w:lang w:val="sr-Latn-ME"/>
              </w:rPr>
            </w:pPr>
            <w:r w:rsidRPr="00D768EF">
              <w:rPr>
                <w:color w:val="000000"/>
                <w:szCs w:val="22"/>
                <w:lang w:val="sr-Latn-ME"/>
              </w:rPr>
              <w:t>66.1%</w:t>
            </w:r>
          </w:p>
        </w:tc>
      </w:tr>
      <w:tr w:rsidR="00C175E4" w:rsidRPr="00D768EF" w14:paraId="6FFE7709" w14:textId="77777777" w:rsidTr="00622285">
        <w:trPr>
          <w:cantSplit/>
        </w:trPr>
        <w:tc>
          <w:tcPr>
            <w:tcW w:w="2967" w:type="dxa"/>
            <w:vAlign w:val="center"/>
          </w:tcPr>
          <w:p w14:paraId="61009146" w14:textId="5B9DB6D4" w:rsidR="00C175E4" w:rsidRPr="00D768EF" w:rsidRDefault="00C175E4" w:rsidP="002F6CF0">
            <w:pPr>
              <w:widowControl w:val="0"/>
              <w:adjustRightInd w:val="0"/>
              <w:ind w:firstLine="67"/>
              <w:jc w:val="left"/>
              <w:rPr>
                <w:color w:val="000000"/>
                <w:szCs w:val="22"/>
                <w:lang w:val="sr-Latn-ME"/>
              </w:rPr>
            </w:pPr>
            <w:r w:rsidRPr="00D768EF">
              <w:rPr>
                <w:color w:val="000000"/>
                <w:szCs w:val="22"/>
                <w:lang w:val="sr-Latn-ME"/>
              </w:rPr>
              <w:t xml:space="preserve">Klinički odgovor u 30. </w:t>
            </w:r>
            <w:r w:rsidR="00D57936" w:rsidRPr="00D768EF">
              <w:rPr>
                <w:color w:val="000000"/>
                <w:szCs w:val="22"/>
                <w:lang w:val="sr-Latn-ME"/>
              </w:rPr>
              <w:t>nedjelj</w:t>
            </w:r>
            <w:r w:rsidRPr="00D768EF">
              <w:rPr>
                <w:color w:val="000000"/>
                <w:szCs w:val="22"/>
                <w:lang w:val="sr-Latn-ME"/>
              </w:rPr>
              <w:t>i</w:t>
            </w:r>
            <w:r w:rsidRPr="00D768EF">
              <w:rPr>
                <w:color w:val="000000"/>
                <w:szCs w:val="22"/>
                <w:vertAlign w:val="superscript"/>
                <w:lang w:val="sr-Latn-ME"/>
              </w:rPr>
              <w:t>a</w:t>
            </w:r>
          </w:p>
        </w:tc>
        <w:tc>
          <w:tcPr>
            <w:tcW w:w="1418" w:type="dxa"/>
            <w:vAlign w:val="center"/>
          </w:tcPr>
          <w:p w14:paraId="6DD21A38" w14:textId="4C7BCADE" w:rsidR="00C175E4" w:rsidRPr="00D768EF" w:rsidRDefault="00C175E4" w:rsidP="00622285">
            <w:pPr>
              <w:widowControl w:val="0"/>
              <w:adjustRightInd w:val="0"/>
              <w:jc w:val="left"/>
              <w:rPr>
                <w:color w:val="000000"/>
                <w:szCs w:val="22"/>
                <w:lang w:val="sr-Latn-ME"/>
              </w:rPr>
            </w:pPr>
            <w:r w:rsidRPr="00D768EF">
              <w:rPr>
                <w:color w:val="000000"/>
                <w:szCs w:val="22"/>
                <w:lang w:val="sr-Latn-ME"/>
              </w:rPr>
              <w:t>27.9%</w:t>
            </w:r>
          </w:p>
        </w:tc>
        <w:tc>
          <w:tcPr>
            <w:tcW w:w="1417" w:type="dxa"/>
            <w:vAlign w:val="center"/>
          </w:tcPr>
          <w:p w14:paraId="3044D6D9" w14:textId="4422770C" w:rsidR="00C175E4" w:rsidRPr="00D768EF" w:rsidRDefault="00C175E4" w:rsidP="00622285">
            <w:pPr>
              <w:widowControl w:val="0"/>
              <w:adjustRightInd w:val="0"/>
              <w:jc w:val="left"/>
              <w:rPr>
                <w:color w:val="000000"/>
                <w:szCs w:val="22"/>
                <w:lang w:val="sr-Latn-ME"/>
              </w:rPr>
            </w:pPr>
            <w:r w:rsidRPr="00D768EF">
              <w:rPr>
                <w:color w:val="000000"/>
                <w:szCs w:val="22"/>
                <w:lang w:val="sr-Latn-ME"/>
              </w:rPr>
              <w:t>49.6%</w:t>
            </w:r>
          </w:p>
        </w:tc>
        <w:tc>
          <w:tcPr>
            <w:tcW w:w="1418" w:type="dxa"/>
            <w:vAlign w:val="center"/>
          </w:tcPr>
          <w:p w14:paraId="5BF30A16" w14:textId="793DDD60" w:rsidR="00C175E4" w:rsidRPr="00D768EF" w:rsidRDefault="00C175E4" w:rsidP="00622285">
            <w:pPr>
              <w:widowControl w:val="0"/>
              <w:adjustRightInd w:val="0"/>
              <w:jc w:val="left"/>
              <w:rPr>
                <w:color w:val="000000"/>
                <w:szCs w:val="22"/>
                <w:lang w:val="sr-Latn-ME"/>
              </w:rPr>
            </w:pPr>
            <w:r w:rsidRPr="00D768EF">
              <w:rPr>
                <w:color w:val="000000"/>
                <w:szCs w:val="22"/>
                <w:lang w:val="sr-Latn-ME"/>
              </w:rPr>
              <w:t>55.4%</w:t>
            </w:r>
          </w:p>
        </w:tc>
        <w:tc>
          <w:tcPr>
            <w:tcW w:w="1420" w:type="dxa"/>
            <w:vAlign w:val="center"/>
          </w:tcPr>
          <w:p w14:paraId="15D6E43B" w14:textId="556299CB" w:rsidR="00C175E4" w:rsidRPr="00D768EF" w:rsidRDefault="00C175E4" w:rsidP="00622285">
            <w:pPr>
              <w:widowControl w:val="0"/>
              <w:adjustRightInd w:val="0"/>
              <w:jc w:val="left"/>
              <w:rPr>
                <w:color w:val="000000"/>
                <w:szCs w:val="22"/>
                <w:lang w:val="sr-Latn-ME"/>
              </w:rPr>
            </w:pPr>
            <w:r w:rsidRPr="00D768EF">
              <w:rPr>
                <w:color w:val="000000"/>
                <w:szCs w:val="22"/>
                <w:lang w:val="sr-Latn-ME"/>
              </w:rPr>
              <w:t>52.5%</w:t>
            </w:r>
          </w:p>
        </w:tc>
      </w:tr>
      <w:tr w:rsidR="00C175E4" w:rsidRPr="00D768EF" w14:paraId="57F317DC" w14:textId="77777777" w:rsidTr="00622285">
        <w:trPr>
          <w:cantSplit/>
        </w:trPr>
        <w:tc>
          <w:tcPr>
            <w:tcW w:w="2967" w:type="dxa"/>
            <w:vAlign w:val="center"/>
          </w:tcPr>
          <w:p w14:paraId="102978AD" w14:textId="652A5F20" w:rsidR="00C175E4" w:rsidRPr="00D768EF" w:rsidRDefault="00C175E4" w:rsidP="002F6CF0">
            <w:pPr>
              <w:widowControl w:val="0"/>
              <w:adjustRightInd w:val="0"/>
              <w:ind w:firstLine="67"/>
              <w:jc w:val="left"/>
              <w:rPr>
                <w:szCs w:val="22"/>
                <w:lang w:val="sr-Latn-ME"/>
              </w:rPr>
            </w:pPr>
            <w:r w:rsidRPr="00D768EF">
              <w:rPr>
                <w:szCs w:val="22"/>
                <w:lang w:val="sr-Latn-ME"/>
              </w:rPr>
              <w:t>Održani odgovor</w:t>
            </w:r>
          </w:p>
          <w:p w14:paraId="2207479C" w14:textId="77777777" w:rsidR="00C175E4" w:rsidRPr="00D768EF" w:rsidRDefault="00C175E4" w:rsidP="002F6CF0">
            <w:pPr>
              <w:widowControl w:val="0"/>
              <w:adjustRightInd w:val="0"/>
              <w:ind w:firstLine="67"/>
              <w:jc w:val="left"/>
              <w:rPr>
                <w:szCs w:val="22"/>
                <w:lang w:val="sr-Latn-ME"/>
              </w:rPr>
            </w:pPr>
            <w:r w:rsidRPr="00D768EF">
              <w:rPr>
                <w:szCs w:val="22"/>
                <w:lang w:val="sr-Latn-ME"/>
              </w:rPr>
              <w:t>(klinički odgovor i u</w:t>
            </w:r>
          </w:p>
          <w:p w14:paraId="0C52FF72" w14:textId="24C1EFF8" w:rsidR="00C175E4" w:rsidRPr="00D768EF" w:rsidRDefault="00C175E4" w:rsidP="002F6CF0">
            <w:pPr>
              <w:widowControl w:val="0"/>
              <w:adjustRightInd w:val="0"/>
              <w:ind w:firstLine="67"/>
              <w:jc w:val="left"/>
              <w:rPr>
                <w:szCs w:val="22"/>
                <w:lang w:val="sr-Latn-ME"/>
              </w:rPr>
            </w:pPr>
            <w:r w:rsidRPr="00D768EF">
              <w:rPr>
                <w:szCs w:val="22"/>
                <w:lang w:val="sr-Latn-ME"/>
              </w:rPr>
              <w:t xml:space="preserve">8. i u 30. </w:t>
            </w:r>
            <w:r w:rsidR="00D57936" w:rsidRPr="00D768EF">
              <w:rPr>
                <w:szCs w:val="22"/>
                <w:lang w:val="sr-Latn-ME"/>
              </w:rPr>
              <w:t>nedjelj</w:t>
            </w:r>
            <w:r w:rsidRPr="00D768EF">
              <w:rPr>
                <w:szCs w:val="22"/>
                <w:lang w:val="sr-Latn-ME"/>
              </w:rPr>
              <w:t>i)</w:t>
            </w:r>
            <w:r w:rsidRPr="00D768EF">
              <w:rPr>
                <w:szCs w:val="22"/>
                <w:vertAlign w:val="superscript"/>
                <w:lang w:val="sr-Latn-ME"/>
              </w:rPr>
              <w:t>a</w:t>
            </w:r>
          </w:p>
        </w:tc>
        <w:tc>
          <w:tcPr>
            <w:tcW w:w="1418" w:type="dxa"/>
            <w:vAlign w:val="center"/>
          </w:tcPr>
          <w:p w14:paraId="671E6EBC" w14:textId="3F1FBC2F" w:rsidR="00C175E4" w:rsidRPr="00D768EF" w:rsidRDefault="00C175E4" w:rsidP="00622285">
            <w:pPr>
              <w:widowControl w:val="0"/>
              <w:adjustRightInd w:val="0"/>
              <w:jc w:val="left"/>
              <w:rPr>
                <w:szCs w:val="22"/>
                <w:lang w:val="sr-Latn-ME"/>
              </w:rPr>
            </w:pPr>
            <w:r w:rsidRPr="00D768EF">
              <w:rPr>
                <w:szCs w:val="22"/>
                <w:lang w:val="sr-Latn-ME"/>
              </w:rPr>
              <w:t>19.3%</w:t>
            </w:r>
          </w:p>
        </w:tc>
        <w:tc>
          <w:tcPr>
            <w:tcW w:w="1417" w:type="dxa"/>
            <w:vAlign w:val="center"/>
          </w:tcPr>
          <w:p w14:paraId="158B1697" w14:textId="3F832EAA" w:rsidR="00C175E4" w:rsidRPr="00D768EF" w:rsidRDefault="00C175E4" w:rsidP="00622285">
            <w:pPr>
              <w:widowControl w:val="0"/>
              <w:adjustRightInd w:val="0"/>
              <w:jc w:val="left"/>
              <w:rPr>
                <w:color w:val="000000"/>
                <w:szCs w:val="22"/>
                <w:lang w:val="sr-Latn-ME"/>
              </w:rPr>
            </w:pPr>
            <w:r w:rsidRPr="00D768EF">
              <w:rPr>
                <w:color w:val="000000"/>
                <w:szCs w:val="22"/>
                <w:lang w:val="sr-Latn-ME"/>
              </w:rPr>
              <w:t>45.0%</w:t>
            </w:r>
          </w:p>
        </w:tc>
        <w:tc>
          <w:tcPr>
            <w:tcW w:w="1418" w:type="dxa"/>
            <w:vAlign w:val="center"/>
          </w:tcPr>
          <w:p w14:paraId="13EE4EBD" w14:textId="26A21690" w:rsidR="00C175E4" w:rsidRPr="00D768EF" w:rsidRDefault="00C175E4" w:rsidP="00622285">
            <w:pPr>
              <w:widowControl w:val="0"/>
              <w:adjustRightInd w:val="0"/>
              <w:jc w:val="left"/>
              <w:rPr>
                <w:color w:val="000000"/>
                <w:szCs w:val="22"/>
                <w:lang w:val="sr-Latn-ME"/>
              </w:rPr>
            </w:pPr>
            <w:r w:rsidRPr="00D768EF">
              <w:rPr>
                <w:color w:val="000000"/>
                <w:szCs w:val="22"/>
                <w:lang w:val="sr-Latn-ME"/>
              </w:rPr>
              <w:t>49.6%</w:t>
            </w:r>
          </w:p>
        </w:tc>
        <w:tc>
          <w:tcPr>
            <w:tcW w:w="1420" w:type="dxa"/>
            <w:vAlign w:val="center"/>
          </w:tcPr>
          <w:p w14:paraId="384F5EC2" w14:textId="33484DE2" w:rsidR="00C175E4" w:rsidRPr="00D768EF" w:rsidRDefault="00C175E4" w:rsidP="00622285">
            <w:pPr>
              <w:widowControl w:val="0"/>
              <w:adjustRightInd w:val="0"/>
              <w:jc w:val="left"/>
              <w:rPr>
                <w:color w:val="000000"/>
                <w:szCs w:val="22"/>
                <w:lang w:val="sr-Latn-ME"/>
              </w:rPr>
            </w:pPr>
            <w:r w:rsidRPr="00D768EF">
              <w:rPr>
                <w:color w:val="000000"/>
                <w:szCs w:val="22"/>
                <w:lang w:val="sr-Latn-ME"/>
              </w:rPr>
              <w:t>47.3%</w:t>
            </w:r>
          </w:p>
        </w:tc>
      </w:tr>
      <w:tr w:rsidR="00C175E4" w:rsidRPr="00D768EF" w14:paraId="77FD5761" w14:textId="77777777" w:rsidTr="00622285">
        <w:trPr>
          <w:cantSplit/>
          <w:tblHeader/>
        </w:trPr>
        <w:tc>
          <w:tcPr>
            <w:tcW w:w="8640" w:type="dxa"/>
            <w:gridSpan w:val="5"/>
            <w:vAlign w:val="center"/>
          </w:tcPr>
          <w:p w14:paraId="23E73588" w14:textId="7E8426AA" w:rsidR="00C175E4" w:rsidRPr="00D768EF" w:rsidRDefault="00C175E4" w:rsidP="002F6CF0">
            <w:pPr>
              <w:ind w:firstLine="67"/>
              <w:jc w:val="left"/>
              <w:rPr>
                <w:b/>
                <w:bCs/>
                <w:color w:val="000000"/>
                <w:szCs w:val="22"/>
                <w:lang w:val="sr-Latn-ME"/>
              </w:rPr>
            </w:pPr>
            <w:r w:rsidRPr="00D768EF">
              <w:rPr>
                <w:b/>
                <w:bCs/>
                <w:color w:val="000000"/>
                <w:szCs w:val="22"/>
                <w:lang w:val="sr-Latn-ME"/>
              </w:rPr>
              <w:t>Procenat ispitanika u kliničkoj remisiji i održanoj remisiji</w:t>
            </w:r>
          </w:p>
        </w:tc>
      </w:tr>
      <w:tr w:rsidR="00C175E4" w:rsidRPr="00D768EF" w14:paraId="1AA2BD25" w14:textId="77777777" w:rsidTr="00622285">
        <w:trPr>
          <w:cantSplit/>
        </w:trPr>
        <w:tc>
          <w:tcPr>
            <w:tcW w:w="2967" w:type="dxa"/>
            <w:vAlign w:val="center"/>
          </w:tcPr>
          <w:p w14:paraId="4D0E0E30" w14:textId="7EDBC3BE" w:rsidR="00C175E4" w:rsidRPr="00D768EF" w:rsidRDefault="00C175E4" w:rsidP="002F6CF0">
            <w:pPr>
              <w:widowControl w:val="0"/>
              <w:adjustRightInd w:val="0"/>
              <w:ind w:firstLine="67"/>
              <w:jc w:val="left"/>
              <w:rPr>
                <w:color w:val="000000"/>
                <w:szCs w:val="22"/>
                <w:lang w:val="sr-Latn-ME"/>
              </w:rPr>
            </w:pPr>
            <w:r w:rsidRPr="00D768EF">
              <w:rPr>
                <w:color w:val="000000"/>
                <w:szCs w:val="22"/>
                <w:lang w:val="sr-Latn-ME"/>
              </w:rPr>
              <w:t xml:space="preserve">Klinička remisija u 8. </w:t>
            </w:r>
            <w:r w:rsidR="00D57936" w:rsidRPr="00D768EF">
              <w:rPr>
                <w:color w:val="000000"/>
                <w:szCs w:val="22"/>
                <w:lang w:val="sr-Latn-ME"/>
              </w:rPr>
              <w:t>nedjelj</w:t>
            </w:r>
            <w:r w:rsidRPr="00D768EF">
              <w:rPr>
                <w:color w:val="000000"/>
                <w:szCs w:val="22"/>
                <w:lang w:val="sr-Latn-ME"/>
              </w:rPr>
              <w:t>i</w:t>
            </w:r>
            <w:r w:rsidRPr="00D768EF">
              <w:rPr>
                <w:color w:val="000000"/>
                <w:szCs w:val="22"/>
                <w:vertAlign w:val="superscript"/>
                <w:lang w:val="sr-Latn-ME"/>
              </w:rPr>
              <w:t>a</w:t>
            </w:r>
          </w:p>
        </w:tc>
        <w:tc>
          <w:tcPr>
            <w:tcW w:w="1418" w:type="dxa"/>
            <w:vAlign w:val="center"/>
          </w:tcPr>
          <w:p w14:paraId="2F431B49" w14:textId="4FF1583E" w:rsidR="00C175E4" w:rsidRPr="00D768EF" w:rsidRDefault="00C175E4" w:rsidP="00622285">
            <w:pPr>
              <w:widowControl w:val="0"/>
              <w:adjustRightInd w:val="0"/>
              <w:spacing w:before="30" w:after="30"/>
              <w:jc w:val="left"/>
              <w:rPr>
                <w:color w:val="000000"/>
                <w:szCs w:val="22"/>
                <w:lang w:val="sr-Latn-ME"/>
              </w:rPr>
            </w:pPr>
            <w:r w:rsidRPr="00D768EF">
              <w:rPr>
                <w:color w:val="000000"/>
                <w:szCs w:val="22"/>
                <w:lang w:val="sr-Latn-ME"/>
              </w:rPr>
              <w:t>10.2%</w:t>
            </w:r>
          </w:p>
        </w:tc>
        <w:tc>
          <w:tcPr>
            <w:tcW w:w="1417" w:type="dxa"/>
            <w:vAlign w:val="center"/>
          </w:tcPr>
          <w:p w14:paraId="3C7A7CD0" w14:textId="78D3250D" w:rsidR="00C175E4" w:rsidRPr="00D768EF" w:rsidRDefault="00C175E4" w:rsidP="00622285">
            <w:pPr>
              <w:widowControl w:val="0"/>
              <w:adjustRightInd w:val="0"/>
              <w:spacing w:before="30" w:after="30"/>
              <w:jc w:val="left"/>
              <w:rPr>
                <w:color w:val="000000"/>
                <w:szCs w:val="22"/>
                <w:lang w:val="sr-Latn-ME"/>
              </w:rPr>
            </w:pPr>
            <w:r w:rsidRPr="00D768EF">
              <w:rPr>
                <w:color w:val="000000"/>
                <w:szCs w:val="22"/>
                <w:lang w:val="sr-Latn-ME"/>
              </w:rPr>
              <w:t>36.4%</w:t>
            </w:r>
          </w:p>
        </w:tc>
        <w:tc>
          <w:tcPr>
            <w:tcW w:w="1418" w:type="dxa"/>
            <w:vAlign w:val="center"/>
          </w:tcPr>
          <w:p w14:paraId="4213015E" w14:textId="57415E74" w:rsidR="00C175E4" w:rsidRPr="00D768EF" w:rsidRDefault="00C175E4" w:rsidP="00622285">
            <w:pPr>
              <w:widowControl w:val="0"/>
              <w:adjustRightInd w:val="0"/>
              <w:spacing w:before="30" w:after="30"/>
              <w:jc w:val="left"/>
              <w:rPr>
                <w:color w:val="000000"/>
                <w:szCs w:val="22"/>
                <w:lang w:val="sr-Latn-ME"/>
              </w:rPr>
            </w:pPr>
            <w:r w:rsidRPr="00D768EF">
              <w:rPr>
                <w:color w:val="000000"/>
                <w:szCs w:val="22"/>
                <w:lang w:val="sr-Latn-ME"/>
              </w:rPr>
              <w:t>29.8%</w:t>
            </w:r>
          </w:p>
        </w:tc>
        <w:tc>
          <w:tcPr>
            <w:tcW w:w="1420" w:type="dxa"/>
            <w:vAlign w:val="center"/>
          </w:tcPr>
          <w:p w14:paraId="6E2849C3" w14:textId="01D1765D" w:rsidR="00C175E4" w:rsidRPr="00D768EF" w:rsidRDefault="00C175E4" w:rsidP="00622285">
            <w:pPr>
              <w:widowControl w:val="0"/>
              <w:adjustRightInd w:val="0"/>
              <w:spacing w:before="30" w:after="30"/>
              <w:jc w:val="left"/>
              <w:rPr>
                <w:color w:val="000000"/>
                <w:szCs w:val="22"/>
                <w:lang w:val="sr-Latn-ME"/>
              </w:rPr>
            </w:pPr>
            <w:r w:rsidRPr="00D768EF">
              <w:rPr>
                <w:color w:val="000000"/>
                <w:szCs w:val="22"/>
                <w:lang w:val="sr-Latn-ME"/>
              </w:rPr>
              <w:t>33.1%</w:t>
            </w:r>
          </w:p>
        </w:tc>
      </w:tr>
      <w:tr w:rsidR="00C175E4" w:rsidRPr="00D768EF" w14:paraId="09E32886" w14:textId="77777777" w:rsidTr="00622285">
        <w:trPr>
          <w:cantSplit/>
        </w:trPr>
        <w:tc>
          <w:tcPr>
            <w:tcW w:w="2967" w:type="dxa"/>
            <w:vAlign w:val="center"/>
          </w:tcPr>
          <w:p w14:paraId="703EFF4B" w14:textId="2DE89648" w:rsidR="00C175E4" w:rsidRPr="00D768EF" w:rsidRDefault="00C175E4" w:rsidP="002F6CF0">
            <w:pPr>
              <w:widowControl w:val="0"/>
              <w:adjustRightInd w:val="0"/>
              <w:ind w:firstLine="67"/>
              <w:jc w:val="left"/>
              <w:rPr>
                <w:color w:val="000000"/>
                <w:szCs w:val="22"/>
                <w:lang w:val="sr-Latn-ME"/>
              </w:rPr>
            </w:pPr>
            <w:r w:rsidRPr="00D768EF">
              <w:rPr>
                <w:color w:val="000000"/>
                <w:szCs w:val="22"/>
                <w:lang w:val="sr-Latn-ME"/>
              </w:rPr>
              <w:t xml:space="preserve">Klinička remisija u 30. </w:t>
            </w:r>
            <w:r w:rsidR="00D57936" w:rsidRPr="00D768EF">
              <w:rPr>
                <w:color w:val="000000"/>
                <w:szCs w:val="22"/>
                <w:lang w:val="sr-Latn-ME"/>
              </w:rPr>
              <w:t>nedjelj</w:t>
            </w:r>
            <w:r w:rsidRPr="00D768EF">
              <w:rPr>
                <w:color w:val="000000"/>
                <w:szCs w:val="22"/>
                <w:lang w:val="sr-Latn-ME"/>
              </w:rPr>
              <w:t>i</w:t>
            </w:r>
            <w:r w:rsidRPr="00D768EF">
              <w:rPr>
                <w:color w:val="000000"/>
                <w:szCs w:val="22"/>
                <w:vertAlign w:val="superscript"/>
                <w:lang w:val="sr-Latn-ME"/>
              </w:rPr>
              <w:t>a</w:t>
            </w:r>
          </w:p>
        </w:tc>
        <w:tc>
          <w:tcPr>
            <w:tcW w:w="1418" w:type="dxa"/>
            <w:vAlign w:val="center"/>
          </w:tcPr>
          <w:p w14:paraId="3BD4CBB2" w14:textId="4EDA1183" w:rsidR="00C175E4" w:rsidRPr="00D768EF" w:rsidRDefault="00C175E4" w:rsidP="00622285">
            <w:pPr>
              <w:widowControl w:val="0"/>
              <w:adjustRightInd w:val="0"/>
              <w:spacing w:before="30" w:after="30"/>
              <w:jc w:val="left"/>
              <w:rPr>
                <w:color w:val="000000"/>
                <w:szCs w:val="22"/>
                <w:lang w:val="sr-Latn-ME"/>
              </w:rPr>
            </w:pPr>
            <w:r w:rsidRPr="00D768EF">
              <w:rPr>
                <w:color w:val="000000"/>
                <w:szCs w:val="22"/>
                <w:lang w:val="sr-Latn-ME"/>
              </w:rPr>
              <w:t>13.1%</w:t>
            </w:r>
          </w:p>
        </w:tc>
        <w:tc>
          <w:tcPr>
            <w:tcW w:w="1417" w:type="dxa"/>
            <w:vAlign w:val="center"/>
          </w:tcPr>
          <w:p w14:paraId="6D97316B" w14:textId="1EDEA1C3" w:rsidR="00C175E4" w:rsidRPr="00D768EF" w:rsidRDefault="00C175E4" w:rsidP="00622285">
            <w:pPr>
              <w:widowControl w:val="0"/>
              <w:adjustRightInd w:val="0"/>
              <w:spacing w:before="30" w:after="30"/>
              <w:jc w:val="left"/>
              <w:rPr>
                <w:color w:val="000000"/>
                <w:szCs w:val="22"/>
                <w:lang w:val="sr-Latn-ME"/>
              </w:rPr>
            </w:pPr>
            <w:r w:rsidRPr="00D768EF">
              <w:rPr>
                <w:color w:val="000000"/>
                <w:szCs w:val="22"/>
                <w:lang w:val="sr-Latn-ME"/>
              </w:rPr>
              <w:t>29.8%</w:t>
            </w:r>
          </w:p>
        </w:tc>
        <w:tc>
          <w:tcPr>
            <w:tcW w:w="1418" w:type="dxa"/>
            <w:vAlign w:val="center"/>
          </w:tcPr>
          <w:p w14:paraId="5C4FDA31" w14:textId="5DF08124" w:rsidR="00C175E4" w:rsidRPr="00D768EF" w:rsidRDefault="00C175E4" w:rsidP="00622285">
            <w:pPr>
              <w:widowControl w:val="0"/>
              <w:adjustRightInd w:val="0"/>
              <w:spacing w:before="30" w:after="30"/>
              <w:jc w:val="left"/>
              <w:rPr>
                <w:color w:val="000000"/>
                <w:szCs w:val="22"/>
                <w:lang w:val="sr-Latn-ME"/>
              </w:rPr>
            </w:pPr>
            <w:r w:rsidRPr="00D768EF">
              <w:rPr>
                <w:color w:val="000000"/>
                <w:szCs w:val="22"/>
                <w:lang w:val="sr-Latn-ME"/>
              </w:rPr>
              <w:t>36.4%</w:t>
            </w:r>
          </w:p>
        </w:tc>
        <w:tc>
          <w:tcPr>
            <w:tcW w:w="1420" w:type="dxa"/>
            <w:vAlign w:val="center"/>
          </w:tcPr>
          <w:p w14:paraId="7E72819C" w14:textId="6E9730F8" w:rsidR="00C175E4" w:rsidRPr="00D768EF" w:rsidRDefault="00C175E4" w:rsidP="00622285">
            <w:pPr>
              <w:widowControl w:val="0"/>
              <w:adjustRightInd w:val="0"/>
              <w:spacing w:before="30" w:after="30"/>
              <w:jc w:val="left"/>
              <w:rPr>
                <w:color w:val="000000"/>
                <w:szCs w:val="22"/>
                <w:lang w:val="sr-Latn-ME"/>
              </w:rPr>
            </w:pPr>
            <w:r w:rsidRPr="00D768EF">
              <w:rPr>
                <w:color w:val="000000"/>
                <w:szCs w:val="22"/>
                <w:lang w:val="sr-Latn-ME"/>
              </w:rPr>
              <w:t>33.1%</w:t>
            </w:r>
          </w:p>
        </w:tc>
      </w:tr>
      <w:tr w:rsidR="00C175E4" w:rsidRPr="00D768EF" w14:paraId="6A039DCD" w14:textId="77777777" w:rsidTr="00622285">
        <w:trPr>
          <w:cantSplit/>
        </w:trPr>
        <w:tc>
          <w:tcPr>
            <w:tcW w:w="2967" w:type="dxa"/>
            <w:vAlign w:val="center"/>
          </w:tcPr>
          <w:p w14:paraId="6A96510D" w14:textId="77777777" w:rsidR="00C175E4" w:rsidRPr="00D768EF" w:rsidRDefault="00C175E4" w:rsidP="002F6CF0">
            <w:pPr>
              <w:widowControl w:val="0"/>
              <w:adjustRightInd w:val="0"/>
              <w:ind w:firstLine="67"/>
              <w:jc w:val="left"/>
              <w:rPr>
                <w:color w:val="000000"/>
                <w:szCs w:val="22"/>
                <w:lang w:val="sr-Latn-ME"/>
              </w:rPr>
            </w:pPr>
            <w:r w:rsidRPr="00D768EF">
              <w:rPr>
                <w:color w:val="000000"/>
                <w:szCs w:val="22"/>
                <w:lang w:val="sr-Latn-ME"/>
              </w:rPr>
              <w:t>Održiva remisija</w:t>
            </w:r>
          </w:p>
          <w:p w14:paraId="23B05EA7" w14:textId="77777777" w:rsidR="00C175E4" w:rsidRPr="00D768EF" w:rsidRDefault="00C175E4" w:rsidP="002F6CF0">
            <w:pPr>
              <w:widowControl w:val="0"/>
              <w:adjustRightInd w:val="0"/>
              <w:ind w:firstLine="67"/>
              <w:jc w:val="left"/>
              <w:rPr>
                <w:color w:val="000000"/>
                <w:szCs w:val="22"/>
                <w:lang w:val="sr-Latn-ME"/>
              </w:rPr>
            </w:pPr>
            <w:r w:rsidRPr="00D768EF">
              <w:rPr>
                <w:color w:val="000000"/>
                <w:szCs w:val="22"/>
                <w:lang w:val="sr-Latn-ME"/>
              </w:rPr>
              <w:t>(u remisiji i u</w:t>
            </w:r>
          </w:p>
          <w:p w14:paraId="402BFAF8" w14:textId="530E0EFB" w:rsidR="00C175E4" w:rsidRPr="00D768EF" w:rsidRDefault="00C175E4" w:rsidP="002F6CF0">
            <w:pPr>
              <w:widowControl w:val="0"/>
              <w:adjustRightInd w:val="0"/>
              <w:ind w:firstLine="67"/>
              <w:jc w:val="left"/>
              <w:rPr>
                <w:color w:val="000000"/>
                <w:szCs w:val="22"/>
                <w:lang w:val="sr-Latn-ME"/>
              </w:rPr>
            </w:pPr>
            <w:r w:rsidRPr="00D768EF">
              <w:rPr>
                <w:color w:val="000000"/>
                <w:szCs w:val="22"/>
                <w:lang w:val="sr-Latn-ME"/>
              </w:rPr>
              <w:t xml:space="preserve">8. i u 30. </w:t>
            </w:r>
            <w:r w:rsidR="00D57936" w:rsidRPr="00D768EF">
              <w:rPr>
                <w:color w:val="000000"/>
                <w:szCs w:val="22"/>
                <w:lang w:val="sr-Latn-ME"/>
              </w:rPr>
              <w:t>nedjelj</w:t>
            </w:r>
            <w:r w:rsidRPr="00D768EF">
              <w:rPr>
                <w:color w:val="000000"/>
                <w:szCs w:val="22"/>
                <w:lang w:val="sr-Latn-ME"/>
              </w:rPr>
              <w:t>i)</w:t>
            </w:r>
            <w:r w:rsidRPr="00D768EF">
              <w:rPr>
                <w:color w:val="000000"/>
                <w:szCs w:val="22"/>
                <w:vertAlign w:val="superscript"/>
                <w:lang w:val="sr-Latn-ME"/>
              </w:rPr>
              <w:t>a</w:t>
            </w:r>
          </w:p>
        </w:tc>
        <w:tc>
          <w:tcPr>
            <w:tcW w:w="1418" w:type="dxa"/>
            <w:vAlign w:val="center"/>
          </w:tcPr>
          <w:p w14:paraId="7247CED0" w14:textId="5D61988F" w:rsidR="00C175E4" w:rsidRPr="00D768EF" w:rsidRDefault="00C175E4" w:rsidP="00622285">
            <w:pPr>
              <w:widowControl w:val="0"/>
              <w:adjustRightInd w:val="0"/>
              <w:spacing w:before="30" w:after="30"/>
              <w:jc w:val="left"/>
              <w:rPr>
                <w:color w:val="000000"/>
                <w:szCs w:val="22"/>
                <w:lang w:val="sr-Latn-ME"/>
              </w:rPr>
            </w:pPr>
            <w:r w:rsidRPr="00D768EF">
              <w:rPr>
                <w:color w:val="000000"/>
                <w:szCs w:val="22"/>
                <w:lang w:val="sr-Latn-ME"/>
              </w:rPr>
              <w:t>5.3%</w:t>
            </w:r>
          </w:p>
        </w:tc>
        <w:tc>
          <w:tcPr>
            <w:tcW w:w="1417" w:type="dxa"/>
            <w:vAlign w:val="center"/>
          </w:tcPr>
          <w:p w14:paraId="47D5EFC8" w14:textId="04269CF0" w:rsidR="00C175E4" w:rsidRPr="00D768EF" w:rsidRDefault="00C175E4" w:rsidP="00622285">
            <w:pPr>
              <w:widowControl w:val="0"/>
              <w:adjustRightInd w:val="0"/>
              <w:spacing w:before="30" w:after="30"/>
              <w:jc w:val="left"/>
              <w:rPr>
                <w:color w:val="000000"/>
                <w:szCs w:val="22"/>
                <w:lang w:val="sr-Latn-ME"/>
              </w:rPr>
            </w:pPr>
            <w:r w:rsidRPr="00D768EF">
              <w:rPr>
                <w:color w:val="000000"/>
                <w:szCs w:val="22"/>
                <w:lang w:val="sr-Latn-ME"/>
              </w:rPr>
              <w:t>19.0%</w:t>
            </w:r>
          </w:p>
        </w:tc>
        <w:tc>
          <w:tcPr>
            <w:tcW w:w="1418" w:type="dxa"/>
            <w:vAlign w:val="center"/>
          </w:tcPr>
          <w:p w14:paraId="755CACFC" w14:textId="585F67BF" w:rsidR="00C175E4" w:rsidRPr="00D768EF" w:rsidRDefault="00C175E4" w:rsidP="00622285">
            <w:pPr>
              <w:widowControl w:val="0"/>
              <w:adjustRightInd w:val="0"/>
              <w:spacing w:before="30" w:after="30"/>
              <w:jc w:val="left"/>
              <w:rPr>
                <w:color w:val="000000"/>
                <w:szCs w:val="22"/>
                <w:lang w:val="sr-Latn-ME"/>
              </w:rPr>
            </w:pPr>
            <w:r w:rsidRPr="00D768EF">
              <w:rPr>
                <w:color w:val="000000"/>
                <w:szCs w:val="22"/>
                <w:lang w:val="sr-Latn-ME"/>
              </w:rPr>
              <w:t>24.4%</w:t>
            </w:r>
          </w:p>
        </w:tc>
        <w:tc>
          <w:tcPr>
            <w:tcW w:w="1420" w:type="dxa"/>
            <w:vAlign w:val="center"/>
          </w:tcPr>
          <w:p w14:paraId="7F653DDF" w14:textId="5F1BEBF1" w:rsidR="00C175E4" w:rsidRPr="00D768EF" w:rsidRDefault="00C175E4" w:rsidP="00622285">
            <w:pPr>
              <w:widowControl w:val="0"/>
              <w:adjustRightInd w:val="0"/>
              <w:spacing w:before="30" w:after="30"/>
              <w:jc w:val="left"/>
              <w:rPr>
                <w:color w:val="000000"/>
                <w:szCs w:val="22"/>
                <w:lang w:val="sr-Latn-ME"/>
              </w:rPr>
            </w:pPr>
            <w:r w:rsidRPr="00D768EF">
              <w:rPr>
                <w:color w:val="000000"/>
                <w:szCs w:val="22"/>
                <w:lang w:val="sr-Latn-ME"/>
              </w:rPr>
              <w:t>21.7%</w:t>
            </w:r>
          </w:p>
        </w:tc>
      </w:tr>
      <w:tr w:rsidR="00C175E4" w:rsidRPr="00EE2CAE" w14:paraId="025158F0" w14:textId="77777777" w:rsidTr="00622285">
        <w:trPr>
          <w:cantSplit/>
          <w:tblHeader/>
        </w:trPr>
        <w:tc>
          <w:tcPr>
            <w:tcW w:w="8640" w:type="dxa"/>
            <w:gridSpan w:val="5"/>
            <w:vAlign w:val="center"/>
          </w:tcPr>
          <w:p w14:paraId="27C9C32D" w14:textId="4D37696C" w:rsidR="00C175E4" w:rsidRPr="00D768EF" w:rsidRDefault="00C175E4" w:rsidP="002F6CF0">
            <w:pPr>
              <w:ind w:firstLine="67"/>
              <w:jc w:val="left"/>
              <w:rPr>
                <w:b/>
                <w:bCs/>
                <w:color w:val="000000"/>
                <w:szCs w:val="22"/>
                <w:lang w:val="sr-Latn-ME"/>
              </w:rPr>
            </w:pPr>
            <w:r w:rsidRPr="00D768EF">
              <w:rPr>
                <w:b/>
                <w:bCs/>
                <w:color w:val="000000"/>
                <w:szCs w:val="22"/>
                <w:lang w:val="sr-Latn-ME"/>
              </w:rPr>
              <w:t>Procenat ispitanika sa zac</w:t>
            </w:r>
            <w:r w:rsidR="00E72ECA" w:rsidRPr="00D768EF">
              <w:rPr>
                <w:b/>
                <w:bCs/>
                <w:color w:val="000000"/>
                <w:szCs w:val="22"/>
                <w:lang w:val="sr-Latn-ME"/>
              </w:rPr>
              <w:t>j</w:t>
            </w:r>
            <w:r w:rsidRPr="00D768EF">
              <w:rPr>
                <w:b/>
                <w:bCs/>
                <w:color w:val="000000"/>
                <w:szCs w:val="22"/>
                <w:lang w:val="sr-Latn-ME"/>
              </w:rPr>
              <w:t>eljenjem mukoze</w:t>
            </w:r>
          </w:p>
        </w:tc>
      </w:tr>
      <w:tr w:rsidR="00C175E4" w:rsidRPr="00D768EF" w14:paraId="43BB3293" w14:textId="77777777" w:rsidTr="00622285">
        <w:trPr>
          <w:cantSplit/>
        </w:trPr>
        <w:tc>
          <w:tcPr>
            <w:tcW w:w="2967" w:type="dxa"/>
            <w:vAlign w:val="center"/>
          </w:tcPr>
          <w:p w14:paraId="05CD9C86" w14:textId="6E76C1D1" w:rsidR="00C175E4" w:rsidRPr="00D768EF" w:rsidRDefault="00C175E4" w:rsidP="002F6CF0">
            <w:pPr>
              <w:widowControl w:val="0"/>
              <w:adjustRightInd w:val="0"/>
              <w:spacing w:before="30" w:after="30"/>
              <w:ind w:firstLine="67"/>
              <w:jc w:val="left"/>
              <w:rPr>
                <w:color w:val="000000"/>
                <w:szCs w:val="22"/>
                <w:lang w:val="sr-Latn-ME"/>
              </w:rPr>
            </w:pPr>
            <w:r w:rsidRPr="00D768EF">
              <w:rPr>
                <w:color w:val="000000"/>
                <w:szCs w:val="22"/>
                <w:lang w:val="sr-Latn-ME"/>
              </w:rPr>
              <w:t>Zac</w:t>
            </w:r>
            <w:r w:rsidR="00E72ECA" w:rsidRPr="00D768EF">
              <w:rPr>
                <w:color w:val="000000"/>
                <w:szCs w:val="22"/>
                <w:lang w:val="sr-Latn-ME"/>
              </w:rPr>
              <w:t>j</w:t>
            </w:r>
            <w:r w:rsidRPr="00D768EF">
              <w:rPr>
                <w:color w:val="000000"/>
                <w:szCs w:val="22"/>
                <w:lang w:val="sr-Latn-ME"/>
              </w:rPr>
              <w:t xml:space="preserve">eljenje mukoze u 8. </w:t>
            </w:r>
            <w:r w:rsidR="00D57936" w:rsidRPr="00D768EF">
              <w:rPr>
                <w:color w:val="000000"/>
                <w:szCs w:val="22"/>
                <w:lang w:val="sr-Latn-ME"/>
              </w:rPr>
              <w:t>nedjelj</w:t>
            </w:r>
            <w:r w:rsidRPr="00D768EF">
              <w:rPr>
                <w:color w:val="000000"/>
                <w:szCs w:val="22"/>
                <w:lang w:val="sr-Latn-ME"/>
              </w:rPr>
              <w:t>i</w:t>
            </w:r>
            <w:r w:rsidRPr="00D768EF">
              <w:rPr>
                <w:color w:val="000000"/>
                <w:szCs w:val="22"/>
                <w:vertAlign w:val="superscript"/>
                <w:lang w:val="sr-Latn-ME"/>
              </w:rPr>
              <w:t>a</w:t>
            </w:r>
          </w:p>
        </w:tc>
        <w:tc>
          <w:tcPr>
            <w:tcW w:w="1418" w:type="dxa"/>
            <w:vAlign w:val="center"/>
          </w:tcPr>
          <w:p w14:paraId="3BFA700A" w14:textId="5CF65F3E" w:rsidR="00C175E4" w:rsidRPr="00D768EF" w:rsidRDefault="00C175E4" w:rsidP="00622285">
            <w:pPr>
              <w:widowControl w:val="0"/>
              <w:adjustRightInd w:val="0"/>
              <w:spacing w:before="30" w:after="30"/>
              <w:jc w:val="left"/>
              <w:rPr>
                <w:color w:val="000000"/>
                <w:szCs w:val="22"/>
                <w:lang w:val="sr-Latn-ME"/>
              </w:rPr>
            </w:pPr>
            <w:r w:rsidRPr="00D768EF">
              <w:rPr>
                <w:color w:val="000000"/>
                <w:szCs w:val="22"/>
                <w:lang w:val="sr-Latn-ME"/>
              </w:rPr>
              <w:t>32.4%</w:t>
            </w:r>
          </w:p>
        </w:tc>
        <w:tc>
          <w:tcPr>
            <w:tcW w:w="1417" w:type="dxa"/>
            <w:vAlign w:val="center"/>
          </w:tcPr>
          <w:p w14:paraId="11A8F250" w14:textId="72B0B226" w:rsidR="00C175E4" w:rsidRPr="00D768EF" w:rsidRDefault="00C175E4" w:rsidP="00622285">
            <w:pPr>
              <w:widowControl w:val="0"/>
              <w:adjustRightInd w:val="0"/>
              <w:spacing w:before="30" w:after="30"/>
              <w:jc w:val="left"/>
              <w:rPr>
                <w:color w:val="000000"/>
                <w:szCs w:val="22"/>
                <w:lang w:val="sr-Latn-ME"/>
              </w:rPr>
            </w:pPr>
            <w:r w:rsidRPr="00D768EF">
              <w:rPr>
                <w:color w:val="000000"/>
                <w:szCs w:val="22"/>
                <w:lang w:val="sr-Latn-ME"/>
              </w:rPr>
              <w:t>61.2%</w:t>
            </w:r>
          </w:p>
        </w:tc>
        <w:tc>
          <w:tcPr>
            <w:tcW w:w="1418" w:type="dxa"/>
            <w:vAlign w:val="center"/>
          </w:tcPr>
          <w:p w14:paraId="1964A495" w14:textId="7FAF59D5" w:rsidR="00C175E4" w:rsidRPr="00D768EF" w:rsidRDefault="00C175E4" w:rsidP="00622285">
            <w:pPr>
              <w:widowControl w:val="0"/>
              <w:adjustRightInd w:val="0"/>
              <w:spacing w:before="30" w:after="30"/>
              <w:jc w:val="left"/>
              <w:rPr>
                <w:color w:val="000000"/>
                <w:szCs w:val="22"/>
                <w:lang w:val="sr-Latn-ME"/>
              </w:rPr>
            </w:pPr>
            <w:r w:rsidRPr="00D768EF">
              <w:rPr>
                <w:color w:val="000000"/>
                <w:szCs w:val="22"/>
                <w:lang w:val="sr-Latn-ME"/>
              </w:rPr>
              <w:t>60.3%</w:t>
            </w:r>
          </w:p>
        </w:tc>
        <w:tc>
          <w:tcPr>
            <w:tcW w:w="1420" w:type="dxa"/>
            <w:vAlign w:val="center"/>
          </w:tcPr>
          <w:p w14:paraId="450AA07A" w14:textId="05162E4D" w:rsidR="00C175E4" w:rsidRPr="00D768EF" w:rsidRDefault="00C175E4" w:rsidP="00622285">
            <w:pPr>
              <w:widowControl w:val="0"/>
              <w:adjustRightInd w:val="0"/>
              <w:spacing w:before="30" w:after="30"/>
              <w:jc w:val="left"/>
              <w:rPr>
                <w:color w:val="000000"/>
                <w:szCs w:val="22"/>
                <w:lang w:val="sr-Latn-ME"/>
              </w:rPr>
            </w:pPr>
            <w:r w:rsidRPr="00D768EF">
              <w:rPr>
                <w:color w:val="000000"/>
                <w:szCs w:val="22"/>
                <w:lang w:val="sr-Latn-ME"/>
              </w:rPr>
              <w:t>60.7%</w:t>
            </w:r>
          </w:p>
        </w:tc>
      </w:tr>
      <w:tr w:rsidR="00C175E4" w:rsidRPr="00D768EF" w14:paraId="7C9AFE52" w14:textId="77777777" w:rsidTr="00622285">
        <w:trPr>
          <w:cantSplit/>
        </w:trPr>
        <w:tc>
          <w:tcPr>
            <w:tcW w:w="2967" w:type="dxa"/>
            <w:vAlign w:val="center"/>
          </w:tcPr>
          <w:p w14:paraId="7F900B76" w14:textId="29D23D25" w:rsidR="00C175E4" w:rsidRPr="00D768EF" w:rsidRDefault="00C175E4" w:rsidP="002F6CF0">
            <w:pPr>
              <w:widowControl w:val="0"/>
              <w:adjustRightInd w:val="0"/>
              <w:spacing w:before="30" w:after="30"/>
              <w:ind w:firstLine="67"/>
              <w:jc w:val="left"/>
              <w:rPr>
                <w:color w:val="000000"/>
                <w:szCs w:val="22"/>
                <w:lang w:val="sr-Latn-ME"/>
              </w:rPr>
            </w:pPr>
            <w:r w:rsidRPr="00D768EF">
              <w:rPr>
                <w:color w:val="000000"/>
                <w:szCs w:val="22"/>
                <w:lang w:val="sr-Latn-ME"/>
              </w:rPr>
              <w:t>Zac</w:t>
            </w:r>
            <w:r w:rsidR="00E72ECA" w:rsidRPr="00D768EF">
              <w:rPr>
                <w:color w:val="000000"/>
                <w:szCs w:val="22"/>
                <w:lang w:val="sr-Latn-ME"/>
              </w:rPr>
              <w:t>j</w:t>
            </w:r>
            <w:r w:rsidRPr="00D768EF">
              <w:rPr>
                <w:color w:val="000000"/>
                <w:szCs w:val="22"/>
                <w:lang w:val="sr-Latn-ME"/>
              </w:rPr>
              <w:t xml:space="preserve">eljenje mukoze u 30. </w:t>
            </w:r>
            <w:r w:rsidR="00D57936" w:rsidRPr="00D768EF">
              <w:rPr>
                <w:color w:val="000000"/>
                <w:szCs w:val="22"/>
                <w:lang w:val="sr-Latn-ME"/>
              </w:rPr>
              <w:t>nedjelj</w:t>
            </w:r>
            <w:r w:rsidRPr="00D768EF">
              <w:rPr>
                <w:color w:val="000000"/>
                <w:szCs w:val="22"/>
                <w:lang w:val="sr-Latn-ME"/>
              </w:rPr>
              <w:t>i</w:t>
            </w:r>
            <w:r w:rsidRPr="00D768EF">
              <w:rPr>
                <w:color w:val="000000"/>
                <w:szCs w:val="22"/>
                <w:vertAlign w:val="superscript"/>
                <w:lang w:val="sr-Latn-ME"/>
              </w:rPr>
              <w:t>a</w:t>
            </w:r>
          </w:p>
        </w:tc>
        <w:tc>
          <w:tcPr>
            <w:tcW w:w="1418" w:type="dxa"/>
            <w:vAlign w:val="center"/>
          </w:tcPr>
          <w:p w14:paraId="5414BACE" w14:textId="01808405" w:rsidR="00C175E4" w:rsidRPr="00D768EF" w:rsidRDefault="00C175E4" w:rsidP="00622285">
            <w:pPr>
              <w:widowControl w:val="0"/>
              <w:adjustRightInd w:val="0"/>
              <w:spacing w:before="30" w:after="30"/>
              <w:jc w:val="left"/>
              <w:rPr>
                <w:color w:val="000000"/>
                <w:szCs w:val="22"/>
                <w:lang w:val="sr-Latn-ME"/>
              </w:rPr>
            </w:pPr>
            <w:r w:rsidRPr="00D768EF">
              <w:rPr>
                <w:color w:val="000000"/>
                <w:szCs w:val="22"/>
                <w:lang w:val="sr-Latn-ME"/>
              </w:rPr>
              <w:t>27.5%</w:t>
            </w:r>
          </w:p>
        </w:tc>
        <w:tc>
          <w:tcPr>
            <w:tcW w:w="1417" w:type="dxa"/>
            <w:vAlign w:val="center"/>
          </w:tcPr>
          <w:p w14:paraId="3A4F644D" w14:textId="3A55638C" w:rsidR="00C175E4" w:rsidRPr="00D768EF" w:rsidRDefault="00C175E4" w:rsidP="00622285">
            <w:pPr>
              <w:widowControl w:val="0"/>
              <w:adjustRightInd w:val="0"/>
              <w:spacing w:before="30" w:after="30"/>
              <w:jc w:val="left"/>
              <w:rPr>
                <w:color w:val="000000"/>
                <w:szCs w:val="22"/>
                <w:lang w:val="sr-Latn-ME"/>
              </w:rPr>
            </w:pPr>
            <w:r w:rsidRPr="00D768EF">
              <w:rPr>
                <w:color w:val="000000"/>
                <w:szCs w:val="22"/>
                <w:lang w:val="sr-Latn-ME"/>
              </w:rPr>
              <w:t>48.3%</w:t>
            </w:r>
          </w:p>
        </w:tc>
        <w:tc>
          <w:tcPr>
            <w:tcW w:w="1418" w:type="dxa"/>
            <w:vAlign w:val="center"/>
          </w:tcPr>
          <w:p w14:paraId="12C7B44B" w14:textId="78D8C062" w:rsidR="00C175E4" w:rsidRPr="00D768EF" w:rsidRDefault="00C175E4" w:rsidP="00622285">
            <w:pPr>
              <w:widowControl w:val="0"/>
              <w:adjustRightInd w:val="0"/>
              <w:spacing w:before="30" w:after="30"/>
              <w:jc w:val="left"/>
              <w:rPr>
                <w:color w:val="000000"/>
                <w:szCs w:val="22"/>
                <w:lang w:val="sr-Latn-ME"/>
              </w:rPr>
            </w:pPr>
            <w:r w:rsidRPr="00D768EF">
              <w:rPr>
                <w:color w:val="000000"/>
                <w:szCs w:val="22"/>
                <w:lang w:val="sr-Latn-ME"/>
              </w:rPr>
              <w:t>52.9%</w:t>
            </w:r>
          </w:p>
        </w:tc>
        <w:tc>
          <w:tcPr>
            <w:tcW w:w="1420" w:type="dxa"/>
            <w:vAlign w:val="center"/>
          </w:tcPr>
          <w:p w14:paraId="125C5E51" w14:textId="2E5962B1" w:rsidR="00C175E4" w:rsidRPr="00D768EF" w:rsidRDefault="00C175E4" w:rsidP="00622285">
            <w:pPr>
              <w:widowControl w:val="0"/>
              <w:adjustRightInd w:val="0"/>
              <w:spacing w:before="30" w:after="30"/>
              <w:jc w:val="left"/>
              <w:rPr>
                <w:color w:val="000000"/>
                <w:szCs w:val="22"/>
                <w:lang w:val="sr-Latn-ME"/>
              </w:rPr>
            </w:pPr>
            <w:r w:rsidRPr="00D768EF">
              <w:rPr>
                <w:color w:val="000000"/>
                <w:szCs w:val="22"/>
                <w:lang w:val="sr-Latn-ME"/>
              </w:rPr>
              <w:t>50.6%</w:t>
            </w:r>
          </w:p>
        </w:tc>
      </w:tr>
      <w:tr w:rsidR="00C175E4" w:rsidRPr="00EE2CAE" w14:paraId="7ACE853D" w14:textId="77777777" w:rsidTr="00622285">
        <w:trPr>
          <w:cantSplit/>
        </w:trPr>
        <w:tc>
          <w:tcPr>
            <w:tcW w:w="8640" w:type="dxa"/>
            <w:gridSpan w:val="5"/>
          </w:tcPr>
          <w:p w14:paraId="611B9922" w14:textId="5E8D427F" w:rsidR="00C175E4" w:rsidRPr="00D768EF" w:rsidRDefault="00C175E4" w:rsidP="002F6CF0">
            <w:pPr>
              <w:widowControl w:val="0"/>
              <w:adjustRightInd w:val="0"/>
              <w:spacing w:before="120"/>
              <w:ind w:left="157"/>
              <w:jc w:val="left"/>
              <w:rPr>
                <w:color w:val="000000"/>
                <w:szCs w:val="22"/>
                <w:lang w:val="sr-Latn-ME"/>
              </w:rPr>
            </w:pPr>
            <w:r w:rsidRPr="00D768EF">
              <w:rPr>
                <w:color w:val="000000"/>
                <w:szCs w:val="22"/>
                <w:vertAlign w:val="superscript"/>
                <w:lang w:val="sr-Latn-ME"/>
              </w:rPr>
              <w:t>a:</w:t>
            </w:r>
            <w:r w:rsidRPr="00D768EF">
              <w:rPr>
                <w:color w:val="000000"/>
                <w:szCs w:val="22"/>
                <w:lang w:val="sr-Latn-ME"/>
              </w:rPr>
              <w:t xml:space="preserve"> </w:t>
            </w:r>
            <w:r w:rsidRPr="00D768EF">
              <w:rPr>
                <w:snapToGrid w:val="0"/>
                <w:color w:val="000000"/>
                <w:szCs w:val="22"/>
                <w:lang w:val="sr-Latn-ME"/>
              </w:rPr>
              <w:t>p &lt; 0</w:t>
            </w:r>
            <w:r w:rsidR="002D408F" w:rsidRPr="00D768EF">
              <w:rPr>
                <w:snapToGrid w:val="0"/>
                <w:color w:val="000000"/>
                <w:szCs w:val="22"/>
                <w:lang w:val="sr-Latn-ME"/>
              </w:rPr>
              <w:t>,</w:t>
            </w:r>
            <w:r w:rsidRPr="00D768EF">
              <w:rPr>
                <w:snapToGrid w:val="0"/>
                <w:color w:val="000000"/>
                <w:szCs w:val="22"/>
                <w:lang w:val="sr-Latn-ME"/>
              </w:rPr>
              <w:t xml:space="preserve">001 za svaku grupu </w:t>
            </w:r>
            <w:r w:rsidR="002D408F" w:rsidRPr="00D768EF">
              <w:rPr>
                <w:snapToGrid w:val="0"/>
                <w:color w:val="000000"/>
                <w:szCs w:val="22"/>
                <w:lang w:val="sr-Latn-ME"/>
              </w:rPr>
              <w:t xml:space="preserve">koja je primala infliksimab </w:t>
            </w:r>
            <w:r w:rsidRPr="00D768EF">
              <w:rPr>
                <w:snapToGrid w:val="0"/>
                <w:color w:val="000000"/>
                <w:szCs w:val="22"/>
                <w:lang w:val="sr-Latn-ME"/>
              </w:rPr>
              <w:t xml:space="preserve">u </w:t>
            </w:r>
            <w:r w:rsidR="002D408F" w:rsidRPr="00D768EF">
              <w:rPr>
                <w:snapToGrid w:val="0"/>
                <w:color w:val="000000"/>
                <w:szCs w:val="22"/>
                <w:lang w:val="sr-Latn-ME"/>
              </w:rPr>
              <w:t>odnosu na kontrolnu grupu</w:t>
            </w:r>
          </w:p>
        </w:tc>
      </w:tr>
    </w:tbl>
    <w:p w14:paraId="5FDA77D5" w14:textId="77777777" w:rsidR="00C175E4" w:rsidRPr="00D768EF" w:rsidRDefault="00C175E4" w:rsidP="00C175E4">
      <w:pPr>
        <w:jc w:val="left"/>
        <w:rPr>
          <w:color w:val="000000"/>
          <w:szCs w:val="22"/>
          <w:lang w:val="sr-Latn-ME"/>
        </w:rPr>
      </w:pPr>
    </w:p>
    <w:p w14:paraId="5B341E30" w14:textId="6C3CE198" w:rsidR="00C175E4" w:rsidRPr="00D768EF" w:rsidRDefault="00C175E4" w:rsidP="00C175E4">
      <w:pPr>
        <w:rPr>
          <w:color w:val="000000"/>
          <w:szCs w:val="22"/>
          <w:lang w:val="sr-Latn-ME"/>
        </w:rPr>
      </w:pPr>
      <w:r w:rsidRPr="00D768EF">
        <w:rPr>
          <w:color w:val="000000"/>
          <w:szCs w:val="22"/>
          <w:lang w:val="sr-Latn-ME"/>
        </w:rPr>
        <w:t xml:space="preserve">Efikasnost infliksimaba do 54. </w:t>
      </w:r>
      <w:r w:rsidR="00D57936" w:rsidRPr="00D768EF">
        <w:rPr>
          <w:color w:val="000000"/>
          <w:szCs w:val="22"/>
          <w:lang w:val="sr-Latn-ME"/>
        </w:rPr>
        <w:t>nedjelj</w:t>
      </w:r>
      <w:r w:rsidRPr="00D768EF">
        <w:rPr>
          <w:color w:val="000000"/>
          <w:szCs w:val="22"/>
          <w:lang w:val="sr-Latn-ME"/>
        </w:rPr>
        <w:t>e proc</w:t>
      </w:r>
      <w:r w:rsidR="00BB5F87" w:rsidRPr="00D768EF">
        <w:rPr>
          <w:color w:val="000000"/>
          <w:szCs w:val="22"/>
          <w:lang w:val="sr-Latn-ME"/>
        </w:rPr>
        <w:t>j</w:t>
      </w:r>
      <w:r w:rsidRPr="00D768EF">
        <w:rPr>
          <w:color w:val="000000"/>
          <w:szCs w:val="22"/>
          <w:lang w:val="sr-Latn-ME"/>
        </w:rPr>
        <w:t>enj</w:t>
      </w:r>
      <w:r w:rsidR="002D408F" w:rsidRPr="00D768EF">
        <w:rPr>
          <w:color w:val="000000"/>
          <w:szCs w:val="22"/>
          <w:lang w:val="sr-Latn-ME"/>
        </w:rPr>
        <w:t>ena</w:t>
      </w:r>
      <w:r w:rsidRPr="00D768EF">
        <w:rPr>
          <w:color w:val="000000"/>
          <w:szCs w:val="22"/>
          <w:lang w:val="sr-Latn-ME"/>
        </w:rPr>
        <w:t xml:space="preserve"> </w:t>
      </w:r>
      <w:r w:rsidR="002D408F" w:rsidRPr="00D768EF">
        <w:rPr>
          <w:color w:val="000000"/>
          <w:szCs w:val="22"/>
          <w:lang w:val="sr-Latn-ME"/>
        </w:rPr>
        <w:t xml:space="preserve">je </w:t>
      </w:r>
      <w:r w:rsidRPr="00D768EF">
        <w:rPr>
          <w:color w:val="000000"/>
          <w:szCs w:val="22"/>
          <w:lang w:val="sr-Latn-ME"/>
        </w:rPr>
        <w:t xml:space="preserve">u okviru studije ACT 1. </w:t>
      </w:r>
    </w:p>
    <w:p w14:paraId="79770248" w14:textId="4661C681" w:rsidR="00C175E4" w:rsidRPr="00D768EF" w:rsidRDefault="00C175E4" w:rsidP="00C175E4">
      <w:pPr>
        <w:autoSpaceDE w:val="0"/>
        <w:autoSpaceDN w:val="0"/>
        <w:adjustRightInd w:val="0"/>
        <w:rPr>
          <w:szCs w:val="22"/>
          <w:lang w:val="sr-Latn-ME"/>
        </w:rPr>
      </w:pPr>
      <w:r w:rsidRPr="00D768EF">
        <w:rPr>
          <w:color w:val="000000"/>
          <w:szCs w:val="22"/>
          <w:lang w:val="sr-Latn-ME"/>
        </w:rPr>
        <w:t xml:space="preserve">U 54. </w:t>
      </w:r>
      <w:r w:rsidR="00D57936" w:rsidRPr="00D768EF">
        <w:rPr>
          <w:color w:val="000000"/>
          <w:szCs w:val="22"/>
          <w:lang w:val="sr-Latn-ME"/>
        </w:rPr>
        <w:t>nedjelj</w:t>
      </w:r>
      <w:r w:rsidRPr="00D768EF">
        <w:rPr>
          <w:color w:val="000000"/>
          <w:szCs w:val="22"/>
          <w:lang w:val="sr-Latn-ME"/>
        </w:rPr>
        <w:t xml:space="preserve">i, 44,9% pacijenata iz </w:t>
      </w:r>
      <w:r w:rsidR="002D408F" w:rsidRPr="00D768EF">
        <w:rPr>
          <w:color w:val="000000"/>
          <w:szCs w:val="22"/>
          <w:lang w:val="sr-Latn-ME"/>
        </w:rPr>
        <w:t xml:space="preserve">kombinovane infliksimab </w:t>
      </w:r>
      <w:r w:rsidRPr="00D768EF">
        <w:rPr>
          <w:color w:val="000000"/>
          <w:szCs w:val="22"/>
          <w:lang w:val="sr-Latn-ME"/>
        </w:rPr>
        <w:t>grupe imalo je klinički odgovor u poređenju sa 19</w:t>
      </w:r>
      <w:r w:rsidR="002D408F" w:rsidRPr="00D768EF">
        <w:rPr>
          <w:color w:val="000000"/>
          <w:szCs w:val="22"/>
          <w:lang w:val="sr-Latn-ME"/>
        </w:rPr>
        <w:t>,</w:t>
      </w:r>
      <w:r w:rsidRPr="00D768EF">
        <w:rPr>
          <w:color w:val="000000"/>
          <w:szCs w:val="22"/>
          <w:lang w:val="sr-Latn-ME"/>
        </w:rPr>
        <w:t>8% pacijenata iz placebo grupe (p&lt;0</w:t>
      </w:r>
      <w:r w:rsidR="002D408F" w:rsidRPr="00D768EF">
        <w:rPr>
          <w:color w:val="000000"/>
          <w:szCs w:val="22"/>
          <w:lang w:val="sr-Latn-ME"/>
        </w:rPr>
        <w:t>,</w:t>
      </w:r>
      <w:r w:rsidRPr="00D768EF">
        <w:rPr>
          <w:color w:val="000000"/>
          <w:szCs w:val="22"/>
          <w:lang w:val="sr-Latn-ME"/>
        </w:rPr>
        <w:t>001). Kod pacijenata iz kombinovane infliksimab grupe</w:t>
      </w:r>
      <w:r w:rsidRPr="00D768EF">
        <w:rPr>
          <w:szCs w:val="22"/>
          <w:lang w:val="sr-Latn-ME"/>
        </w:rPr>
        <w:t xml:space="preserve"> u 54. </w:t>
      </w:r>
      <w:r w:rsidR="00D57936" w:rsidRPr="00D768EF">
        <w:rPr>
          <w:szCs w:val="22"/>
          <w:lang w:val="sr-Latn-ME"/>
        </w:rPr>
        <w:t>nedjelj</w:t>
      </w:r>
      <w:r w:rsidRPr="00D768EF">
        <w:rPr>
          <w:szCs w:val="22"/>
          <w:lang w:val="sr-Latn-ME"/>
        </w:rPr>
        <w:t xml:space="preserve">i </w:t>
      </w:r>
      <w:r w:rsidR="001B0A77" w:rsidRPr="00D768EF">
        <w:rPr>
          <w:szCs w:val="22"/>
          <w:lang w:val="sr-Latn-ME"/>
        </w:rPr>
        <w:t>zabilje</w:t>
      </w:r>
      <w:r w:rsidRPr="00D768EF">
        <w:rPr>
          <w:szCs w:val="22"/>
          <w:lang w:val="sr-Latn-ME"/>
        </w:rPr>
        <w:t xml:space="preserve">žen je veći </w:t>
      </w:r>
      <w:r w:rsidR="002D408F" w:rsidRPr="00D768EF">
        <w:rPr>
          <w:szCs w:val="22"/>
          <w:lang w:val="sr-Latn-ME"/>
        </w:rPr>
        <w:t xml:space="preserve">udeo </w:t>
      </w:r>
      <w:r w:rsidRPr="00D768EF">
        <w:rPr>
          <w:szCs w:val="22"/>
          <w:lang w:val="sr-Latn-ME"/>
        </w:rPr>
        <w:t xml:space="preserve">pacijenata u kliničkoj remisiji nego u grupi koja je primala placebo (34,6% naspram 16,5%, p &lt; 0,001), kao i veći </w:t>
      </w:r>
      <w:r w:rsidR="002D408F" w:rsidRPr="00D768EF">
        <w:rPr>
          <w:szCs w:val="22"/>
          <w:lang w:val="sr-Latn-ME"/>
        </w:rPr>
        <w:t xml:space="preserve">udeo </w:t>
      </w:r>
      <w:r w:rsidRPr="00D768EF">
        <w:rPr>
          <w:szCs w:val="22"/>
          <w:lang w:val="sr-Latn-ME"/>
        </w:rPr>
        <w:t>pacijenata kod kojih je došlo do zac</w:t>
      </w:r>
      <w:r w:rsidR="00E72ECA" w:rsidRPr="00D768EF">
        <w:rPr>
          <w:szCs w:val="22"/>
          <w:lang w:val="sr-Latn-ME"/>
        </w:rPr>
        <w:t>j</w:t>
      </w:r>
      <w:r w:rsidRPr="00D768EF">
        <w:rPr>
          <w:szCs w:val="22"/>
          <w:lang w:val="sr-Latn-ME"/>
        </w:rPr>
        <w:t xml:space="preserve">eljenja mukoze (46,1% </w:t>
      </w:r>
      <w:r w:rsidR="00D57936" w:rsidRPr="00D768EF">
        <w:rPr>
          <w:szCs w:val="22"/>
          <w:lang w:val="sr-Latn-ME"/>
        </w:rPr>
        <w:t>liječe</w:t>
      </w:r>
      <w:r w:rsidRPr="00D768EF">
        <w:rPr>
          <w:szCs w:val="22"/>
          <w:lang w:val="sr-Latn-ME"/>
        </w:rPr>
        <w:t xml:space="preserve">nih infliksimabom </w:t>
      </w:r>
      <w:r w:rsidR="002D408F" w:rsidRPr="00D768EF">
        <w:rPr>
          <w:szCs w:val="22"/>
          <w:lang w:val="sr-Latn-ME"/>
        </w:rPr>
        <w:t xml:space="preserve">u odnosu na </w:t>
      </w:r>
      <w:r w:rsidRPr="00D768EF">
        <w:rPr>
          <w:szCs w:val="22"/>
          <w:lang w:val="sr-Latn-ME"/>
        </w:rPr>
        <w:t>18,2% pacijenata koji su primali placebo, p &lt; 0,001).</w:t>
      </w:r>
      <w:r w:rsidRPr="00D768EF">
        <w:rPr>
          <w:color w:val="000000"/>
          <w:szCs w:val="22"/>
          <w:lang w:val="sr-Latn-ME"/>
        </w:rPr>
        <w:t xml:space="preserve"> </w:t>
      </w:r>
      <w:r w:rsidR="002D408F" w:rsidRPr="00D768EF">
        <w:rPr>
          <w:color w:val="000000"/>
          <w:szCs w:val="22"/>
          <w:lang w:val="sr-Latn-ME"/>
        </w:rPr>
        <w:t xml:space="preserve">Udeli </w:t>
      </w:r>
      <w:r w:rsidRPr="00D768EF">
        <w:rPr>
          <w:color w:val="000000"/>
          <w:szCs w:val="22"/>
          <w:lang w:val="sr-Latn-ME"/>
        </w:rPr>
        <w:t xml:space="preserve">pacijenata sa održivim terapijskim odgovorom i održivom remisijom u 54. </w:t>
      </w:r>
      <w:r w:rsidR="00D57936" w:rsidRPr="00D768EF">
        <w:rPr>
          <w:color w:val="000000"/>
          <w:szCs w:val="22"/>
          <w:lang w:val="sr-Latn-ME"/>
        </w:rPr>
        <w:t>nedjelj</w:t>
      </w:r>
      <w:r w:rsidRPr="00D768EF">
        <w:rPr>
          <w:color w:val="000000"/>
          <w:szCs w:val="22"/>
          <w:lang w:val="sr-Latn-ME"/>
        </w:rPr>
        <w:t>i bili su veći u kombinovanoj infliksimab grupi nego u placebo grupi (37</w:t>
      </w:r>
      <w:r w:rsidR="002D408F" w:rsidRPr="00D768EF">
        <w:rPr>
          <w:color w:val="000000"/>
          <w:szCs w:val="22"/>
          <w:lang w:val="sr-Latn-ME"/>
        </w:rPr>
        <w:t>,</w:t>
      </w:r>
      <w:r w:rsidRPr="00D768EF">
        <w:rPr>
          <w:color w:val="000000"/>
          <w:szCs w:val="22"/>
          <w:lang w:val="sr-Latn-ME"/>
        </w:rPr>
        <w:t xml:space="preserve">9% naspram </w:t>
      </w:r>
      <w:r w:rsidRPr="00D768EF">
        <w:rPr>
          <w:szCs w:val="22"/>
          <w:lang w:val="sr-Latn-ME"/>
        </w:rPr>
        <w:t>14</w:t>
      </w:r>
      <w:r w:rsidR="002D408F" w:rsidRPr="00D768EF">
        <w:rPr>
          <w:szCs w:val="22"/>
          <w:lang w:val="sr-Latn-ME"/>
        </w:rPr>
        <w:t>,</w:t>
      </w:r>
      <w:r w:rsidRPr="00D768EF">
        <w:rPr>
          <w:szCs w:val="22"/>
          <w:lang w:val="sr-Latn-ME"/>
        </w:rPr>
        <w:t>0%, p&lt;0</w:t>
      </w:r>
      <w:r w:rsidR="002D408F" w:rsidRPr="00D768EF">
        <w:rPr>
          <w:szCs w:val="22"/>
          <w:lang w:val="sr-Latn-ME"/>
        </w:rPr>
        <w:t>,</w:t>
      </w:r>
      <w:r w:rsidRPr="00D768EF">
        <w:rPr>
          <w:szCs w:val="22"/>
          <w:lang w:val="sr-Latn-ME"/>
        </w:rPr>
        <w:t>001; i 20</w:t>
      </w:r>
      <w:r w:rsidR="002D408F" w:rsidRPr="00D768EF">
        <w:rPr>
          <w:szCs w:val="22"/>
          <w:lang w:val="sr-Latn-ME"/>
        </w:rPr>
        <w:t>,</w:t>
      </w:r>
      <w:r w:rsidRPr="00D768EF">
        <w:rPr>
          <w:szCs w:val="22"/>
          <w:lang w:val="sr-Latn-ME"/>
        </w:rPr>
        <w:t xml:space="preserve">2% </w:t>
      </w:r>
      <w:r w:rsidR="002D408F" w:rsidRPr="00D768EF">
        <w:rPr>
          <w:color w:val="000000"/>
          <w:szCs w:val="22"/>
          <w:lang w:val="sr-Latn-ME"/>
        </w:rPr>
        <w:t>u odnosu na</w:t>
      </w:r>
      <w:r w:rsidR="002D408F" w:rsidRPr="00D768EF">
        <w:rPr>
          <w:szCs w:val="22"/>
          <w:lang w:val="sr-Latn-ME"/>
        </w:rPr>
        <w:t xml:space="preserve"> </w:t>
      </w:r>
      <w:r w:rsidRPr="00D768EF">
        <w:rPr>
          <w:szCs w:val="22"/>
          <w:lang w:val="sr-Latn-ME"/>
        </w:rPr>
        <w:t>6</w:t>
      </w:r>
      <w:r w:rsidR="002D408F" w:rsidRPr="00D768EF">
        <w:rPr>
          <w:szCs w:val="22"/>
          <w:lang w:val="sr-Latn-ME"/>
        </w:rPr>
        <w:t>,</w:t>
      </w:r>
      <w:r w:rsidRPr="00D768EF">
        <w:rPr>
          <w:szCs w:val="22"/>
          <w:lang w:val="sr-Latn-ME"/>
        </w:rPr>
        <w:t>6%, p&lt;0</w:t>
      </w:r>
      <w:r w:rsidR="002D408F" w:rsidRPr="00D768EF">
        <w:rPr>
          <w:szCs w:val="22"/>
          <w:lang w:val="sr-Latn-ME"/>
        </w:rPr>
        <w:t>,</w:t>
      </w:r>
      <w:r w:rsidRPr="00D768EF">
        <w:rPr>
          <w:szCs w:val="22"/>
          <w:lang w:val="sr-Latn-ME"/>
        </w:rPr>
        <w:t>001).</w:t>
      </w:r>
    </w:p>
    <w:p w14:paraId="659F851B" w14:textId="77777777" w:rsidR="00C175E4" w:rsidRPr="00D768EF" w:rsidRDefault="00C175E4" w:rsidP="00C175E4">
      <w:pPr>
        <w:autoSpaceDE w:val="0"/>
        <w:autoSpaceDN w:val="0"/>
        <w:adjustRightInd w:val="0"/>
        <w:rPr>
          <w:color w:val="000000"/>
          <w:szCs w:val="22"/>
          <w:lang w:val="sr-Latn-ME"/>
        </w:rPr>
      </w:pPr>
    </w:p>
    <w:p w14:paraId="33C24DE0" w14:textId="6690EEBA" w:rsidR="00C175E4" w:rsidRPr="00D768EF" w:rsidRDefault="00C175E4" w:rsidP="00C175E4">
      <w:pPr>
        <w:rPr>
          <w:szCs w:val="22"/>
          <w:lang w:val="sr-Latn-ME"/>
        </w:rPr>
      </w:pPr>
      <w:r w:rsidRPr="00D768EF">
        <w:rPr>
          <w:szCs w:val="22"/>
          <w:lang w:val="sr-Latn-ME"/>
        </w:rPr>
        <w:t xml:space="preserve">Veći </w:t>
      </w:r>
      <w:r w:rsidR="002D408F" w:rsidRPr="00D768EF">
        <w:rPr>
          <w:szCs w:val="22"/>
          <w:lang w:val="sr-Latn-ME"/>
        </w:rPr>
        <w:t>udeo</w:t>
      </w:r>
      <w:r w:rsidRPr="00D768EF">
        <w:rPr>
          <w:szCs w:val="22"/>
          <w:lang w:val="sr-Latn-ME"/>
        </w:rPr>
        <w:t xml:space="preserve"> pacijenata </w:t>
      </w:r>
      <w:r w:rsidRPr="00D768EF">
        <w:rPr>
          <w:color w:val="000000"/>
          <w:szCs w:val="22"/>
          <w:lang w:val="sr-Latn-ME"/>
        </w:rPr>
        <w:t xml:space="preserve">iz kombinovane infliksimab grupe </w:t>
      </w:r>
      <w:r w:rsidRPr="00D768EF">
        <w:rPr>
          <w:szCs w:val="22"/>
          <w:lang w:val="sr-Latn-ME"/>
        </w:rPr>
        <w:t xml:space="preserve">mogao je da prekine upotrebu kortikosterioda pri čemu je ostao u kliničkoj remisiji u poređenju sa </w:t>
      </w:r>
      <w:r w:rsidRPr="00D768EF">
        <w:rPr>
          <w:color w:val="000000"/>
          <w:szCs w:val="22"/>
          <w:lang w:val="sr-Latn-ME"/>
        </w:rPr>
        <w:t>placebo grupom</w:t>
      </w:r>
      <w:r w:rsidR="002D408F" w:rsidRPr="00D768EF">
        <w:rPr>
          <w:color w:val="000000"/>
          <w:szCs w:val="22"/>
          <w:lang w:val="sr-Latn-ME"/>
        </w:rPr>
        <w:t>,</w:t>
      </w:r>
      <w:r w:rsidRPr="00D768EF">
        <w:rPr>
          <w:color w:val="000000"/>
          <w:szCs w:val="22"/>
          <w:lang w:val="sr-Latn-ME"/>
        </w:rPr>
        <w:t xml:space="preserve"> </w:t>
      </w:r>
      <w:r w:rsidRPr="00D768EF">
        <w:rPr>
          <w:szCs w:val="22"/>
          <w:lang w:val="sr-Latn-ME"/>
        </w:rPr>
        <w:t xml:space="preserve">kako u 30. </w:t>
      </w:r>
      <w:r w:rsidR="00D57936" w:rsidRPr="00D768EF">
        <w:rPr>
          <w:szCs w:val="22"/>
          <w:lang w:val="sr-Latn-ME"/>
        </w:rPr>
        <w:t>nedjelj</w:t>
      </w:r>
      <w:r w:rsidRPr="00D768EF">
        <w:rPr>
          <w:szCs w:val="22"/>
          <w:lang w:val="sr-Latn-ME"/>
        </w:rPr>
        <w:t xml:space="preserve">i (22,3% u odnosu na 7,2%, p &lt; 0,001, podaci dobijeni iz ACT 1 &amp; ACT 2), tako i u 54. </w:t>
      </w:r>
      <w:r w:rsidR="00D57936" w:rsidRPr="00D768EF">
        <w:rPr>
          <w:szCs w:val="22"/>
          <w:lang w:val="sr-Latn-ME"/>
        </w:rPr>
        <w:t>nedjelj</w:t>
      </w:r>
      <w:r w:rsidRPr="00D768EF">
        <w:rPr>
          <w:szCs w:val="22"/>
          <w:lang w:val="sr-Latn-ME"/>
        </w:rPr>
        <w:t>i (21,0% u odnosu na 8,9%, p=0</w:t>
      </w:r>
      <w:r w:rsidR="002D408F" w:rsidRPr="00D768EF">
        <w:rPr>
          <w:szCs w:val="22"/>
          <w:lang w:val="sr-Latn-ME"/>
        </w:rPr>
        <w:t>,</w:t>
      </w:r>
      <w:r w:rsidRPr="00D768EF">
        <w:rPr>
          <w:szCs w:val="22"/>
          <w:lang w:val="sr-Latn-ME"/>
        </w:rPr>
        <w:t>022, ACT1 podaci).</w:t>
      </w:r>
    </w:p>
    <w:p w14:paraId="403267E3" w14:textId="77777777" w:rsidR="00C175E4" w:rsidRPr="00D768EF" w:rsidRDefault="00C175E4" w:rsidP="00C175E4">
      <w:pPr>
        <w:rPr>
          <w:szCs w:val="22"/>
          <w:lang w:val="sr-Latn-ME"/>
        </w:rPr>
      </w:pPr>
    </w:p>
    <w:p w14:paraId="68C83D50" w14:textId="42688767" w:rsidR="00C175E4" w:rsidRPr="00D768EF" w:rsidRDefault="00C175E4" w:rsidP="00C175E4">
      <w:pPr>
        <w:autoSpaceDE w:val="0"/>
        <w:autoSpaceDN w:val="0"/>
        <w:adjustRightInd w:val="0"/>
        <w:rPr>
          <w:szCs w:val="22"/>
          <w:lang w:val="sr-Latn-ME"/>
        </w:rPr>
      </w:pPr>
      <w:r w:rsidRPr="00D768EF">
        <w:rPr>
          <w:szCs w:val="22"/>
          <w:lang w:val="sr-Latn-ME"/>
        </w:rPr>
        <w:t xml:space="preserve">Zbirni podaci iz ACT 1 i ACT 2 studija i njihovih nastavaka, analizirani od početka do kraja 54. </w:t>
      </w:r>
      <w:r w:rsidR="00D57936" w:rsidRPr="00D768EF">
        <w:rPr>
          <w:szCs w:val="22"/>
          <w:lang w:val="sr-Latn-ME"/>
        </w:rPr>
        <w:t>nedjelj</w:t>
      </w:r>
      <w:r w:rsidRPr="00D768EF">
        <w:rPr>
          <w:szCs w:val="22"/>
          <w:lang w:val="sr-Latn-ME"/>
        </w:rPr>
        <w:t xml:space="preserve">e, pokazali su da je pri </w:t>
      </w:r>
      <w:r w:rsidR="00D57936" w:rsidRPr="00D768EF">
        <w:rPr>
          <w:szCs w:val="22"/>
          <w:lang w:val="sr-Latn-ME"/>
        </w:rPr>
        <w:t>liječe</w:t>
      </w:r>
      <w:r w:rsidRPr="00D768EF">
        <w:rPr>
          <w:szCs w:val="22"/>
          <w:lang w:val="sr-Latn-ME"/>
        </w:rPr>
        <w:t xml:space="preserve">nju infliksimabom smanjen broj hospitalizacija kao i hirurških intervencija vezanih za ulcerozni kolitis. Broj hospitalizacija vezanih za ulcerozni kolitis bio je znatno manji u </w:t>
      </w:r>
      <w:r w:rsidR="002D408F" w:rsidRPr="00D768EF">
        <w:rPr>
          <w:szCs w:val="22"/>
          <w:lang w:val="sr-Latn-ME"/>
        </w:rPr>
        <w:t xml:space="preserve">terapijskoj </w:t>
      </w:r>
      <w:r w:rsidRPr="00D768EF">
        <w:rPr>
          <w:szCs w:val="22"/>
          <w:lang w:val="sr-Latn-ME"/>
        </w:rPr>
        <w:t>grup</w:t>
      </w:r>
      <w:r w:rsidR="002D408F" w:rsidRPr="00D768EF">
        <w:rPr>
          <w:szCs w:val="22"/>
          <w:lang w:val="sr-Latn-ME"/>
        </w:rPr>
        <w:t>i</w:t>
      </w:r>
      <w:r w:rsidRPr="00D768EF">
        <w:rPr>
          <w:szCs w:val="22"/>
          <w:lang w:val="sr-Latn-ME"/>
        </w:rPr>
        <w:t xml:space="preserve"> koj</w:t>
      </w:r>
      <w:r w:rsidR="002D408F" w:rsidRPr="00D768EF">
        <w:rPr>
          <w:szCs w:val="22"/>
          <w:lang w:val="sr-Latn-ME"/>
        </w:rPr>
        <w:t>a</w:t>
      </w:r>
      <w:r w:rsidRPr="00D768EF">
        <w:rPr>
          <w:szCs w:val="22"/>
          <w:lang w:val="sr-Latn-ME"/>
        </w:rPr>
        <w:t xml:space="preserve"> </w:t>
      </w:r>
      <w:r w:rsidR="002D408F" w:rsidRPr="00D768EF">
        <w:rPr>
          <w:szCs w:val="22"/>
          <w:lang w:val="sr-Latn-ME"/>
        </w:rPr>
        <w:t>je</w:t>
      </w:r>
      <w:r w:rsidRPr="00D768EF">
        <w:rPr>
          <w:szCs w:val="22"/>
          <w:lang w:val="sr-Latn-ME"/>
        </w:rPr>
        <w:t xml:space="preserve"> primal</w:t>
      </w:r>
      <w:r w:rsidR="002D408F" w:rsidRPr="00D768EF">
        <w:rPr>
          <w:szCs w:val="22"/>
          <w:lang w:val="sr-Latn-ME"/>
        </w:rPr>
        <w:t>a</w:t>
      </w:r>
      <w:r w:rsidRPr="00D768EF">
        <w:rPr>
          <w:szCs w:val="22"/>
          <w:lang w:val="sr-Latn-ME"/>
        </w:rPr>
        <w:t xml:space="preserve"> infliksimab </w:t>
      </w:r>
      <w:r w:rsidR="002D408F" w:rsidRPr="00D768EF">
        <w:rPr>
          <w:szCs w:val="22"/>
          <w:lang w:val="sr-Latn-ME"/>
        </w:rPr>
        <w:t xml:space="preserve">u dozi </w:t>
      </w:r>
      <w:r w:rsidRPr="00D768EF">
        <w:rPr>
          <w:szCs w:val="22"/>
          <w:lang w:val="sr-Latn-ME"/>
        </w:rPr>
        <w:t xml:space="preserve">od 5 mg/kg odnosno 10 mg/kg u odnosu na grupu koja je primala placebo (prosečan broj hospitalizacija na 100 pacijent-godina: 21 odnosno 19 </w:t>
      </w:r>
      <w:r w:rsidRPr="00D768EF">
        <w:rPr>
          <w:color w:val="000000"/>
          <w:szCs w:val="22"/>
          <w:lang w:val="sr-Latn-ME"/>
        </w:rPr>
        <w:t xml:space="preserve">u odnosu na </w:t>
      </w:r>
      <w:r w:rsidRPr="00D768EF">
        <w:rPr>
          <w:szCs w:val="22"/>
          <w:lang w:val="sr-Latn-ME"/>
        </w:rPr>
        <w:t>40 u placebo grupi; p=0</w:t>
      </w:r>
      <w:r w:rsidR="002D408F" w:rsidRPr="00D768EF">
        <w:rPr>
          <w:szCs w:val="22"/>
          <w:lang w:val="sr-Latn-ME"/>
        </w:rPr>
        <w:t>,</w:t>
      </w:r>
      <w:r w:rsidRPr="00D768EF">
        <w:rPr>
          <w:szCs w:val="22"/>
          <w:lang w:val="sr-Latn-ME"/>
        </w:rPr>
        <w:t>019, odnosno p=0</w:t>
      </w:r>
      <w:r w:rsidR="002D408F" w:rsidRPr="00D768EF">
        <w:rPr>
          <w:szCs w:val="22"/>
          <w:lang w:val="sr-Latn-ME"/>
        </w:rPr>
        <w:t>,</w:t>
      </w:r>
      <w:r w:rsidRPr="00D768EF">
        <w:rPr>
          <w:szCs w:val="22"/>
          <w:lang w:val="sr-Latn-ME"/>
        </w:rPr>
        <w:t xml:space="preserve">007). Broj hirurških intervencija </w:t>
      </w:r>
      <w:r w:rsidR="002D408F" w:rsidRPr="00D768EF">
        <w:rPr>
          <w:szCs w:val="22"/>
          <w:lang w:val="sr-Latn-ME"/>
        </w:rPr>
        <w:t xml:space="preserve">vezanih za </w:t>
      </w:r>
      <w:r w:rsidRPr="00D768EF">
        <w:rPr>
          <w:szCs w:val="22"/>
          <w:lang w:val="sr-Latn-ME"/>
        </w:rPr>
        <w:t>ulcerozn</w:t>
      </w:r>
      <w:r w:rsidR="002D408F" w:rsidRPr="00D768EF">
        <w:rPr>
          <w:szCs w:val="22"/>
          <w:lang w:val="sr-Latn-ME"/>
        </w:rPr>
        <w:t>i</w:t>
      </w:r>
      <w:r w:rsidRPr="00D768EF">
        <w:rPr>
          <w:szCs w:val="22"/>
          <w:lang w:val="sr-Latn-ME"/>
        </w:rPr>
        <w:t xml:space="preserve"> kolitis takođe je bio manji u grupama koje su primale dozu infliksimaba od 5 mg/kg odnosno 10 mg/kg u odnosu na grupu koja je primala placebo (pros</w:t>
      </w:r>
      <w:r w:rsidR="00E94DF8" w:rsidRPr="00D768EF">
        <w:rPr>
          <w:szCs w:val="22"/>
          <w:lang w:val="sr-Latn-ME"/>
        </w:rPr>
        <w:t>j</w:t>
      </w:r>
      <w:r w:rsidRPr="00D768EF">
        <w:rPr>
          <w:szCs w:val="22"/>
          <w:lang w:val="sr-Latn-ME"/>
        </w:rPr>
        <w:t xml:space="preserve">ečan broj hirurških intervencija na 100 pacijent-godina: 22 odnosno 19 </w:t>
      </w:r>
      <w:r w:rsidR="002D408F" w:rsidRPr="00D768EF">
        <w:rPr>
          <w:szCs w:val="22"/>
          <w:lang w:val="sr-Latn-ME"/>
        </w:rPr>
        <w:t>u odnosu na</w:t>
      </w:r>
      <w:r w:rsidRPr="00D768EF">
        <w:rPr>
          <w:color w:val="000000"/>
          <w:szCs w:val="22"/>
          <w:lang w:val="sr-Latn-ME"/>
        </w:rPr>
        <w:t xml:space="preserve"> </w:t>
      </w:r>
      <w:r w:rsidRPr="00D768EF">
        <w:rPr>
          <w:szCs w:val="22"/>
          <w:lang w:val="sr-Latn-ME"/>
        </w:rPr>
        <w:t>34</w:t>
      </w:r>
      <w:r w:rsidRPr="00D768EF">
        <w:rPr>
          <w:i/>
          <w:iCs/>
          <w:szCs w:val="22"/>
          <w:lang w:val="sr-Latn-ME"/>
        </w:rPr>
        <w:t xml:space="preserve">; </w:t>
      </w:r>
      <w:r w:rsidRPr="00D768EF">
        <w:rPr>
          <w:szCs w:val="22"/>
          <w:lang w:val="sr-Latn-ME"/>
        </w:rPr>
        <w:t>p=0</w:t>
      </w:r>
      <w:r w:rsidR="002D408F" w:rsidRPr="00D768EF">
        <w:rPr>
          <w:szCs w:val="22"/>
          <w:lang w:val="sr-Latn-ME"/>
        </w:rPr>
        <w:t>,</w:t>
      </w:r>
      <w:r w:rsidRPr="00D768EF">
        <w:rPr>
          <w:szCs w:val="22"/>
          <w:lang w:val="sr-Latn-ME"/>
        </w:rPr>
        <w:t>145 odnosno p=0</w:t>
      </w:r>
      <w:r w:rsidR="002D408F" w:rsidRPr="00D768EF">
        <w:rPr>
          <w:szCs w:val="22"/>
          <w:lang w:val="sr-Latn-ME"/>
        </w:rPr>
        <w:t>,</w:t>
      </w:r>
      <w:r w:rsidRPr="00D768EF">
        <w:rPr>
          <w:szCs w:val="22"/>
          <w:lang w:val="sr-Latn-ME"/>
        </w:rPr>
        <w:t>022).</w:t>
      </w:r>
    </w:p>
    <w:p w14:paraId="64E51BB3" w14:textId="77777777" w:rsidR="00C175E4" w:rsidRPr="00D768EF" w:rsidRDefault="00C175E4" w:rsidP="00C175E4">
      <w:pPr>
        <w:rPr>
          <w:szCs w:val="22"/>
          <w:lang w:val="sr-Latn-ME"/>
        </w:rPr>
      </w:pPr>
    </w:p>
    <w:p w14:paraId="4464829C" w14:textId="316E8873" w:rsidR="00C175E4" w:rsidRPr="00D768EF" w:rsidRDefault="002D408F" w:rsidP="00C175E4">
      <w:pPr>
        <w:autoSpaceDE w:val="0"/>
        <w:autoSpaceDN w:val="0"/>
        <w:adjustRightInd w:val="0"/>
        <w:rPr>
          <w:szCs w:val="22"/>
          <w:lang w:val="sr-Latn-ME"/>
        </w:rPr>
      </w:pPr>
      <w:r w:rsidRPr="00D768EF">
        <w:rPr>
          <w:szCs w:val="22"/>
          <w:lang w:val="sr-Latn-ME"/>
        </w:rPr>
        <w:t>Udeo ispitanika</w:t>
      </w:r>
      <w:r w:rsidR="00C175E4" w:rsidRPr="00D768EF">
        <w:rPr>
          <w:szCs w:val="22"/>
          <w:lang w:val="sr-Latn-ME"/>
        </w:rPr>
        <w:t xml:space="preserve"> kod kojih je urađena kolektomija u bilo kom trenutku u periodu od 54 </w:t>
      </w:r>
      <w:r w:rsidR="00D57936" w:rsidRPr="00D768EF">
        <w:rPr>
          <w:szCs w:val="22"/>
          <w:lang w:val="sr-Latn-ME"/>
        </w:rPr>
        <w:t>nedjelj</w:t>
      </w:r>
      <w:r w:rsidR="00C175E4" w:rsidRPr="00D768EF">
        <w:rPr>
          <w:szCs w:val="22"/>
          <w:lang w:val="sr-Latn-ME"/>
        </w:rPr>
        <w:t>e posle prve infuzije ispitivanog l</w:t>
      </w:r>
      <w:r w:rsidR="00C3214E" w:rsidRPr="00D768EF">
        <w:rPr>
          <w:szCs w:val="22"/>
          <w:lang w:val="sr-Latn-ME"/>
        </w:rPr>
        <w:t>ij</w:t>
      </w:r>
      <w:r w:rsidR="00C175E4" w:rsidRPr="00D768EF">
        <w:rPr>
          <w:szCs w:val="22"/>
          <w:lang w:val="sr-Latn-ME"/>
        </w:rPr>
        <w:t xml:space="preserve">eka, prikupljen je i grupisan sa podacima iz ACT 1 i ACT 2 studija i njihovih nastavaka. Manji broj </w:t>
      </w:r>
      <w:r w:rsidRPr="00D768EF">
        <w:rPr>
          <w:szCs w:val="22"/>
          <w:lang w:val="sr-Latn-ME"/>
        </w:rPr>
        <w:t xml:space="preserve">ispitanika </w:t>
      </w:r>
      <w:r w:rsidR="00C175E4" w:rsidRPr="00D768EF">
        <w:rPr>
          <w:szCs w:val="22"/>
          <w:lang w:val="sr-Latn-ME"/>
        </w:rPr>
        <w:t xml:space="preserve">je bio podvrgnut kolektomiji u grupi koja je primala infliksimab od 5 mg/kg (28/242 ili 11.6% [N.S.]) i grupi koja je primala infliksimab od 10 mg/kg (18/242 ili 7.4% [p=0.011]) </w:t>
      </w:r>
      <w:r w:rsidR="00C175E4" w:rsidRPr="00D768EF">
        <w:rPr>
          <w:color w:val="000000"/>
          <w:szCs w:val="22"/>
          <w:lang w:val="sr-Latn-ME"/>
        </w:rPr>
        <w:t xml:space="preserve">nego u placebo grupi </w:t>
      </w:r>
      <w:r w:rsidR="00C175E4" w:rsidRPr="00D768EF">
        <w:rPr>
          <w:szCs w:val="22"/>
          <w:lang w:val="sr-Latn-ME"/>
        </w:rPr>
        <w:t>(36/244; 14.8%).</w:t>
      </w:r>
    </w:p>
    <w:p w14:paraId="5EF379AE" w14:textId="77777777" w:rsidR="00C175E4" w:rsidRPr="00D768EF" w:rsidRDefault="00C175E4" w:rsidP="00C175E4">
      <w:pPr>
        <w:autoSpaceDE w:val="0"/>
        <w:autoSpaceDN w:val="0"/>
        <w:adjustRightInd w:val="0"/>
        <w:spacing w:before="60"/>
        <w:rPr>
          <w:szCs w:val="22"/>
          <w:lang w:val="sr-Latn-ME"/>
        </w:rPr>
      </w:pPr>
    </w:p>
    <w:p w14:paraId="3D8FEE57" w14:textId="552E4B69" w:rsidR="00C175E4" w:rsidRPr="00D768EF" w:rsidRDefault="00C175E4" w:rsidP="00C175E4">
      <w:pPr>
        <w:autoSpaceDE w:val="0"/>
        <w:autoSpaceDN w:val="0"/>
        <w:adjustRightInd w:val="0"/>
        <w:rPr>
          <w:szCs w:val="22"/>
          <w:lang w:val="sr-Latn-ME"/>
        </w:rPr>
      </w:pPr>
      <w:r w:rsidRPr="00D768EF">
        <w:rPr>
          <w:szCs w:val="22"/>
          <w:lang w:val="sr-Latn-ME"/>
        </w:rPr>
        <w:t xml:space="preserve">Smanjenje </w:t>
      </w:r>
      <w:r w:rsidR="002D408F" w:rsidRPr="00D768EF">
        <w:rPr>
          <w:szCs w:val="22"/>
          <w:lang w:val="sr-Latn-ME"/>
        </w:rPr>
        <w:t>učestalosti</w:t>
      </w:r>
      <w:r w:rsidRPr="00D768EF">
        <w:rPr>
          <w:szCs w:val="22"/>
          <w:lang w:val="sr-Latn-ME"/>
        </w:rPr>
        <w:t xml:space="preserve"> kolektomije takođe je ispitano u jednoj drugoj randomizovanoj, dvostruko sl</w:t>
      </w:r>
      <w:r w:rsidR="00C3214E" w:rsidRPr="00D768EF">
        <w:rPr>
          <w:szCs w:val="22"/>
          <w:lang w:val="sr-Latn-ME"/>
        </w:rPr>
        <w:t>ij</w:t>
      </w:r>
      <w:r w:rsidRPr="00D768EF">
        <w:rPr>
          <w:szCs w:val="22"/>
          <w:lang w:val="sr-Latn-ME"/>
        </w:rPr>
        <w:t>epoj studiji (C0168Y06) na hospitalizovanim pacijentima (n= 45) sa um</w:t>
      </w:r>
      <w:r w:rsidR="00E94DF8" w:rsidRPr="00D768EF">
        <w:rPr>
          <w:szCs w:val="22"/>
          <w:lang w:val="sr-Latn-ME"/>
        </w:rPr>
        <w:t>j</w:t>
      </w:r>
      <w:r w:rsidRPr="00D768EF">
        <w:rPr>
          <w:szCs w:val="22"/>
          <w:lang w:val="sr-Latn-ME"/>
        </w:rPr>
        <w:t xml:space="preserve">erenim do teškim aktivnim ulceroznim kolitisom koji nisu reagovali na </w:t>
      </w:r>
      <w:r w:rsidR="002D408F" w:rsidRPr="00D768EF">
        <w:rPr>
          <w:szCs w:val="22"/>
          <w:lang w:val="sr-Latn-ME"/>
        </w:rPr>
        <w:t>intravenske</w:t>
      </w:r>
      <w:r w:rsidRPr="00D768EF">
        <w:rPr>
          <w:szCs w:val="22"/>
          <w:lang w:val="sr-Latn-ME"/>
        </w:rPr>
        <w:t xml:space="preserve"> kortikosteriode i koji su stoga bili pod većim rizikom od kolektomije. Značajno manji broj kolektomija se javio u roku od 3 m</w:t>
      </w:r>
      <w:r w:rsidR="00E94DF8" w:rsidRPr="00D768EF">
        <w:rPr>
          <w:szCs w:val="22"/>
          <w:lang w:val="sr-Latn-ME"/>
        </w:rPr>
        <w:t>j</w:t>
      </w:r>
      <w:r w:rsidRPr="00D768EF">
        <w:rPr>
          <w:szCs w:val="22"/>
          <w:lang w:val="sr-Latn-ME"/>
        </w:rPr>
        <w:t>eseca posl</w:t>
      </w:r>
      <w:r w:rsidR="00CF5D59">
        <w:rPr>
          <w:szCs w:val="22"/>
          <w:lang w:val="sr-Latn-ME"/>
        </w:rPr>
        <w:t>ij</w:t>
      </w:r>
      <w:r w:rsidRPr="00D768EF">
        <w:rPr>
          <w:szCs w:val="22"/>
          <w:lang w:val="sr-Latn-ME"/>
        </w:rPr>
        <w:t>e infuzije</w:t>
      </w:r>
      <w:r w:rsidR="002D408F" w:rsidRPr="00D768EF">
        <w:rPr>
          <w:szCs w:val="22"/>
          <w:lang w:val="sr-Latn-ME"/>
        </w:rPr>
        <w:t xml:space="preserve"> ispitivanog l</w:t>
      </w:r>
      <w:r w:rsidR="000155D7" w:rsidRPr="00D768EF">
        <w:rPr>
          <w:szCs w:val="22"/>
          <w:lang w:val="sr-Latn-ME"/>
        </w:rPr>
        <w:t>ij</w:t>
      </w:r>
      <w:r w:rsidR="002D408F" w:rsidRPr="00D768EF">
        <w:rPr>
          <w:szCs w:val="22"/>
          <w:lang w:val="sr-Latn-ME"/>
        </w:rPr>
        <w:t>eka</w:t>
      </w:r>
      <w:r w:rsidRPr="00D768EF">
        <w:rPr>
          <w:szCs w:val="22"/>
          <w:lang w:val="sr-Latn-ME"/>
        </w:rPr>
        <w:t xml:space="preserve"> kod pacijenata koji su primili jednu dozu infliksimaba od 5 mg/kg u poređenju sa pacijentima koji su primili placebo (29</w:t>
      </w:r>
      <w:r w:rsidR="00DA3436" w:rsidRPr="00D768EF">
        <w:rPr>
          <w:szCs w:val="22"/>
          <w:lang w:val="sr-Latn-ME"/>
        </w:rPr>
        <w:t>,</w:t>
      </w:r>
      <w:r w:rsidRPr="00D768EF">
        <w:rPr>
          <w:szCs w:val="22"/>
          <w:lang w:val="sr-Latn-ME"/>
        </w:rPr>
        <w:t xml:space="preserve">2% </w:t>
      </w:r>
      <w:r w:rsidR="00DA3436" w:rsidRPr="00D768EF">
        <w:rPr>
          <w:szCs w:val="22"/>
          <w:lang w:val="sr-Latn-ME"/>
        </w:rPr>
        <w:t>u odnosu na</w:t>
      </w:r>
      <w:r w:rsidRPr="00D768EF">
        <w:rPr>
          <w:szCs w:val="22"/>
          <w:lang w:val="sr-Latn-ME"/>
        </w:rPr>
        <w:t xml:space="preserve"> 66</w:t>
      </w:r>
      <w:r w:rsidR="00DA3436" w:rsidRPr="00D768EF">
        <w:rPr>
          <w:szCs w:val="22"/>
          <w:lang w:val="sr-Latn-ME"/>
        </w:rPr>
        <w:t>,</w:t>
      </w:r>
      <w:r w:rsidRPr="00D768EF">
        <w:rPr>
          <w:szCs w:val="22"/>
          <w:lang w:val="sr-Latn-ME"/>
        </w:rPr>
        <w:t>7%, p=0</w:t>
      </w:r>
      <w:r w:rsidR="00DA3436" w:rsidRPr="00D768EF">
        <w:rPr>
          <w:szCs w:val="22"/>
          <w:lang w:val="sr-Latn-ME"/>
        </w:rPr>
        <w:t>,</w:t>
      </w:r>
      <w:r w:rsidRPr="00D768EF">
        <w:rPr>
          <w:szCs w:val="22"/>
          <w:lang w:val="sr-Latn-ME"/>
        </w:rPr>
        <w:t xml:space="preserve">017). </w:t>
      </w:r>
    </w:p>
    <w:p w14:paraId="55B7492F" w14:textId="77777777" w:rsidR="00C175E4" w:rsidRPr="00D768EF" w:rsidRDefault="00C175E4" w:rsidP="00C175E4">
      <w:pPr>
        <w:autoSpaceDE w:val="0"/>
        <w:autoSpaceDN w:val="0"/>
        <w:adjustRightInd w:val="0"/>
        <w:rPr>
          <w:szCs w:val="22"/>
          <w:lang w:val="sr-Latn-ME"/>
        </w:rPr>
      </w:pPr>
    </w:p>
    <w:p w14:paraId="737F7826" w14:textId="77777777" w:rsidR="00C175E4" w:rsidRPr="00D768EF" w:rsidRDefault="00C175E4" w:rsidP="00C175E4">
      <w:pPr>
        <w:rPr>
          <w:szCs w:val="22"/>
          <w:lang w:val="sr-Latn-ME"/>
        </w:rPr>
      </w:pPr>
      <w:r w:rsidRPr="00D768EF">
        <w:rPr>
          <w:szCs w:val="22"/>
          <w:lang w:val="sr-Latn-ME"/>
        </w:rPr>
        <w:t>U ACT 1 i ACT 2 studijama, infliksimab je poboljšao kvalitet života, što je potvrđeno statistički značajnim poboljšanjem, kako na osnovu IBDQ – upitnika vezanim za konkretnu bolest, tako i na osnovu SF-36 – opšteg kratkog upitnika od 36 stavki.</w:t>
      </w:r>
    </w:p>
    <w:p w14:paraId="7C312F1B" w14:textId="77777777" w:rsidR="00C175E4" w:rsidRPr="00D768EF" w:rsidRDefault="00C175E4" w:rsidP="00C175E4">
      <w:pPr>
        <w:rPr>
          <w:szCs w:val="22"/>
          <w:lang w:val="sr-Latn-ME"/>
        </w:rPr>
      </w:pPr>
    </w:p>
    <w:p w14:paraId="05E90ED5" w14:textId="77777777" w:rsidR="00C175E4" w:rsidRPr="00D768EF" w:rsidRDefault="00C175E4" w:rsidP="00C175E4">
      <w:pPr>
        <w:rPr>
          <w:i/>
          <w:szCs w:val="22"/>
          <w:u w:val="single"/>
          <w:lang w:val="sr-Latn-ME"/>
        </w:rPr>
      </w:pPr>
      <w:r w:rsidRPr="00D768EF">
        <w:rPr>
          <w:i/>
          <w:szCs w:val="22"/>
          <w:u w:val="single"/>
          <w:lang w:val="sr-Latn-ME"/>
        </w:rPr>
        <w:t>Ankilozirajući spondilitis kod odraslih pacijenata</w:t>
      </w:r>
    </w:p>
    <w:p w14:paraId="58EAA3C5" w14:textId="77777777" w:rsidR="00C175E4" w:rsidRPr="00D768EF" w:rsidRDefault="00C175E4" w:rsidP="00C175E4">
      <w:pPr>
        <w:rPr>
          <w:color w:val="000000"/>
          <w:szCs w:val="22"/>
          <w:u w:val="single"/>
          <w:lang w:val="sr-Latn-ME"/>
        </w:rPr>
      </w:pPr>
    </w:p>
    <w:p w14:paraId="3C99A4B8" w14:textId="70316154" w:rsidR="00C175E4" w:rsidRPr="00D768EF" w:rsidRDefault="00C175E4" w:rsidP="00C175E4">
      <w:pPr>
        <w:rPr>
          <w:rFonts w:eastAsia="Arial Unicode MS"/>
          <w:color w:val="000000"/>
          <w:szCs w:val="22"/>
          <w:lang w:val="sr-Latn-ME"/>
        </w:rPr>
      </w:pPr>
      <w:r w:rsidRPr="00D768EF">
        <w:rPr>
          <w:color w:val="000000"/>
          <w:szCs w:val="22"/>
          <w:lang w:val="sr-Latn-ME"/>
        </w:rPr>
        <w:t xml:space="preserve">Efikasnost i </w:t>
      </w:r>
      <w:r w:rsidR="00282A1E" w:rsidRPr="00D768EF">
        <w:rPr>
          <w:color w:val="000000"/>
          <w:szCs w:val="22"/>
          <w:lang w:val="sr-Latn-ME"/>
        </w:rPr>
        <w:t>bezbjedn</w:t>
      </w:r>
      <w:r w:rsidR="00220982" w:rsidRPr="00D768EF">
        <w:rPr>
          <w:color w:val="000000"/>
          <w:szCs w:val="22"/>
          <w:lang w:val="sr-Latn-ME"/>
        </w:rPr>
        <w:t>o</w:t>
      </w:r>
      <w:r w:rsidRPr="00D768EF">
        <w:rPr>
          <w:color w:val="000000"/>
          <w:szCs w:val="22"/>
          <w:lang w:val="sr-Latn-ME"/>
        </w:rPr>
        <w:t>st infliksimaba proc</w:t>
      </w:r>
      <w:r w:rsidR="00BB5F87" w:rsidRPr="00D768EF">
        <w:rPr>
          <w:color w:val="000000"/>
          <w:szCs w:val="22"/>
          <w:lang w:val="sr-Latn-ME"/>
        </w:rPr>
        <w:t>ij</w:t>
      </w:r>
      <w:r w:rsidRPr="00D768EF">
        <w:rPr>
          <w:color w:val="000000"/>
          <w:szCs w:val="22"/>
          <w:lang w:val="sr-Latn-ME"/>
        </w:rPr>
        <w:t>enjeni su u dv</w:t>
      </w:r>
      <w:r w:rsidR="00BB5F87" w:rsidRPr="00D768EF">
        <w:rPr>
          <w:color w:val="000000"/>
          <w:szCs w:val="22"/>
          <w:lang w:val="sr-Latn-ME"/>
        </w:rPr>
        <w:t>ij</w:t>
      </w:r>
      <w:r w:rsidRPr="00D768EF">
        <w:rPr>
          <w:color w:val="000000"/>
          <w:szCs w:val="22"/>
          <w:lang w:val="sr-Latn-ME"/>
        </w:rPr>
        <w:t>e multicentrične, dvostruko sl</w:t>
      </w:r>
      <w:r w:rsidR="00C3214E" w:rsidRPr="00D768EF">
        <w:rPr>
          <w:color w:val="000000"/>
          <w:szCs w:val="22"/>
          <w:lang w:val="sr-Latn-ME"/>
        </w:rPr>
        <w:t>ij</w:t>
      </w:r>
      <w:r w:rsidRPr="00D768EF">
        <w:rPr>
          <w:color w:val="000000"/>
          <w:szCs w:val="22"/>
          <w:lang w:val="sr-Latn-ME"/>
        </w:rPr>
        <w:t xml:space="preserve">epe, placebo kontrolisane studije kod pacijenata sa aktivnim ankilozirajućim spondilitisom (rezultat na </w:t>
      </w:r>
      <w:r w:rsidRPr="00D768EF">
        <w:rPr>
          <w:i/>
          <w:color w:val="000000"/>
          <w:szCs w:val="22"/>
          <w:lang w:val="sr-Latn-ME"/>
        </w:rPr>
        <w:t>Bath Ankylosing Spondylitis Disease Activity Index</w:t>
      </w:r>
      <w:r w:rsidRPr="00D768EF">
        <w:rPr>
          <w:color w:val="000000"/>
          <w:szCs w:val="22"/>
          <w:lang w:val="sr-Latn-ME"/>
        </w:rPr>
        <w:t xml:space="preserve"> [BASDAI] skali ≥4 i bol u kičmi ≥4 na skali od 1-10). </w:t>
      </w:r>
    </w:p>
    <w:p w14:paraId="6D50ECC0" w14:textId="77777777" w:rsidR="00C175E4" w:rsidRPr="00D768EF" w:rsidRDefault="00C175E4" w:rsidP="00C175E4">
      <w:pPr>
        <w:rPr>
          <w:bCs/>
          <w:color w:val="000000"/>
          <w:szCs w:val="22"/>
          <w:lang w:val="sr-Latn-ME"/>
        </w:rPr>
      </w:pPr>
    </w:p>
    <w:p w14:paraId="5056425C" w14:textId="299242B8" w:rsidR="00C175E4" w:rsidRPr="00D768EF" w:rsidRDefault="00C175E4" w:rsidP="00C175E4">
      <w:pPr>
        <w:rPr>
          <w:szCs w:val="22"/>
          <w:lang w:val="sr-Latn-ME"/>
        </w:rPr>
      </w:pPr>
      <w:r w:rsidRPr="00D768EF">
        <w:rPr>
          <w:bCs/>
          <w:color w:val="000000"/>
          <w:szCs w:val="22"/>
          <w:lang w:val="sr-Latn-ME"/>
        </w:rPr>
        <w:t>U prvoj studiji (P01522), sa trom</w:t>
      </w:r>
      <w:r w:rsidR="00E94DF8" w:rsidRPr="00D768EF">
        <w:rPr>
          <w:bCs/>
          <w:color w:val="000000"/>
          <w:szCs w:val="22"/>
          <w:lang w:val="sr-Latn-ME"/>
        </w:rPr>
        <w:t>j</w:t>
      </w:r>
      <w:r w:rsidRPr="00D768EF">
        <w:rPr>
          <w:bCs/>
          <w:color w:val="000000"/>
          <w:szCs w:val="22"/>
          <w:lang w:val="sr-Latn-ME"/>
        </w:rPr>
        <w:t>esečnom dvostruko sl</w:t>
      </w:r>
      <w:r w:rsidR="00C3214E" w:rsidRPr="00D768EF">
        <w:rPr>
          <w:bCs/>
          <w:color w:val="000000"/>
          <w:szCs w:val="22"/>
          <w:lang w:val="sr-Latn-ME"/>
        </w:rPr>
        <w:t>ij</w:t>
      </w:r>
      <w:r w:rsidRPr="00D768EF">
        <w:rPr>
          <w:bCs/>
          <w:color w:val="000000"/>
          <w:szCs w:val="22"/>
          <w:lang w:val="sr-Latn-ME"/>
        </w:rPr>
        <w:t xml:space="preserve">epom fazom, 70 pacijenata primalo je ili infliksimab od 5 mg/kg ili placebo u 0, 2, 6. </w:t>
      </w:r>
      <w:r w:rsidR="00D57936" w:rsidRPr="00D768EF">
        <w:rPr>
          <w:bCs/>
          <w:color w:val="000000"/>
          <w:szCs w:val="22"/>
          <w:lang w:val="sr-Latn-ME"/>
        </w:rPr>
        <w:t>nedjelj</w:t>
      </w:r>
      <w:r w:rsidRPr="00D768EF">
        <w:rPr>
          <w:bCs/>
          <w:color w:val="000000"/>
          <w:szCs w:val="22"/>
          <w:lang w:val="sr-Latn-ME"/>
        </w:rPr>
        <w:t xml:space="preserve">i (35 pacijenata u svakoj grupi). U 12. </w:t>
      </w:r>
      <w:r w:rsidR="00D57936" w:rsidRPr="00D768EF">
        <w:rPr>
          <w:bCs/>
          <w:color w:val="000000"/>
          <w:szCs w:val="22"/>
          <w:lang w:val="sr-Latn-ME"/>
        </w:rPr>
        <w:t>nedjelj</w:t>
      </w:r>
      <w:r w:rsidRPr="00D768EF">
        <w:rPr>
          <w:bCs/>
          <w:color w:val="000000"/>
          <w:szCs w:val="22"/>
          <w:lang w:val="sr-Latn-ME"/>
        </w:rPr>
        <w:t xml:space="preserve">i pacijenti </w:t>
      </w:r>
      <w:r w:rsidR="00DA3436" w:rsidRPr="00D768EF">
        <w:rPr>
          <w:bCs/>
          <w:color w:val="000000"/>
          <w:szCs w:val="22"/>
          <w:lang w:val="sr-Latn-ME"/>
        </w:rPr>
        <w:t xml:space="preserve">koji su primali placebo </w:t>
      </w:r>
      <w:r w:rsidRPr="00D768EF">
        <w:rPr>
          <w:bCs/>
          <w:color w:val="000000"/>
          <w:szCs w:val="22"/>
          <w:lang w:val="sr-Latn-ME"/>
        </w:rPr>
        <w:t xml:space="preserve">su prebačeni na infliksimab od 5 mg/kg svakih 6 </w:t>
      </w:r>
      <w:r w:rsidR="00D57936" w:rsidRPr="00D768EF">
        <w:rPr>
          <w:bCs/>
          <w:color w:val="000000"/>
          <w:szCs w:val="22"/>
          <w:lang w:val="sr-Latn-ME"/>
        </w:rPr>
        <w:t>nedjelj</w:t>
      </w:r>
      <w:r w:rsidRPr="00D768EF">
        <w:rPr>
          <w:bCs/>
          <w:color w:val="000000"/>
          <w:szCs w:val="22"/>
          <w:lang w:val="sr-Latn-ME"/>
        </w:rPr>
        <w:t xml:space="preserve">a do 54. </w:t>
      </w:r>
      <w:r w:rsidR="00D57936" w:rsidRPr="00D768EF">
        <w:rPr>
          <w:bCs/>
          <w:color w:val="000000"/>
          <w:szCs w:val="22"/>
          <w:lang w:val="sr-Latn-ME"/>
        </w:rPr>
        <w:t>nedjelj</w:t>
      </w:r>
      <w:r w:rsidRPr="00D768EF">
        <w:rPr>
          <w:bCs/>
          <w:color w:val="000000"/>
          <w:szCs w:val="22"/>
          <w:lang w:val="sr-Latn-ME"/>
        </w:rPr>
        <w:t>e. Posl</w:t>
      </w:r>
      <w:r w:rsidR="00CF5D59">
        <w:rPr>
          <w:bCs/>
          <w:color w:val="000000"/>
          <w:szCs w:val="22"/>
          <w:lang w:val="sr-Latn-ME"/>
        </w:rPr>
        <w:t>ij</w:t>
      </w:r>
      <w:r w:rsidRPr="00D768EF">
        <w:rPr>
          <w:bCs/>
          <w:color w:val="000000"/>
          <w:szCs w:val="22"/>
          <w:lang w:val="sr-Latn-ME"/>
        </w:rPr>
        <w:t xml:space="preserve">e prve godine studije, 53 pacijenata nastavilo je da učestvuje u </w:t>
      </w:r>
      <w:r w:rsidR="00DA3436" w:rsidRPr="00D768EF">
        <w:rPr>
          <w:bCs/>
          <w:color w:val="000000"/>
          <w:szCs w:val="22"/>
          <w:lang w:val="sr-Latn-ME"/>
        </w:rPr>
        <w:t xml:space="preserve">produžetku studije </w:t>
      </w:r>
      <w:r w:rsidRPr="00D768EF">
        <w:rPr>
          <w:bCs/>
          <w:color w:val="000000"/>
          <w:szCs w:val="22"/>
          <w:lang w:val="sr-Latn-ME"/>
        </w:rPr>
        <w:t>otvoreno</w:t>
      </w:r>
      <w:r w:rsidR="00DA3436" w:rsidRPr="00D768EF">
        <w:rPr>
          <w:bCs/>
          <w:color w:val="000000"/>
          <w:szCs w:val="22"/>
          <w:lang w:val="sr-Latn-ME"/>
        </w:rPr>
        <w:t>g</w:t>
      </w:r>
      <w:r w:rsidRPr="00D768EF">
        <w:rPr>
          <w:bCs/>
          <w:color w:val="000000"/>
          <w:szCs w:val="22"/>
          <w:lang w:val="sr-Latn-ME"/>
        </w:rPr>
        <w:t xml:space="preserve"> </w:t>
      </w:r>
      <w:r w:rsidR="00DA3436" w:rsidRPr="00D768EF">
        <w:rPr>
          <w:bCs/>
          <w:color w:val="000000"/>
          <w:szCs w:val="22"/>
          <w:lang w:val="sr-Latn-ME"/>
        </w:rPr>
        <w:t>tipa</w:t>
      </w:r>
      <w:r w:rsidRPr="00D768EF">
        <w:rPr>
          <w:bCs/>
          <w:color w:val="000000"/>
          <w:szCs w:val="22"/>
          <w:lang w:val="sr-Latn-ME"/>
        </w:rPr>
        <w:t xml:space="preserve"> do 102. </w:t>
      </w:r>
      <w:r w:rsidR="00D57936" w:rsidRPr="00D768EF">
        <w:rPr>
          <w:bCs/>
          <w:color w:val="000000"/>
          <w:szCs w:val="22"/>
          <w:lang w:val="sr-Latn-ME"/>
        </w:rPr>
        <w:t>nedjelj</w:t>
      </w:r>
      <w:r w:rsidRPr="00D768EF">
        <w:rPr>
          <w:bCs/>
          <w:color w:val="000000"/>
          <w:szCs w:val="22"/>
          <w:lang w:val="sr-Latn-ME"/>
        </w:rPr>
        <w:t xml:space="preserve">e. </w:t>
      </w:r>
    </w:p>
    <w:p w14:paraId="183CA116" w14:textId="6EC3F0F3" w:rsidR="00C175E4" w:rsidRPr="00D768EF" w:rsidRDefault="00C175E4" w:rsidP="00C175E4">
      <w:pPr>
        <w:rPr>
          <w:bCs/>
          <w:color w:val="000000"/>
          <w:szCs w:val="22"/>
          <w:lang w:val="sr-Latn-ME"/>
        </w:rPr>
      </w:pPr>
      <w:r w:rsidRPr="00D768EF">
        <w:rPr>
          <w:bCs/>
          <w:color w:val="000000"/>
          <w:szCs w:val="22"/>
          <w:lang w:val="sr-Latn-ME"/>
        </w:rPr>
        <w:lastRenderedPageBreak/>
        <w:t xml:space="preserve">U drugoj kliničkoj studiji (ASSERT), 279 pacijenata je randomizovano u grupe koje su primale ili placebo (Grupa 1, n=78) ili 5 mg/kg infliksimab (Grupa 2, n=201) u 0, 2 i 6. </w:t>
      </w:r>
      <w:r w:rsidR="00D57936" w:rsidRPr="00D768EF">
        <w:rPr>
          <w:bCs/>
          <w:color w:val="000000"/>
          <w:szCs w:val="22"/>
          <w:lang w:val="sr-Latn-ME"/>
        </w:rPr>
        <w:t>nedjelj</w:t>
      </w:r>
      <w:r w:rsidRPr="00D768EF">
        <w:rPr>
          <w:bCs/>
          <w:color w:val="000000"/>
          <w:szCs w:val="22"/>
          <w:lang w:val="sr-Latn-ME"/>
        </w:rPr>
        <w:t xml:space="preserve">i, a zatim svakih 6 </w:t>
      </w:r>
      <w:r w:rsidR="00D57936" w:rsidRPr="00D768EF">
        <w:rPr>
          <w:bCs/>
          <w:color w:val="000000"/>
          <w:szCs w:val="22"/>
          <w:lang w:val="sr-Latn-ME"/>
        </w:rPr>
        <w:t>nedjelj</w:t>
      </w:r>
      <w:r w:rsidRPr="00D768EF">
        <w:rPr>
          <w:bCs/>
          <w:color w:val="000000"/>
          <w:szCs w:val="22"/>
          <w:lang w:val="sr-Latn-ME"/>
        </w:rPr>
        <w:t xml:space="preserve">a do ukupno 24 </w:t>
      </w:r>
      <w:r w:rsidR="00D57936" w:rsidRPr="00D768EF">
        <w:rPr>
          <w:bCs/>
          <w:color w:val="000000"/>
          <w:szCs w:val="22"/>
          <w:lang w:val="sr-Latn-ME"/>
        </w:rPr>
        <w:t>nedjelj</w:t>
      </w:r>
      <w:r w:rsidRPr="00D768EF">
        <w:rPr>
          <w:bCs/>
          <w:color w:val="000000"/>
          <w:szCs w:val="22"/>
          <w:lang w:val="sr-Latn-ME"/>
        </w:rPr>
        <w:t>e. Posl</w:t>
      </w:r>
      <w:r w:rsidR="00CF5D59">
        <w:rPr>
          <w:bCs/>
          <w:color w:val="000000"/>
          <w:szCs w:val="22"/>
          <w:lang w:val="sr-Latn-ME"/>
        </w:rPr>
        <w:t>ij</w:t>
      </w:r>
      <w:r w:rsidRPr="00D768EF">
        <w:rPr>
          <w:bCs/>
          <w:color w:val="000000"/>
          <w:szCs w:val="22"/>
          <w:lang w:val="sr-Latn-ME"/>
        </w:rPr>
        <w:t xml:space="preserve">e toga su svi ispitanici nastavili da primaju infliksimab svakih 6 </w:t>
      </w:r>
      <w:r w:rsidR="00D57936" w:rsidRPr="00D768EF">
        <w:rPr>
          <w:bCs/>
          <w:color w:val="000000"/>
          <w:szCs w:val="22"/>
          <w:lang w:val="sr-Latn-ME"/>
        </w:rPr>
        <w:t>nedjelj</w:t>
      </w:r>
      <w:r w:rsidRPr="00D768EF">
        <w:rPr>
          <w:bCs/>
          <w:color w:val="000000"/>
          <w:szCs w:val="22"/>
          <w:lang w:val="sr-Latn-ME"/>
        </w:rPr>
        <w:t xml:space="preserve">a do ukupno 96. </w:t>
      </w:r>
      <w:r w:rsidR="00D57936" w:rsidRPr="00D768EF">
        <w:rPr>
          <w:bCs/>
          <w:color w:val="000000"/>
          <w:szCs w:val="22"/>
          <w:lang w:val="sr-Latn-ME"/>
        </w:rPr>
        <w:t>nedjelj</w:t>
      </w:r>
      <w:r w:rsidRPr="00D768EF">
        <w:rPr>
          <w:bCs/>
          <w:color w:val="000000"/>
          <w:szCs w:val="22"/>
          <w:lang w:val="sr-Latn-ME"/>
        </w:rPr>
        <w:t xml:space="preserve">e. Grupa 1 primala je 5 mg/kg infliksimaba. U grupi 2, počev od infuzije u 36. </w:t>
      </w:r>
      <w:r w:rsidR="00D57936" w:rsidRPr="00D768EF">
        <w:rPr>
          <w:bCs/>
          <w:color w:val="000000"/>
          <w:szCs w:val="22"/>
          <w:lang w:val="sr-Latn-ME"/>
        </w:rPr>
        <w:t>nedjelj</w:t>
      </w:r>
      <w:r w:rsidRPr="00D768EF">
        <w:rPr>
          <w:bCs/>
          <w:color w:val="000000"/>
          <w:szCs w:val="22"/>
          <w:lang w:val="sr-Latn-ME"/>
        </w:rPr>
        <w:t>i, pacijenti koji su imali BASDAI ≥ 3 u dva uzastopna pregleda, primali su 7</w:t>
      </w:r>
      <w:r w:rsidR="00DA3436" w:rsidRPr="00D768EF">
        <w:rPr>
          <w:bCs/>
          <w:color w:val="000000"/>
          <w:szCs w:val="22"/>
          <w:lang w:val="sr-Latn-ME"/>
        </w:rPr>
        <w:t>,</w:t>
      </w:r>
      <w:r w:rsidRPr="00D768EF">
        <w:rPr>
          <w:bCs/>
          <w:color w:val="000000"/>
          <w:szCs w:val="22"/>
          <w:lang w:val="sr-Latn-ME"/>
        </w:rPr>
        <w:t xml:space="preserve">5 mg/kg infliksimaba svakih 6 </w:t>
      </w:r>
      <w:r w:rsidR="00D57936" w:rsidRPr="00D768EF">
        <w:rPr>
          <w:bCs/>
          <w:color w:val="000000"/>
          <w:szCs w:val="22"/>
          <w:lang w:val="sr-Latn-ME"/>
        </w:rPr>
        <w:t>nedjelj</w:t>
      </w:r>
      <w:r w:rsidRPr="00D768EF">
        <w:rPr>
          <w:bCs/>
          <w:color w:val="000000"/>
          <w:szCs w:val="22"/>
          <w:lang w:val="sr-Latn-ME"/>
        </w:rPr>
        <w:t xml:space="preserve">a do 96. </w:t>
      </w:r>
      <w:r w:rsidR="00D57936" w:rsidRPr="00D768EF">
        <w:rPr>
          <w:bCs/>
          <w:color w:val="000000"/>
          <w:szCs w:val="22"/>
          <w:lang w:val="sr-Latn-ME"/>
        </w:rPr>
        <w:t>nedjelj</w:t>
      </w:r>
      <w:r w:rsidRPr="00D768EF">
        <w:rPr>
          <w:bCs/>
          <w:color w:val="000000"/>
          <w:szCs w:val="22"/>
          <w:lang w:val="sr-Latn-ME"/>
        </w:rPr>
        <w:t>e.</w:t>
      </w:r>
    </w:p>
    <w:p w14:paraId="68FC7E6A" w14:textId="77777777" w:rsidR="00C175E4" w:rsidRPr="00D768EF" w:rsidRDefault="00C175E4" w:rsidP="00C175E4">
      <w:pPr>
        <w:rPr>
          <w:bCs/>
          <w:color w:val="000000"/>
          <w:szCs w:val="22"/>
          <w:lang w:val="sr-Latn-ME"/>
        </w:rPr>
      </w:pPr>
    </w:p>
    <w:p w14:paraId="398A95E7" w14:textId="26E9EB20" w:rsidR="00C175E4" w:rsidRPr="00D768EF" w:rsidRDefault="00C175E4" w:rsidP="00C175E4">
      <w:pPr>
        <w:rPr>
          <w:color w:val="000000"/>
          <w:szCs w:val="22"/>
          <w:lang w:val="sr-Latn-ME"/>
        </w:rPr>
      </w:pPr>
      <w:r w:rsidRPr="00D768EF">
        <w:rPr>
          <w:color w:val="000000"/>
          <w:szCs w:val="22"/>
          <w:lang w:val="sr-Latn-ME"/>
        </w:rPr>
        <w:t>U ASSERT studiji, prim</w:t>
      </w:r>
      <w:r w:rsidR="00C3214E" w:rsidRPr="00D768EF">
        <w:rPr>
          <w:color w:val="000000"/>
          <w:szCs w:val="22"/>
          <w:lang w:val="sr-Latn-ME"/>
        </w:rPr>
        <w:t>ij</w:t>
      </w:r>
      <w:r w:rsidRPr="00D768EF">
        <w:rPr>
          <w:color w:val="000000"/>
          <w:szCs w:val="22"/>
          <w:lang w:val="sr-Latn-ME"/>
        </w:rPr>
        <w:t>ećeno je poboljšanje znakova i simptoma već u</w:t>
      </w:r>
      <w:r w:rsidRPr="00D768EF">
        <w:rPr>
          <w:bCs/>
          <w:color w:val="000000"/>
          <w:szCs w:val="22"/>
          <w:lang w:val="sr-Latn-ME"/>
        </w:rPr>
        <w:t xml:space="preserve"> 2. </w:t>
      </w:r>
      <w:r w:rsidR="00D57936" w:rsidRPr="00D768EF">
        <w:rPr>
          <w:bCs/>
          <w:color w:val="000000"/>
          <w:szCs w:val="22"/>
          <w:lang w:val="sr-Latn-ME"/>
        </w:rPr>
        <w:t>nedjelj</w:t>
      </w:r>
      <w:r w:rsidRPr="00D768EF">
        <w:rPr>
          <w:bCs/>
          <w:color w:val="000000"/>
          <w:szCs w:val="22"/>
          <w:lang w:val="sr-Latn-ME"/>
        </w:rPr>
        <w:t>i.</w:t>
      </w:r>
      <w:r w:rsidRPr="00D768EF">
        <w:rPr>
          <w:color w:val="000000"/>
          <w:szCs w:val="22"/>
          <w:lang w:val="sr-Latn-ME"/>
        </w:rPr>
        <w:t xml:space="preserve"> U 24. </w:t>
      </w:r>
      <w:r w:rsidR="00D57936" w:rsidRPr="00D768EF">
        <w:rPr>
          <w:color w:val="000000"/>
          <w:szCs w:val="22"/>
          <w:lang w:val="sr-Latn-ME"/>
        </w:rPr>
        <w:t>nedjelj</w:t>
      </w:r>
      <w:r w:rsidRPr="00D768EF">
        <w:rPr>
          <w:color w:val="000000"/>
          <w:szCs w:val="22"/>
          <w:lang w:val="sr-Latn-ME"/>
        </w:rPr>
        <w:t>i, broj pacijenata kod kojih se pojavio ASAS 20 klinički odgovor bio je 15/78 (19%) u placebo grupi i 123/201 (61%) u 5 mg/kg infliksimab grupi (p&lt;0</w:t>
      </w:r>
      <w:r w:rsidR="002B695E" w:rsidRPr="00D768EF">
        <w:rPr>
          <w:color w:val="000000"/>
          <w:szCs w:val="22"/>
          <w:lang w:val="sr-Latn-ME"/>
        </w:rPr>
        <w:t>,</w:t>
      </w:r>
      <w:r w:rsidRPr="00D768EF">
        <w:rPr>
          <w:color w:val="000000"/>
          <w:szCs w:val="22"/>
          <w:lang w:val="sr-Latn-ME"/>
        </w:rPr>
        <w:t xml:space="preserve">001). 95 ispitanika iz grupe 2 je nastavilo da prima infliksimab u dozi od 5 mg/kg svakih 6 </w:t>
      </w:r>
      <w:r w:rsidR="00D57936" w:rsidRPr="00D768EF">
        <w:rPr>
          <w:color w:val="000000"/>
          <w:szCs w:val="22"/>
          <w:lang w:val="sr-Latn-ME"/>
        </w:rPr>
        <w:t>nedjelj</w:t>
      </w:r>
      <w:r w:rsidRPr="00D768EF">
        <w:rPr>
          <w:color w:val="000000"/>
          <w:szCs w:val="22"/>
          <w:lang w:val="sr-Latn-ME"/>
        </w:rPr>
        <w:t xml:space="preserve">a. U 102. </w:t>
      </w:r>
      <w:r w:rsidR="00D57936" w:rsidRPr="00D768EF">
        <w:rPr>
          <w:color w:val="000000"/>
          <w:szCs w:val="22"/>
          <w:lang w:val="sr-Latn-ME"/>
        </w:rPr>
        <w:t>nedjelj</w:t>
      </w:r>
      <w:r w:rsidRPr="00D768EF">
        <w:rPr>
          <w:color w:val="000000"/>
          <w:szCs w:val="22"/>
          <w:lang w:val="sr-Latn-ME"/>
        </w:rPr>
        <w:t>i, bilo je 80 ispitanika koji su i dalje primali infliksimab terapiju i među njima 71 (89%) su imali ASAS 20 klinički odgovor.</w:t>
      </w:r>
    </w:p>
    <w:p w14:paraId="14A5A041" w14:textId="77777777" w:rsidR="00C175E4" w:rsidRPr="00D768EF" w:rsidRDefault="00C175E4" w:rsidP="00C175E4">
      <w:pPr>
        <w:rPr>
          <w:color w:val="000000"/>
          <w:szCs w:val="22"/>
          <w:lang w:val="sr-Latn-ME"/>
        </w:rPr>
      </w:pPr>
    </w:p>
    <w:p w14:paraId="31018F38" w14:textId="76EDF3C1" w:rsidR="00C175E4" w:rsidRPr="00D768EF" w:rsidRDefault="00C175E4" w:rsidP="00C175E4">
      <w:pPr>
        <w:rPr>
          <w:color w:val="000000"/>
          <w:szCs w:val="22"/>
          <w:lang w:val="sr-Latn-ME"/>
        </w:rPr>
      </w:pPr>
      <w:r w:rsidRPr="00D768EF">
        <w:rPr>
          <w:color w:val="000000"/>
          <w:szCs w:val="22"/>
          <w:lang w:val="sr-Latn-ME"/>
        </w:rPr>
        <w:t>U P01522 studiji, takođe je prim</w:t>
      </w:r>
      <w:r w:rsidR="00C3214E" w:rsidRPr="00D768EF">
        <w:rPr>
          <w:color w:val="000000"/>
          <w:szCs w:val="22"/>
          <w:lang w:val="sr-Latn-ME"/>
        </w:rPr>
        <w:t>ij</w:t>
      </w:r>
      <w:r w:rsidRPr="00D768EF">
        <w:rPr>
          <w:color w:val="000000"/>
          <w:szCs w:val="22"/>
          <w:lang w:val="sr-Latn-ME"/>
        </w:rPr>
        <w:t>ećeno poboljšanje znakova i simptoma već u</w:t>
      </w:r>
      <w:r w:rsidRPr="00D768EF">
        <w:rPr>
          <w:bCs/>
          <w:color w:val="000000"/>
          <w:szCs w:val="22"/>
          <w:lang w:val="sr-Latn-ME"/>
        </w:rPr>
        <w:t xml:space="preserve"> 2. </w:t>
      </w:r>
      <w:r w:rsidR="00D57936" w:rsidRPr="00D768EF">
        <w:rPr>
          <w:bCs/>
          <w:color w:val="000000"/>
          <w:szCs w:val="22"/>
          <w:lang w:val="sr-Latn-ME"/>
        </w:rPr>
        <w:t>nedjelj</w:t>
      </w:r>
      <w:r w:rsidRPr="00D768EF">
        <w:rPr>
          <w:bCs/>
          <w:color w:val="000000"/>
          <w:szCs w:val="22"/>
          <w:lang w:val="sr-Latn-ME"/>
        </w:rPr>
        <w:t xml:space="preserve">i. U </w:t>
      </w:r>
      <w:r w:rsidRPr="00D768EF">
        <w:rPr>
          <w:color w:val="000000"/>
          <w:szCs w:val="22"/>
          <w:lang w:val="sr-Latn-ME"/>
        </w:rPr>
        <w:t xml:space="preserve">12. </w:t>
      </w:r>
      <w:r w:rsidR="00D57936" w:rsidRPr="00D768EF">
        <w:rPr>
          <w:bCs/>
          <w:color w:val="000000"/>
          <w:szCs w:val="22"/>
          <w:lang w:val="sr-Latn-ME"/>
        </w:rPr>
        <w:t>nedjelj</w:t>
      </w:r>
      <w:r w:rsidRPr="00D768EF">
        <w:rPr>
          <w:bCs/>
          <w:color w:val="000000"/>
          <w:szCs w:val="22"/>
          <w:lang w:val="sr-Latn-ME"/>
        </w:rPr>
        <w:t>i</w:t>
      </w:r>
      <w:r w:rsidRPr="00D768EF">
        <w:rPr>
          <w:color w:val="000000"/>
          <w:szCs w:val="22"/>
          <w:lang w:val="sr-Latn-ME"/>
        </w:rPr>
        <w:t>, broj pacijenata koji su imali BASDAI 50 klinički odgovor bio je 3/35 (9%) u placebo grupi, i 20/35 (57%) u grupi koja je primala infliksimab u dozi od 5 mg/kg (p&lt;0</w:t>
      </w:r>
      <w:r w:rsidR="002B695E" w:rsidRPr="00D768EF">
        <w:rPr>
          <w:color w:val="000000"/>
          <w:szCs w:val="22"/>
          <w:lang w:val="sr-Latn-ME"/>
        </w:rPr>
        <w:t>,</w:t>
      </w:r>
      <w:r w:rsidRPr="00D768EF">
        <w:rPr>
          <w:color w:val="000000"/>
          <w:szCs w:val="22"/>
          <w:lang w:val="sr-Latn-ME"/>
        </w:rPr>
        <w:t xml:space="preserve">01). 53 ispitanika su nastavili da primaju infliksimab u dozi od 5 mg/kg svakih 6 </w:t>
      </w:r>
      <w:r w:rsidR="00D57936" w:rsidRPr="00D768EF">
        <w:rPr>
          <w:color w:val="000000"/>
          <w:szCs w:val="22"/>
          <w:lang w:val="sr-Latn-ME"/>
        </w:rPr>
        <w:t>nedjelj</w:t>
      </w:r>
      <w:r w:rsidRPr="00D768EF">
        <w:rPr>
          <w:color w:val="000000"/>
          <w:szCs w:val="22"/>
          <w:lang w:val="sr-Latn-ME"/>
        </w:rPr>
        <w:t xml:space="preserve">a. U 102. </w:t>
      </w:r>
      <w:r w:rsidR="00D57936" w:rsidRPr="00D768EF">
        <w:rPr>
          <w:color w:val="000000"/>
          <w:szCs w:val="22"/>
          <w:lang w:val="sr-Latn-ME"/>
        </w:rPr>
        <w:t>nedjelj</w:t>
      </w:r>
      <w:r w:rsidRPr="00D768EF">
        <w:rPr>
          <w:color w:val="000000"/>
          <w:szCs w:val="22"/>
          <w:lang w:val="sr-Latn-ME"/>
        </w:rPr>
        <w:t xml:space="preserve">i, bilo je 49 ispitanika koji su i dalje primali infliksimab terapiju i među njima 30 (61%) su imali BASDAI 50 klinički odgovor. </w:t>
      </w:r>
    </w:p>
    <w:p w14:paraId="23E01443" w14:textId="77777777" w:rsidR="00C175E4" w:rsidRPr="00D768EF" w:rsidRDefault="00C175E4" w:rsidP="00C175E4">
      <w:pPr>
        <w:rPr>
          <w:color w:val="000000"/>
          <w:szCs w:val="22"/>
          <w:lang w:val="sr-Latn-ME"/>
        </w:rPr>
      </w:pPr>
    </w:p>
    <w:p w14:paraId="66761BAA" w14:textId="5FB35678" w:rsidR="00C175E4" w:rsidRPr="00D768EF" w:rsidRDefault="00C175E4" w:rsidP="00C175E4">
      <w:pPr>
        <w:rPr>
          <w:color w:val="000000"/>
          <w:szCs w:val="22"/>
          <w:lang w:val="sr-Latn-ME"/>
        </w:rPr>
      </w:pPr>
      <w:r w:rsidRPr="00D768EF">
        <w:rPr>
          <w:color w:val="000000"/>
          <w:szCs w:val="22"/>
          <w:lang w:val="sr-Latn-ME"/>
        </w:rPr>
        <w:t>U ob</w:t>
      </w:r>
      <w:r w:rsidR="00656C2C" w:rsidRPr="00D768EF">
        <w:rPr>
          <w:color w:val="000000"/>
          <w:szCs w:val="22"/>
          <w:lang w:val="sr-Latn-ME"/>
        </w:rPr>
        <w:t>j</w:t>
      </w:r>
      <w:r w:rsidRPr="00D768EF">
        <w:rPr>
          <w:color w:val="000000"/>
          <w:szCs w:val="22"/>
          <w:lang w:val="sr-Latn-ME"/>
        </w:rPr>
        <w:t>e studije takođe je došlo do značajnog poboljšanja fizičke funkcije i kvaliteta života m</w:t>
      </w:r>
      <w:r w:rsidR="00656C2C" w:rsidRPr="00D768EF">
        <w:rPr>
          <w:color w:val="000000"/>
          <w:szCs w:val="22"/>
          <w:lang w:val="sr-Latn-ME"/>
        </w:rPr>
        <w:t>j</w:t>
      </w:r>
      <w:r w:rsidRPr="00D768EF">
        <w:rPr>
          <w:color w:val="000000"/>
          <w:szCs w:val="22"/>
          <w:lang w:val="sr-Latn-ME"/>
        </w:rPr>
        <w:t>ereno na osnovu BASFI i SF-36 skale fizičkih komponenti.</w:t>
      </w:r>
    </w:p>
    <w:p w14:paraId="5C1033FB" w14:textId="77777777" w:rsidR="00C175E4" w:rsidRPr="00D768EF" w:rsidRDefault="00C175E4" w:rsidP="00C175E4">
      <w:pPr>
        <w:rPr>
          <w:color w:val="000000"/>
          <w:szCs w:val="22"/>
          <w:lang w:val="sr-Latn-ME"/>
        </w:rPr>
      </w:pPr>
    </w:p>
    <w:p w14:paraId="74A6FB3F" w14:textId="656AA041" w:rsidR="00C175E4" w:rsidRPr="00D768EF" w:rsidRDefault="00C175E4" w:rsidP="00C175E4">
      <w:pPr>
        <w:rPr>
          <w:i/>
          <w:color w:val="000000"/>
          <w:szCs w:val="22"/>
          <w:u w:val="single"/>
          <w:lang w:val="sr-Latn-ME"/>
        </w:rPr>
      </w:pPr>
      <w:r w:rsidRPr="00D768EF">
        <w:rPr>
          <w:i/>
          <w:color w:val="000000"/>
          <w:szCs w:val="22"/>
          <w:u w:val="single"/>
          <w:lang w:val="sr-Latn-ME"/>
        </w:rPr>
        <w:t>Psorijazni artritis kod odraslih pacijenata</w:t>
      </w:r>
    </w:p>
    <w:p w14:paraId="4501A2A3" w14:textId="77777777" w:rsidR="00C175E4" w:rsidRPr="00D768EF" w:rsidRDefault="00C175E4" w:rsidP="00C175E4">
      <w:pPr>
        <w:rPr>
          <w:color w:val="000000"/>
          <w:szCs w:val="22"/>
          <w:u w:val="single"/>
          <w:lang w:val="sr-Latn-ME"/>
        </w:rPr>
      </w:pPr>
    </w:p>
    <w:p w14:paraId="6AC91FB4" w14:textId="394CF364" w:rsidR="00C175E4" w:rsidRPr="00D768EF" w:rsidRDefault="00C175E4" w:rsidP="00C175E4">
      <w:pPr>
        <w:tabs>
          <w:tab w:val="left" w:pos="840"/>
          <w:tab w:val="left" w:pos="900"/>
        </w:tabs>
        <w:rPr>
          <w:color w:val="000000"/>
          <w:szCs w:val="22"/>
          <w:lang w:val="sr-Latn-ME"/>
        </w:rPr>
      </w:pPr>
      <w:r w:rsidRPr="00D768EF">
        <w:rPr>
          <w:color w:val="000000"/>
          <w:szCs w:val="22"/>
          <w:lang w:val="sr-Latn-ME"/>
        </w:rPr>
        <w:t xml:space="preserve">Efikasnost i </w:t>
      </w:r>
      <w:r w:rsidR="00282A1E" w:rsidRPr="00D768EF">
        <w:rPr>
          <w:color w:val="000000"/>
          <w:szCs w:val="22"/>
          <w:lang w:val="sr-Latn-ME"/>
        </w:rPr>
        <w:t>bezbjedn</w:t>
      </w:r>
      <w:r w:rsidR="00220982" w:rsidRPr="00D768EF">
        <w:rPr>
          <w:color w:val="000000"/>
          <w:szCs w:val="22"/>
          <w:lang w:val="sr-Latn-ME"/>
        </w:rPr>
        <w:t>o</w:t>
      </w:r>
      <w:r w:rsidRPr="00D768EF">
        <w:rPr>
          <w:color w:val="000000"/>
          <w:szCs w:val="22"/>
          <w:lang w:val="sr-Latn-ME"/>
        </w:rPr>
        <w:t>st prim</w:t>
      </w:r>
      <w:r w:rsidR="00126595" w:rsidRPr="00D768EF">
        <w:rPr>
          <w:color w:val="000000"/>
          <w:szCs w:val="22"/>
          <w:lang w:val="sr-Latn-ME"/>
        </w:rPr>
        <w:t>j</w:t>
      </w:r>
      <w:r w:rsidRPr="00D768EF">
        <w:rPr>
          <w:color w:val="000000"/>
          <w:szCs w:val="22"/>
          <w:lang w:val="sr-Latn-ME"/>
        </w:rPr>
        <w:t>ene infliksimaba proc</w:t>
      </w:r>
      <w:r w:rsidR="00BB5F87" w:rsidRPr="00D768EF">
        <w:rPr>
          <w:color w:val="000000"/>
          <w:szCs w:val="22"/>
          <w:lang w:val="sr-Latn-ME"/>
        </w:rPr>
        <w:t>j</w:t>
      </w:r>
      <w:r w:rsidRPr="00D768EF">
        <w:rPr>
          <w:color w:val="000000"/>
          <w:szCs w:val="22"/>
          <w:lang w:val="sr-Latn-ME"/>
        </w:rPr>
        <w:t>enjivani su u dv</w:t>
      </w:r>
      <w:r w:rsidR="001F3D73" w:rsidRPr="00D768EF">
        <w:rPr>
          <w:color w:val="000000"/>
          <w:szCs w:val="22"/>
          <w:lang w:val="sr-Latn-ME"/>
        </w:rPr>
        <w:t>ij</w:t>
      </w:r>
      <w:r w:rsidRPr="00D768EF">
        <w:rPr>
          <w:color w:val="000000"/>
          <w:szCs w:val="22"/>
          <w:lang w:val="sr-Latn-ME"/>
        </w:rPr>
        <w:t>e multicentrične, dvostruko sl</w:t>
      </w:r>
      <w:r w:rsidR="00C3214E" w:rsidRPr="00D768EF">
        <w:rPr>
          <w:color w:val="000000"/>
          <w:szCs w:val="22"/>
          <w:lang w:val="sr-Latn-ME"/>
        </w:rPr>
        <w:t>ij</w:t>
      </w:r>
      <w:r w:rsidRPr="00D768EF">
        <w:rPr>
          <w:color w:val="000000"/>
          <w:szCs w:val="22"/>
          <w:lang w:val="sr-Latn-ME"/>
        </w:rPr>
        <w:t xml:space="preserve">epe, placebo kontrolisane studije na pacijentima sa aktivnim psorijaznim artritisom. </w:t>
      </w:r>
    </w:p>
    <w:p w14:paraId="40D22A16" w14:textId="77777777" w:rsidR="00C175E4" w:rsidRPr="00D768EF" w:rsidRDefault="00C175E4" w:rsidP="00C175E4">
      <w:pPr>
        <w:tabs>
          <w:tab w:val="left" w:pos="840"/>
          <w:tab w:val="left" w:pos="900"/>
        </w:tabs>
        <w:rPr>
          <w:color w:val="000000"/>
          <w:szCs w:val="22"/>
          <w:lang w:val="sr-Latn-ME"/>
        </w:rPr>
      </w:pPr>
    </w:p>
    <w:p w14:paraId="59A564D5" w14:textId="69CFC065" w:rsidR="00C175E4" w:rsidRPr="00D768EF" w:rsidRDefault="00C175E4" w:rsidP="00C175E4">
      <w:pPr>
        <w:rPr>
          <w:color w:val="000000"/>
          <w:szCs w:val="22"/>
          <w:lang w:val="sr-Latn-ME"/>
        </w:rPr>
      </w:pPr>
      <w:r w:rsidRPr="00D768EF">
        <w:rPr>
          <w:color w:val="000000"/>
          <w:szCs w:val="22"/>
          <w:lang w:val="sr-Latn-ME"/>
        </w:rPr>
        <w:t xml:space="preserve">U prvoj kliničkoj studiji (IMPACT), efikasnost i </w:t>
      </w:r>
      <w:r w:rsidR="00282A1E" w:rsidRPr="00D768EF">
        <w:rPr>
          <w:color w:val="000000"/>
          <w:szCs w:val="22"/>
          <w:lang w:val="sr-Latn-ME"/>
        </w:rPr>
        <w:t>bezbjedn</w:t>
      </w:r>
      <w:r w:rsidR="00220982" w:rsidRPr="00D768EF">
        <w:rPr>
          <w:color w:val="000000"/>
          <w:szCs w:val="22"/>
          <w:lang w:val="sr-Latn-ME"/>
        </w:rPr>
        <w:t>o</w:t>
      </w:r>
      <w:r w:rsidRPr="00D768EF">
        <w:rPr>
          <w:color w:val="000000"/>
          <w:szCs w:val="22"/>
          <w:lang w:val="sr-Latn-ME"/>
        </w:rPr>
        <w:t>st infliksimaba ispitivani su na 104 pacijenata sa aktivnim poliartikularnim psorijaznim artritisom. U toku dvostruko sl</w:t>
      </w:r>
      <w:r w:rsidR="00C3214E" w:rsidRPr="00D768EF">
        <w:rPr>
          <w:color w:val="000000"/>
          <w:szCs w:val="22"/>
          <w:lang w:val="sr-Latn-ME"/>
        </w:rPr>
        <w:t>ij</w:t>
      </w:r>
      <w:r w:rsidRPr="00D768EF">
        <w:rPr>
          <w:color w:val="000000"/>
          <w:szCs w:val="22"/>
          <w:lang w:val="sr-Latn-ME"/>
        </w:rPr>
        <w:t xml:space="preserve">epe faze koja je trajala 16 </w:t>
      </w:r>
      <w:r w:rsidR="00D57936" w:rsidRPr="00D768EF">
        <w:rPr>
          <w:color w:val="000000"/>
          <w:szCs w:val="22"/>
          <w:lang w:val="sr-Latn-ME"/>
        </w:rPr>
        <w:t>nedjelj</w:t>
      </w:r>
      <w:r w:rsidRPr="00D768EF">
        <w:rPr>
          <w:color w:val="000000"/>
          <w:szCs w:val="22"/>
          <w:lang w:val="sr-Latn-ME"/>
        </w:rPr>
        <w:t xml:space="preserve">a, pacijenti su primali ili 5 mg/kg infliksimaba ili placebo u 0, 2, 6., i 14. </w:t>
      </w:r>
      <w:r w:rsidR="00D57936" w:rsidRPr="00D768EF">
        <w:rPr>
          <w:color w:val="000000"/>
          <w:szCs w:val="22"/>
          <w:lang w:val="sr-Latn-ME"/>
        </w:rPr>
        <w:t>nedjelj</w:t>
      </w:r>
      <w:r w:rsidRPr="00D768EF">
        <w:rPr>
          <w:color w:val="000000"/>
          <w:szCs w:val="22"/>
          <w:lang w:val="sr-Latn-ME"/>
        </w:rPr>
        <w:t xml:space="preserve">i (52 pacijenta u svakoj grupi). Počevši od 16. </w:t>
      </w:r>
      <w:r w:rsidR="00D57936" w:rsidRPr="00D768EF">
        <w:rPr>
          <w:color w:val="000000"/>
          <w:szCs w:val="22"/>
          <w:lang w:val="sr-Latn-ME"/>
        </w:rPr>
        <w:t>nedjelj</w:t>
      </w:r>
      <w:r w:rsidRPr="00D768EF">
        <w:rPr>
          <w:color w:val="000000"/>
          <w:szCs w:val="22"/>
          <w:lang w:val="sr-Latn-ME"/>
        </w:rPr>
        <w:t xml:space="preserve">e, pacijenti </w:t>
      </w:r>
      <w:r w:rsidR="009165E6" w:rsidRPr="00D768EF">
        <w:rPr>
          <w:color w:val="000000"/>
          <w:szCs w:val="22"/>
          <w:lang w:val="sr-Latn-ME"/>
        </w:rPr>
        <w:t xml:space="preserve">koji su primali placebo </w:t>
      </w:r>
      <w:r w:rsidRPr="00D768EF">
        <w:rPr>
          <w:color w:val="000000"/>
          <w:szCs w:val="22"/>
          <w:lang w:val="sr-Latn-ME"/>
        </w:rPr>
        <w:t>su prebačeni na infliksimab i svi pacijenti su posl</w:t>
      </w:r>
      <w:r w:rsidR="00CF5D59">
        <w:rPr>
          <w:color w:val="000000"/>
          <w:szCs w:val="22"/>
          <w:lang w:val="sr-Latn-ME"/>
        </w:rPr>
        <w:t>ij</w:t>
      </w:r>
      <w:r w:rsidRPr="00D768EF">
        <w:rPr>
          <w:color w:val="000000"/>
          <w:szCs w:val="22"/>
          <w:lang w:val="sr-Latn-ME"/>
        </w:rPr>
        <w:t xml:space="preserve">e toga primali 5 mg/kg infliksimaba svakih 8 </w:t>
      </w:r>
      <w:r w:rsidR="00D57936" w:rsidRPr="00D768EF">
        <w:rPr>
          <w:color w:val="000000"/>
          <w:szCs w:val="22"/>
          <w:lang w:val="sr-Latn-ME"/>
        </w:rPr>
        <w:t>nedjelj</w:t>
      </w:r>
      <w:r w:rsidRPr="00D768EF">
        <w:rPr>
          <w:color w:val="000000"/>
          <w:szCs w:val="22"/>
          <w:lang w:val="sr-Latn-ME"/>
        </w:rPr>
        <w:t xml:space="preserve">a do 46. </w:t>
      </w:r>
      <w:r w:rsidR="00D57936" w:rsidRPr="00D768EF">
        <w:rPr>
          <w:color w:val="000000"/>
          <w:szCs w:val="22"/>
          <w:lang w:val="sr-Latn-ME"/>
        </w:rPr>
        <w:t>nedjelj</w:t>
      </w:r>
      <w:r w:rsidRPr="00D768EF">
        <w:rPr>
          <w:color w:val="000000"/>
          <w:szCs w:val="22"/>
          <w:lang w:val="sr-Latn-ME"/>
        </w:rPr>
        <w:t>e. Posl</w:t>
      </w:r>
      <w:r w:rsidR="00CF5D59">
        <w:rPr>
          <w:color w:val="000000"/>
          <w:szCs w:val="22"/>
          <w:lang w:val="sr-Latn-ME"/>
        </w:rPr>
        <w:t>ij</w:t>
      </w:r>
      <w:r w:rsidRPr="00D768EF">
        <w:rPr>
          <w:color w:val="000000"/>
          <w:szCs w:val="22"/>
          <w:lang w:val="sr-Latn-ME"/>
        </w:rPr>
        <w:t xml:space="preserve">e prve godine ove studije, 78 </w:t>
      </w:r>
      <w:r w:rsidRPr="00D768EF">
        <w:rPr>
          <w:bCs/>
          <w:color w:val="000000"/>
          <w:szCs w:val="22"/>
          <w:lang w:val="sr-Latn-ME"/>
        </w:rPr>
        <w:t xml:space="preserve">pacijenata nastavilo je da učestvuje u produžetku studije otvorenog tipa do </w:t>
      </w:r>
      <w:r w:rsidRPr="00D768EF">
        <w:rPr>
          <w:color w:val="000000"/>
          <w:szCs w:val="22"/>
          <w:lang w:val="sr-Latn-ME"/>
        </w:rPr>
        <w:t xml:space="preserve">98. </w:t>
      </w:r>
      <w:r w:rsidR="00D57936" w:rsidRPr="00D768EF">
        <w:rPr>
          <w:bCs/>
          <w:color w:val="000000"/>
          <w:szCs w:val="22"/>
          <w:lang w:val="sr-Latn-ME"/>
        </w:rPr>
        <w:t>nedjelj</w:t>
      </w:r>
      <w:r w:rsidRPr="00D768EF">
        <w:rPr>
          <w:bCs/>
          <w:color w:val="000000"/>
          <w:szCs w:val="22"/>
          <w:lang w:val="sr-Latn-ME"/>
        </w:rPr>
        <w:t>e</w:t>
      </w:r>
      <w:r w:rsidRPr="00D768EF">
        <w:rPr>
          <w:color w:val="000000"/>
          <w:szCs w:val="22"/>
          <w:lang w:val="sr-Latn-ME"/>
        </w:rPr>
        <w:t>.</w:t>
      </w:r>
    </w:p>
    <w:p w14:paraId="391A2D39" w14:textId="77777777" w:rsidR="00C175E4" w:rsidRPr="00D768EF" w:rsidRDefault="00C175E4" w:rsidP="00C175E4">
      <w:pPr>
        <w:rPr>
          <w:color w:val="000000"/>
          <w:szCs w:val="22"/>
          <w:lang w:val="sr-Latn-ME"/>
        </w:rPr>
      </w:pPr>
    </w:p>
    <w:p w14:paraId="3C45C87C" w14:textId="080394FE" w:rsidR="00C175E4" w:rsidRPr="00D768EF" w:rsidRDefault="00C175E4" w:rsidP="00C175E4">
      <w:pPr>
        <w:rPr>
          <w:color w:val="000000"/>
          <w:szCs w:val="22"/>
          <w:lang w:val="sr-Latn-ME"/>
        </w:rPr>
      </w:pPr>
      <w:r w:rsidRPr="00D768EF">
        <w:rPr>
          <w:color w:val="000000"/>
          <w:szCs w:val="22"/>
          <w:lang w:val="sr-Latn-ME"/>
        </w:rPr>
        <w:t xml:space="preserve">U drugoj kliničkoj studiji (IMPACT 2), efikasnost i </w:t>
      </w:r>
      <w:r w:rsidR="00282A1E" w:rsidRPr="00D768EF">
        <w:rPr>
          <w:color w:val="000000"/>
          <w:szCs w:val="22"/>
          <w:lang w:val="sr-Latn-ME"/>
        </w:rPr>
        <w:t>bezbjedn</w:t>
      </w:r>
      <w:r w:rsidR="00220982" w:rsidRPr="00D768EF">
        <w:rPr>
          <w:color w:val="000000"/>
          <w:szCs w:val="22"/>
          <w:lang w:val="sr-Latn-ME"/>
        </w:rPr>
        <w:t>o</w:t>
      </w:r>
      <w:r w:rsidRPr="00D768EF">
        <w:rPr>
          <w:color w:val="000000"/>
          <w:szCs w:val="22"/>
          <w:lang w:val="sr-Latn-ME"/>
        </w:rPr>
        <w:t xml:space="preserve">st infliksimaba ispitivani su na 200 pacijenata sa aktivnim psorijaznim artritisom (≥ 5 otečenih zglobova i ≥ 5 bolnih zglobova). Četrdeset šest </w:t>
      </w:r>
      <w:r w:rsidR="009165E6" w:rsidRPr="00D768EF">
        <w:rPr>
          <w:color w:val="000000"/>
          <w:szCs w:val="22"/>
          <w:lang w:val="sr-Latn-ME"/>
        </w:rPr>
        <w:t>procenata</w:t>
      </w:r>
      <w:r w:rsidRPr="00D768EF">
        <w:rPr>
          <w:color w:val="000000"/>
          <w:szCs w:val="22"/>
          <w:lang w:val="sr-Latn-ME"/>
        </w:rPr>
        <w:t xml:space="preserve"> pacijenata nastavilo je da prima </w:t>
      </w:r>
      <w:r w:rsidR="009165E6" w:rsidRPr="00D768EF">
        <w:rPr>
          <w:color w:val="000000"/>
          <w:szCs w:val="22"/>
          <w:lang w:val="sr-Latn-ME"/>
        </w:rPr>
        <w:t xml:space="preserve">stabilne </w:t>
      </w:r>
      <w:r w:rsidRPr="00D768EF">
        <w:rPr>
          <w:color w:val="000000"/>
          <w:szCs w:val="22"/>
          <w:lang w:val="sr-Latn-ME"/>
        </w:rPr>
        <w:t>doze metotreksata (≤ 25 mg/</w:t>
      </w:r>
      <w:r w:rsidR="00D57936" w:rsidRPr="00D768EF">
        <w:rPr>
          <w:color w:val="000000"/>
          <w:szCs w:val="22"/>
          <w:lang w:val="sr-Latn-ME"/>
        </w:rPr>
        <w:t>nedjelj</w:t>
      </w:r>
      <w:r w:rsidRPr="00D768EF">
        <w:rPr>
          <w:color w:val="000000"/>
          <w:szCs w:val="22"/>
          <w:lang w:val="sr-Latn-ME"/>
        </w:rPr>
        <w:t>a). U toku dvostruko</w:t>
      </w:r>
      <w:r w:rsidR="009165E6" w:rsidRPr="00D768EF">
        <w:rPr>
          <w:color w:val="000000"/>
          <w:szCs w:val="22"/>
          <w:lang w:val="sr-Latn-ME"/>
        </w:rPr>
        <w:t xml:space="preserve"> </w:t>
      </w:r>
      <w:r w:rsidRPr="00D768EF">
        <w:rPr>
          <w:color w:val="000000"/>
          <w:szCs w:val="22"/>
          <w:lang w:val="sr-Latn-ME"/>
        </w:rPr>
        <w:t>sl</w:t>
      </w:r>
      <w:r w:rsidR="00C3214E" w:rsidRPr="00D768EF">
        <w:rPr>
          <w:color w:val="000000"/>
          <w:szCs w:val="22"/>
          <w:lang w:val="sr-Latn-ME"/>
        </w:rPr>
        <w:t>ij</w:t>
      </w:r>
      <w:r w:rsidRPr="00D768EF">
        <w:rPr>
          <w:color w:val="000000"/>
          <w:szCs w:val="22"/>
          <w:lang w:val="sr-Latn-ME"/>
        </w:rPr>
        <w:t xml:space="preserve">epe faze koja je trajala 24 </w:t>
      </w:r>
      <w:r w:rsidR="00D57936" w:rsidRPr="00D768EF">
        <w:rPr>
          <w:color w:val="000000"/>
          <w:szCs w:val="22"/>
          <w:lang w:val="sr-Latn-ME"/>
        </w:rPr>
        <w:t>nedjelj</w:t>
      </w:r>
      <w:r w:rsidRPr="00D768EF">
        <w:rPr>
          <w:color w:val="000000"/>
          <w:szCs w:val="22"/>
          <w:lang w:val="sr-Latn-ME"/>
        </w:rPr>
        <w:t xml:space="preserve">e, pacijenti su primali ili 5 mg/kg infliksimaba ili placebo u 0, 2, 6, 14. i 22. </w:t>
      </w:r>
      <w:r w:rsidR="00D57936" w:rsidRPr="00D768EF">
        <w:rPr>
          <w:color w:val="000000"/>
          <w:szCs w:val="22"/>
          <w:lang w:val="sr-Latn-ME"/>
        </w:rPr>
        <w:t>nedjelj</w:t>
      </w:r>
      <w:r w:rsidRPr="00D768EF">
        <w:rPr>
          <w:color w:val="000000"/>
          <w:szCs w:val="22"/>
          <w:lang w:val="sr-Latn-ME"/>
        </w:rPr>
        <w:t xml:space="preserve">i (100 pacijenata u svakoj grupi). U 16. </w:t>
      </w:r>
      <w:r w:rsidR="00D57936" w:rsidRPr="00D768EF">
        <w:rPr>
          <w:color w:val="000000"/>
          <w:szCs w:val="22"/>
          <w:lang w:val="sr-Latn-ME"/>
        </w:rPr>
        <w:t>nedjelj</w:t>
      </w:r>
      <w:r w:rsidRPr="00D768EF">
        <w:rPr>
          <w:color w:val="000000"/>
          <w:szCs w:val="22"/>
          <w:lang w:val="sr-Latn-ME"/>
        </w:rPr>
        <w:t>i, 47 pacijen</w:t>
      </w:r>
      <w:r w:rsidR="009165E6" w:rsidRPr="00D768EF">
        <w:rPr>
          <w:color w:val="000000"/>
          <w:szCs w:val="22"/>
          <w:lang w:val="sr-Latn-ME"/>
        </w:rPr>
        <w:t>ata koji su primali placebo</w:t>
      </w:r>
      <w:r w:rsidRPr="00D768EF">
        <w:rPr>
          <w:color w:val="000000"/>
          <w:szCs w:val="22"/>
          <w:lang w:val="sr-Latn-ME"/>
        </w:rPr>
        <w:t xml:space="preserve"> sa &lt; 10% poboljšanja u odnosu na počet</w:t>
      </w:r>
      <w:r w:rsidR="009165E6" w:rsidRPr="00D768EF">
        <w:rPr>
          <w:color w:val="000000"/>
          <w:szCs w:val="22"/>
          <w:lang w:val="sr-Latn-ME"/>
        </w:rPr>
        <w:t>an</w:t>
      </w:r>
      <w:r w:rsidRPr="00D768EF">
        <w:rPr>
          <w:color w:val="000000"/>
          <w:szCs w:val="22"/>
          <w:lang w:val="sr-Latn-ME"/>
        </w:rPr>
        <w:t xml:space="preserve"> </w:t>
      </w:r>
      <w:r w:rsidR="009165E6" w:rsidRPr="00D768EF">
        <w:rPr>
          <w:color w:val="000000"/>
          <w:szCs w:val="22"/>
          <w:lang w:val="sr-Latn-ME"/>
        </w:rPr>
        <w:t xml:space="preserve">broj </w:t>
      </w:r>
      <w:r w:rsidRPr="00D768EF">
        <w:rPr>
          <w:color w:val="000000"/>
          <w:szCs w:val="22"/>
          <w:lang w:val="sr-Latn-ME"/>
        </w:rPr>
        <w:t>otečeni</w:t>
      </w:r>
      <w:r w:rsidR="009165E6" w:rsidRPr="00D768EF">
        <w:rPr>
          <w:color w:val="000000"/>
          <w:szCs w:val="22"/>
          <w:lang w:val="sr-Latn-ME"/>
        </w:rPr>
        <w:t>h</w:t>
      </w:r>
      <w:r w:rsidRPr="00D768EF">
        <w:rPr>
          <w:color w:val="000000"/>
          <w:szCs w:val="22"/>
          <w:lang w:val="sr-Latn-ME"/>
        </w:rPr>
        <w:t xml:space="preserve"> i </w:t>
      </w:r>
      <w:r w:rsidR="009165E6" w:rsidRPr="00D768EF">
        <w:rPr>
          <w:color w:val="000000"/>
          <w:szCs w:val="22"/>
          <w:lang w:val="sr-Latn-ME"/>
        </w:rPr>
        <w:t xml:space="preserve">osetljivih </w:t>
      </w:r>
      <w:r w:rsidRPr="00D768EF">
        <w:rPr>
          <w:color w:val="000000"/>
          <w:szCs w:val="22"/>
          <w:lang w:val="sr-Latn-ME"/>
        </w:rPr>
        <w:t xml:space="preserve">zglobova prebačeni su na </w:t>
      </w:r>
      <w:r w:rsidR="009165E6" w:rsidRPr="00D768EF">
        <w:rPr>
          <w:color w:val="000000"/>
          <w:szCs w:val="22"/>
          <w:lang w:val="sr-Latn-ME"/>
        </w:rPr>
        <w:t xml:space="preserve">uvodnu </w:t>
      </w:r>
      <w:r w:rsidRPr="00D768EF">
        <w:rPr>
          <w:color w:val="000000"/>
          <w:szCs w:val="22"/>
          <w:lang w:val="sr-Latn-ME"/>
        </w:rPr>
        <w:t xml:space="preserve">terapiju infliksimabom (rani prelazak). U 24. </w:t>
      </w:r>
      <w:r w:rsidR="00D57936" w:rsidRPr="00D768EF">
        <w:rPr>
          <w:color w:val="000000"/>
          <w:szCs w:val="22"/>
          <w:lang w:val="sr-Latn-ME"/>
        </w:rPr>
        <w:t>nedjelj</w:t>
      </w:r>
      <w:r w:rsidRPr="00D768EF">
        <w:rPr>
          <w:color w:val="000000"/>
          <w:szCs w:val="22"/>
          <w:lang w:val="sr-Latn-ME"/>
        </w:rPr>
        <w:t xml:space="preserve">i, svi pacijenti </w:t>
      </w:r>
      <w:r w:rsidR="009165E6" w:rsidRPr="00D768EF">
        <w:rPr>
          <w:color w:val="000000"/>
          <w:szCs w:val="22"/>
          <w:lang w:val="sr-Latn-ME"/>
        </w:rPr>
        <w:t xml:space="preserve">koji su primali placebo </w:t>
      </w:r>
      <w:r w:rsidRPr="00D768EF">
        <w:rPr>
          <w:color w:val="000000"/>
          <w:szCs w:val="22"/>
          <w:lang w:val="sr-Latn-ME"/>
        </w:rPr>
        <w:t xml:space="preserve">prebačeni su na </w:t>
      </w:r>
      <w:r w:rsidR="009165E6" w:rsidRPr="00D768EF">
        <w:rPr>
          <w:color w:val="000000"/>
          <w:szCs w:val="22"/>
          <w:lang w:val="sr-Latn-ME"/>
        </w:rPr>
        <w:t xml:space="preserve">uvodnu </w:t>
      </w:r>
      <w:r w:rsidRPr="00D768EF">
        <w:rPr>
          <w:color w:val="000000"/>
          <w:szCs w:val="22"/>
          <w:lang w:val="sr-Latn-ME"/>
        </w:rPr>
        <w:t>terapiju infliksimabom. Svi pacijenti su nastavili da primaju l</w:t>
      </w:r>
      <w:r w:rsidR="00C3214E" w:rsidRPr="00D768EF">
        <w:rPr>
          <w:color w:val="000000"/>
          <w:szCs w:val="22"/>
          <w:lang w:val="sr-Latn-ME"/>
        </w:rPr>
        <w:t>ij</w:t>
      </w:r>
      <w:r w:rsidRPr="00D768EF">
        <w:rPr>
          <w:color w:val="000000"/>
          <w:szCs w:val="22"/>
          <w:lang w:val="sr-Latn-ME"/>
        </w:rPr>
        <w:t xml:space="preserve">ek do 46. </w:t>
      </w:r>
      <w:r w:rsidR="00D57936" w:rsidRPr="00D768EF">
        <w:rPr>
          <w:color w:val="000000"/>
          <w:szCs w:val="22"/>
          <w:lang w:val="sr-Latn-ME"/>
        </w:rPr>
        <w:t>nedjelj</w:t>
      </w:r>
      <w:r w:rsidRPr="00D768EF">
        <w:rPr>
          <w:color w:val="000000"/>
          <w:szCs w:val="22"/>
          <w:lang w:val="sr-Latn-ME"/>
        </w:rPr>
        <w:t>e.</w:t>
      </w:r>
    </w:p>
    <w:p w14:paraId="5C2922A6" w14:textId="77777777" w:rsidR="00C175E4" w:rsidRPr="00D768EF" w:rsidRDefault="00C175E4" w:rsidP="00C175E4">
      <w:pPr>
        <w:rPr>
          <w:color w:val="000000"/>
          <w:szCs w:val="22"/>
          <w:lang w:val="sr-Latn-ME"/>
        </w:rPr>
      </w:pPr>
    </w:p>
    <w:p w14:paraId="31231FD5" w14:textId="24AFE826" w:rsidR="00C175E4" w:rsidRPr="00D768EF" w:rsidRDefault="00C175E4" w:rsidP="00C175E4">
      <w:pPr>
        <w:rPr>
          <w:color w:val="000000"/>
          <w:szCs w:val="22"/>
          <w:lang w:val="sr-Latn-ME"/>
        </w:rPr>
      </w:pPr>
      <w:r w:rsidRPr="00D768EF">
        <w:rPr>
          <w:color w:val="000000"/>
          <w:szCs w:val="22"/>
          <w:lang w:val="sr-Latn-ME"/>
        </w:rPr>
        <w:t>Ključni rezultati efikasnosti u studijama IMPACT i IMPACT 2 prikazani su u Tabeli 9</w:t>
      </w:r>
      <w:r w:rsidR="009165E6" w:rsidRPr="00D768EF">
        <w:rPr>
          <w:color w:val="000000"/>
          <w:szCs w:val="22"/>
          <w:lang w:val="sr-Latn-ME"/>
        </w:rPr>
        <w:t xml:space="preserve"> u nastavku</w:t>
      </w:r>
      <w:r w:rsidRPr="00D768EF">
        <w:rPr>
          <w:color w:val="000000"/>
          <w:szCs w:val="22"/>
          <w:lang w:val="sr-Latn-ME"/>
        </w:rPr>
        <w:t>:</w:t>
      </w:r>
    </w:p>
    <w:p w14:paraId="11B572AA" w14:textId="77777777" w:rsidR="00DF4274" w:rsidRDefault="00DF4274" w:rsidP="00DA6A33">
      <w:pPr>
        <w:rPr>
          <w:b/>
          <w:color w:val="000000"/>
          <w:szCs w:val="22"/>
          <w:lang w:val="sr-Latn-ME"/>
        </w:rPr>
      </w:pPr>
    </w:p>
    <w:p w14:paraId="43C235DE" w14:textId="43A7A6C3" w:rsidR="00C175E4" w:rsidRPr="00D768EF" w:rsidRDefault="00C175E4" w:rsidP="00C175E4">
      <w:pPr>
        <w:jc w:val="center"/>
        <w:rPr>
          <w:b/>
          <w:color w:val="000000"/>
          <w:szCs w:val="22"/>
          <w:lang w:val="sr-Latn-ME"/>
        </w:rPr>
      </w:pPr>
      <w:r w:rsidRPr="00D768EF">
        <w:rPr>
          <w:b/>
          <w:color w:val="000000"/>
          <w:szCs w:val="22"/>
          <w:lang w:val="sr-Latn-ME"/>
        </w:rPr>
        <w:t>Tabela 9</w:t>
      </w:r>
    </w:p>
    <w:p w14:paraId="0C9967F5" w14:textId="5EDAF05A" w:rsidR="00C175E4" w:rsidRPr="00D768EF" w:rsidRDefault="00C175E4" w:rsidP="00C175E4">
      <w:pPr>
        <w:jc w:val="left"/>
        <w:rPr>
          <w:b/>
          <w:color w:val="000000"/>
          <w:szCs w:val="22"/>
          <w:lang w:val="sr-Latn-ME"/>
        </w:rPr>
      </w:pPr>
      <w:r w:rsidRPr="00D768EF">
        <w:rPr>
          <w:b/>
          <w:color w:val="000000"/>
          <w:szCs w:val="22"/>
          <w:lang w:val="sr-Latn-ME"/>
        </w:rPr>
        <w:t>Dejstvo na ACR i PASI u studijama IMPACT i IMPACT 2</w:t>
      </w:r>
    </w:p>
    <w:tbl>
      <w:tblPr>
        <w:tblW w:w="498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032"/>
        <w:gridCol w:w="1047"/>
        <w:gridCol w:w="1234"/>
        <w:gridCol w:w="1279"/>
        <w:gridCol w:w="1010"/>
        <w:gridCol w:w="1231"/>
        <w:gridCol w:w="1189"/>
      </w:tblGrid>
      <w:tr w:rsidR="00C175E4" w:rsidRPr="00D768EF" w14:paraId="721B5F2F" w14:textId="77777777" w:rsidTr="009165E6">
        <w:trPr>
          <w:cantSplit/>
        </w:trPr>
        <w:tc>
          <w:tcPr>
            <w:tcW w:w="1126" w:type="pct"/>
          </w:tcPr>
          <w:p w14:paraId="7435E177" w14:textId="77777777" w:rsidR="00C175E4" w:rsidRPr="00D768EF" w:rsidRDefault="00C175E4" w:rsidP="00622285">
            <w:pPr>
              <w:jc w:val="left"/>
              <w:rPr>
                <w:szCs w:val="22"/>
                <w:lang w:val="sr-Latn-ME"/>
              </w:rPr>
            </w:pPr>
          </w:p>
        </w:tc>
        <w:tc>
          <w:tcPr>
            <w:tcW w:w="1973" w:type="pct"/>
            <w:gridSpan w:val="3"/>
            <w:vAlign w:val="center"/>
          </w:tcPr>
          <w:p w14:paraId="52178CAA" w14:textId="77777777" w:rsidR="00C175E4" w:rsidRPr="00D768EF" w:rsidRDefault="00C175E4" w:rsidP="00622285">
            <w:pPr>
              <w:jc w:val="left"/>
              <w:rPr>
                <w:color w:val="000000"/>
                <w:szCs w:val="22"/>
                <w:lang w:val="sr-Latn-ME"/>
              </w:rPr>
            </w:pPr>
            <w:r w:rsidRPr="00D768EF">
              <w:rPr>
                <w:color w:val="000000"/>
                <w:szCs w:val="22"/>
                <w:lang w:val="sr-Latn-ME"/>
              </w:rPr>
              <w:t>IMPACT</w:t>
            </w:r>
          </w:p>
        </w:tc>
        <w:tc>
          <w:tcPr>
            <w:tcW w:w="1900" w:type="pct"/>
            <w:gridSpan w:val="3"/>
            <w:vAlign w:val="center"/>
          </w:tcPr>
          <w:p w14:paraId="6C7C281A" w14:textId="77777777" w:rsidR="00C175E4" w:rsidRPr="00D768EF" w:rsidRDefault="00C175E4" w:rsidP="00622285">
            <w:pPr>
              <w:jc w:val="left"/>
              <w:rPr>
                <w:color w:val="000000"/>
                <w:szCs w:val="22"/>
                <w:lang w:val="sr-Latn-ME"/>
              </w:rPr>
            </w:pPr>
            <w:r w:rsidRPr="00D768EF">
              <w:rPr>
                <w:color w:val="000000"/>
                <w:szCs w:val="22"/>
                <w:lang w:val="sr-Latn-ME"/>
              </w:rPr>
              <w:t>IMPACT 2*</w:t>
            </w:r>
          </w:p>
        </w:tc>
      </w:tr>
      <w:tr w:rsidR="00C175E4" w:rsidRPr="00D768EF" w14:paraId="71E20818" w14:textId="77777777" w:rsidTr="009165E6">
        <w:trPr>
          <w:cantSplit/>
        </w:trPr>
        <w:tc>
          <w:tcPr>
            <w:tcW w:w="1126" w:type="pct"/>
            <w:vAlign w:val="center"/>
          </w:tcPr>
          <w:p w14:paraId="1F1F8417" w14:textId="77777777" w:rsidR="00C175E4" w:rsidRPr="00D768EF" w:rsidRDefault="00C175E4" w:rsidP="00622285">
            <w:pPr>
              <w:jc w:val="left"/>
              <w:rPr>
                <w:szCs w:val="22"/>
                <w:lang w:val="sr-Latn-ME"/>
              </w:rPr>
            </w:pPr>
          </w:p>
        </w:tc>
        <w:tc>
          <w:tcPr>
            <w:tcW w:w="580" w:type="pct"/>
            <w:vAlign w:val="center"/>
          </w:tcPr>
          <w:p w14:paraId="171B1D22" w14:textId="77777777" w:rsidR="00C175E4" w:rsidRPr="00D768EF" w:rsidRDefault="00C175E4" w:rsidP="00622285">
            <w:pPr>
              <w:jc w:val="left"/>
              <w:rPr>
                <w:color w:val="000000"/>
                <w:szCs w:val="22"/>
                <w:lang w:val="sr-Latn-ME"/>
              </w:rPr>
            </w:pPr>
          </w:p>
          <w:p w14:paraId="06394C5D" w14:textId="1043862A" w:rsidR="00C175E4" w:rsidRPr="00D768EF" w:rsidRDefault="00C175E4" w:rsidP="00622285">
            <w:pPr>
              <w:jc w:val="left"/>
              <w:rPr>
                <w:color w:val="000000"/>
                <w:szCs w:val="22"/>
                <w:lang w:val="sr-Latn-ME"/>
              </w:rPr>
            </w:pPr>
            <w:r w:rsidRPr="00D768EF">
              <w:rPr>
                <w:color w:val="000000"/>
                <w:szCs w:val="22"/>
                <w:lang w:val="sr-Latn-ME"/>
              </w:rPr>
              <w:t xml:space="preserve">Placebo (16. </w:t>
            </w:r>
            <w:r w:rsidR="00D57936" w:rsidRPr="00D768EF">
              <w:rPr>
                <w:color w:val="000000"/>
                <w:szCs w:val="22"/>
                <w:lang w:val="sr-Latn-ME"/>
              </w:rPr>
              <w:t>nedjelj</w:t>
            </w:r>
            <w:r w:rsidRPr="00D768EF">
              <w:rPr>
                <w:color w:val="000000"/>
                <w:szCs w:val="22"/>
                <w:lang w:val="sr-Latn-ME"/>
              </w:rPr>
              <w:t>a)</w:t>
            </w:r>
          </w:p>
          <w:p w14:paraId="5F33494D" w14:textId="77777777" w:rsidR="00C175E4" w:rsidRPr="00D768EF" w:rsidRDefault="00C175E4" w:rsidP="00622285">
            <w:pPr>
              <w:jc w:val="left"/>
              <w:rPr>
                <w:color w:val="000000"/>
                <w:szCs w:val="22"/>
                <w:vertAlign w:val="superscript"/>
                <w:lang w:val="sr-Latn-ME"/>
              </w:rPr>
            </w:pPr>
          </w:p>
        </w:tc>
        <w:tc>
          <w:tcPr>
            <w:tcW w:w="684" w:type="pct"/>
            <w:vAlign w:val="center"/>
          </w:tcPr>
          <w:p w14:paraId="4D8FEDAE" w14:textId="097EA817" w:rsidR="00C175E4" w:rsidRPr="00D768EF" w:rsidRDefault="00C175E4" w:rsidP="00622285">
            <w:pPr>
              <w:jc w:val="left"/>
              <w:rPr>
                <w:color w:val="000000"/>
                <w:szCs w:val="22"/>
                <w:lang w:val="sr-Latn-ME"/>
              </w:rPr>
            </w:pPr>
            <w:r w:rsidRPr="00D768EF">
              <w:rPr>
                <w:color w:val="000000"/>
                <w:szCs w:val="22"/>
                <w:lang w:val="sr-Latn-ME"/>
              </w:rPr>
              <w:t xml:space="preserve">Infliksimab (16. </w:t>
            </w:r>
            <w:r w:rsidR="00D57936" w:rsidRPr="00D768EF">
              <w:rPr>
                <w:color w:val="000000"/>
                <w:szCs w:val="22"/>
                <w:lang w:val="sr-Latn-ME"/>
              </w:rPr>
              <w:t>nedjelj</w:t>
            </w:r>
            <w:r w:rsidRPr="00D768EF">
              <w:rPr>
                <w:color w:val="000000"/>
                <w:szCs w:val="22"/>
                <w:lang w:val="sr-Latn-ME"/>
              </w:rPr>
              <w:t>a)</w:t>
            </w:r>
          </w:p>
        </w:tc>
        <w:tc>
          <w:tcPr>
            <w:tcW w:w="709" w:type="pct"/>
            <w:vAlign w:val="center"/>
          </w:tcPr>
          <w:p w14:paraId="259E1CD5" w14:textId="77777777" w:rsidR="00C175E4" w:rsidRPr="00D768EF" w:rsidRDefault="00C175E4" w:rsidP="00622285">
            <w:pPr>
              <w:jc w:val="left"/>
              <w:rPr>
                <w:color w:val="000000"/>
                <w:szCs w:val="22"/>
                <w:lang w:val="sr-Latn-ME"/>
              </w:rPr>
            </w:pPr>
            <w:r w:rsidRPr="00D768EF">
              <w:rPr>
                <w:color w:val="000000"/>
                <w:szCs w:val="22"/>
                <w:lang w:val="sr-Latn-ME"/>
              </w:rPr>
              <w:t>Infliksimab</w:t>
            </w:r>
          </w:p>
          <w:p w14:paraId="3DC4CB14" w14:textId="5B0341FC" w:rsidR="00C175E4" w:rsidRPr="00D768EF" w:rsidRDefault="00C175E4" w:rsidP="00622285">
            <w:pPr>
              <w:jc w:val="left"/>
              <w:rPr>
                <w:color w:val="000000"/>
                <w:szCs w:val="22"/>
                <w:lang w:val="sr-Latn-ME"/>
              </w:rPr>
            </w:pPr>
            <w:r w:rsidRPr="00D768EF">
              <w:rPr>
                <w:color w:val="000000"/>
                <w:szCs w:val="22"/>
                <w:lang w:val="sr-Latn-ME"/>
              </w:rPr>
              <w:t xml:space="preserve">(98. </w:t>
            </w:r>
            <w:r w:rsidR="00D57936" w:rsidRPr="00D768EF">
              <w:rPr>
                <w:color w:val="000000"/>
                <w:szCs w:val="22"/>
                <w:lang w:val="sr-Latn-ME"/>
              </w:rPr>
              <w:t>nedjelj</w:t>
            </w:r>
            <w:r w:rsidRPr="00D768EF">
              <w:rPr>
                <w:color w:val="000000"/>
                <w:szCs w:val="22"/>
                <w:lang w:val="sr-Latn-ME"/>
              </w:rPr>
              <w:t>a)</w:t>
            </w:r>
          </w:p>
        </w:tc>
        <w:tc>
          <w:tcPr>
            <w:tcW w:w="560" w:type="pct"/>
            <w:vAlign w:val="center"/>
          </w:tcPr>
          <w:p w14:paraId="41AFA4D8" w14:textId="77777777" w:rsidR="00C175E4" w:rsidRPr="00D768EF" w:rsidRDefault="00C175E4" w:rsidP="00622285">
            <w:pPr>
              <w:jc w:val="left"/>
              <w:rPr>
                <w:color w:val="000000"/>
                <w:szCs w:val="22"/>
                <w:lang w:val="sr-Latn-ME"/>
              </w:rPr>
            </w:pPr>
            <w:r w:rsidRPr="00D768EF">
              <w:rPr>
                <w:color w:val="000000"/>
                <w:szCs w:val="22"/>
                <w:lang w:val="sr-Latn-ME"/>
              </w:rPr>
              <w:t>Placebo</w:t>
            </w:r>
          </w:p>
          <w:p w14:paraId="0A53BF80" w14:textId="27075344" w:rsidR="00C175E4" w:rsidRPr="00D768EF" w:rsidRDefault="00C175E4" w:rsidP="00622285">
            <w:pPr>
              <w:jc w:val="left"/>
              <w:rPr>
                <w:color w:val="000000"/>
                <w:szCs w:val="22"/>
                <w:lang w:val="sr-Latn-ME"/>
              </w:rPr>
            </w:pPr>
            <w:r w:rsidRPr="00D768EF">
              <w:rPr>
                <w:color w:val="000000"/>
                <w:szCs w:val="22"/>
                <w:lang w:val="sr-Latn-ME"/>
              </w:rPr>
              <w:t xml:space="preserve">(24. </w:t>
            </w:r>
            <w:r w:rsidR="00D57936" w:rsidRPr="00D768EF">
              <w:rPr>
                <w:color w:val="000000"/>
                <w:szCs w:val="22"/>
                <w:lang w:val="sr-Latn-ME"/>
              </w:rPr>
              <w:t>nedjelj</w:t>
            </w:r>
            <w:r w:rsidRPr="00D768EF">
              <w:rPr>
                <w:color w:val="000000"/>
                <w:szCs w:val="22"/>
                <w:lang w:val="sr-Latn-ME"/>
              </w:rPr>
              <w:t>a)</w:t>
            </w:r>
          </w:p>
        </w:tc>
        <w:tc>
          <w:tcPr>
            <w:tcW w:w="682" w:type="pct"/>
            <w:vAlign w:val="center"/>
          </w:tcPr>
          <w:p w14:paraId="49E63A7C" w14:textId="5F120EB3" w:rsidR="00C175E4" w:rsidRPr="00D768EF" w:rsidRDefault="00C175E4" w:rsidP="00622285">
            <w:pPr>
              <w:jc w:val="left"/>
              <w:rPr>
                <w:color w:val="000000"/>
                <w:szCs w:val="22"/>
                <w:lang w:val="sr-Latn-ME"/>
              </w:rPr>
            </w:pPr>
            <w:r w:rsidRPr="00D768EF">
              <w:rPr>
                <w:color w:val="000000"/>
                <w:szCs w:val="22"/>
                <w:lang w:val="sr-Latn-ME"/>
              </w:rPr>
              <w:t xml:space="preserve">Infliksimab (24. </w:t>
            </w:r>
            <w:r w:rsidR="00D57936" w:rsidRPr="00D768EF">
              <w:rPr>
                <w:color w:val="000000"/>
                <w:szCs w:val="22"/>
                <w:lang w:val="sr-Latn-ME"/>
              </w:rPr>
              <w:t>nedjelj</w:t>
            </w:r>
            <w:r w:rsidRPr="00D768EF">
              <w:rPr>
                <w:color w:val="000000"/>
                <w:szCs w:val="22"/>
                <w:lang w:val="sr-Latn-ME"/>
              </w:rPr>
              <w:t>a)</w:t>
            </w:r>
          </w:p>
        </w:tc>
        <w:tc>
          <w:tcPr>
            <w:tcW w:w="658" w:type="pct"/>
            <w:vAlign w:val="center"/>
          </w:tcPr>
          <w:p w14:paraId="205E8E9A" w14:textId="77777777" w:rsidR="00C175E4" w:rsidRPr="00D768EF" w:rsidRDefault="00C175E4" w:rsidP="00622285">
            <w:pPr>
              <w:jc w:val="left"/>
              <w:rPr>
                <w:color w:val="000000"/>
                <w:szCs w:val="22"/>
                <w:lang w:val="sr-Latn-ME"/>
              </w:rPr>
            </w:pPr>
            <w:r w:rsidRPr="00D768EF">
              <w:rPr>
                <w:color w:val="000000"/>
                <w:szCs w:val="22"/>
                <w:lang w:val="sr-Latn-ME"/>
              </w:rPr>
              <w:t>Infliksimab</w:t>
            </w:r>
          </w:p>
          <w:p w14:paraId="66915E78" w14:textId="52CACF4E" w:rsidR="00C175E4" w:rsidRPr="00D768EF" w:rsidRDefault="00C175E4" w:rsidP="00622285">
            <w:pPr>
              <w:jc w:val="left"/>
              <w:rPr>
                <w:color w:val="000000"/>
                <w:szCs w:val="22"/>
                <w:lang w:val="sr-Latn-ME"/>
              </w:rPr>
            </w:pPr>
            <w:r w:rsidRPr="00D768EF">
              <w:rPr>
                <w:color w:val="000000"/>
                <w:szCs w:val="22"/>
                <w:lang w:val="sr-Latn-ME"/>
              </w:rPr>
              <w:t xml:space="preserve">(54. </w:t>
            </w:r>
            <w:r w:rsidR="00D57936" w:rsidRPr="00D768EF">
              <w:rPr>
                <w:color w:val="000000"/>
                <w:szCs w:val="22"/>
                <w:lang w:val="sr-Latn-ME"/>
              </w:rPr>
              <w:t>nedjelj</w:t>
            </w:r>
            <w:r w:rsidRPr="00D768EF">
              <w:rPr>
                <w:color w:val="000000"/>
                <w:szCs w:val="22"/>
                <w:lang w:val="sr-Latn-ME"/>
              </w:rPr>
              <w:t>a)</w:t>
            </w:r>
          </w:p>
        </w:tc>
      </w:tr>
      <w:tr w:rsidR="00C175E4" w:rsidRPr="00D768EF" w14:paraId="244F0139" w14:textId="77777777" w:rsidTr="009165E6">
        <w:trPr>
          <w:cantSplit/>
        </w:trPr>
        <w:tc>
          <w:tcPr>
            <w:tcW w:w="1126" w:type="pct"/>
            <w:vAlign w:val="center"/>
          </w:tcPr>
          <w:p w14:paraId="075D6D25" w14:textId="497FBADA" w:rsidR="00C175E4" w:rsidRPr="00D768EF" w:rsidRDefault="00C175E4" w:rsidP="00622285">
            <w:pPr>
              <w:jc w:val="left"/>
              <w:rPr>
                <w:color w:val="000000"/>
                <w:szCs w:val="22"/>
                <w:lang w:val="sr-Latn-ME"/>
              </w:rPr>
            </w:pPr>
            <w:r w:rsidRPr="00D768EF">
              <w:rPr>
                <w:color w:val="000000"/>
                <w:szCs w:val="22"/>
                <w:lang w:val="sr-Latn-ME"/>
              </w:rPr>
              <w:lastRenderedPageBreak/>
              <w:t>Randomizovani pacijenti</w:t>
            </w:r>
          </w:p>
        </w:tc>
        <w:tc>
          <w:tcPr>
            <w:tcW w:w="580" w:type="pct"/>
            <w:vAlign w:val="center"/>
          </w:tcPr>
          <w:p w14:paraId="2630D1A0" w14:textId="77777777" w:rsidR="00C175E4" w:rsidRPr="00D768EF" w:rsidRDefault="00C175E4" w:rsidP="00622285">
            <w:pPr>
              <w:jc w:val="left"/>
              <w:rPr>
                <w:color w:val="000000"/>
                <w:szCs w:val="22"/>
                <w:lang w:val="sr-Latn-ME"/>
              </w:rPr>
            </w:pPr>
            <w:r w:rsidRPr="00D768EF">
              <w:rPr>
                <w:color w:val="000000"/>
                <w:szCs w:val="22"/>
                <w:lang w:val="sr-Latn-ME"/>
              </w:rPr>
              <w:t>52</w:t>
            </w:r>
          </w:p>
        </w:tc>
        <w:tc>
          <w:tcPr>
            <w:tcW w:w="684" w:type="pct"/>
            <w:vAlign w:val="center"/>
          </w:tcPr>
          <w:p w14:paraId="39E6AEE8" w14:textId="77777777" w:rsidR="00C175E4" w:rsidRPr="00D768EF" w:rsidRDefault="00C175E4" w:rsidP="00622285">
            <w:pPr>
              <w:jc w:val="left"/>
              <w:rPr>
                <w:color w:val="000000"/>
                <w:szCs w:val="22"/>
                <w:lang w:val="sr-Latn-ME"/>
              </w:rPr>
            </w:pPr>
            <w:r w:rsidRPr="00D768EF">
              <w:rPr>
                <w:color w:val="000000"/>
                <w:szCs w:val="22"/>
                <w:lang w:val="sr-Latn-ME"/>
              </w:rPr>
              <w:t>52</w:t>
            </w:r>
          </w:p>
        </w:tc>
        <w:tc>
          <w:tcPr>
            <w:tcW w:w="709" w:type="pct"/>
            <w:vAlign w:val="center"/>
          </w:tcPr>
          <w:p w14:paraId="61D0D491" w14:textId="77777777" w:rsidR="00C175E4" w:rsidRPr="00D768EF" w:rsidRDefault="00C175E4" w:rsidP="00622285">
            <w:pPr>
              <w:jc w:val="left"/>
              <w:rPr>
                <w:color w:val="000000"/>
                <w:szCs w:val="22"/>
                <w:vertAlign w:val="superscript"/>
                <w:lang w:val="sr-Latn-ME"/>
              </w:rPr>
            </w:pPr>
            <w:r w:rsidRPr="00D768EF">
              <w:rPr>
                <w:color w:val="000000"/>
                <w:szCs w:val="22"/>
                <w:lang w:val="sr-Latn-ME"/>
              </w:rPr>
              <w:t>N/A</w:t>
            </w:r>
            <w:r w:rsidRPr="00D768EF">
              <w:rPr>
                <w:color w:val="000000"/>
                <w:szCs w:val="22"/>
                <w:vertAlign w:val="superscript"/>
                <w:lang w:val="sr-Latn-ME"/>
              </w:rPr>
              <w:t>a</w:t>
            </w:r>
          </w:p>
        </w:tc>
        <w:tc>
          <w:tcPr>
            <w:tcW w:w="560" w:type="pct"/>
            <w:vAlign w:val="center"/>
          </w:tcPr>
          <w:p w14:paraId="2377BA29" w14:textId="77777777" w:rsidR="00C175E4" w:rsidRPr="00D768EF" w:rsidRDefault="00C175E4" w:rsidP="00622285">
            <w:pPr>
              <w:jc w:val="left"/>
              <w:rPr>
                <w:color w:val="000000"/>
                <w:szCs w:val="22"/>
                <w:lang w:val="sr-Latn-ME"/>
              </w:rPr>
            </w:pPr>
            <w:r w:rsidRPr="00D768EF">
              <w:rPr>
                <w:color w:val="000000"/>
                <w:szCs w:val="22"/>
                <w:lang w:val="sr-Latn-ME"/>
              </w:rPr>
              <w:t>100</w:t>
            </w:r>
          </w:p>
        </w:tc>
        <w:tc>
          <w:tcPr>
            <w:tcW w:w="682" w:type="pct"/>
            <w:vAlign w:val="center"/>
          </w:tcPr>
          <w:p w14:paraId="432D778F" w14:textId="77777777" w:rsidR="00C175E4" w:rsidRPr="00D768EF" w:rsidRDefault="00C175E4" w:rsidP="00622285">
            <w:pPr>
              <w:jc w:val="left"/>
              <w:rPr>
                <w:color w:val="000000"/>
                <w:szCs w:val="22"/>
                <w:lang w:val="sr-Latn-ME"/>
              </w:rPr>
            </w:pPr>
            <w:r w:rsidRPr="00D768EF">
              <w:rPr>
                <w:color w:val="000000"/>
                <w:szCs w:val="22"/>
                <w:lang w:val="sr-Latn-ME"/>
              </w:rPr>
              <w:t>100</w:t>
            </w:r>
          </w:p>
        </w:tc>
        <w:tc>
          <w:tcPr>
            <w:tcW w:w="658" w:type="pct"/>
            <w:vAlign w:val="center"/>
          </w:tcPr>
          <w:p w14:paraId="4250796C" w14:textId="77777777" w:rsidR="00C175E4" w:rsidRPr="00D768EF" w:rsidRDefault="00C175E4" w:rsidP="00622285">
            <w:pPr>
              <w:jc w:val="left"/>
              <w:rPr>
                <w:color w:val="000000"/>
                <w:szCs w:val="22"/>
                <w:lang w:val="sr-Latn-ME"/>
              </w:rPr>
            </w:pPr>
            <w:r w:rsidRPr="00D768EF">
              <w:rPr>
                <w:color w:val="000000"/>
                <w:szCs w:val="22"/>
                <w:lang w:val="sr-Latn-ME"/>
              </w:rPr>
              <w:t>100</w:t>
            </w:r>
          </w:p>
        </w:tc>
      </w:tr>
      <w:tr w:rsidR="00C175E4" w:rsidRPr="00D768EF" w14:paraId="31414B8A" w14:textId="77777777" w:rsidTr="009165E6">
        <w:trPr>
          <w:cantSplit/>
        </w:trPr>
        <w:tc>
          <w:tcPr>
            <w:tcW w:w="1126" w:type="pct"/>
            <w:vAlign w:val="center"/>
          </w:tcPr>
          <w:p w14:paraId="65AC37EB" w14:textId="77777777" w:rsidR="00C175E4" w:rsidRPr="00D768EF" w:rsidRDefault="00C175E4" w:rsidP="00622285">
            <w:pPr>
              <w:jc w:val="left"/>
              <w:rPr>
                <w:color w:val="000000"/>
                <w:szCs w:val="22"/>
                <w:lang w:val="sr-Latn-ME"/>
              </w:rPr>
            </w:pPr>
            <w:r w:rsidRPr="00D768EF">
              <w:rPr>
                <w:color w:val="000000"/>
                <w:szCs w:val="22"/>
                <w:lang w:val="sr-Latn-ME"/>
              </w:rPr>
              <w:t>ACR reakcija</w:t>
            </w:r>
          </w:p>
          <w:p w14:paraId="1AEA23E4" w14:textId="77777777" w:rsidR="00C175E4" w:rsidRPr="00D768EF" w:rsidRDefault="00C175E4" w:rsidP="00622285">
            <w:pPr>
              <w:jc w:val="left"/>
              <w:rPr>
                <w:color w:val="000000"/>
                <w:szCs w:val="22"/>
                <w:lang w:val="sr-Latn-ME"/>
              </w:rPr>
            </w:pPr>
            <w:r w:rsidRPr="00D768EF">
              <w:rPr>
                <w:color w:val="000000"/>
                <w:szCs w:val="22"/>
                <w:lang w:val="sr-Latn-ME"/>
              </w:rPr>
              <w:t>(% pacijenata)</w:t>
            </w:r>
          </w:p>
        </w:tc>
        <w:tc>
          <w:tcPr>
            <w:tcW w:w="580" w:type="pct"/>
            <w:vAlign w:val="center"/>
          </w:tcPr>
          <w:p w14:paraId="236F9C6D" w14:textId="77777777" w:rsidR="00C175E4" w:rsidRPr="00D768EF" w:rsidRDefault="00C175E4" w:rsidP="00622285">
            <w:pPr>
              <w:jc w:val="left"/>
              <w:rPr>
                <w:color w:val="000000"/>
                <w:szCs w:val="22"/>
                <w:lang w:val="sr-Latn-ME"/>
              </w:rPr>
            </w:pPr>
          </w:p>
        </w:tc>
        <w:tc>
          <w:tcPr>
            <w:tcW w:w="684" w:type="pct"/>
            <w:vAlign w:val="center"/>
          </w:tcPr>
          <w:p w14:paraId="0BD0B6BA" w14:textId="77777777" w:rsidR="00C175E4" w:rsidRPr="00D768EF" w:rsidRDefault="00C175E4" w:rsidP="00622285">
            <w:pPr>
              <w:jc w:val="left"/>
              <w:rPr>
                <w:color w:val="000000"/>
                <w:szCs w:val="22"/>
                <w:lang w:val="sr-Latn-ME"/>
              </w:rPr>
            </w:pPr>
          </w:p>
        </w:tc>
        <w:tc>
          <w:tcPr>
            <w:tcW w:w="709" w:type="pct"/>
            <w:vAlign w:val="center"/>
          </w:tcPr>
          <w:p w14:paraId="60FEA8BA" w14:textId="77777777" w:rsidR="00C175E4" w:rsidRPr="00D768EF" w:rsidRDefault="00C175E4" w:rsidP="00622285">
            <w:pPr>
              <w:jc w:val="left"/>
              <w:rPr>
                <w:color w:val="000000"/>
                <w:szCs w:val="22"/>
                <w:lang w:val="sr-Latn-ME"/>
              </w:rPr>
            </w:pPr>
          </w:p>
        </w:tc>
        <w:tc>
          <w:tcPr>
            <w:tcW w:w="560" w:type="pct"/>
            <w:vAlign w:val="center"/>
          </w:tcPr>
          <w:p w14:paraId="249BD963" w14:textId="77777777" w:rsidR="00C175E4" w:rsidRPr="00D768EF" w:rsidRDefault="00C175E4" w:rsidP="00622285">
            <w:pPr>
              <w:jc w:val="left"/>
              <w:rPr>
                <w:color w:val="000000"/>
                <w:szCs w:val="22"/>
                <w:lang w:val="sr-Latn-ME"/>
              </w:rPr>
            </w:pPr>
          </w:p>
        </w:tc>
        <w:tc>
          <w:tcPr>
            <w:tcW w:w="682" w:type="pct"/>
            <w:vAlign w:val="center"/>
          </w:tcPr>
          <w:p w14:paraId="09EF8170" w14:textId="77777777" w:rsidR="00C175E4" w:rsidRPr="00D768EF" w:rsidRDefault="00C175E4" w:rsidP="00622285">
            <w:pPr>
              <w:jc w:val="left"/>
              <w:rPr>
                <w:color w:val="000000"/>
                <w:szCs w:val="22"/>
                <w:lang w:val="sr-Latn-ME"/>
              </w:rPr>
            </w:pPr>
          </w:p>
        </w:tc>
        <w:tc>
          <w:tcPr>
            <w:tcW w:w="658" w:type="pct"/>
            <w:vAlign w:val="center"/>
          </w:tcPr>
          <w:p w14:paraId="44454A54" w14:textId="77777777" w:rsidR="00C175E4" w:rsidRPr="00D768EF" w:rsidRDefault="00C175E4" w:rsidP="00622285">
            <w:pPr>
              <w:jc w:val="left"/>
              <w:rPr>
                <w:color w:val="000000"/>
                <w:szCs w:val="22"/>
                <w:lang w:val="sr-Latn-ME"/>
              </w:rPr>
            </w:pPr>
          </w:p>
        </w:tc>
      </w:tr>
      <w:tr w:rsidR="00C175E4" w:rsidRPr="00D768EF" w14:paraId="0339A80E" w14:textId="77777777" w:rsidTr="009165E6">
        <w:trPr>
          <w:cantSplit/>
        </w:trPr>
        <w:tc>
          <w:tcPr>
            <w:tcW w:w="1126" w:type="pct"/>
            <w:vAlign w:val="center"/>
          </w:tcPr>
          <w:p w14:paraId="30FBAA80" w14:textId="77777777" w:rsidR="00C175E4" w:rsidRPr="00D768EF" w:rsidRDefault="00C175E4" w:rsidP="00622285">
            <w:pPr>
              <w:ind w:left="180"/>
              <w:jc w:val="left"/>
              <w:rPr>
                <w:color w:val="000000"/>
                <w:szCs w:val="22"/>
                <w:lang w:val="sr-Latn-ME"/>
              </w:rPr>
            </w:pPr>
            <w:r w:rsidRPr="00D768EF">
              <w:rPr>
                <w:color w:val="000000"/>
                <w:szCs w:val="22"/>
                <w:lang w:val="sr-Latn-ME"/>
              </w:rPr>
              <w:t>N</w:t>
            </w:r>
          </w:p>
        </w:tc>
        <w:tc>
          <w:tcPr>
            <w:tcW w:w="580" w:type="pct"/>
            <w:vAlign w:val="center"/>
          </w:tcPr>
          <w:p w14:paraId="41C8C146" w14:textId="77777777" w:rsidR="00C175E4" w:rsidRPr="00D768EF" w:rsidRDefault="00C175E4" w:rsidP="00622285">
            <w:pPr>
              <w:jc w:val="left"/>
              <w:rPr>
                <w:color w:val="000000"/>
                <w:szCs w:val="22"/>
                <w:lang w:val="sr-Latn-ME"/>
              </w:rPr>
            </w:pPr>
            <w:r w:rsidRPr="00D768EF">
              <w:rPr>
                <w:color w:val="000000"/>
                <w:szCs w:val="22"/>
                <w:lang w:val="sr-Latn-ME"/>
              </w:rPr>
              <w:t>52</w:t>
            </w:r>
          </w:p>
        </w:tc>
        <w:tc>
          <w:tcPr>
            <w:tcW w:w="684" w:type="pct"/>
            <w:vAlign w:val="center"/>
          </w:tcPr>
          <w:p w14:paraId="4DAB6CED" w14:textId="77777777" w:rsidR="00C175E4" w:rsidRPr="00D768EF" w:rsidRDefault="00C175E4" w:rsidP="00622285">
            <w:pPr>
              <w:jc w:val="left"/>
              <w:rPr>
                <w:color w:val="000000"/>
                <w:szCs w:val="22"/>
                <w:lang w:val="sr-Latn-ME"/>
              </w:rPr>
            </w:pPr>
            <w:r w:rsidRPr="00D768EF">
              <w:rPr>
                <w:color w:val="000000"/>
                <w:szCs w:val="22"/>
                <w:lang w:val="sr-Latn-ME"/>
              </w:rPr>
              <w:t>52</w:t>
            </w:r>
          </w:p>
        </w:tc>
        <w:tc>
          <w:tcPr>
            <w:tcW w:w="709" w:type="pct"/>
            <w:vAlign w:val="center"/>
          </w:tcPr>
          <w:p w14:paraId="447E996A" w14:textId="77777777" w:rsidR="00C175E4" w:rsidRPr="00D768EF" w:rsidRDefault="00C175E4" w:rsidP="00622285">
            <w:pPr>
              <w:jc w:val="left"/>
              <w:rPr>
                <w:color w:val="000000"/>
                <w:szCs w:val="22"/>
                <w:lang w:val="sr-Latn-ME"/>
              </w:rPr>
            </w:pPr>
            <w:r w:rsidRPr="00D768EF">
              <w:rPr>
                <w:color w:val="000000"/>
                <w:szCs w:val="22"/>
                <w:lang w:val="sr-Latn-ME"/>
              </w:rPr>
              <w:t>78</w:t>
            </w:r>
          </w:p>
        </w:tc>
        <w:tc>
          <w:tcPr>
            <w:tcW w:w="560" w:type="pct"/>
            <w:vAlign w:val="center"/>
          </w:tcPr>
          <w:p w14:paraId="47D03EC4" w14:textId="77777777" w:rsidR="00C175E4" w:rsidRPr="00D768EF" w:rsidRDefault="00C175E4" w:rsidP="00622285">
            <w:pPr>
              <w:jc w:val="left"/>
              <w:rPr>
                <w:color w:val="000000"/>
                <w:szCs w:val="22"/>
                <w:lang w:val="sr-Latn-ME"/>
              </w:rPr>
            </w:pPr>
            <w:r w:rsidRPr="00D768EF">
              <w:rPr>
                <w:color w:val="000000"/>
                <w:szCs w:val="22"/>
                <w:lang w:val="sr-Latn-ME"/>
              </w:rPr>
              <w:t>100</w:t>
            </w:r>
          </w:p>
        </w:tc>
        <w:tc>
          <w:tcPr>
            <w:tcW w:w="682" w:type="pct"/>
            <w:vAlign w:val="center"/>
          </w:tcPr>
          <w:p w14:paraId="1B04B514" w14:textId="77777777" w:rsidR="00C175E4" w:rsidRPr="00D768EF" w:rsidRDefault="00C175E4" w:rsidP="00622285">
            <w:pPr>
              <w:jc w:val="left"/>
              <w:rPr>
                <w:color w:val="000000"/>
                <w:szCs w:val="22"/>
                <w:lang w:val="sr-Latn-ME"/>
              </w:rPr>
            </w:pPr>
            <w:r w:rsidRPr="00D768EF">
              <w:rPr>
                <w:color w:val="000000"/>
                <w:szCs w:val="22"/>
                <w:lang w:val="sr-Latn-ME"/>
              </w:rPr>
              <w:t>100</w:t>
            </w:r>
          </w:p>
        </w:tc>
        <w:tc>
          <w:tcPr>
            <w:tcW w:w="658" w:type="pct"/>
            <w:vAlign w:val="center"/>
          </w:tcPr>
          <w:p w14:paraId="1EA38BDF" w14:textId="77777777" w:rsidR="00C175E4" w:rsidRPr="00D768EF" w:rsidRDefault="00C175E4" w:rsidP="00622285">
            <w:pPr>
              <w:jc w:val="left"/>
              <w:rPr>
                <w:color w:val="000000"/>
                <w:szCs w:val="22"/>
                <w:lang w:val="sr-Latn-ME"/>
              </w:rPr>
            </w:pPr>
            <w:r w:rsidRPr="00D768EF">
              <w:rPr>
                <w:color w:val="000000"/>
                <w:szCs w:val="22"/>
                <w:lang w:val="sr-Latn-ME"/>
              </w:rPr>
              <w:t>100</w:t>
            </w:r>
          </w:p>
        </w:tc>
      </w:tr>
      <w:tr w:rsidR="00C175E4" w:rsidRPr="00D768EF" w14:paraId="336A15CF" w14:textId="77777777" w:rsidTr="009165E6">
        <w:trPr>
          <w:cantSplit/>
        </w:trPr>
        <w:tc>
          <w:tcPr>
            <w:tcW w:w="1126" w:type="pct"/>
            <w:vAlign w:val="center"/>
          </w:tcPr>
          <w:p w14:paraId="55F0E3D9" w14:textId="0C778CC6" w:rsidR="00C175E4" w:rsidRPr="00D768EF" w:rsidRDefault="00C175E4" w:rsidP="00622285">
            <w:pPr>
              <w:jc w:val="left"/>
              <w:rPr>
                <w:snapToGrid w:val="0"/>
                <w:color w:val="000000"/>
                <w:szCs w:val="22"/>
                <w:lang w:val="sr-Latn-ME"/>
              </w:rPr>
            </w:pPr>
            <w:r w:rsidRPr="00D768EF">
              <w:rPr>
                <w:snapToGrid w:val="0"/>
                <w:color w:val="000000"/>
                <w:szCs w:val="22"/>
                <w:lang w:val="sr-Latn-ME"/>
              </w:rPr>
              <w:t xml:space="preserve">   ACR 20 </w:t>
            </w:r>
            <w:r w:rsidR="009165E6" w:rsidRPr="00D768EF">
              <w:rPr>
                <w:color w:val="000000"/>
                <w:szCs w:val="22"/>
                <w:lang w:val="sr-Latn-ME"/>
              </w:rPr>
              <w:t>odgovor</w:t>
            </w:r>
            <w:r w:rsidRPr="00D768EF">
              <w:rPr>
                <w:snapToGrid w:val="0"/>
                <w:color w:val="000000"/>
                <w:szCs w:val="22"/>
                <w:lang w:val="sr-Latn-ME"/>
              </w:rPr>
              <w:t>*</w:t>
            </w:r>
          </w:p>
        </w:tc>
        <w:tc>
          <w:tcPr>
            <w:tcW w:w="580" w:type="pct"/>
            <w:vAlign w:val="center"/>
          </w:tcPr>
          <w:p w14:paraId="1561CF9B" w14:textId="04D67B99" w:rsidR="00C175E4" w:rsidRPr="00D768EF" w:rsidRDefault="00C175E4" w:rsidP="00622285">
            <w:pPr>
              <w:jc w:val="left"/>
              <w:rPr>
                <w:color w:val="000000"/>
                <w:szCs w:val="22"/>
                <w:lang w:val="sr-Latn-ME"/>
              </w:rPr>
            </w:pPr>
            <w:r w:rsidRPr="00D768EF">
              <w:rPr>
                <w:color w:val="000000"/>
                <w:szCs w:val="22"/>
                <w:lang w:val="sr-Latn-ME"/>
              </w:rPr>
              <w:t>5(10%)</w:t>
            </w:r>
          </w:p>
        </w:tc>
        <w:tc>
          <w:tcPr>
            <w:tcW w:w="684" w:type="pct"/>
            <w:vAlign w:val="center"/>
          </w:tcPr>
          <w:p w14:paraId="64663AA2" w14:textId="77777777" w:rsidR="00C175E4" w:rsidRPr="00D768EF" w:rsidRDefault="00C175E4" w:rsidP="00622285">
            <w:pPr>
              <w:jc w:val="left"/>
              <w:rPr>
                <w:color w:val="000000"/>
                <w:szCs w:val="22"/>
                <w:lang w:val="sr-Latn-ME"/>
              </w:rPr>
            </w:pPr>
            <w:r w:rsidRPr="00D768EF">
              <w:rPr>
                <w:color w:val="000000"/>
                <w:szCs w:val="22"/>
                <w:lang w:val="sr-Latn-ME"/>
              </w:rPr>
              <w:t>34 (65%)</w:t>
            </w:r>
          </w:p>
        </w:tc>
        <w:tc>
          <w:tcPr>
            <w:tcW w:w="709" w:type="pct"/>
            <w:vAlign w:val="center"/>
          </w:tcPr>
          <w:p w14:paraId="40E44413" w14:textId="77777777" w:rsidR="00C175E4" w:rsidRPr="00D768EF" w:rsidRDefault="00C175E4" w:rsidP="00622285">
            <w:pPr>
              <w:jc w:val="left"/>
              <w:rPr>
                <w:color w:val="000000"/>
                <w:szCs w:val="22"/>
                <w:lang w:val="sr-Latn-ME"/>
              </w:rPr>
            </w:pPr>
            <w:r w:rsidRPr="00D768EF">
              <w:rPr>
                <w:color w:val="000000"/>
                <w:szCs w:val="22"/>
                <w:lang w:val="sr-Latn-ME"/>
              </w:rPr>
              <w:t>48 (62%)</w:t>
            </w:r>
          </w:p>
        </w:tc>
        <w:tc>
          <w:tcPr>
            <w:tcW w:w="560" w:type="pct"/>
            <w:vAlign w:val="center"/>
          </w:tcPr>
          <w:p w14:paraId="101463F9" w14:textId="77777777" w:rsidR="00C175E4" w:rsidRPr="00D768EF" w:rsidRDefault="00C175E4" w:rsidP="00622285">
            <w:pPr>
              <w:jc w:val="left"/>
              <w:rPr>
                <w:color w:val="000000"/>
                <w:szCs w:val="22"/>
                <w:lang w:val="sr-Latn-ME"/>
              </w:rPr>
            </w:pPr>
            <w:r w:rsidRPr="00D768EF">
              <w:rPr>
                <w:color w:val="000000"/>
                <w:szCs w:val="22"/>
                <w:lang w:val="sr-Latn-ME"/>
              </w:rPr>
              <w:t>16 (16%)</w:t>
            </w:r>
          </w:p>
        </w:tc>
        <w:tc>
          <w:tcPr>
            <w:tcW w:w="682" w:type="pct"/>
            <w:vAlign w:val="center"/>
          </w:tcPr>
          <w:p w14:paraId="794BFD7A" w14:textId="77777777" w:rsidR="00C175E4" w:rsidRPr="00D768EF" w:rsidRDefault="00C175E4" w:rsidP="00622285">
            <w:pPr>
              <w:jc w:val="left"/>
              <w:rPr>
                <w:color w:val="000000"/>
                <w:szCs w:val="22"/>
                <w:lang w:val="sr-Latn-ME"/>
              </w:rPr>
            </w:pPr>
            <w:r w:rsidRPr="00D768EF">
              <w:rPr>
                <w:color w:val="000000"/>
                <w:szCs w:val="22"/>
                <w:lang w:val="sr-Latn-ME"/>
              </w:rPr>
              <w:t>54 (54%)</w:t>
            </w:r>
          </w:p>
        </w:tc>
        <w:tc>
          <w:tcPr>
            <w:tcW w:w="658" w:type="pct"/>
            <w:vAlign w:val="center"/>
          </w:tcPr>
          <w:p w14:paraId="73483019" w14:textId="77777777" w:rsidR="00C175E4" w:rsidRPr="00D768EF" w:rsidRDefault="00C175E4" w:rsidP="00622285">
            <w:pPr>
              <w:jc w:val="left"/>
              <w:rPr>
                <w:color w:val="000000"/>
                <w:szCs w:val="22"/>
                <w:lang w:val="sr-Latn-ME"/>
              </w:rPr>
            </w:pPr>
            <w:r w:rsidRPr="00D768EF">
              <w:rPr>
                <w:color w:val="000000"/>
                <w:szCs w:val="22"/>
                <w:lang w:val="sr-Latn-ME"/>
              </w:rPr>
              <w:t>53 (53%)</w:t>
            </w:r>
          </w:p>
        </w:tc>
      </w:tr>
      <w:tr w:rsidR="00C175E4" w:rsidRPr="00D768EF" w14:paraId="0110DCC3" w14:textId="77777777" w:rsidTr="009165E6">
        <w:trPr>
          <w:cantSplit/>
        </w:trPr>
        <w:tc>
          <w:tcPr>
            <w:tcW w:w="1126" w:type="pct"/>
            <w:vAlign w:val="center"/>
          </w:tcPr>
          <w:p w14:paraId="07D3813E" w14:textId="616039C1" w:rsidR="00C175E4" w:rsidRPr="00D768EF" w:rsidRDefault="00C175E4" w:rsidP="00622285">
            <w:pPr>
              <w:jc w:val="left"/>
              <w:rPr>
                <w:snapToGrid w:val="0"/>
                <w:color w:val="000000"/>
                <w:szCs w:val="22"/>
                <w:lang w:val="sr-Latn-ME"/>
              </w:rPr>
            </w:pPr>
            <w:r w:rsidRPr="00D768EF">
              <w:rPr>
                <w:snapToGrid w:val="0"/>
                <w:color w:val="000000"/>
                <w:szCs w:val="22"/>
                <w:lang w:val="sr-Latn-ME"/>
              </w:rPr>
              <w:t xml:space="preserve">   ACR 50 </w:t>
            </w:r>
            <w:r w:rsidR="009165E6" w:rsidRPr="00D768EF">
              <w:rPr>
                <w:color w:val="000000"/>
                <w:szCs w:val="22"/>
                <w:lang w:val="sr-Latn-ME"/>
              </w:rPr>
              <w:t>odgovor</w:t>
            </w:r>
            <w:r w:rsidRPr="00D768EF">
              <w:rPr>
                <w:snapToGrid w:val="0"/>
                <w:color w:val="000000"/>
                <w:szCs w:val="22"/>
                <w:lang w:val="sr-Latn-ME"/>
              </w:rPr>
              <w:t>*</w:t>
            </w:r>
          </w:p>
        </w:tc>
        <w:tc>
          <w:tcPr>
            <w:tcW w:w="580" w:type="pct"/>
            <w:vAlign w:val="center"/>
          </w:tcPr>
          <w:p w14:paraId="5811CF3C" w14:textId="2D60C700" w:rsidR="00C175E4" w:rsidRPr="00D768EF" w:rsidRDefault="00C175E4" w:rsidP="00622285">
            <w:pPr>
              <w:jc w:val="left"/>
              <w:rPr>
                <w:color w:val="000000"/>
                <w:szCs w:val="22"/>
                <w:lang w:val="sr-Latn-ME"/>
              </w:rPr>
            </w:pPr>
            <w:r w:rsidRPr="00D768EF">
              <w:rPr>
                <w:color w:val="000000"/>
                <w:szCs w:val="22"/>
                <w:lang w:val="sr-Latn-ME"/>
              </w:rPr>
              <w:t>0(0%)</w:t>
            </w:r>
          </w:p>
        </w:tc>
        <w:tc>
          <w:tcPr>
            <w:tcW w:w="684" w:type="pct"/>
            <w:vAlign w:val="center"/>
          </w:tcPr>
          <w:p w14:paraId="3E4814FA" w14:textId="77777777" w:rsidR="00C175E4" w:rsidRPr="00D768EF" w:rsidRDefault="00C175E4" w:rsidP="00622285">
            <w:pPr>
              <w:jc w:val="left"/>
              <w:rPr>
                <w:color w:val="000000"/>
                <w:szCs w:val="22"/>
                <w:lang w:val="sr-Latn-ME"/>
              </w:rPr>
            </w:pPr>
            <w:r w:rsidRPr="00D768EF">
              <w:rPr>
                <w:color w:val="000000"/>
                <w:szCs w:val="22"/>
                <w:lang w:val="sr-Latn-ME"/>
              </w:rPr>
              <w:t>24 (46%)</w:t>
            </w:r>
          </w:p>
        </w:tc>
        <w:tc>
          <w:tcPr>
            <w:tcW w:w="709" w:type="pct"/>
            <w:vAlign w:val="center"/>
          </w:tcPr>
          <w:p w14:paraId="6E598F0A" w14:textId="77777777" w:rsidR="00C175E4" w:rsidRPr="00D768EF" w:rsidRDefault="00C175E4" w:rsidP="00622285">
            <w:pPr>
              <w:jc w:val="left"/>
              <w:rPr>
                <w:color w:val="000000"/>
                <w:szCs w:val="22"/>
                <w:lang w:val="sr-Latn-ME"/>
              </w:rPr>
            </w:pPr>
            <w:r w:rsidRPr="00D768EF">
              <w:rPr>
                <w:color w:val="000000"/>
                <w:szCs w:val="22"/>
                <w:lang w:val="sr-Latn-ME"/>
              </w:rPr>
              <w:t>35 (45%)</w:t>
            </w:r>
          </w:p>
        </w:tc>
        <w:tc>
          <w:tcPr>
            <w:tcW w:w="560" w:type="pct"/>
            <w:vAlign w:val="center"/>
          </w:tcPr>
          <w:p w14:paraId="7CD152C3" w14:textId="77777777" w:rsidR="00C175E4" w:rsidRPr="00D768EF" w:rsidRDefault="00C175E4" w:rsidP="00622285">
            <w:pPr>
              <w:jc w:val="left"/>
              <w:rPr>
                <w:color w:val="000000"/>
                <w:szCs w:val="22"/>
                <w:lang w:val="sr-Latn-ME"/>
              </w:rPr>
            </w:pPr>
            <w:r w:rsidRPr="00D768EF">
              <w:rPr>
                <w:color w:val="000000"/>
                <w:szCs w:val="22"/>
                <w:lang w:val="sr-Latn-ME"/>
              </w:rPr>
              <w:t>4 (4%)</w:t>
            </w:r>
          </w:p>
        </w:tc>
        <w:tc>
          <w:tcPr>
            <w:tcW w:w="682" w:type="pct"/>
            <w:vAlign w:val="center"/>
          </w:tcPr>
          <w:p w14:paraId="056104D8" w14:textId="77777777" w:rsidR="00C175E4" w:rsidRPr="00D768EF" w:rsidRDefault="00C175E4" w:rsidP="00622285">
            <w:pPr>
              <w:jc w:val="left"/>
              <w:rPr>
                <w:color w:val="000000"/>
                <w:szCs w:val="22"/>
                <w:lang w:val="sr-Latn-ME"/>
              </w:rPr>
            </w:pPr>
            <w:r w:rsidRPr="00D768EF">
              <w:rPr>
                <w:color w:val="000000"/>
                <w:szCs w:val="22"/>
                <w:lang w:val="sr-Latn-ME"/>
              </w:rPr>
              <w:t>41(41%)</w:t>
            </w:r>
          </w:p>
        </w:tc>
        <w:tc>
          <w:tcPr>
            <w:tcW w:w="658" w:type="pct"/>
            <w:vAlign w:val="center"/>
          </w:tcPr>
          <w:p w14:paraId="76038BA3" w14:textId="77777777" w:rsidR="00C175E4" w:rsidRPr="00D768EF" w:rsidRDefault="00C175E4" w:rsidP="00622285">
            <w:pPr>
              <w:jc w:val="left"/>
              <w:rPr>
                <w:color w:val="000000"/>
                <w:szCs w:val="22"/>
                <w:lang w:val="sr-Latn-ME"/>
              </w:rPr>
            </w:pPr>
            <w:r w:rsidRPr="00D768EF">
              <w:rPr>
                <w:color w:val="000000"/>
                <w:szCs w:val="22"/>
                <w:lang w:val="sr-Latn-ME"/>
              </w:rPr>
              <w:t>33 (33%)</w:t>
            </w:r>
          </w:p>
        </w:tc>
      </w:tr>
      <w:tr w:rsidR="00C175E4" w:rsidRPr="00D768EF" w14:paraId="4728B969" w14:textId="77777777" w:rsidTr="009165E6">
        <w:trPr>
          <w:cantSplit/>
        </w:trPr>
        <w:tc>
          <w:tcPr>
            <w:tcW w:w="1126" w:type="pct"/>
            <w:vAlign w:val="center"/>
          </w:tcPr>
          <w:p w14:paraId="7EF1D1B8" w14:textId="4394994C" w:rsidR="00C175E4" w:rsidRPr="00D768EF" w:rsidRDefault="00C175E4" w:rsidP="00622285">
            <w:pPr>
              <w:jc w:val="left"/>
              <w:rPr>
                <w:snapToGrid w:val="0"/>
                <w:color w:val="000000"/>
                <w:szCs w:val="22"/>
                <w:lang w:val="sr-Latn-ME"/>
              </w:rPr>
            </w:pPr>
            <w:r w:rsidRPr="00D768EF">
              <w:rPr>
                <w:snapToGrid w:val="0"/>
                <w:color w:val="000000"/>
                <w:szCs w:val="22"/>
                <w:lang w:val="sr-Latn-ME"/>
              </w:rPr>
              <w:t xml:space="preserve">   ACR 70 </w:t>
            </w:r>
            <w:r w:rsidR="009165E6" w:rsidRPr="00D768EF">
              <w:rPr>
                <w:color w:val="000000"/>
                <w:szCs w:val="22"/>
                <w:lang w:val="sr-Latn-ME"/>
              </w:rPr>
              <w:t>odgovor</w:t>
            </w:r>
            <w:r w:rsidRPr="00D768EF">
              <w:rPr>
                <w:snapToGrid w:val="0"/>
                <w:color w:val="000000"/>
                <w:szCs w:val="22"/>
                <w:lang w:val="sr-Latn-ME"/>
              </w:rPr>
              <w:t>*</w:t>
            </w:r>
          </w:p>
        </w:tc>
        <w:tc>
          <w:tcPr>
            <w:tcW w:w="580" w:type="pct"/>
            <w:vAlign w:val="center"/>
          </w:tcPr>
          <w:p w14:paraId="1E07787B" w14:textId="5FDECCDA" w:rsidR="00C175E4" w:rsidRPr="00D768EF" w:rsidRDefault="00C175E4" w:rsidP="00622285">
            <w:pPr>
              <w:jc w:val="left"/>
              <w:rPr>
                <w:color w:val="000000"/>
                <w:szCs w:val="22"/>
                <w:lang w:val="sr-Latn-ME"/>
              </w:rPr>
            </w:pPr>
            <w:r w:rsidRPr="00D768EF">
              <w:rPr>
                <w:color w:val="000000"/>
                <w:szCs w:val="22"/>
                <w:lang w:val="sr-Latn-ME"/>
              </w:rPr>
              <w:t>0(0%)</w:t>
            </w:r>
          </w:p>
        </w:tc>
        <w:tc>
          <w:tcPr>
            <w:tcW w:w="684" w:type="pct"/>
            <w:vAlign w:val="center"/>
          </w:tcPr>
          <w:p w14:paraId="1FA5D6A2" w14:textId="77777777" w:rsidR="00C175E4" w:rsidRPr="00D768EF" w:rsidRDefault="00C175E4" w:rsidP="00622285">
            <w:pPr>
              <w:jc w:val="left"/>
              <w:rPr>
                <w:color w:val="000000"/>
                <w:szCs w:val="22"/>
                <w:lang w:val="sr-Latn-ME"/>
              </w:rPr>
            </w:pPr>
            <w:r w:rsidRPr="00D768EF">
              <w:rPr>
                <w:color w:val="000000"/>
                <w:szCs w:val="22"/>
                <w:lang w:val="sr-Latn-ME"/>
              </w:rPr>
              <w:t>15 (29%)</w:t>
            </w:r>
          </w:p>
        </w:tc>
        <w:tc>
          <w:tcPr>
            <w:tcW w:w="709" w:type="pct"/>
            <w:vAlign w:val="center"/>
          </w:tcPr>
          <w:p w14:paraId="3827D76C" w14:textId="77777777" w:rsidR="00C175E4" w:rsidRPr="00D768EF" w:rsidRDefault="00C175E4" w:rsidP="00622285">
            <w:pPr>
              <w:jc w:val="left"/>
              <w:rPr>
                <w:color w:val="000000"/>
                <w:szCs w:val="22"/>
                <w:lang w:val="sr-Latn-ME"/>
              </w:rPr>
            </w:pPr>
            <w:r w:rsidRPr="00D768EF">
              <w:rPr>
                <w:color w:val="000000"/>
                <w:szCs w:val="22"/>
                <w:lang w:val="sr-Latn-ME"/>
              </w:rPr>
              <w:t>27 (35%)</w:t>
            </w:r>
          </w:p>
        </w:tc>
        <w:tc>
          <w:tcPr>
            <w:tcW w:w="560" w:type="pct"/>
            <w:vAlign w:val="center"/>
          </w:tcPr>
          <w:p w14:paraId="6B802A84" w14:textId="77777777" w:rsidR="00C175E4" w:rsidRPr="00D768EF" w:rsidRDefault="00C175E4" w:rsidP="00622285">
            <w:pPr>
              <w:jc w:val="left"/>
              <w:rPr>
                <w:color w:val="000000"/>
                <w:szCs w:val="22"/>
                <w:lang w:val="sr-Latn-ME"/>
              </w:rPr>
            </w:pPr>
            <w:r w:rsidRPr="00D768EF">
              <w:rPr>
                <w:color w:val="000000"/>
                <w:szCs w:val="22"/>
                <w:lang w:val="sr-Latn-ME"/>
              </w:rPr>
              <w:t>2 (2%)</w:t>
            </w:r>
          </w:p>
        </w:tc>
        <w:tc>
          <w:tcPr>
            <w:tcW w:w="682" w:type="pct"/>
            <w:vAlign w:val="center"/>
          </w:tcPr>
          <w:p w14:paraId="2EEBF374" w14:textId="77777777" w:rsidR="00C175E4" w:rsidRPr="00D768EF" w:rsidRDefault="00C175E4" w:rsidP="00622285">
            <w:pPr>
              <w:jc w:val="left"/>
              <w:rPr>
                <w:color w:val="000000"/>
                <w:szCs w:val="22"/>
                <w:lang w:val="sr-Latn-ME"/>
              </w:rPr>
            </w:pPr>
            <w:r w:rsidRPr="00D768EF">
              <w:rPr>
                <w:color w:val="000000"/>
                <w:szCs w:val="22"/>
                <w:lang w:val="sr-Latn-ME"/>
              </w:rPr>
              <w:t>27 (27%)</w:t>
            </w:r>
          </w:p>
        </w:tc>
        <w:tc>
          <w:tcPr>
            <w:tcW w:w="658" w:type="pct"/>
            <w:vAlign w:val="center"/>
          </w:tcPr>
          <w:p w14:paraId="2CE77964" w14:textId="77777777" w:rsidR="00C175E4" w:rsidRPr="00D768EF" w:rsidRDefault="00C175E4" w:rsidP="00622285">
            <w:pPr>
              <w:jc w:val="left"/>
              <w:rPr>
                <w:color w:val="000000"/>
                <w:szCs w:val="22"/>
                <w:lang w:val="sr-Latn-ME"/>
              </w:rPr>
            </w:pPr>
            <w:r w:rsidRPr="00D768EF">
              <w:rPr>
                <w:color w:val="000000"/>
                <w:szCs w:val="22"/>
                <w:lang w:val="sr-Latn-ME"/>
              </w:rPr>
              <w:t>20 (20%)</w:t>
            </w:r>
          </w:p>
        </w:tc>
      </w:tr>
      <w:tr w:rsidR="00C175E4" w:rsidRPr="00D768EF" w14:paraId="2C6AEE79" w14:textId="77777777" w:rsidTr="009165E6">
        <w:trPr>
          <w:cantSplit/>
        </w:trPr>
        <w:tc>
          <w:tcPr>
            <w:tcW w:w="1126" w:type="pct"/>
            <w:vAlign w:val="center"/>
          </w:tcPr>
          <w:p w14:paraId="005DC0F3" w14:textId="36C9DFF0" w:rsidR="00C175E4" w:rsidRPr="00D768EF" w:rsidRDefault="00C175E4" w:rsidP="00622285">
            <w:pPr>
              <w:jc w:val="left"/>
              <w:rPr>
                <w:color w:val="000000"/>
                <w:szCs w:val="22"/>
                <w:lang w:val="sr-Latn-ME"/>
              </w:rPr>
            </w:pPr>
            <w:r w:rsidRPr="00D768EF">
              <w:rPr>
                <w:color w:val="000000"/>
                <w:szCs w:val="22"/>
                <w:lang w:val="sr-Latn-ME"/>
              </w:rPr>
              <w:t xml:space="preserve">PASI </w:t>
            </w:r>
            <w:r w:rsidR="009165E6" w:rsidRPr="00D768EF">
              <w:rPr>
                <w:color w:val="000000"/>
                <w:szCs w:val="22"/>
                <w:lang w:val="sr-Latn-ME"/>
              </w:rPr>
              <w:t>odgovor</w:t>
            </w:r>
          </w:p>
          <w:p w14:paraId="27BFC88D" w14:textId="77777777" w:rsidR="00C175E4" w:rsidRPr="00D768EF" w:rsidRDefault="00C175E4" w:rsidP="00622285">
            <w:pPr>
              <w:jc w:val="left"/>
              <w:rPr>
                <w:color w:val="000000"/>
                <w:szCs w:val="22"/>
                <w:vertAlign w:val="superscript"/>
                <w:lang w:val="sr-Latn-ME"/>
              </w:rPr>
            </w:pPr>
            <w:r w:rsidRPr="00D768EF">
              <w:rPr>
                <w:color w:val="000000"/>
                <w:szCs w:val="22"/>
                <w:lang w:val="sr-Latn-ME"/>
              </w:rPr>
              <w:t>(% pacijenata)</w:t>
            </w:r>
            <w:r w:rsidRPr="00D768EF">
              <w:rPr>
                <w:color w:val="000000"/>
                <w:szCs w:val="22"/>
                <w:vertAlign w:val="superscript"/>
                <w:lang w:val="sr-Latn-ME"/>
              </w:rPr>
              <w:t>b</w:t>
            </w:r>
          </w:p>
        </w:tc>
        <w:tc>
          <w:tcPr>
            <w:tcW w:w="580" w:type="pct"/>
            <w:vAlign w:val="center"/>
          </w:tcPr>
          <w:p w14:paraId="037D8B64" w14:textId="77777777" w:rsidR="00C175E4" w:rsidRPr="00D768EF" w:rsidRDefault="00C175E4" w:rsidP="00622285">
            <w:pPr>
              <w:jc w:val="left"/>
              <w:rPr>
                <w:color w:val="000000"/>
                <w:szCs w:val="22"/>
                <w:lang w:val="sr-Latn-ME"/>
              </w:rPr>
            </w:pPr>
          </w:p>
        </w:tc>
        <w:tc>
          <w:tcPr>
            <w:tcW w:w="684" w:type="pct"/>
            <w:vAlign w:val="center"/>
          </w:tcPr>
          <w:p w14:paraId="025925BE" w14:textId="77777777" w:rsidR="00C175E4" w:rsidRPr="00D768EF" w:rsidRDefault="00C175E4" w:rsidP="00622285">
            <w:pPr>
              <w:jc w:val="left"/>
              <w:rPr>
                <w:color w:val="000000"/>
                <w:szCs w:val="22"/>
                <w:lang w:val="sr-Latn-ME"/>
              </w:rPr>
            </w:pPr>
          </w:p>
        </w:tc>
        <w:tc>
          <w:tcPr>
            <w:tcW w:w="709" w:type="pct"/>
            <w:vAlign w:val="center"/>
          </w:tcPr>
          <w:p w14:paraId="31099628" w14:textId="77777777" w:rsidR="00C175E4" w:rsidRPr="00D768EF" w:rsidRDefault="00C175E4" w:rsidP="00622285">
            <w:pPr>
              <w:jc w:val="left"/>
              <w:rPr>
                <w:color w:val="000000"/>
                <w:szCs w:val="22"/>
                <w:lang w:val="sr-Latn-ME"/>
              </w:rPr>
            </w:pPr>
          </w:p>
        </w:tc>
        <w:tc>
          <w:tcPr>
            <w:tcW w:w="560" w:type="pct"/>
            <w:vAlign w:val="center"/>
          </w:tcPr>
          <w:p w14:paraId="57D255D9" w14:textId="77777777" w:rsidR="00C175E4" w:rsidRPr="00D768EF" w:rsidRDefault="00C175E4" w:rsidP="00622285">
            <w:pPr>
              <w:jc w:val="left"/>
              <w:rPr>
                <w:color w:val="000000"/>
                <w:szCs w:val="22"/>
                <w:lang w:val="sr-Latn-ME"/>
              </w:rPr>
            </w:pPr>
          </w:p>
        </w:tc>
        <w:tc>
          <w:tcPr>
            <w:tcW w:w="682" w:type="pct"/>
            <w:vAlign w:val="center"/>
          </w:tcPr>
          <w:p w14:paraId="3B344418" w14:textId="77777777" w:rsidR="00C175E4" w:rsidRPr="00D768EF" w:rsidRDefault="00C175E4" w:rsidP="00622285">
            <w:pPr>
              <w:jc w:val="left"/>
              <w:rPr>
                <w:color w:val="000000"/>
                <w:szCs w:val="22"/>
                <w:lang w:val="sr-Latn-ME"/>
              </w:rPr>
            </w:pPr>
          </w:p>
        </w:tc>
        <w:tc>
          <w:tcPr>
            <w:tcW w:w="658" w:type="pct"/>
            <w:vAlign w:val="center"/>
          </w:tcPr>
          <w:p w14:paraId="5F251386" w14:textId="77777777" w:rsidR="00C175E4" w:rsidRPr="00D768EF" w:rsidRDefault="00C175E4" w:rsidP="00622285">
            <w:pPr>
              <w:jc w:val="left"/>
              <w:rPr>
                <w:color w:val="000000"/>
                <w:szCs w:val="22"/>
                <w:lang w:val="sr-Latn-ME"/>
              </w:rPr>
            </w:pPr>
          </w:p>
        </w:tc>
      </w:tr>
      <w:tr w:rsidR="00C175E4" w:rsidRPr="00D768EF" w14:paraId="0F18071E" w14:textId="77777777" w:rsidTr="009165E6">
        <w:trPr>
          <w:cantSplit/>
        </w:trPr>
        <w:tc>
          <w:tcPr>
            <w:tcW w:w="1126" w:type="pct"/>
            <w:vAlign w:val="center"/>
          </w:tcPr>
          <w:p w14:paraId="1D4B55ED" w14:textId="77777777" w:rsidR="00C175E4" w:rsidRPr="00D768EF" w:rsidRDefault="00C175E4" w:rsidP="00622285">
            <w:pPr>
              <w:ind w:left="180"/>
              <w:jc w:val="left"/>
              <w:rPr>
                <w:color w:val="000000"/>
                <w:szCs w:val="22"/>
                <w:lang w:val="sr-Latn-ME"/>
              </w:rPr>
            </w:pPr>
            <w:r w:rsidRPr="00D768EF">
              <w:rPr>
                <w:color w:val="000000"/>
                <w:szCs w:val="22"/>
                <w:lang w:val="sr-Latn-ME"/>
              </w:rPr>
              <w:t>N</w:t>
            </w:r>
          </w:p>
        </w:tc>
        <w:tc>
          <w:tcPr>
            <w:tcW w:w="580" w:type="pct"/>
            <w:vAlign w:val="center"/>
          </w:tcPr>
          <w:p w14:paraId="6E2C20E3" w14:textId="77777777" w:rsidR="00C175E4" w:rsidRPr="00D768EF" w:rsidRDefault="00C175E4" w:rsidP="00622285">
            <w:pPr>
              <w:jc w:val="left"/>
              <w:rPr>
                <w:color w:val="000000"/>
                <w:szCs w:val="22"/>
                <w:lang w:val="sr-Latn-ME"/>
              </w:rPr>
            </w:pPr>
          </w:p>
        </w:tc>
        <w:tc>
          <w:tcPr>
            <w:tcW w:w="684" w:type="pct"/>
            <w:vAlign w:val="center"/>
          </w:tcPr>
          <w:p w14:paraId="2DF6A2B8" w14:textId="77777777" w:rsidR="00C175E4" w:rsidRPr="00D768EF" w:rsidRDefault="00C175E4" w:rsidP="00622285">
            <w:pPr>
              <w:jc w:val="left"/>
              <w:rPr>
                <w:color w:val="000000"/>
                <w:szCs w:val="22"/>
                <w:lang w:val="sr-Latn-ME"/>
              </w:rPr>
            </w:pPr>
          </w:p>
        </w:tc>
        <w:tc>
          <w:tcPr>
            <w:tcW w:w="709" w:type="pct"/>
            <w:vAlign w:val="center"/>
          </w:tcPr>
          <w:p w14:paraId="69CD493A" w14:textId="77777777" w:rsidR="00C175E4" w:rsidRPr="00D768EF" w:rsidRDefault="00C175E4" w:rsidP="00622285">
            <w:pPr>
              <w:jc w:val="left"/>
              <w:rPr>
                <w:color w:val="000000"/>
                <w:szCs w:val="22"/>
                <w:lang w:val="sr-Latn-ME"/>
              </w:rPr>
            </w:pPr>
          </w:p>
        </w:tc>
        <w:tc>
          <w:tcPr>
            <w:tcW w:w="560" w:type="pct"/>
            <w:vAlign w:val="center"/>
          </w:tcPr>
          <w:p w14:paraId="037F34DA" w14:textId="77777777" w:rsidR="00C175E4" w:rsidRPr="00D768EF" w:rsidRDefault="00C175E4" w:rsidP="00622285">
            <w:pPr>
              <w:jc w:val="left"/>
              <w:rPr>
                <w:color w:val="000000"/>
                <w:szCs w:val="22"/>
                <w:lang w:val="sr-Latn-ME"/>
              </w:rPr>
            </w:pPr>
            <w:r w:rsidRPr="00D768EF">
              <w:rPr>
                <w:color w:val="000000"/>
                <w:szCs w:val="22"/>
                <w:lang w:val="sr-Latn-ME"/>
              </w:rPr>
              <w:t>87</w:t>
            </w:r>
          </w:p>
        </w:tc>
        <w:tc>
          <w:tcPr>
            <w:tcW w:w="682" w:type="pct"/>
            <w:vAlign w:val="center"/>
          </w:tcPr>
          <w:p w14:paraId="421B4F8F" w14:textId="77777777" w:rsidR="00C175E4" w:rsidRPr="00D768EF" w:rsidRDefault="00C175E4" w:rsidP="00622285">
            <w:pPr>
              <w:jc w:val="left"/>
              <w:rPr>
                <w:color w:val="000000"/>
                <w:szCs w:val="22"/>
                <w:lang w:val="sr-Latn-ME"/>
              </w:rPr>
            </w:pPr>
            <w:r w:rsidRPr="00D768EF">
              <w:rPr>
                <w:color w:val="000000"/>
                <w:szCs w:val="22"/>
                <w:lang w:val="sr-Latn-ME"/>
              </w:rPr>
              <w:t>83</w:t>
            </w:r>
          </w:p>
        </w:tc>
        <w:tc>
          <w:tcPr>
            <w:tcW w:w="658" w:type="pct"/>
            <w:vAlign w:val="center"/>
          </w:tcPr>
          <w:p w14:paraId="2CC7FBEA" w14:textId="77777777" w:rsidR="00C175E4" w:rsidRPr="00D768EF" w:rsidRDefault="00C175E4" w:rsidP="00622285">
            <w:pPr>
              <w:jc w:val="left"/>
              <w:rPr>
                <w:color w:val="000000"/>
                <w:szCs w:val="22"/>
                <w:lang w:val="sr-Latn-ME"/>
              </w:rPr>
            </w:pPr>
            <w:r w:rsidRPr="00D768EF">
              <w:rPr>
                <w:color w:val="000000"/>
                <w:szCs w:val="22"/>
                <w:lang w:val="sr-Latn-ME"/>
              </w:rPr>
              <w:t>82</w:t>
            </w:r>
          </w:p>
        </w:tc>
      </w:tr>
      <w:tr w:rsidR="00C175E4" w:rsidRPr="00D768EF" w14:paraId="3ABAC2D4" w14:textId="77777777" w:rsidTr="009165E6">
        <w:trPr>
          <w:cantSplit/>
        </w:trPr>
        <w:tc>
          <w:tcPr>
            <w:tcW w:w="1126" w:type="pct"/>
            <w:vAlign w:val="center"/>
          </w:tcPr>
          <w:p w14:paraId="27D5CBD6" w14:textId="26F9247D" w:rsidR="00C175E4" w:rsidRPr="00D768EF" w:rsidRDefault="00C175E4" w:rsidP="00622285">
            <w:pPr>
              <w:jc w:val="left"/>
              <w:rPr>
                <w:snapToGrid w:val="0"/>
                <w:color w:val="000000"/>
                <w:szCs w:val="22"/>
                <w:lang w:val="sr-Latn-ME"/>
              </w:rPr>
            </w:pPr>
            <w:r w:rsidRPr="00D768EF">
              <w:rPr>
                <w:snapToGrid w:val="0"/>
                <w:color w:val="000000"/>
                <w:szCs w:val="22"/>
                <w:lang w:val="sr-Latn-ME"/>
              </w:rPr>
              <w:t xml:space="preserve">PASI 75 </w:t>
            </w:r>
            <w:r w:rsidR="009165E6" w:rsidRPr="00D768EF">
              <w:rPr>
                <w:color w:val="000000"/>
                <w:szCs w:val="22"/>
                <w:lang w:val="sr-Latn-ME"/>
              </w:rPr>
              <w:t>odgovor</w:t>
            </w:r>
            <w:r w:rsidR="009165E6" w:rsidRPr="00D768EF">
              <w:rPr>
                <w:snapToGrid w:val="0"/>
                <w:color w:val="000000"/>
                <w:szCs w:val="22"/>
                <w:lang w:val="sr-Latn-ME"/>
              </w:rPr>
              <w:t xml:space="preserve"> </w:t>
            </w:r>
            <w:r w:rsidRPr="00D768EF">
              <w:rPr>
                <w:snapToGrid w:val="0"/>
                <w:color w:val="000000"/>
                <w:szCs w:val="22"/>
                <w:lang w:val="sr-Latn-ME"/>
              </w:rPr>
              <w:t>**</w:t>
            </w:r>
          </w:p>
        </w:tc>
        <w:tc>
          <w:tcPr>
            <w:tcW w:w="580" w:type="pct"/>
            <w:vAlign w:val="center"/>
          </w:tcPr>
          <w:p w14:paraId="4FF9A496" w14:textId="77777777" w:rsidR="00C175E4" w:rsidRPr="00D768EF" w:rsidRDefault="00C175E4" w:rsidP="00622285">
            <w:pPr>
              <w:jc w:val="left"/>
              <w:rPr>
                <w:szCs w:val="22"/>
                <w:lang w:val="sr-Latn-ME"/>
              </w:rPr>
            </w:pPr>
          </w:p>
        </w:tc>
        <w:tc>
          <w:tcPr>
            <w:tcW w:w="684" w:type="pct"/>
            <w:vAlign w:val="center"/>
          </w:tcPr>
          <w:p w14:paraId="372BF226" w14:textId="77777777" w:rsidR="00C175E4" w:rsidRPr="00D768EF" w:rsidRDefault="00C175E4" w:rsidP="00622285">
            <w:pPr>
              <w:jc w:val="left"/>
              <w:rPr>
                <w:szCs w:val="22"/>
                <w:lang w:val="sr-Latn-ME"/>
              </w:rPr>
            </w:pPr>
          </w:p>
        </w:tc>
        <w:tc>
          <w:tcPr>
            <w:tcW w:w="709" w:type="pct"/>
            <w:vAlign w:val="center"/>
          </w:tcPr>
          <w:p w14:paraId="2BF5659C" w14:textId="77777777" w:rsidR="00C175E4" w:rsidRPr="00D768EF" w:rsidRDefault="00C175E4" w:rsidP="00622285">
            <w:pPr>
              <w:jc w:val="left"/>
              <w:rPr>
                <w:szCs w:val="22"/>
                <w:lang w:val="sr-Latn-ME"/>
              </w:rPr>
            </w:pPr>
          </w:p>
        </w:tc>
        <w:tc>
          <w:tcPr>
            <w:tcW w:w="560" w:type="pct"/>
            <w:vAlign w:val="center"/>
          </w:tcPr>
          <w:p w14:paraId="0047E84B" w14:textId="77777777" w:rsidR="00C175E4" w:rsidRPr="00D768EF" w:rsidRDefault="00C175E4" w:rsidP="00622285">
            <w:pPr>
              <w:jc w:val="left"/>
              <w:rPr>
                <w:color w:val="000000"/>
                <w:szCs w:val="22"/>
                <w:lang w:val="sr-Latn-ME"/>
              </w:rPr>
            </w:pPr>
            <w:r w:rsidRPr="00D768EF">
              <w:rPr>
                <w:color w:val="000000"/>
                <w:szCs w:val="22"/>
                <w:lang w:val="sr-Latn-ME"/>
              </w:rPr>
              <w:t>1 (1%)</w:t>
            </w:r>
          </w:p>
        </w:tc>
        <w:tc>
          <w:tcPr>
            <w:tcW w:w="682" w:type="pct"/>
            <w:vAlign w:val="center"/>
          </w:tcPr>
          <w:p w14:paraId="61A737D2" w14:textId="77777777" w:rsidR="00C175E4" w:rsidRPr="00D768EF" w:rsidRDefault="00C175E4" w:rsidP="00622285">
            <w:pPr>
              <w:jc w:val="left"/>
              <w:rPr>
                <w:color w:val="000000"/>
                <w:szCs w:val="22"/>
                <w:lang w:val="sr-Latn-ME"/>
              </w:rPr>
            </w:pPr>
            <w:r w:rsidRPr="00D768EF">
              <w:rPr>
                <w:color w:val="000000"/>
                <w:szCs w:val="22"/>
                <w:lang w:val="sr-Latn-ME"/>
              </w:rPr>
              <w:t>50 (60%)</w:t>
            </w:r>
          </w:p>
        </w:tc>
        <w:tc>
          <w:tcPr>
            <w:tcW w:w="658" w:type="pct"/>
            <w:vAlign w:val="center"/>
          </w:tcPr>
          <w:p w14:paraId="6715646E" w14:textId="0165A4A3" w:rsidR="00C175E4" w:rsidRPr="00D768EF" w:rsidRDefault="00C175E4" w:rsidP="00622285">
            <w:pPr>
              <w:jc w:val="left"/>
              <w:rPr>
                <w:color w:val="000000"/>
                <w:szCs w:val="22"/>
                <w:lang w:val="sr-Latn-ME"/>
              </w:rPr>
            </w:pPr>
            <w:r w:rsidRPr="00D768EF">
              <w:rPr>
                <w:color w:val="000000"/>
                <w:szCs w:val="22"/>
                <w:lang w:val="sr-Latn-ME"/>
              </w:rPr>
              <w:t>40 (48.8%)</w:t>
            </w:r>
          </w:p>
        </w:tc>
      </w:tr>
      <w:tr w:rsidR="00C175E4" w:rsidRPr="00D768EF" w14:paraId="52915F50" w14:textId="77777777" w:rsidTr="00622285">
        <w:tc>
          <w:tcPr>
            <w:tcW w:w="5000" w:type="pct"/>
            <w:gridSpan w:val="7"/>
          </w:tcPr>
          <w:p w14:paraId="29D103F4" w14:textId="77777777" w:rsidR="00C175E4" w:rsidRPr="00D768EF" w:rsidRDefault="00C175E4" w:rsidP="00622285">
            <w:pPr>
              <w:jc w:val="left"/>
              <w:rPr>
                <w:color w:val="000000"/>
                <w:szCs w:val="22"/>
                <w:lang w:val="sr-Latn-ME"/>
              </w:rPr>
            </w:pPr>
          </w:p>
        </w:tc>
      </w:tr>
      <w:tr w:rsidR="00C175E4" w:rsidRPr="00EE2CAE" w14:paraId="6F99FA89" w14:textId="77777777" w:rsidTr="00622285">
        <w:trPr>
          <w:cantSplit/>
          <w:trHeight w:val="80"/>
        </w:trPr>
        <w:tc>
          <w:tcPr>
            <w:tcW w:w="5000" w:type="pct"/>
            <w:gridSpan w:val="7"/>
          </w:tcPr>
          <w:p w14:paraId="2E025854" w14:textId="07BFB1E1" w:rsidR="00C175E4" w:rsidRPr="00D768EF" w:rsidRDefault="00C175E4" w:rsidP="00622285">
            <w:pPr>
              <w:rPr>
                <w:szCs w:val="22"/>
                <w:lang w:val="sr-Latn-ME"/>
              </w:rPr>
            </w:pPr>
            <w:r w:rsidRPr="00D768EF">
              <w:rPr>
                <w:szCs w:val="22"/>
                <w:lang w:val="sr-Latn-ME"/>
              </w:rPr>
              <w:t>* ITT-analiza gde su pacijenti sa nedostajućim podacima klasifikovani kao pacijenti kod kojih se nije javi</w:t>
            </w:r>
            <w:r w:rsidR="009165E6" w:rsidRPr="00D768EF">
              <w:rPr>
                <w:szCs w:val="22"/>
                <w:lang w:val="sr-Latn-ME"/>
              </w:rPr>
              <w:t>o</w:t>
            </w:r>
            <w:r w:rsidRPr="00D768EF">
              <w:rPr>
                <w:szCs w:val="22"/>
                <w:lang w:val="sr-Latn-ME"/>
              </w:rPr>
              <w:t xml:space="preserve"> </w:t>
            </w:r>
            <w:r w:rsidR="009165E6" w:rsidRPr="00D768EF">
              <w:rPr>
                <w:szCs w:val="22"/>
                <w:lang w:val="sr-Latn-ME"/>
              </w:rPr>
              <w:t>odgovor</w:t>
            </w:r>
          </w:p>
          <w:p w14:paraId="2B03674F" w14:textId="4C972299" w:rsidR="00C175E4" w:rsidRPr="00D768EF" w:rsidRDefault="00C175E4" w:rsidP="00622285">
            <w:pPr>
              <w:rPr>
                <w:szCs w:val="22"/>
                <w:lang w:val="sr-Latn-ME"/>
              </w:rPr>
            </w:pPr>
            <w:r w:rsidRPr="00D768EF">
              <w:rPr>
                <w:szCs w:val="22"/>
                <w:vertAlign w:val="superscript"/>
                <w:lang w:val="sr-Latn-ME"/>
              </w:rPr>
              <w:t>a</w:t>
            </w:r>
            <w:r w:rsidRPr="00D768EF">
              <w:rPr>
                <w:szCs w:val="22"/>
                <w:lang w:val="sr-Latn-ME"/>
              </w:rPr>
              <w:t xml:space="preserve"> Podaci za 98. </w:t>
            </w:r>
            <w:r w:rsidR="00D57936" w:rsidRPr="00D768EF">
              <w:rPr>
                <w:szCs w:val="22"/>
                <w:lang w:val="sr-Latn-ME"/>
              </w:rPr>
              <w:t>nedjelj</w:t>
            </w:r>
            <w:r w:rsidRPr="00D768EF">
              <w:rPr>
                <w:szCs w:val="22"/>
                <w:lang w:val="sr-Latn-ME"/>
              </w:rPr>
              <w:t>u iz studije IMPACT uključuju kombinovane placebo pacijente koji su prešli na aktivni l</w:t>
            </w:r>
            <w:r w:rsidR="00C3214E" w:rsidRPr="00D768EF">
              <w:rPr>
                <w:szCs w:val="22"/>
                <w:lang w:val="sr-Latn-ME"/>
              </w:rPr>
              <w:t>ij</w:t>
            </w:r>
            <w:r w:rsidRPr="00D768EF">
              <w:rPr>
                <w:szCs w:val="22"/>
                <w:lang w:val="sr-Latn-ME"/>
              </w:rPr>
              <w:t>ek i infliksimab pacijente koji su ušli u produžetak studije otvorenog tipa.</w:t>
            </w:r>
          </w:p>
          <w:p w14:paraId="3C9EFE8B" w14:textId="2A1C23CE" w:rsidR="00C175E4" w:rsidRPr="00D768EF" w:rsidRDefault="00C175E4" w:rsidP="00622285">
            <w:pPr>
              <w:rPr>
                <w:szCs w:val="22"/>
                <w:lang w:val="sr-Latn-ME"/>
              </w:rPr>
            </w:pPr>
            <w:r w:rsidRPr="00D768EF">
              <w:rPr>
                <w:szCs w:val="22"/>
                <w:vertAlign w:val="superscript"/>
                <w:lang w:val="sr-Latn-ME"/>
              </w:rPr>
              <w:t>b</w:t>
            </w:r>
            <w:r w:rsidRPr="00D768EF">
              <w:rPr>
                <w:szCs w:val="22"/>
                <w:lang w:val="sr-Latn-ME"/>
              </w:rPr>
              <w:t xml:space="preserve"> Na osnovu pacijenata sa PASI ≥ 2.5 na početku studije IMPACT, i pacijenata sa ≥ 3% BSA kože zahvaćene psorijazom na početku studije IMPACT 2</w:t>
            </w:r>
          </w:p>
          <w:p w14:paraId="3A97E0DB" w14:textId="0828717C" w:rsidR="00C175E4" w:rsidRPr="00D768EF" w:rsidRDefault="00C175E4" w:rsidP="00622285">
            <w:pPr>
              <w:rPr>
                <w:szCs w:val="22"/>
                <w:lang w:val="sr-Latn-ME"/>
              </w:rPr>
            </w:pPr>
            <w:r w:rsidRPr="00D768EF">
              <w:rPr>
                <w:szCs w:val="22"/>
                <w:lang w:val="sr-Latn-ME"/>
              </w:rPr>
              <w:t xml:space="preserve">** PASI 75 </w:t>
            </w:r>
            <w:r w:rsidR="009165E6" w:rsidRPr="00D768EF">
              <w:rPr>
                <w:szCs w:val="22"/>
                <w:lang w:val="sr-Latn-ME"/>
              </w:rPr>
              <w:t xml:space="preserve">odgovor </w:t>
            </w:r>
            <w:r w:rsidRPr="00D768EF">
              <w:rPr>
                <w:szCs w:val="22"/>
                <w:lang w:val="sr-Latn-ME"/>
              </w:rPr>
              <w:t>u IMPACT studiji nije uključena zbog malog N; p &lt; 0</w:t>
            </w:r>
            <w:r w:rsidR="009165E6" w:rsidRPr="00D768EF">
              <w:rPr>
                <w:szCs w:val="22"/>
                <w:lang w:val="sr-Latn-ME"/>
              </w:rPr>
              <w:t>,</w:t>
            </w:r>
            <w:r w:rsidRPr="00D768EF">
              <w:rPr>
                <w:szCs w:val="22"/>
                <w:lang w:val="sr-Latn-ME"/>
              </w:rPr>
              <w:t xml:space="preserve">001 za infliksimab u odnosu na placebo u 24. </w:t>
            </w:r>
            <w:r w:rsidR="00D57936" w:rsidRPr="00D768EF">
              <w:rPr>
                <w:szCs w:val="22"/>
                <w:lang w:val="sr-Latn-ME"/>
              </w:rPr>
              <w:t>nedjelj</w:t>
            </w:r>
            <w:r w:rsidRPr="00D768EF">
              <w:rPr>
                <w:szCs w:val="22"/>
                <w:lang w:val="sr-Latn-ME"/>
              </w:rPr>
              <w:t>i u IMPACT 2 studiji.</w:t>
            </w:r>
          </w:p>
        </w:tc>
      </w:tr>
    </w:tbl>
    <w:p w14:paraId="012D56D4" w14:textId="77777777" w:rsidR="00C175E4" w:rsidRPr="00D768EF" w:rsidRDefault="00C175E4" w:rsidP="00C175E4">
      <w:pPr>
        <w:rPr>
          <w:color w:val="000000"/>
          <w:szCs w:val="22"/>
          <w:lang w:val="sr-Latn-ME"/>
        </w:rPr>
      </w:pPr>
    </w:p>
    <w:p w14:paraId="4368BCA3" w14:textId="0308C83E" w:rsidR="00C175E4" w:rsidRPr="00D768EF" w:rsidRDefault="00C175E4" w:rsidP="00C175E4">
      <w:pPr>
        <w:rPr>
          <w:iCs/>
          <w:color w:val="000000"/>
          <w:szCs w:val="22"/>
          <w:lang w:val="sr-Latn-ME"/>
        </w:rPr>
      </w:pPr>
      <w:r w:rsidRPr="00D768EF">
        <w:rPr>
          <w:color w:val="000000"/>
          <w:szCs w:val="22"/>
          <w:lang w:val="sr-Latn-ME"/>
        </w:rPr>
        <w:t>U studijama IMPACT i IMPACT 2, klinički odgovor prim</w:t>
      </w:r>
      <w:r w:rsidR="00C3214E" w:rsidRPr="00D768EF">
        <w:rPr>
          <w:color w:val="000000"/>
          <w:szCs w:val="22"/>
          <w:lang w:val="sr-Latn-ME"/>
        </w:rPr>
        <w:t>ij</w:t>
      </w:r>
      <w:r w:rsidRPr="00D768EF">
        <w:rPr>
          <w:color w:val="000000"/>
          <w:szCs w:val="22"/>
          <w:lang w:val="sr-Latn-ME"/>
        </w:rPr>
        <w:t xml:space="preserve">ećen je već u 2. </w:t>
      </w:r>
      <w:r w:rsidR="00D57936" w:rsidRPr="00D768EF">
        <w:rPr>
          <w:color w:val="000000"/>
          <w:szCs w:val="22"/>
          <w:lang w:val="sr-Latn-ME"/>
        </w:rPr>
        <w:t>nedjelj</w:t>
      </w:r>
      <w:r w:rsidRPr="00D768EF">
        <w:rPr>
          <w:color w:val="000000"/>
          <w:szCs w:val="22"/>
          <w:lang w:val="sr-Latn-ME"/>
        </w:rPr>
        <w:t>i i održavan je do 98. u studiji IMPACT</w:t>
      </w:r>
      <w:r w:rsidR="00C61EC2">
        <w:rPr>
          <w:color w:val="000000"/>
          <w:szCs w:val="22"/>
          <w:lang w:val="sr-Latn-ME"/>
        </w:rPr>
        <w:t>,</w:t>
      </w:r>
      <w:r w:rsidRPr="00D768EF">
        <w:rPr>
          <w:color w:val="000000"/>
          <w:szCs w:val="22"/>
          <w:lang w:val="sr-Latn-ME"/>
        </w:rPr>
        <w:t xml:space="preserve"> odnosno</w:t>
      </w:r>
      <w:r w:rsidR="00C61EC2">
        <w:rPr>
          <w:color w:val="000000"/>
          <w:szCs w:val="22"/>
          <w:lang w:val="sr-Latn-ME"/>
        </w:rPr>
        <w:t>,</w:t>
      </w:r>
      <w:r w:rsidRPr="00D768EF">
        <w:rPr>
          <w:color w:val="000000"/>
          <w:szCs w:val="22"/>
          <w:lang w:val="sr-Latn-ME"/>
        </w:rPr>
        <w:t xml:space="preserve"> do 54. </w:t>
      </w:r>
      <w:r w:rsidR="00D57936" w:rsidRPr="00D768EF">
        <w:rPr>
          <w:color w:val="000000"/>
          <w:szCs w:val="22"/>
          <w:lang w:val="sr-Latn-ME"/>
        </w:rPr>
        <w:t>nedjelj</w:t>
      </w:r>
      <w:r w:rsidRPr="00D768EF">
        <w:rPr>
          <w:color w:val="000000"/>
          <w:szCs w:val="22"/>
          <w:lang w:val="sr-Latn-ME"/>
        </w:rPr>
        <w:t xml:space="preserve">e u studiji IMPACT 2. Efikasnost je pokazana sa ili bez istovremene upotrebe metotreksata. </w:t>
      </w:r>
      <w:r w:rsidRPr="00D768EF">
        <w:rPr>
          <w:iCs/>
          <w:color w:val="000000"/>
          <w:szCs w:val="22"/>
          <w:lang w:val="sr-Latn-ME"/>
        </w:rPr>
        <w:t xml:space="preserve">Kod pacijenata koji su primali infliksimab </w:t>
      </w:r>
      <w:r w:rsidR="009165E6" w:rsidRPr="00D768EF">
        <w:rPr>
          <w:iCs/>
          <w:color w:val="000000"/>
          <w:szCs w:val="22"/>
          <w:lang w:val="sr-Latn-ME"/>
        </w:rPr>
        <w:t>primjećeno je</w:t>
      </w:r>
      <w:r w:rsidRPr="00D768EF">
        <w:rPr>
          <w:iCs/>
          <w:color w:val="000000"/>
          <w:szCs w:val="22"/>
          <w:lang w:val="sr-Latn-ME"/>
        </w:rPr>
        <w:t xml:space="preserve"> smanjene </w:t>
      </w:r>
      <w:r w:rsidR="008A0A5C" w:rsidRPr="00D768EF">
        <w:rPr>
          <w:iCs/>
          <w:color w:val="000000"/>
          <w:szCs w:val="22"/>
          <w:lang w:val="sr-Latn-ME"/>
        </w:rPr>
        <w:t>vrijedno</w:t>
      </w:r>
      <w:r w:rsidRPr="00D768EF">
        <w:rPr>
          <w:iCs/>
          <w:color w:val="000000"/>
          <w:szCs w:val="22"/>
          <w:lang w:val="sr-Latn-ME"/>
        </w:rPr>
        <w:t xml:space="preserve">sti parametara periferne aktivnosti koja je karakteristična za psorijatični artritis (kao što je broj otečenih zglobova, broj bolnih/osetljivih zglobova, daktilitis i prisustvo entezopatije). </w:t>
      </w:r>
    </w:p>
    <w:p w14:paraId="241986D8" w14:textId="77777777" w:rsidR="00C175E4" w:rsidRPr="00D768EF" w:rsidRDefault="00C175E4" w:rsidP="00C175E4">
      <w:pPr>
        <w:rPr>
          <w:iCs/>
          <w:color w:val="000000"/>
          <w:szCs w:val="22"/>
          <w:lang w:val="sr-Latn-ME"/>
        </w:rPr>
      </w:pPr>
    </w:p>
    <w:p w14:paraId="0256D24E" w14:textId="2A182278" w:rsidR="00C175E4" w:rsidRPr="00D768EF" w:rsidRDefault="00C175E4" w:rsidP="00C175E4">
      <w:pPr>
        <w:rPr>
          <w:color w:val="000000"/>
          <w:szCs w:val="22"/>
          <w:lang w:val="sr-Latn-ME"/>
        </w:rPr>
      </w:pPr>
      <w:r w:rsidRPr="00D768EF">
        <w:rPr>
          <w:color w:val="000000"/>
          <w:szCs w:val="22"/>
          <w:lang w:val="sr-Latn-ME"/>
        </w:rPr>
        <w:t xml:space="preserve">U studiji IMPACT 2 praćene su radiografske promene zglobova. Radiografski snimci šaka i stopala načinjeni su na početku studije, u 24. i 54. </w:t>
      </w:r>
      <w:r w:rsidR="00D57936" w:rsidRPr="00D768EF">
        <w:rPr>
          <w:color w:val="000000"/>
          <w:szCs w:val="22"/>
          <w:lang w:val="sr-Latn-ME"/>
        </w:rPr>
        <w:t>nedjelj</w:t>
      </w:r>
      <w:r w:rsidRPr="00D768EF">
        <w:rPr>
          <w:color w:val="000000"/>
          <w:szCs w:val="22"/>
          <w:lang w:val="sr-Latn-ME"/>
        </w:rPr>
        <w:t xml:space="preserve">i. Infliksimab terapija smanjila je brzinu napredovanja </w:t>
      </w:r>
      <w:r w:rsidR="009165E6" w:rsidRPr="00D768EF">
        <w:rPr>
          <w:color w:val="000000"/>
          <w:szCs w:val="22"/>
          <w:lang w:val="sr-Latn-ME"/>
        </w:rPr>
        <w:t xml:space="preserve">oštećenja </w:t>
      </w:r>
      <w:r w:rsidRPr="00D768EF">
        <w:rPr>
          <w:color w:val="000000"/>
          <w:szCs w:val="22"/>
          <w:lang w:val="sr-Latn-ME"/>
        </w:rPr>
        <w:t>perifern</w:t>
      </w:r>
      <w:r w:rsidR="009165E6" w:rsidRPr="00D768EF">
        <w:rPr>
          <w:color w:val="000000"/>
          <w:szCs w:val="22"/>
          <w:lang w:val="sr-Latn-ME"/>
        </w:rPr>
        <w:t>ih</w:t>
      </w:r>
      <w:r w:rsidRPr="00D768EF">
        <w:rPr>
          <w:color w:val="000000"/>
          <w:szCs w:val="22"/>
          <w:lang w:val="sr-Latn-ME"/>
        </w:rPr>
        <w:t xml:space="preserve"> zglobova u poređenju sa placebo terapijom u 24. </w:t>
      </w:r>
      <w:r w:rsidR="00D57936" w:rsidRPr="00D768EF">
        <w:rPr>
          <w:color w:val="000000"/>
          <w:szCs w:val="22"/>
          <w:lang w:val="sr-Latn-ME"/>
        </w:rPr>
        <w:t>nedjelj</w:t>
      </w:r>
      <w:r w:rsidRPr="00D768EF">
        <w:rPr>
          <w:color w:val="000000"/>
          <w:szCs w:val="22"/>
          <w:lang w:val="sr-Latn-ME"/>
        </w:rPr>
        <w:t xml:space="preserve">i, </w:t>
      </w:r>
      <w:r w:rsidR="009165E6" w:rsidRPr="00D768EF">
        <w:rPr>
          <w:color w:val="000000"/>
          <w:szCs w:val="22"/>
          <w:lang w:val="sr-Latn-ME"/>
        </w:rPr>
        <w:t xml:space="preserve">što je bio primarni parametar praćenja </w:t>
      </w:r>
      <w:r w:rsidRPr="00D768EF">
        <w:rPr>
          <w:color w:val="000000"/>
          <w:szCs w:val="22"/>
          <w:lang w:val="sr-Latn-ME"/>
        </w:rPr>
        <w:t>m</w:t>
      </w:r>
      <w:r w:rsidR="00040BAD" w:rsidRPr="00D768EF">
        <w:rPr>
          <w:color w:val="000000"/>
          <w:szCs w:val="22"/>
          <w:lang w:val="sr-Latn-ME"/>
        </w:rPr>
        <w:t>j</w:t>
      </w:r>
      <w:r w:rsidRPr="00D768EF">
        <w:rPr>
          <w:color w:val="000000"/>
          <w:szCs w:val="22"/>
          <w:lang w:val="sr-Latn-ME"/>
        </w:rPr>
        <w:t>ereno na osnovu prom</w:t>
      </w:r>
      <w:r w:rsidR="00040BAD" w:rsidRPr="00D768EF">
        <w:rPr>
          <w:color w:val="000000"/>
          <w:szCs w:val="22"/>
          <w:lang w:val="sr-Latn-ME"/>
        </w:rPr>
        <w:t>j</w:t>
      </w:r>
      <w:r w:rsidRPr="00D768EF">
        <w:rPr>
          <w:color w:val="000000"/>
          <w:szCs w:val="22"/>
          <w:lang w:val="sr-Latn-ME"/>
        </w:rPr>
        <w:t>ene od početnog stanja u ukupnom rezultatu modifikovane vdH-S skale (pros</w:t>
      </w:r>
      <w:r w:rsidR="00040BAD" w:rsidRPr="00D768EF">
        <w:rPr>
          <w:color w:val="000000"/>
          <w:szCs w:val="22"/>
          <w:lang w:val="sr-Latn-ME"/>
        </w:rPr>
        <w:t>j</w:t>
      </w:r>
      <w:r w:rsidRPr="00D768EF">
        <w:rPr>
          <w:color w:val="000000"/>
          <w:szCs w:val="22"/>
          <w:lang w:val="sr-Latn-ME"/>
        </w:rPr>
        <w:t>ečni rezultat ± SD bio je 0</w:t>
      </w:r>
      <w:r w:rsidR="009165E6" w:rsidRPr="00D768EF">
        <w:rPr>
          <w:color w:val="000000"/>
          <w:szCs w:val="22"/>
          <w:lang w:val="sr-Latn-ME"/>
        </w:rPr>
        <w:t>,</w:t>
      </w:r>
      <w:r w:rsidRPr="00D768EF">
        <w:rPr>
          <w:color w:val="000000"/>
          <w:szCs w:val="22"/>
          <w:lang w:val="sr-Latn-ME"/>
        </w:rPr>
        <w:t>82 ± 2</w:t>
      </w:r>
      <w:r w:rsidR="009165E6" w:rsidRPr="00D768EF">
        <w:rPr>
          <w:color w:val="000000"/>
          <w:szCs w:val="22"/>
          <w:lang w:val="sr-Latn-ME"/>
        </w:rPr>
        <w:t>,</w:t>
      </w:r>
      <w:r w:rsidRPr="00D768EF">
        <w:rPr>
          <w:color w:val="000000"/>
          <w:szCs w:val="22"/>
          <w:lang w:val="sr-Latn-ME"/>
        </w:rPr>
        <w:t>62 u placebo grupi u poređenju sa -0</w:t>
      </w:r>
      <w:r w:rsidR="009165E6" w:rsidRPr="00D768EF">
        <w:rPr>
          <w:color w:val="000000"/>
          <w:szCs w:val="22"/>
          <w:lang w:val="sr-Latn-ME"/>
        </w:rPr>
        <w:t>,</w:t>
      </w:r>
      <w:r w:rsidRPr="00D768EF">
        <w:rPr>
          <w:color w:val="000000"/>
          <w:szCs w:val="22"/>
          <w:lang w:val="sr-Latn-ME"/>
        </w:rPr>
        <w:t>70 ± 2</w:t>
      </w:r>
      <w:r w:rsidR="009165E6" w:rsidRPr="00D768EF">
        <w:rPr>
          <w:color w:val="000000"/>
          <w:szCs w:val="22"/>
          <w:lang w:val="sr-Latn-ME"/>
        </w:rPr>
        <w:t>,</w:t>
      </w:r>
      <w:r w:rsidRPr="00D768EF">
        <w:rPr>
          <w:color w:val="000000"/>
          <w:szCs w:val="22"/>
          <w:lang w:val="sr-Latn-ME"/>
        </w:rPr>
        <w:t>53 u infliksimab grupi; p&lt; 0</w:t>
      </w:r>
      <w:r w:rsidR="009165E6" w:rsidRPr="00D768EF">
        <w:rPr>
          <w:color w:val="000000"/>
          <w:szCs w:val="22"/>
          <w:lang w:val="sr-Latn-ME"/>
        </w:rPr>
        <w:t>,</w:t>
      </w:r>
      <w:r w:rsidRPr="00D768EF">
        <w:rPr>
          <w:color w:val="000000"/>
          <w:szCs w:val="22"/>
          <w:lang w:val="sr-Latn-ME"/>
        </w:rPr>
        <w:t>001). U infliksimab grupi, pros</w:t>
      </w:r>
      <w:r w:rsidR="00040BAD" w:rsidRPr="00D768EF">
        <w:rPr>
          <w:color w:val="000000"/>
          <w:szCs w:val="22"/>
          <w:lang w:val="sr-Latn-ME"/>
        </w:rPr>
        <w:t>j</w:t>
      </w:r>
      <w:r w:rsidRPr="00D768EF">
        <w:rPr>
          <w:color w:val="000000"/>
          <w:szCs w:val="22"/>
          <w:lang w:val="sr-Latn-ME"/>
        </w:rPr>
        <w:t>ečna prom</w:t>
      </w:r>
      <w:r w:rsidR="00040BAD" w:rsidRPr="00D768EF">
        <w:rPr>
          <w:color w:val="000000"/>
          <w:szCs w:val="22"/>
          <w:lang w:val="sr-Latn-ME"/>
        </w:rPr>
        <w:t>j</w:t>
      </w:r>
      <w:r w:rsidRPr="00D768EF">
        <w:rPr>
          <w:color w:val="000000"/>
          <w:szCs w:val="22"/>
          <w:lang w:val="sr-Latn-ME"/>
        </w:rPr>
        <w:t xml:space="preserve">ena ukupnog rezultata modifikovane vdH-S skale ostala je ispod 0 u 54. </w:t>
      </w:r>
      <w:r w:rsidR="00D57936" w:rsidRPr="00D768EF">
        <w:rPr>
          <w:color w:val="000000"/>
          <w:szCs w:val="22"/>
          <w:lang w:val="sr-Latn-ME"/>
        </w:rPr>
        <w:t>nedjelj</w:t>
      </w:r>
      <w:r w:rsidRPr="00D768EF">
        <w:rPr>
          <w:color w:val="000000"/>
          <w:szCs w:val="22"/>
          <w:lang w:val="sr-Latn-ME"/>
        </w:rPr>
        <w:t>i.</w:t>
      </w:r>
    </w:p>
    <w:p w14:paraId="57CEB8E6" w14:textId="77777777" w:rsidR="00C175E4" w:rsidRPr="00D768EF" w:rsidRDefault="00C175E4" w:rsidP="00C175E4">
      <w:pPr>
        <w:rPr>
          <w:color w:val="000000"/>
          <w:szCs w:val="22"/>
          <w:lang w:val="sr-Latn-ME"/>
        </w:rPr>
      </w:pPr>
    </w:p>
    <w:p w14:paraId="30984319" w14:textId="7AEF0F36" w:rsidR="00C175E4" w:rsidRPr="00D768EF" w:rsidRDefault="00C175E4" w:rsidP="00C175E4">
      <w:pPr>
        <w:rPr>
          <w:color w:val="000000"/>
          <w:szCs w:val="22"/>
          <w:lang w:val="sr-Latn-ME"/>
        </w:rPr>
      </w:pPr>
      <w:r w:rsidRPr="00D768EF">
        <w:rPr>
          <w:color w:val="000000"/>
          <w:szCs w:val="22"/>
          <w:lang w:val="sr-Latn-ME"/>
        </w:rPr>
        <w:t>Kod pacijenata koji su primali infliksimab došlo je do značajnog poboljšanja fizičke funkcije proc</w:t>
      </w:r>
      <w:r w:rsidR="00BB5F87" w:rsidRPr="00D768EF">
        <w:rPr>
          <w:color w:val="000000"/>
          <w:szCs w:val="22"/>
          <w:lang w:val="sr-Latn-ME"/>
        </w:rPr>
        <w:t>ij</w:t>
      </w:r>
      <w:r w:rsidRPr="00D768EF">
        <w:rPr>
          <w:color w:val="000000"/>
          <w:szCs w:val="22"/>
          <w:lang w:val="sr-Latn-ME"/>
        </w:rPr>
        <w:t>enjeno na osnovu HAQ. Takođe je došlo do značajnog poboljšanja kvaliteta života vezanog za zdravlje, m</w:t>
      </w:r>
      <w:r w:rsidR="00BB5F87" w:rsidRPr="00D768EF">
        <w:rPr>
          <w:color w:val="000000"/>
          <w:szCs w:val="22"/>
          <w:lang w:val="sr-Latn-ME"/>
        </w:rPr>
        <w:t>j</w:t>
      </w:r>
      <w:r w:rsidRPr="00D768EF">
        <w:rPr>
          <w:color w:val="000000"/>
          <w:szCs w:val="22"/>
          <w:lang w:val="sr-Latn-ME"/>
        </w:rPr>
        <w:t xml:space="preserve">ereno na osnovu </w:t>
      </w:r>
      <w:r w:rsidR="009165E6" w:rsidRPr="00D768EF">
        <w:rPr>
          <w:color w:val="000000"/>
          <w:szCs w:val="22"/>
          <w:lang w:val="sr-Latn-ME"/>
        </w:rPr>
        <w:t xml:space="preserve">ukupnog </w:t>
      </w:r>
      <w:r w:rsidRPr="00D768EF">
        <w:rPr>
          <w:color w:val="000000"/>
          <w:szCs w:val="22"/>
          <w:lang w:val="sr-Latn-ME"/>
        </w:rPr>
        <w:t>rezultata fizičkih i mentalnih komponenti u SF-36 u IMPACT 2 studiji.</w:t>
      </w:r>
    </w:p>
    <w:p w14:paraId="5C52E402" w14:textId="77777777" w:rsidR="00C175E4" w:rsidRPr="00D768EF" w:rsidRDefault="00C175E4" w:rsidP="00C175E4">
      <w:pPr>
        <w:rPr>
          <w:color w:val="000000"/>
          <w:szCs w:val="22"/>
          <w:lang w:val="sr-Latn-ME"/>
        </w:rPr>
      </w:pPr>
    </w:p>
    <w:p w14:paraId="7301F6F7" w14:textId="77777777" w:rsidR="00C175E4" w:rsidRPr="00D768EF" w:rsidRDefault="00C175E4" w:rsidP="00C175E4">
      <w:pPr>
        <w:rPr>
          <w:i/>
          <w:color w:val="000000"/>
          <w:szCs w:val="22"/>
          <w:u w:val="single"/>
          <w:lang w:val="sr-Latn-ME"/>
        </w:rPr>
      </w:pPr>
      <w:r w:rsidRPr="00D768EF">
        <w:rPr>
          <w:i/>
          <w:color w:val="000000"/>
          <w:szCs w:val="22"/>
          <w:u w:val="single"/>
          <w:lang w:val="sr-Latn-ME"/>
        </w:rPr>
        <w:t>Psorijaza kod odraslih</w:t>
      </w:r>
    </w:p>
    <w:p w14:paraId="2D6C648F" w14:textId="77777777" w:rsidR="00C175E4" w:rsidRPr="00D768EF" w:rsidRDefault="00C175E4" w:rsidP="00C175E4">
      <w:pPr>
        <w:rPr>
          <w:b/>
          <w:bCs/>
          <w:color w:val="000000"/>
          <w:szCs w:val="22"/>
          <w:lang w:val="sr-Latn-ME"/>
        </w:rPr>
      </w:pPr>
    </w:p>
    <w:p w14:paraId="325A7B1F" w14:textId="24E5F0A7" w:rsidR="00C175E4" w:rsidRPr="00D768EF" w:rsidRDefault="00C175E4" w:rsidP="00C175E4">
      <w:pPr>
        <w:tabs>
          <w:tab w:val="clear" w:pos="284"/>
        </w:tabs>
        <w:autoSpaceDE w:val="0"/>
        <w:autoSpaceDN w:val="0"/>
        <w:adjustRightInd w:val="0"/>
        <w:rPr>
          <w:szCs w:val="22"/>
          <w:lang w:val="sr-Latn-ME"/>
        </w:rPr>
      </w:pPr>
      <w:r w:rsidRPr="00D768EF">
        <w:rPr>
          <w:color w:val="000000"/>
          <w:szCs w:val="22"/>
          <w:lang w:val="sr-Latn-ME"/>
        </w:rPr>
        <w:t>Efikasnost infliksimaba ispitivana je u dv</w:t>
      </w:r>
      <w:r w:rsidR="00040BAD" w:rsidRPr="00D768EF">
        <w:rPr>
          <w:color w:val="000000"/>
          <w:szCs w:val="22"/>
          <w:lang w:val="sr-Latn-ME"/>
        </w:rPr>
        <w:t>ij</w:t>
      </w:r>
      <w:r w:rsidRPr="00D768EF">
        <w:rPr>
          <w:color w:val="000000"/>
          <w:szCs w:val="22"/>
          <w:lang w:val="sr-Latn-ME"/>
        </w:rPr>
        <w:t>e multicentrične, randomizovane, dvostruko sl</w:t>
      </w:r>
      <w:r w:rsidR="00C3214E" w:rsidRPr="00D768EF">
        <w:rPr>
          <w:color w:val="000000"/>
          <w:szCs w:val="22"/>
          <w:lang w:val="sr-Latn-ME"/>
        </w:rPr>
        <w:t>ij</w:t>
      </w:r>
      <w:r w:rsidRPr="00D768EF">
        <w:rPr>
          <w:color w:val="000000"/>
          <w:szCs w:val="22"/>
          <w:lang w:val="sr-Latn-ME"/>
        </w:rPr>
        <w:t xml:space="preserve">epe studije: SPIRIT i EXPRESS. Pacijenti u obe studije imali su plak psorijazu </w:t>
      </w:r>
      <w:r w:rsidRPr="00D768EF">
        <w:rPr>
          <w:szCs w:val="22"/>
          <w:lang w:val="sr-Latn-ME"/>
        </w:rPr>
        <w:t xml:space="preserve">(zahvaćenost površine tela, engl. </w:t>
      </w:r>
      <w:r w:rsidRPr="00D768EF">
        <w:rPr>
          <w:i/>
          <w:iCs/>
          <w:szCs w:val="22"/>
          <w:lang w:val="sr-Latn-ME"/>
        </w:rPr>
        <w:t xml:space="preserve">Body Surface Area </w:t>
      </w:r>
      <w:r w:rsidRPr="00D768EF">
        <w:rPr>
          <w:szCs w:val="22"/>
          <w:lang w:val="sr-Latn-ME"/>
        </w:rPr>
        <w:t xml:space="preserve">[BSA] ≥ 10% i indeks proširenosti i težine psorijaze, engl. </w:t>
      </w:r>
      <w:r w:rsidRPr="00D768EF">
        <w:rPr>
          <w:i/>
          <w:iCs/>
          <w:szCs w:val="22"/>
          <w:lang w:val="sr-Latn-ME"/>
        </w:rPr>
        <w:t xml:space="preserve">Psoriasis Area and Severity Index </w:t>
      </w:r>
      <w:r w:rsidRPr="00D768EF">
        <w:rPr>
          <w:szCs w:val="22"/>
          <w:lang w:val="sr-Latn-ME"/>
        </w:rPr>
        <w:t>[PASI] ≥ 12). Primarn</w:t>
      </w:r>
      <w:r w:rsidR="009165E6" w:rsidRPr="00D768EF">
        <w:rPr>
          <w:szCs w:val="22"/>
          <w:lang w:val="sr-Latn-ME"/>
        </w:rPr>
        <w:t>i</w:t>
      </w:r>
      <w:r w:rsidRPr="00D768EF">
        <w:rPr>
          <w:szCs w:val="22"/>
          <w:lang w:val="sr-Latn-ME"/>
        </w:rPr>
        <w:t xml:space="preserve"> </w:t>
      </w:r>
      <w:r w:rsidR="009165E6" w:rsidRPr="00D768EF">
        <w:rPr>
          <w:szCs w:val="22"/>
          <w:lang w:val="sr-Latn-ME"/>
        </w:rPr>
        <w:t xml:space="preserve">parametar praćenja </w:t>
      </w:r>
      <w:r w:rsidRPr="00D768EF">
        <w:rPr>
          <w:szCs w:val="22"/>
          <w:lang w:val="sr-Latn-ME"/>
        </w:rPr>
        <w:t xml:space="preserve">u obe studije bio je procenat pacijenata kod kojih se postiglo poboljšanje </w:t>
      </w:r>
      <w:r w:rsidR="008A0A5C" w:rsidRPr="00D768EF">
        <w:rPr>
          <w:szCs w:val="22"/>
          <w:lang w:val="sr-Latn-ME"/>
        </w:rPr>
        <w:t>vrijedno</w:t>
      </w:r>
      <w:r w:rsidRPr="00D768EF">
        <w:rPr>
          <w:szCs w:val="22"/>
          <w:lang w:val="sr-Latn-ME"/>
        </w:rPr>
        <w:t xml:space="preserve">sti PASI za ≥ 75% u 10. </w:t>
      </w:r>
      <w:r w:rsidR="00D57936" w:rsidRPr="00D768EF">
        <w:rPr>
          <w:szCs w:val="22"/>
          <w:lang w:val="sr-Latn-ME"/>
        </w:rPr>
        <w:t>nedjelj</w:t>
      </w:r>
      <w:r w:rsidRPr="00D768EF">
        <w:rPr>
          <w:szCs w:val="22"/>
          <w:lang w:val="sr-Latn-ME"/>
        </w:rPr>
        <w:t>i u odnosu na početno stanje.</w:t>
      </w:r>
    </w:p>
    <w:p w14:paraId="54321E71" w14:textId="77777777" w:rsidR="00C175E4" w:rsidRPr="00D768EF" w:rsidRDefault="00C175E4" w:rsidP="00C175E4">
      <w:pPr>
        <w:autoSpaceDE w:val="0"/>
        <w:autoSpaceDN w:val="0"/>
        <w:adjustRightInd w:val="0"/>
        <w:rPr>
          <w:color w:val="000000"/>
          <w:szCs w:val="22"/>
          <w:lang w:val="sr-Latn-ME"/>
        </w:rPr>
      </w:pPr>
    </w:p>
    <w:p w14:paraId="21C6A826" w14:textId="110A442B" w:rsidR="00C175E4" w:rsidRPr="00D768EF" w:rsidRDefault="00C175E4" w:rsidP="00C175E4">
      <w:pPr>
        <w:autoSpaceDE w:val="0"/>
        <w:autoSpaceDN w:val="0"/>
        <w:adjustRightInd w:val="0"/>
        <w:rPr>
          <w:szCs w:val="22"/>
          <w:lang w:val="sr-Latn-ME"/>
        </w:rPr>
      </w:pPr>
      <w:r w:rsidRPr="00D768EF">
        <w:rPr>
          <w:color w:val="000000"/>
          <w:szCs w:val="22"/>
          <w:lang w:val="sr-Latn-ME"/>
        </w:rPr>
        <w:t>U okviru SPIRIT studije proc</w:t>
      </w:r>
      <w:r w:rsidR="00BB5F87" w:rsidRPr="00D768EF">
        <w:rPr>
          <w:color w:val="000000"/>
          <w:szCs w:val="22"/>
          <w:lang w:val="sr-Latn-ME"/>
        </w:rPr>
        <w:t>j</w:t>
      </w:r>
      <w:r w:rsidRPr="00D768EF">
        <w:rPr>
          <w:color w:val="000000"/>
          <w:szCs w:val="22"/>
          <w:lang w:val="sr-Latn-ME"/>
        </w:rPr>
        <w:t xml:space="preserve">enjivana je efikasnost uvodne terapije infliksimabom kod 249 pacijenata sa plak psorijazom koji su prethodno </w:t>
      </w:r>
      <w:r w:rsidR="00C67CCA" w:rsidRPr="00D768EF">
        <w:rPr>
          <w:color w:val="000000"/>
          <w:szCs w:val="22"/>
          <w:lang w:val="sr-Latn-ME"/>
        </w:rPr>
        <w:t>l</w:t>
      </w:r>
      <w:r w:rsidR="009F3807" w:rsidRPr="00D768EF">
        <w:rPr>
          <w:color w:val="000000"/>
          <w:szCs w:val="22"/>
          <w:lang w:val="sr-Latn-ME"/>
        </w:rPr>
        <w:t>ij</w:t>
      </w:r>
      <w:r w:rsidR="00C67CCA" w:rsidRPr="00D768EF">
        <w:rPr>
          <w:color w:val="000000"/>
          <w:szCs w:val="22"/>
          <w:lang w:val="sr-Latn-ME"/>
        </w:rPr>
        <w:t xml:space="preserve">ečeni </w:t>
      </w:r>
      <w:r w:rsidRPr="00D768EF">
        <w:rPr>
          <w:color w:val="000000"/>
          <w:szCs w:val="22"/>
          <w:lang w:val="sr-Latn-ME"/>
        </w:rPr>
        <w:t>PUVA ili sistemsk</w:t>
      </w:r>
      <w:r w:rsidR="00C67CCA" w:rsidRPr="00D768EF">
        <w:rPr>
          <w:color w:val="000000"/>
          <w:szCs w:val="22"/>
          <w:lang w:val="sr-Latn-ME"/>
        </w:rPr>
        <w:t>om</w:t>
      </w:r>
      <w:r w:rsidRPr="00D768EF">
        <w:rPr>
          <w:color w:val="000000"/>
          <w:szCs w:val="22"/>
          <w:lang w:val="sr-Latn-ME"/>
        </w:rPr>
        <w:t xml:space="preserve"> terapij</w:t>
      </w:r>
      <w:r w:rsidR="00C67CCA" w:rsidRPr="00D768EF">
        <w:rPr>
          <w:color w:val="000000"/>
          <w:szCs w:val="22"/>
          <w:lang w:val="sr-Latn-ME"/>
        </w:rPr>
        <w:t>om</w:t>
      </w:r>
      <w:r w:rsidRPr="00D768EF">
        <w:rPr>
          <w:color w:val="000000"/>
          <w:szCs w:val="22"/>
          <w:lang w:val="sr-Latn-ME"/>
        </w:rPr>
        <w:t xml:space="preserve">. Pacijenti su primali </w:t>
      </w:r>
      <w:r w:rsidRPr="00D768EF">
        <w:rPr>
          <w:color w:val="000000"/>
          <w:szCs w:val="22"/>
          <w:lang w:val="sr-Latn-ME"/>
        </w:rPr>
        <w:lastRenderedPageBreak/>
        <w:t xml:space="preserve">infuzije infliksimaba u dozi od 3 mg/kg odnosno 5 mg/kg ili placeba u 0, 2. i 6. </w:t>
      </w:r>
      <w:r w:rsidR="00D57936" w:rsidRPr="00D768EF">
        <w:rPr>
          <w:color w:val="000000"/>
          <w:szCs w:val="22"/>
          <w:lang w:val="sr-Latn-ME"/>
        </w:rPr>
        <w:t>nedjelj</w:t>
      </w:r>
      <w:r w:rsidRPr="00D768EF">
        <w:rPr>
          <w:color w:val="000000"/>
          <w:szCs w:val="22"/>
          <w:lang w:val="sr-Latn-ME"/>
        </w:rPr>
        <w:t xml:space="preserve">i. </w:t>
      </w:r>
      <w:r w:rsidRPr="00D768EF">
        <w:rPr>
          <w:szCs w:val="22"/>
          <w:lang w:val="sr-Latn-ME"/>
        </w:rPr>
        <w:t>Pacijenti koji su prema opštoj proc</w:t>
      </w:r>
      <w:r w:rsidR="00C3214E" w:rsidRPr="00D768EF">
        <w:rPr>
          <w:szCs w:val="22"/>
          <w:lang w:val="sr-Latn-ME"/>
        </w:rPr>
        <w:t>j</w:t>
      </w:r>
      <w:r w:rsidRPr="00D768EF">
        <w:rPr>
          <w:szCs w:val="22"/>
          <w:lang w:val="sr-Latn-ME"/>
        </w:rPr>
        <w:t>eni l</w:t>
      </w:r>
      <w:r w:rsidR="00C3214E" w:rsidRPr="00D768EF">
        <w:rPr>
          <w:szCs w:val="22"/>
          <w:lang w:val="sr-Latn-ME"/>
        </w:rPr>
        <w:t>j</w:t>
      </w:r>
      <w:r w:rsidRPr="00D768EF">
        <w:rPr>
          <w:szCs w:val="22"/>
          <w:lang w:val="sr-Latn-ME"/>
        </w:rPr>
        <w:t xml:space="preserve">ekara (engl. </w:t>
      </w:r>
      <w:r w:rsidRPr="00D768EF">
        <w:rPr>
          <w:i/>
          <w:iCs/>
          <w:szCs w:val="22"/>
          <w:lang w:val="sr-Latn-ME"/>
        </w:rPr>
        <w:t>Physician Global Assessment</w:t>
      </w:r>
      <w:r w:rsidRPr="00D768EF">
        <w:rPr>
          <w:szCs w:val="22"/>
          <w:lang w:val="sr-Latn-ME"/>
        </w:rPr>
        <w:t xml:space="preserve">, PGA) imali ≥ 3 boda, zadovoljili su kriterijume da još jednom prime istu infuziju u 26. </w:t>
      </w:r>
      <w:r w:rsidR="00D57936" w:rsidRPr="00D768EF">
        <w:rPr>
          <w:szCs w:val="22"/>
          <w:lang w:val="sr-Latn-ME"/>
        </w:rPr>
        <w:t>nedjelj</w:t>
      </w:r>
      <w:r w:rsidRPr="00D768EF">
        <w:rPr>
          <w:szCs w:val="22"/>
          <w:lang w:val="sr-Latn-ME"/>
        </w:rPr>
        <w:t>i.</w:t>
      </w:r>
    </w:p>
    <w:p w14:paraId="5D2D7E23" w14:textId="77777777" w:rsidR="00C175E4" w:rsidRPr="00D768EF" w:rsidRDefault="00C175E4" w:rsidP="00C175E4">
      <w:pPr>
        <w:autoSpaceDE w:val="0"/>
        <w:autoSpaceDN w:val="0"/>
        <w:adjustRightInd w:val="0"/>
        <w:rPr>
          <w:color w:val="000000"/>
          <w:szCs w:val="22"/>
          <w:lang w:val="sr-Latn-ME"/>
        </w:rPr>
      </w:pPr>
    </w:p>
    <w:p w14:paraId="354CF7BB" w14:textId="664F343F" w:rsidR="00C175E4" w:rsidRPr="00D768EF" w:rsidRDefault="00C175E4" w:rsidP="00C175E4">
      <w:pPr>
        <w:autoSpaceDE w:val="0"/>
        <w:autoSpaceDN w:val="0"/>
        <w:adjustRightInd w:val="0"/>
        <w:rPr>
          <w:color w:val="000000"/>
          <w:szCs w:val="22"/>
          <w:lang w:val="sr-Latn-ME"/>
        </w:rPr>
      </w:pPr>
      <w:r w:rsidRPr="00D768EF">
        <w:rPr>
          <w:color w:val="000000"/>
          <w:szCs w:val="22"/>
          <w:lang w:val="sr-Latn-ME"/>
        </w:rPr>
        <w:t xml:space="preserve">U okviru SPIRIT studije, </w:t>
      </w:r>
      <w:r w:rsidR="00C67CCA" w:rsidRPr="00D768EF">
        <w:rPr>
          <w:color w:val="000000"/>
          <w:szCs w:val="22"/>
          <w:lang w:val="sr-Latn-ME"/>
        </w:rPr>
        <w:t>ud</w:t>
      </w:r>
      <w:r w:rsidR="00EF4BB0" w:rsidRPr="00D768EF">
        <w:rPr>
          <w:color w:val="000000"/>
          <w:szCs w:val="22"/>
          <w:lang w:val="sr-Latn-ME"/>
        </w:rPr>
        <w:t>i</w:t>
      </w:r>
      <w:r w:rsidR="00C67CCA" w:rsidRPr="00D768EF">
        <w:rPr>
          <w:color w:val="000000"/>
          <w:szCs w:val="22"/>
          <w:lang w:val="sr-Latn-ME"/>
        </w:rPr>
        <w:t xml:space="preserve">o </w:t>
      </w:r>
      <w:r w:rsidRPr="00D768EF">
        <w:rPr>
          <w:color w:val="000000"/>
          <w:szCs w:val="22"/>
          <w:lang w:val="sr-Latn-ME"/>
        </w:rPr>
        <w:t xml:space="preserve">pacijenata koji su ostvarili PASI 75 u 10. </w:t>
      </w:r>
      <w:r w:rsidR="00D57936" w:rsidRPr="00D768EF">
        <w:rPr>
          <w:color w:val="000000"/>
          <w:szCs w:val="22"/>
          <w:lang w:val="sr-Latn-ME"/>
        </w:rPr>
        <w:t>nedjelj</w:t>
      </w:r>
      <w:r w:rsidRPr="00D768EF">
        <w:rPr>
          <w:color w:val="000000"/>
          <w:szCs w:val="22"/>
          <w:lang w:val="sr-Latn-ME"/>
        </w:rPr>
        <w:t>i bio je 71</w:t>
      </w:r>
      <w:r w:rsidR="00C67CCA" w:rsidRPr="00D768EF">
        <w:rPr>
          <w:color w:val="000000"/>
          <w:szCs w:val="22"/>
          <w:lang w:val="sr-Latn-ME"/>
        </w:rPr>
        <w:t>,</w:t>
      </w:r>
      <w:r w:rsidRPr="00D768EF">
        <w:rPr>
          <w:color w:val="000000"/>
          <w:szCs w:val="22"/>
          <w:lang w:val="sr-Latn-ME"/>
        </w:rPr>
        <w:t>7% u 3 mg/kg infliksimab grupi, 8</w:t>
      </w:r>
      <w:r w:rsidR="00C67CCA" w:rsidRPr="00D768EF">
        <w:rPr>
          <w:color w:val="000000"/>
          <w:szCs w:val="22"/>
          <w:lang w:val="sr-Latn-ME"/>
        </w:rPr>
        <w:t>,</w:t>
      </w:r>
      <w:r w:rsidRPr="00D768EF">
        <w:rPr>
          <w:color w:val="000000"/>
          <w:szCs w:val="22"/>
          <w:lang w:val="sr-Latn-ME"/>
        </w:rPr>
        <w:t>.9% u 5 mg/kg infliksimab grupi i 5.9% u placebo grupi (p &lt; 0</w:t>
      </w:r>
      <w:r w:rsidR="00C67CCA" w:rsidRPr="00D768EF">
        <w:rPr>
          <w:color w:val="000000"/>
          <w:szCs w:val="22"/>
          <w:lang w:val="sr-Latn-ME"/>
        </w:rPr>
        <w:t>,</w:t>
      </w:r>
      <w:r w:rsidRPr="00D768EF">
        <w:rPr>
          <w:color w:val="000000"/>
          <w:szCs w:val="22"/>
          <w:lang w:val="sr-Latn-ME"/>
        </w:rPr>
        <w:t xml:space="preserve">001). Do 26. </w:t>
      </w:r>
      <w:r w:rsidR="00D57936" w:rsidRPr="00D768EF">
        <w:rPr>
          <w:color w:val="000000"/>
          <w:szCs w:val="22"/>
          <w:lang w:val="sr-Latn-ME"/>
        </w:rPr>
        <w:t>nedjelj</w:t>
      </w:r>
      <w:r w:rsidRPr="00D768EF">
        <w:rPr>
          <w:color w:val="000000"/>
          <w:szCs w:val="22"/>
          <w:lang w:val="sr-Latn-ME"/>
        </w:rPr>
        <w:t xml:space="preserve">e, dvadeset </w:t>
      </w:r>
      <w:r w:rsidR="00D57936" w:rsidRPr="00D768EF">
        <w:rPr>
          <w:color w:val="000000"/>
          <w:szCs w:val="22"/>
          <w:lang w:val="sr-Latn-ME"/>
        </w:rPr>
        <w:t>nedjelj</w:t>
      </w:r>
      <w:r w:rsidRPr="00D768EF">
        <w:rPr>
          <w:color w:val="000000"/>
          <w:szCs w:val="22"/>
          <w:lang w:val="sr-Latn-ME"/>
        </w:rPr>
        <w:t>a posl</w:t>
      </w:r>
      <w:r w:rsidR="008B2126">
        <w:rPr>
          <w:color w:val="000000"/>
          <w:szCs w:val="22"/>
          <w:lang w:val="sr-Latn-ME"/>
        </w:rPr>
        <w:t>ij</w:t>
      </w:r>
      <w:r w:rsidRPr="00D768EF">
        <w:rPr>
          <w:color w:val="000000"/>
          <w:szCs w:val="22"/>
          <w:lang w:val="sr-Latn-ME"/>
        </w:rPr>
        <w:t>e posl</w:t>
      </w:r>
      <w:r w:rsidR="008B2126">
        <w:rPr>
          <w:color w:val="000000"/>
          <w:szCs w:val="22"/>
          <w:lang w:val="sr-Latn-ME"/>
        </w:rPr>
        <w:t>j</w:t>
      </w:r>
      <w:r w:rsidRPr="00D768EF">
        <w:rPr>
          <w:color w:val="000000"/>
          <w:szCs w:val="22"/>
          <w:lang w:val="sr-Latn-ME"/>
        </w:rPr>
        <w:t>ednje doze uvodne terapije, 30% pacijenata u 5 mg/kg grupi i 13</w:t>
      </w:r>
      <w:r w:rsidR="00C67CCA" w:rsidRPr="00D768EF">
        <w:rPr>
          <w:color w:val="000000"/>
          <w:szCs w:val="22"/>
          <w:lang w:val="sr-Latn-ME"/>
        </w:rPr>
        <w:t>,</w:t>
      </w:r>
      <w:r w:rsidRPr="00D768EF">
        <w:rPr>
          <w:color w:val="000000"/>
          <w:szCs w:val="22"/>
          <w:lang w:val="sr-Latn-ME"/>
        </w:rPr>
        <w:t xml:space="preserve">8% pacijenata u 3mg/kg grupi bili su pacijenti koji su ostvarili reakciju PASI 75. Između 6. i 26. </w:t>
      </w:r>
      <w:r w:rsidR="00D57936" w:rsidRPr="00D768EF">
        <w:rPr>
          <w:color w:val="000000"/>
          <w:szCs w:val="22"/>
          <w:lang w:val="sr-Latn-ME"/>
        </w:rPr>
        <w:t>nedjelj</w:t>
      </w:r>
      <w:r w:rsidRPr="00D768EF">
        <w:rPr>
          <w:color w:val="000000"/>
          <w:szCs w:val="22"/>
          <w:lang w:val="sr-Latn-ME"/>
        </w:rPr>
        <w:t xml:space="preserve">e, simptomi psorijaze postepeno su se vratili u medijanu vremena recidiva bolesti od &gt; 20 </w:t>
      </w:r>
      <w:r w:rsidR="00D57936" w:rsidRPr="00D768EF">
        <w:rPr>
          <w:color w:val="000000"/>
          <w:szCs w:val="22"/>
          <w:lang w:val="sr-Latn-ME"/>
        </w:rPr>
        <w:t>nedjelj</w:t>
      </w:r>
      <w:r w:rsidRPr="00D768EF">
        <w:rPr>
          <w:color w:val="000000"/>
          <w:szCs w:val="22"/>
          <w:lang w:val="sr-Latn-ME"/>
        </w:rPr>
        <w:t>a. Nije prim</w:t>
      </w:r>
      <w:r w:rsidR="00C3214E" w:rsidRPr="00D768EF">
        <w:rPr>
          <w:color w:val="000000"/>
          <w:szCs w:val="22"/>
          <w:lang w:val="sr-Latn-ME"/>
        </w:rPr>
        <w:t>ij</w:t>
      </w:r>
      <w:r w:rsidRPr="00D768EF">
        <w:rPr>
          <w:color w:val="000000"/>
          <w:szCs w:val="22"/>
          <w:lang w:val="sr-Latn-ME"/>
        </w:rPr>
        <w:t xml:space="preserve">ećeno ponovno javljanje simptoma. </w:t>
      </w:r>
    </w:p>
    <w:p w14:paraId="64C893CD" w14:textId="77777777" w:rsidR="00C175E4" w:rsidRPr="00D768EF" w:rsidRDefault="00C175E4" w:rsidP="00C175E4">
      <w:pPr>
        <w:autoSpaceDE w:val="0"/>
        <w:autoSpaceDN w:val="0"/>
        <w:adjustRightInd w:val="0"/>
        <w:rPr>
          <w:color w:val="000000"/>
          <w:szCs w:val="22"/>
          <w:lang w:val="sr-Latn-ME"/>
        </w:rPr>
      </w:pPr>
    </w:p>
    <w:p w14:paraId="7DDB1BA0" w14:textId="6DA974E6" w:rsidR="00C175E4" w:rsidRPr="00D768EF" w:rsidRDefault="00C175E4" w:rsidP="00C175E4">
      <w:pPr>
        <w:rPr>
          <w:color w:val="000000"/>
          <w:szCs w:val="22"/>
          <w:lang w:val="sr-Latn-ME"/>
        </w:rPr>
      </w:pPr>
      <w:r w:rsidRPr="00D768EF">
        <w:rPr>
          <w:color w:val="000000"/>
          <w:szCs w:val="22"/>
          <w:lang w:val="sr-Latn-ME"/>
        </w:rPr>
        <w:t>U okviru EXPRESS studije proc</w:t>
      </w:r>
      <w:r w:rsidR="00BB5F87" w:rsidRPr="00D768EF">
        <w:rPr>
          <w:color w:val="000000"/>
          <w:szCs w:val="22"/>
          <w:lang w:val="sr-Latn-ME"/>
        </w:rPr>
        <w:t>j</w:t>
      </w:r>
      <w:r w:rsidRPr="00D768EF">
        <w:rPr>
          <w:color w:val="000000"/>
          <w:szCs w:val="22"/>
          <w:lang w:val="sr-Latn-ME"/>
        </w:rPr>
        <w:t xml:space="preserve">enjivana je efikasnost uvodne terapije i terapije održavanja infliksimabom kod 378 pacijenata sa plak psorijazom. Pacijenti su primali 5 mg/kg infliksimab ili placebo infuzije u 0, 2. i 6. </w:t>
      </w:r>
      <w:r w:rsidR="00D57936" w:rsidRPr="00D768EF">
        <w:rPr>
          <w:color w:val="000000"/>
          <w:szCs w:val="22"/>
          <w:lang w:val="sr-Latn-ME"/>
        </w:rPr>
        <w:t>nedjelj</w:t>
      </w:r>
      <w:r w:rsidRPr="00D768EF">
        <w:rPr>
          <w:color w:val="000000"/>
          <w:szCs w:val="22"/>
          <w:lang w:val="sr-Latn-ME"/>
        </w:rPr>
        <w:t>i, a posl</w:t>
      </w:r>
      <w:r w:rsidR="008B2126">
        <w:rPr>
          <w:color w:val="000000"/>
          <w:szCs w:val="22"/>
          <w:lang w:val="sr-Latn-ME"/>
        </w:rPr>
        <w:t>ij</w:t>
      </w:r>
      <w:r w:rsidRPr="00D768EF">
        <w:rPr>
          <w:color w:val="000000"/>
          <w:szCs w:val="22"/>
          <w:lang w:val="sr-Latn-ME"/>
        </w:rPr>
        <w:t xml:space="preserve">e toga terapiju održavanja svakih 8 </w:t>
      </w:r>
      <w:r w:rsidR="00D57936" w:rsidRPr="00D768EF">
        <w:rPr>
          <w:color w:val="000000"/>
          <w:szCs w:val="22"/>
          <w:lang w:val="sr-Latn-ME"/>
        </w:rPr>
        <w:t>nedjelj</w:t>
      </w:r>
      <w:r w:rsidRPr="00D768EF">
        <w:rPr>
          <w:color w:val="000000"/>
          <w:szCs w:val="22"/>
          <w:lang w:val="sr-Latn-ME"/>
        </w:rPr>
        <w:t xml:space="preserve">a do 22. </w:t>
      </w:r>
      <w:r w:rsidR="00D57936" w:rsidRPr="00D768EF">
        <w:rPr>
          <w:color w:val="000000"/>
          <w:szCs w:val="22"/>
          <w:lang w:val="sr-Latn-ME"/>
        </w:rPr>
        <w:t>nedjelj</w:t>
      </w:r>
      <w:r w:rsidRPr="00D768EF">
        <w:rPr>
          <w:color w:val="000000"/>
          <w:szCs w:val="22"/>
          <w:lang w:val="sr-Latn-ME"/>
        </w:rPr>
        <w:t xml:space="preserve">e u placebo grupi i do 46. </w:t>
      </w:r>
      <w:r w:rsidR="00D57936" w:rsidRPr="00D768EF">
        <w:rPr>
          <w:color w:val="000000"/>
          <w:szCs w:val="22"/>
          <w:lang w:val="sr-Latn-ME"/>
        </w:rPr>
        <w:t>nedjelj</w:t>
      </w:r>
      <w:r w:rsidRPr="00D768EF">
        <w:rPr>
          <w:color w:val="000000"/>
          <w:szCs w:val="22"/>
          <w:lang w:val="sr-Latn-ME"/>
        </w:rPr>
        <w:t xml:space="preserve">e u infliksimab grupi. U 24. </w:t>
      </w:r>
      <w:r w:rsidR="00D57936" w:rsidRPr="00D768EF">
        <w:rPr>
          <w:color w:val="000000"/>
          <w:szCs w:val="22"/>
          <w:lang w:val="sr-Latn-ME"/>
        </w:rPr>
        <w:t>nedjelj</w:t>
      </w:r>
      <w:r w:rsidRPr="00D768EF">
        <w:rPr>
          <w:color w:val="000000"/>
          <w:szCs w:val="22"/>
          <w:lang w:val="sr-Latn-ME"/>
        </w:rPr>
        <w:t>i, placebo grupa prebačena je na uvodnu terapiju infliksimabom (5 mg/kg), a zatim na terapiju održavanja infliksimabom (5 mg/kg). Psorijaza noktiju proc</w:t>
      </w:r>
      <w:r w:rsidR="00BB5F87" w:rsidRPr="00D768EF">
        <w:rPr>
          <w:color w:val="000000"/>
          <w:szCs w:val="22"/>
          <w:lang w:val="sr-Latn-ME"/>
        </w:rPr>
        <w:t>ij</w:t>
      </w:r>
      <w:r w:rsidRPr="00D768EF">
        <w:rPr>
          <w:color w:val="000000"/>
          <w:szCs w:val="22"/>
          <w:lang w:val="sr-Latn-ME"/>
        </w:rPr>
        <w:t>enjena je prim</w:t>
      </w:r>
      <w:r w:rsidR="00126595" w:rsidRPr="00D768EF">
        <w:rPr>
          <w:color w:val="000000"/>
          <w:szCs w:val="22"/>
          <w:lang w:val="sr-Latn-ME"/>
        </w:rPr>
        <w:t>j</w:t>
      </w:r>
      <w:r w:rsidRPr="00D768EF">
        <w:rPr>
          <w:color w:val="000000"/>
          <w:szCs w:val="22"/>
          <w:lang w:val="sr-Latn-ME"/>
        </w:rPr>
        <w:t xml:space="preserve">enom Indeksa težine psorijaze noktiju </w:t>
      </w:r>
      <w:r w:rsidRPr="00D768EF">
        <w:rPr>
          <w:szCs w:val="22"/>
          <w:lang w:val="sr-Latn-ME"/>
        </w:rPr>
        <w:t xml:space="preserve">(engl. </w:t>
      </w:r>
      <w:r w:rsidRPr="00D768EF">
        <w:rPr>
          <w:i/>
          <w:iCs/>
          <w:szCs w:val="22"/>
          <w:lang w:val="sr-Latn-ME"/>
        </w:rPr>
        <w:t>Nail Psoriasis Severity Index</w:t>
      </w:r>
      <w:r w:rsidRPr="00D768EF">
        <w:rPr>
          <w:szCs w:val="22"/>
          <w:lang w:val="sr-Latn-ME"/>
        </w:rPr>
        <w:t xml:space="preserve">, NAPSI). </w:t>
      </w:r>
      <w:r w:rsidRPr="00D768EF">
        <w:rPr>
          <w:color w:val="000000"/>
          <w:szCs w:val="22"/>
          <w:lang w:val="sr-Latn-ME"/>
        </w:rPr>
        <w:t>Pr</w:t>
      </w:r>
      <w:r w:rsidR="00112897" w:rsidRPr="00D768EF">
        <w:rPr>
          <w:color w:val="000000"/>
          <w:szCs w:val="22"/>
          <w:lang w:val="sr-Latn-ME"/>
        </w:rPr>
        <w:t>ij</w:t>
      </w:r>
      <w:r w:rsidRPr="00D768EF">
        <w:rPr>
          <w:color w:val="000000"/>
          <w:szCs w:val="22"/>
          <w:lang w:val="sr-Latn-ME"/>
        </w:rPr>
        <w:t>e toga, 71</w:t>
      </w:r>
      <w:r w:rsidR="00C67CCA" w:rsidRPr="00D768EF">
        <w:rPr>
          <w:color w:val="000000"/>
          <w:szCs w:val="22"/>
          <w:lang w:val="sr-Latn-ME"/>
        </w:rPr>
        <w:t>,</w:t>
      </w:r>
      <w:r w:rsidRPr="00D768EF">
        <w:rPr>
          <w:color w:val="000000"/>
          <w:szCs w:val="22"/>
          <w:lang w:val="sr-Latn-ME"/>
        </w:rPr>
        <w:t>4% pacijenata je primilo terapiju PUVA, metotreksat, ciklosporin ili acitretin, premda nisu svi nužno bili rezistentni na terapiju. Ključni rezultati prikazani su u Tabeli 10. Kod ispitanika koji su primali infliksimab, značajn</w:t>
      </w:r>
      <w:r w:rsidR="00C67CCA" w:rsidRPr="00D768EF">
        <w:rPr>
          <w:color w:val="000000"/>
          <w:szCs w:val="22"/>
          <w:lang w:val="sr-Latn-ME"/>
        </w:rPr>
        <w:t>i</w:t>
      </w:r>
      <w:r w:rsidRPr="00D768EF">
        <w:rPr>
          <w:color w:val="000000"/>
          <w:szCs w:val="22"/>
          <w:lang w:val="sr-Latn-ME"/>
        </w:rPr>
        <w:t xml:space="preserve"> PASI 50 </w:t>
      </w:r>
      <w:r w:rsidR="00C67CCA" w:rsidRPr="00D768EF">
        <w:rPr>
          <w:color w:val="000000"/>
          <w:szCs w:val="22"/>
          <w:lang w:val="sr-Latn-ME"/>
        </w:rPr>
        <w:t xml:space="preserve">odgovori </w:t>
      </w:r>
      <w:r w:rsidRPr="00D768EF">
        <w:rPr>
          <w:color w:val="000000"/>
          <w:szCs w:val="22"/>
          <w:lang w:val="sr-Latn-ME"/>
        </w:rPr>
        <w:t>bil</w:t>
      </w:r>
      <w:r w:rsidR="00C67CCA" w:rsidRPr="00D768EF">
        <w:rPr>
          <w:color w:val="000000"/>
          <w:szCs w:val="22"/>
          <w:lang w:val="sr-Latn-ME"/>
        </w:rPr>
        <w:t>i</w:t>
      </w:r>
      <w:r w:rsidRPr="00D768EF">
        <w:rPr>
          <w:color w:val="000000"/>
          <w:szCs w:val="22"/>
          <w:lang w:val="sr-Latn-ME"/>
        </w:rPr>
        <w:t xml:space="preserve"> su očigledn</w:t>
      </w:r>
      <w:r w:rsidR="00C67CCA" w:rsidRPr="00D768EF">
        <w:rPr>
          <w:color w:val="000000"/>
          <w:szCs w:val="22"/>
          <w:lang w:val="sr-Latn-ME"/>
        </w:rPr>
        <w:t>i</w:t>
      </w:r>
      <w:r w:rsidRPr="00D768EF">
        <w:rPr>
          <w:color w:val="000000"/>
          <w:szCs w:val="22"/>
          <w:lang w:val="sr-Latn-ME"/>
        </w:rPr>
        <w:t xml:space="preserve"> pri prvoj pos</w:t>
      </w:r>
      <w:r w:rsidR="00112897" w:rsidRPr="00D768EF">
        <w:rPr>
          <w:color w:val="000000"/>
          <w:szCs w:val="22"/>
          <w:lang w:val="sr-Latn-ME"/>
        </w:rPr>
        <w:t>j</w:t>
      </w:r>
      <w:r w:rsidRPr="00D768EF">
        <w:rPr>
          <w:color w:val="000000"/>
          <w:szCs w:val="22"/>
          <w:lang w:val="sr-Latn-ME"/>
        </w:rPr>
        <w:t>eti l</w:t>
      </w:r>
      <w:r w:rsidR="00C3214E" w:rsidRPr="00D768EF">
        <w:rPr>
          <w:color w:val="000000"/>
          <w:szCs w:val="22"/>
          <w:lang w:val="sr-Latn-ME"/>
        </w:rPr>
        <w:t>j</w:t>
      </w:r>
      <w:r w:rsidRPr="00D768EF">
        <w:rPr>
          <w:color w:val="000000"/>
          <w:szCs w:val="22"/>
          <w:lang w:val="sr-Latn-ME"/>
        </w:rPr>
        <w:t xml:space="preserve">ekaru (2. </w:t>
      </w:r>
      <w:r w:rsidR="00D57936" w:rsidRPr="00D768EF">
        <w:rPr>
          <w:color w:val="000000"/>
          <w:szCs w:val="22"/>
          <w:lang w:val="sr-Latn-ME"/>
        </w:rPr>
        <w:t>nedjelj</w:t>
      </w:r>
      <w:r w:rsidRPr="00D768EF">
        <w:rPr>
          <w:color w:val="000000"/>
          <w:szCs w:val="22"/>
          <w:lang w:val="sr-Latn-ME"/>
        </w:rPr>
        <w:t xml:space="preserve">a), a PASI 75 </w:t>
      </w:r>
      <w:r w:rsidR="00C67CCA" w:rsidRPr="00D768EF">
        <w:rPr>
          <w:color w:val="000000"/>
          <w:szCs w:val="22"/>
          <w:lang w:val="sr-Latn-ME"/>
        </w:rPr>
        <w:t xml:space="preserve">odgovori </w:t>
      </w:r>
      <w:r w:rsidRPr="00D768EF">
        <w:rPr>
          <w:color w:val="000000"/>
          <w:szCs w:val="22"/>
          <w:lang w:val="sr-Latn-ME"/>
        </w:rPr>
        <w:t>pri drugoj pos</w:t>
      </w:r>
      <w:r w:rsidR="00112897" w:rsidRPr="00D768EF">
        <w:rPr>
          <w:color w:val="000000"/>
          <w:szCs w:val="22"/>
          <w:lang w:val="sr-Latn-ME"/>
        </w:rPr>
        <w:t>j</w:t>
      </w:r>
      <w:r w:rsidRPr="00D768EF">
        <w:rPr>
          <w:color w:val="000000"/>
          <w:szCs w:val="22"/>
          <w:lang w:val="sr-Latn-ME"/>
        </w:rPr>
        <w:t>eti l</w:t>
      </w:r>
      <w:r w:rsidR="00C3214E" w:rsidRPr="00D768EF">
        <w:rPr>
          <w:color w:val="000000"/>
          <w:szCs w:val="22"/>
          <w:lang w:val="sr-Latn-ME"/>
        </w:rPr>
        <w:t>j</w:t>
      </w:r>
      <w:r w:rsidRPr="00D768EF">
        <w:rPr>
          <w:color w:val="000000"/>
          <w:szCs w:val="22"/>
          <w:lang w:val="sr-Latn-ME"/>
        </w:rPr>
        <w:t xml:space="preserve">ekaru (6. </w:t>
      </w:r>
      <w:r w:rsidR="00D57936" w:rsidRPr="00D768EF">
        <w:rPr>
          <w:color w:val="000000"/>
          <w:szCs w:val="22"/>
          <w:lang w:val="sr-Latn-ME"/>
        </w:rPr>
        <w:t>nedjelj</w:t>
      </w:r>
      <w:r w:rsidRPr="00D768EF">
        <w:rPr>
          <w:color w:val="000000"/>
          <w:szCs w:val="22"/>
          <w:lang w:val="sr-Latn-ME"/>
        </w:rPr>
        <w:t>a). Efikasnost je bila slična u podgrupi pacijenata koji su prethodno bili izloženi sistemskim terapijama, u poređenju sa ukupnom populacijom studije.</w:t>
      </w:r>
    </w:p>
    <w:p w14:paraId="59BFC880" w14:textId="77777777" w:rsidR="00C175E4" w:rsidRPr="00D768EF" w:rsidRDefault="00C175E4" w:rsidP="002C1E29">
      <w:pPr>
        <w:keepNext/>
        <w:rPr>
          <w:color w:val="000000"/>
          <w:szCs w:val="22"/>
          <w:lang w:val="sr-Latn-ME"/>
        </w:rPr>
      </w:pPr>
    </w:p>
    <w:p w14:paraId="2D7BCE9D" w14:textId="77777777" w:rsidR="00C175E4" w:rsidRPr="00D768EF" w:rsidRDefault="00C175E4" w:rsidP="002C1E29">
      <w:pPr>
        <w:keepNext/>
        <w:jc w:val="center"/>
        <w:rPr>
          <w:b/>
          <w:color w:val="000000"/>
          <w:szCs w:val="22"/>
          <w:lang w:val="sr-Latn-ME"/>
        </w:rPr>
      </w:pPr>
      <w:r w:rsidRPr="00D768EF">
        <w:rPr>
          <w:b/>
          <w:color w:val="000000"/>
          <w:szCs w:val="22"/>
          <w:lang w:val="sr-Latn-ME"/>
        </w:rPr>
        <w:t>Tabela 10</w:t>
      </w:r>
    </w:p>
    <w:p w14:paraId="01B21709" w14:textId="13794A36" w:rsidR="00C175E4" w:rsidRPr="00D768EF" w:rsidRDefault="00C175E4" w:rsidP="002C1E29">
      <w:pPr>
        <w:keepNext/>
        <w:jc w:val="left"/>
        <w:rPr>
          <w:b/>
          <w:color w:val="000000"/>
          <w:szCs w:val="22"/>
          <w:lang w:val="sr-Latn-ME"/>
        </w:rPr>
      </w:pPr>
      <w:r w:rsidRPr="00D768EF">
        <w:rPr>
          <w:b/>
          <w:color w:val="000000"/>
          <w:szCs w:val="22"/>
          <w:lang w:val="sr-Latn-ME"/>
        </w:rPr>
        <w:t xml:space="preserve">Pregled PASI </w:t>
      </w:r>
      <w:r w:rsidR="00C67CCA" w:rsidRPr="00D768EF">
        <w:rPr>
          <w:b/>
          <w:color w:val="000000"/>
          <w:szCs w:val="22"/>
          <w:lang w:val="sr-Latn-ME"/>
        </w:rPr>
        <w:t>odgovora</w:t>
      </w:r>
      <w:r w:rsidRPr="00D768EF">
        <w:rPr>
          <w:b/>
          <w:color w:val="000000"/>
          <w:szCs w:val="22"/>
          <w:lang w:val="sr-Latn-ME"/>
        </w:rPr>
        <w:t xml:space="preserve">, PGA </w:t>
      </w:r>
      <w:r w:rsidR="00C67CCA" w:rsidRPr="00D768EF">
        <w:rPr>
          <w:b/>
          <w:color w:val="000000"/>
          <w:szCs w:val="22"/>
          <w:lang w:val="sr-Latn-ME"/>
        </w:rPr>
        <w:t xml:space="preserve">odgovora </w:t>
      </w:r>
      <w:r w:rsidRPr="00D768EF">
        <w:rPr>
          <w:b/>
          <w:color w:val="000000"/>
          <w:szCs w:val="22"/>
          <w:lang w:val="sr-Latn-ME"/>
        </w:rPr>
        <w:t xml:space="preserve">i procenat pacijenata sa oporavkom svih noktiju u 10, 24. i 50. </w:t>
      </w:r>
      <w:r w:rsidR="00D57936" w:rsidRPr="00D768EF">
        <w:rPr>
          <w:b/>
          <w:color w:val="000000"/>
          <w:szCs w:val="22"/>
          <w:lang w:val="sr-Latn-ME"/>
        </w:rPr>
        <w:t>nedjelj</w:t>
      </w:r>
      <w:r w:rsidRPr="00D768EF">
        <w:rPr>
          <w:b/>
          <w:color w:val="000000"/>
          <w:szCs w:val="22"/>
          <w:lang w:val="sr-Latn-ME"/>
        </w:rPr>
        <w:t>i, EXPRESS.</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5488"/>
        <w:gridCol w:w="1800"/>
        <w:gridCol w:w="1680"/>
      </w:tblGrid>
      <w:tr w:rsidR="00C175E4" w:rsidRPr="00D768EF" w14:paraId="7EF6B23C" w14:textId="77777777" w:rsidTr="00622285">
        <w:trPr>
          <w:cantSplit/>
          <w:trHeight w:val="320"/>
          <w:jc w:val="center"/>
        </w:trPr>
        <w:tc>
          <w:tcPr>
            <w:tcW w:w="5488" w:type="dxa"/>
            <w:vAlign w:val="bottom"/>
          </w:tcPr>
          <w:p w14:paraId="282A5803" w14:textId="77777777" w:rsidR="00C175E4" w:rsidRPr="00D768EF" w:rsidRDefault="00C175E4" w:rsidP="00622285">
            <w:pPr>
              <w:widowControl w:val="0"/>
              <w:adjustRightInd w:val="0"/>
              <w:jc w:val="left"/>
              <w:rPr>
                <w:color w:val="000000"/>
                <w:szCs w:val="22"/>
                <w:lang w:val="sr-Latn-ME"/>
              </w:rPr>
            </w:pPr>
          </w:p>
          <w:p w14:paraId="7B7F3737" w14:textId="77777777" w:rsidR="00C175E4" w:rsidRPr="00D768EF" w:rsidRDefault="00C175E4" w:rsidP="00622285">
            <w:pPr>
              <w:widowControl w:val="0"/>
              <w:adjustRightInd w:val="0"/>
              <w:ind w:left="90" w:hanging="90"/>
              <w:jc w:val="left"/>
              <w:rPr>
                <w:color w:val="000000"/>
                <w:szCs w:val="22"/>
                <w:lang w:val="sr-Latn-ME"/>
              </w:rPr>
            </w:pPr>
          </w:p>
          <w:p w14:paraId="5A763ECD" w14:textId="77777777" w:rsidR="00C175E4" w:rsidRPr="00D768EF" w:rsidRDefault="00C175E4" w:rsidP="00622285">
            <w:pPr>
              <w:widowControl w:val="0"/>
              <w:adjustRightInd w:val="0"/>
              <w:ind w:left="90" w:hanging="90"/>
              <w:jc w:val="left"/>
              <w:rPr>
                <w:color w:val="000000"/>
                <w:szCs w:val="22"/>
                <w:lang w:val="sr-Latn-ME"/>
              </w:rPr>
            </w:pPr>
          </w:p>
        </w:tc>
        <w:tc>
          <w:tcPr>
            <w:tcW w:w="1800" w:type="dxa"/>
            <w:vAlign w:val="center"/>
          </w:tcPr>
          <w:p w14:paraId="05542833" w14:textId="77777777" w:rsidR="00C175E4" w:rsidRPr="00D768EF" w:rsidRDefault="00C175E4" w:rsidP="00C67CCA">
            <w:pPr>
              <w:keepNext/>
              <w:widowControl w:val="0"/>
              <w:adjustRightInd w:val="0"/>
              <w:jc w:val="center"/>
              <w:rPr>
                <w:color w:val="000000"/>
                <w:szCs w:val="22"/>
                <w:lang w:val="sr-Latn-ME"/>
              </w:rPr>
            </w:pPr>
            <w:r w:rsidRPr="00D768EF">
              <w:rPr>
                <w:color w:val="000000"/>
                <w:szCs w:val="22"/>
                <w:lang w:val="sr-Latn-ME"/>
              </w:rPr>
              <w:t>Placebo → Infliksimab</w:t>
            </w:r>
          </w:p>
          <w:p w14:paraId="0896EB52" w14:textId="77777777" w:rsidR="00C175E4" w:rsidRPr="00D768EF" w:rsidRDefault="00C175E4" w:rsidP="00C67CCA">
            <w:pPr>
              <w:keepNext/>
              <w:widowControl w:val="0"/>
              <w:adjustRightInd w:val="0"/>
              <w:jc w:val="center"/>
              <w:rPr>
                <w:color w:val="000000"/>
                <w:szCs w:val="22"/>
                <w:lang w:val="sr-Latn-ME"/>
              </w:rPr>
            </w:pPr>
            <w:r w:rsidRPr="00D768EF">
              <w:rPr>
                <w:color w:val="000000"/>
                <w:szCs w:val="22"/>
                <w:lang w:val="sr-Latn-ME"/>
              </w:rPr>
              <w:t xml:space="preserve">5 mg/kg (u 24. </w:t>
            </w:r>
            <w:r w:rsidR="00D57936" w:rsidRPr="00D768EF">
              <w:rPr>
                <w:color w:val="000000"/>
                <w:szCs w:val="22"/>
                <w:lang w:val="sr-Latn-ME"/>
              </w:rPr>
              <w:t>nedjelj</w:t>
            </w:r>
            <w:r w:rsidRPr="00D768EF">
              <w:rPr>
                <w:color w:val="000000"/>
                <w:szCs w:val="22"/>
                <w:lang w:val="sr-Latn-ME"/>
              </w:rPr>
              <w:t>i)</w:t>
            </w:r>
          </w:p>
        </w:tc>
        <w:tc>
          <w:tcPr>
            <w:tcW w:w="1680" w:type="dxa"/>
            <w:vAlign w:val="center"/>
          </w:tcPr>
          <w:p w14:paraId="20CE6482" w14:textId="77777777" w:rsidR="00C175E4" w:rsidRPr="00D768EF" w:rsidRDefault="00C175E4" w:rsidP="00C67CCA">
            <w:pPr>
              <w:keepNext/>
              <w:widowControl w:val="0"/>
              <w:adjustRightInd w:val="0"/>
              <w:ind w:left="-20" w:firstLine="20"/>
              <w:jc w:val="center"/>
              <w:rPr>
                <w:color w:val="000000"/>
                <w:szCs w:val="22"/>
                <w:lang w:val="sr-Latn-ME"/>
              </w:rPr>
            </w:pPr>
            <w:r w:rsidRPr="00D768EF">
              <w:rPr>
                <w:color w:val="000000"/>
                <w:szCs w:val="22"/>
                <w:lang w:val="sr-Latn-ME"/>
              </w:rPr>
              <w:t>Infliksimab</w:t>
            </w:r>
          </w:p>
          <w:p w14:paraId="28F2A027" w14:textId="77777777" w:rsidR="00C175E4" w:rsidRPr="00D768EF" w:rsidRDefault="00C175E4" w:rsidP="00C67CCA">
            <w:pPr>
              <w:keepNext/>
              <w:widowControl w:val="0"/>
              <w:adjustRightInd w:val="0"/>
              <w:jc w:val="center"/>
              <w:rPr>
                <w:color w:val="000000"/>
                <w:szCs w:val="22"/>
                <w:lang w:val="sr-Latn-ME"/>
              </w:rPr>
            </w:pPr>
            <w:r w:rsidRPr="00D768EF">
              <w:rPr>
                <w:color w:val="000000"/>
                <w:szCs w:val="22"/>
                <w:lang w:val="sr-Latn-ME"/>
              </w:rPr>
              <w:t>5 mg/kg</w:t>
            </w:r>
          </w:p>
        </w:tc>
      </w:tr>
      <w:tr w:rsidR="00C175E4" w:rsidRPr="00D768EF" w14:paraId="69BCAFA8" w14:textId="77777777" w:rsidTr="00622285">
        <w:trPr>
          <w:cantSplit/>
          <w:trHeight w:val="320"/>
          <w:jc w:val="center"/>
        </w:trPr>
        <w:tc>
          <w:tcPr>
            <w:tcW w:w="5488" w:type="dxa"/>
            <w:vAlign w:val="bottom"/>
          </w:tcPr>
          <w:p w14:paraId="59209F3B" w14:textId="783987DF" w:rsidR="00C175E4" w:rsidRPr="00D768EF" w:rsidRDefault="00C175E4" w:rsidP="00622285">
            <w:pPr>
              <w:widowControl w:val="0"/>
              <w:adjustRightInd w:val="0"/>
              <w:ind w:left="90" w:hanging="90"/>
              <w:jc w:val="left"/>
              <w:rPr>
                <w:b/>
                <w:bCs/>
                <w:color w:val="000000"/>
                <w:szCs w:val="22"/>
                <w:lang w:val="sr-Latn-ME"/>
              </w:rPr>
            </w:pPr>
            <w:r w:rsidRPr="00D768EF">
              <w:rPr>
                <w:b/>
                <w:bCs/>
                <w:color w:val="000000"/>
                <w:szCs w:val="22"/>
                <w:lang w:val="sr-Latn-ME"/>
              </w:rPr>
              <w:t xml:space="preserve">10. </w:t>
            </w:r>
            <w:r w:rsidR="00D57936" w:rsidRPr="00D768EF">
              <w:rPr>
                <w:b/>
                <w:bCs/>
                <w:color w:val="000000"/>
                <w:szCs w:val="22"/>
                <w:lang w:val="sr-Latn-ME"/>
              </w:rPr>
              <w:t>nedjelj</w:t>
            </w:r>
            <w:r w:rsidRPr="00D768EF">
              <w:rPr>
                <w:b/>
                <w:bCs/>
                <w:color w:val="000000"/>
                <w:szCs w:val="22"/>
                <w:lang w:val="sr-Latn-ME"/>
              </w:rPr>
              <w:t>a</w:t>
            </w:r>
          </w:p>
        </w:tc>
        <w:tc>
          <w:tcPr>
            <w:tcW w:w="1800" w:type="dxa"/>
            <w:vAlign w:val="center"/>
          </w:tcPr>
          <w:p w14:paraId="538988F4" w14:textId="77777777" w:rsidR="00C175E4" w:rsidRPr="00D768EF" w:rsidRDefault="00C175E4" w:rsidP="00622285">
            <w:pPr>
              <w:keepNext/>
              <w:widowControl w:val="0"/>
              <w:adjustRightInd w:val="0"/>
              <w:jc w:val="left"/>
              <w:rPr>
                <w:color w:val="000000"/>
                <w:szCs w:val="22"/>
                <w:lang w:val="sr-Latn-ME"/>
              </w:rPr>
            </w:pPr>
          </w:p>
        </w:tc>
        <w:tc>
          <w:tcPr>
            <w:tcW w:w="1680" w:type="dxa"/>
            <w:vAlign w:val="center"/>
          </w:tcPr>
          <w:p w14:paraId="5E57CF68" w14:textId="77777777" w:rsidR="00C175E4" w:rsidRPr="00D768EF" w:rsidRDefault="00C175E4" w:rsidP="00622285">
            <w:pPr>
              <w:keepNext/>
              <w:widowControl w:val="0"/>
              <w:adjustRightInd w:val="0"/>
              <w:jc w:val="left"/>
              <w:rPr>
                <w:color w:val="000000"/>
                <w:szCs w:val="22"/>
                <w:lang w:val="sr-Latn-ME"/>
              </w:rPr>
            </w:pPr>
          </w:p>
        </w:tc>
      </w:tr>
      <w:tr w:rsidR="00C175E4" w:rsidRPr="00D768EF" w14:paraId="65756DB6" w14:textId="77777777" w:rsidTr="00622285">
        <w:trPr>
          <w:cantSplit/>
          <w:trHeight w:val="320"/>
          <w:jc w:val="center"/>
        </w:trPr>
        <w:tc>
          <w:tcPr>
            <w:tcW w:w="5488" w:type="dxa"/>
            <w:vAlign w:val="bottom"/>
          </w:tcPr>
          <w:p w14:paraId="06ABA8EF" w14:textId="77777777" w:rsidR="00C175E4" w:rsidRPr="00D768EF" w:rsidRDefault="00C175E4" w:rsidP="00622285">
            <w:pPr>
              <w:widowControl w:val="0"/>
              <w:adjustRightInd w:val="0"/>
              <w:ind w:left="270" w:hanging="90"/>
              <w:jc w:val="left"/>
              <w:rPr>
                <w:color w:val="000000"/>
                <w:szCs w:val="22"/>
                <w:lang w:val="sr-Latn-ME"/>
              </w:rPr>
            </w:pPr>
            <w:r w:rsidRPr="00D768EF">
              <w:rPr>
                <w:color w:val="000000"/>
                <w:szCs w:val="22"/>
                <w:lang w:val="sr-Latn-ME"/>
              </w:rPr>
              <w:t>N</w:t>
            </w:r>
          </w:p>
        </w:tc>
        <w:tc>
          <w:tcPr>
            <w:tcW w:w="1800" w:type="dxa"/>
            <w:vAlign w:val="center"/>
          </w:tcPr>
          <w:p w14:paraId="027C97B1" w14:textId="77777777" w:rsidR="00C175E4" w:rsidRPr="00D768EF" w:rsidRDefault="00C175E4" w:rsidP="00622285">
            <w:pPr>
              <w:keepNext/>
              <w:widowControl w:val="0"/>
              <w:adjustRightInd w:val="0"/>
              <w:jc w:val="left"/>
              <w:rPr>
                <w:color w:val="000000"/>
                <w:szCs w:val="22"/>
                <w:lang w:val="sr-Latn-ME"/>
              </w:rPr>
            </w:pPr>
            <w:r w:rsidRPr="00D768EF">
              <w:rPr>
                <w:color w:val="000000"/>
                <w:szCs w:val="22"/>
                <w:lang w:val="sr-Latn-ME"/>
              </w:rPr>
              <w:t>77</w:t>
            </w:r>
          </w:p>
        </w:tc>
        <w:tc>
          <w:tcPr>
            <w:tcW w:w="1680" w:type="dxa"/>
            <w:vAlign w:val="center"/>
          </w:tcPr>
          <w:p w14:paraId="00D423FE" w14:textId="77777777" w:rsidR="00C175E4" w:rsidRPr="00D768EF" w:rsidRDefault="00C175E4" w:rsidP="00622285">
            <w:pPr>
              <w:keepNext/>
              <w:widowControl w:val="0"/>
              <w:adjustRightInd w:val="0"/>
              <w:jc w:val="left"/>
              <w:rPr>
                <w:color w:val="000000"/>
                <w:szCs w:val="22"/>
                <w:lang w:val="sr-Latn-ME"/>
              </w:rPr>
            </w:pPr>
            <w:r w:rsidRPr="00D768EF">
              <w:rPr>
                <w:color w:val="000000"/>
                <w:szCs w:val="22"/>
                <w:lang w:val="sr-Latn-ME"/>
              </w:rPr>
              <w:t>301</w:t>
            </w:r>
          </w:p>
        </w:tc>
      </w:tr>
      <w:tr w:rsidR="00C175E4" w:rsidRPr="00D768EF" w14:paraId="7FDB4F5A" w14:textId="77777777" w:rsidTr="00622285">
        <w:trPr>
          <w:cantSplit/>
          <w:trHeight w:val="320"/>
          <w:jc w:val="center"/>
        </w:trPr>
        <w:tc>
          <w:tcPr>
            <w:tcW w:w="5488" w:type="dxa"/>
            <w:vAlign w:val="bottom"/>
          </w:tcPr>
          <w:p w14:paraId="64FED6EB" w14:textId="77777777" w:rsidR="00C175E4" w:rsidRPr="00D768EF" w:rsidRDefault="00C175E4" w:rsidP="00622285">
            <w:pPr>
              <w:widowControl w:val="0"/>
              <w:adjustRightInd w:val="0"/>
              <w:ind w:left="25"/>
              <w:jc w:val="left"/>
              <w:rPr>
                <w:color w:val="000000"/>
                <w:szCs w:val="22"/>
                <w:lang w:val="sr-Latn-ME"/>
              </w:rPr>
            </w:pPr>
            <w:r w:rsidRPr="00D768EF">
              <w:rPr>
                <w:color w:val="000000"/>
                <w:szCs w:val="22"/>
                <w:lang w:val="sr-Latn-ME"/>
              </w:rPr>
              <w:t>≥ 90% poboljšanje</w:t>
            </w:r>
          </w:p>
        </w:tc>
        <w:tc>
          <w:tcPr>
            <w:tcW w:w="1800" w:type="dxa"/>
            <w:vAlign w:val="center"/>
          </w:tcPr>
          <w:p w14:paraId="1F87F37A" w14:textId="521E7EFB" w:rsidR="00C175E4" w:rsidRPr="00D768EF" w:rsidRDefault="00C175E4" w:rsidP="00622285">
            <w:pPr>
              <w:keepNext/>
              <w:widowControl w:val="0"/>
              <w:adjustRightInd w:val="0"/>
              <w:jc w:val="left"/>
              <w:rPr>
                <w:color w:val="000000"/>
                <w:szCs w:val="22"/>
                <w:lang w:val="sr-Latn-ME"/>
              </w:rPr>
            </w:pPr>
            <w:r w:rsidRPr="00D768EF">
              <w:rPr>
                <w:color w:val="000000"/>
                <w:szCs w:val="22"/>
                <w:lang w:val="sr-Latn-ME"/>
              </w:rPr>
              <w:t>1 (1.3%)</w:t>
            </w:r>
          </w:p>
        </w:tc>
        <w:tc>
          <w:tcPr>
            <w:tcW w:w="1680" w:type="dxa"/>
            <w:vAlign w:val="center"/>
          </w:tcPr>
          <w:p w14:paraId="3D945DB2" w14:textId="76FA3E85" w:rsidR="00C175E4" w:rsidRPr="00D768EF" w:rsidRDefault="00C175E4" w:rsidP="00622285">
            <w:pPr>
              <w:keepNext/>
              <w:widowControl w:val="0"/>
              <w:adjustRightInd w:val="0"/>
              <w:jc w:val="left"/>
              <w:rPr>
                <w:color w:val="000000"/>
                <w:szCs w:val="22"/>
                <w:lang w:val="sr-Latn-ME"/>
              </w:rPr>
            </w:pPr>
            <w:r w:rsidRPr="00D768EF">
              <w:rPr>
                <w:color w:val="000000"/>
                <w:szCs w:val="22"/>
                <w:lang w:val="sr-Latn-ME"/>
              </w:rPr>
              <w:t>172 (57.1%)</w:t>
            </w:r>
            <w:r w:rsidRPr="00D768EF">
              <w:rPr>
                <w:color w:val="000000"/>
                <w:szCs w:val="22"/>
                <w:vertAlign w:val="superscript"/>
                <w:lang w:val="sr-Latn-ME"/>
              </w:rPr>
              <w:t>a</w:t>
            </w:r>
          </w:p>
        </w:tc>
      </w:tr>
      <w:tr w:rsidR="00C175E4" w:rsidRPr="00D768EF" w14:paraId="7ABB6F46" w14:textId="77777777" w:rsidTr="00622285">
        <w:trPr>
          <w:cantSplit/>
          <w:trHeight w:val="320"/>
          <w:jc w:val="center"/>
        </w:trPr>
        <w:tc>
          <w:tcPr>
            <w:tcW w:w="5488" w:type="dxa"/>
            <w:vAlign w:val="bottom"/>
          </w:tcPr>
          <w:p w14:paraId="1B8019CC" w14:textId="77777777" w:rsidR="00C175E4" w:rsidRPr="00D768EF" w:rsidRDefault="00C175E4" w:rsidP="00622285">
            <w:pPr>
              <w:widowControl w:val="0"/>
              <w:adjustRightInd w:val="0"/>
              <w:ind w:left="25"/>
              <w:jc w:val="left"/>
              <w:rPr>
                <w:color w:val="000000"/>
                <w:szCs w:val="22"/>
                <w:lang w:val="sr-Latn-ME"/>
              </w:rPr>
            </w:pPr>
            <w:r w:rsidRPr="00D768EF">
              <w:rPr>
                <w:color w:val="000000"/>
                <w:szCs w:val="22"/>
                <w:lang w:val="sr-Latn-ME"/>
              </w:rPr>
              <w:t>≥ 75% poboljšanje</w:t>
            </w:r>
          </w:p>
        </w:tc>
        <w:tc>
          <w:tcPr>
            <w:tcW w:w="1800" w:type="dxa"/>
            <w:vAlign w:val="center"/>
          </w:tcPr>
          <w:p w14:paraId="1C6A6261" w14:textId="793D5E43" w:rsidR="00C175E4" w:rsidRPr="00D768EF" w:rsidRDefault="00C175E4" w:rsidP="00622285">
            <w:pPr>
              <w:keepNext/>
              <w:widowControl w:val="0"/>
              <w:adjustRightInd w:val="0"/>
              <w:jc w:val="left"/>
              <w:rPr>
                <w:color w:val="000000"/>
                <w:szCs w:val="22"/>
                <w:lang w:val="sr-Latn-ME"/>
              </w:rPr>
            </w:pPr>
            <w:r w:rsidRPr="00D768EF">
              <w:rPr>
                <w:color w:val="000000"/>
                <w:szCs w:val="22"/>
                <w:lang w:val="sr-Latn-ME"/>
              </w:rPr>
              <w:t>2 (2.6%)</w:t>
            </w:r>
          </w:p>
        </w:tc>
        <w:tc>
          <w:tcPr>
            <w:tcW w:w="1680" w:type="dxa"/>
            <w:vAlign w:val="center"/>
          </w:tcPr>
          <w:p w14:paraId="384CF0B7" w14:textId="42562A8C" w:rsidR="00C175E4" w:rsidRPr="00D768EF" w:rsidRDefault="00C175E4" w:rsidP="00622285">
            <w:pPr>
              <w:keepNext/>
              <w:widowControl w:val="0"/>
              <w:adjustRightInd w:val="0"/>
              <w:jc w:val="left"/>
              <w:rPr>
                <w:color w:val="000000"/>
                <w:szCs w:val="22"/>
                <w:lang w:val="sr-Latn-ME"/>
              </w:rPr>
            </w:pPr>
            <w:r w:rsidRPr="00D768EF">
              <w:rPr>
                <w:color w:val="000000"/>
                <w:szCs w:val="22"/>
                <w:lang w:val="sr-Latn-ME"/>
              </w:rPr>
              <w:t>242 (80.4%)</w:t>
            </w:r>
            <w:r w:rsidRPr="00D768EF">
              <w:rPr>
                <w:color w:val="000000"/>
                <w:szCs w:val="22"/>
                <w:vertAlign w:val="superscript"/>
                <w:lang w:val="sr-Latn-ME"/>
              </w:rPr>
              <w:t>a</w:t>
            </w:r>
          </w:p>
        </w:tc>
      </w:tr>
      <w:tr w:rsidR="00C175E4" w:rsidRPr="00D768EF" w14:paraId="742BD11B" w14:textId="77777777" w:rsidTr="00622285">
        <w:trPr>
          <w:cantSplit/>
          <w:trHeight w:val="320"/>
          <w:jc w:val="center"/>
        </w:trPr>
        <w:tc>
          <w:tcPr>
            <w:tcW w:w="5488" w:type="dxa"/>
            <w:vAlign w:val="bottom"/>
          </w:tcPr>
          <w:p w14:paraId="03A8C59F" w14:textId="77777777" w:rsidR="00C175E4" w:rsidRPr="00D768EF" w:rsidRDefault="00C175E4" w:rsidP="00622285">
            <w:pPr>
              <w:widowControl w:val="0"/>
              <w:adjustRightInd w:val="0"/>
              <w:ind w:left="25"/>
              <w:jc w:val="left"/>
              <w:rPr>
                <w:color w:val="000000"/>
                <w:szCs w:val="22"/>
                <w:lang w:val="sr-Latn-ME"/>
              </w:rPr>
            </w:pPr>
            <w:r w:rsidRPr="00D768EF">
              <w:rPr>
                <w:color w:val="000000"/>
                <w:szCs w:val="22"/>
                <w:lang w:val="sr-Latn-ME"/>
              </w:rPr>
              <w:t>≥ 50% poboljšanje</w:t>
            </w:r>
          </w:p>
        </w:tc>
        <w:tc>
          <w:tcPr>
            <w:tcW w:w="1800" w:type="dxa"/>
            <w:vAlign w:val="center"/>
          </w:tcPr>
          <w:p w14:paraId="7CB21B88" w14:textId="7EAB2096" w:rsidR="00C175E4" w:rsidRPr="00D768EF" w:rsidRDefault="00C175E4" w:rsidP="00622285">
            <w:pPr>
              <w:keepNext/>
              <w:widowControl w:val="0"/>
              <w:adjustRightInd w:val="0"/>
              <w:jc w:val="left"/>
              <w:rPr>
                <w:color w:val="000000"/>
                <w:szCs w:val="22"/>
                <w:lang w:val="sr-Latn-ME"/>
              </w:rPr>
            </w:pPr>
            <w:r w:rsidRPr="00D768EF">
              <w:rPr>
                <w:color w:val="000000"/>
                <w:szCs w:val="22"/>
                <w:lang w:val="sr-Latn-ME"/>
              </w:rPr>
              <w:t>6 (7.8%)</w:t>
            </w:r>
          </w:p>
        </w:tc>
        <w:tc>
          <w:tcPr>
            <w:tcW w:w="1680" w:type="dxa"/>
            <w:vAlign w:val="center"/>
          </w:tcPr>
          <w:p w14:paraId="57D72824" w14:textId="060E11A2" w:rsidR="00C175E4" w:rsidRPr="00D768EF" w:rsidRDefault="00C175E4" w:rsidP="00622285">
            <w:pPr>
              <w:keepNext/>
              <w:widowControl w:val="0"/>
              <w:adjustRightInd w:val="0"/>
              <w:jc w:val="left"/>
              <w:rPr>
                <w:color w:val="000000"/>
                <w:szCs w:val="22"/>
                <w:lang w:val="sr-Latn-ME"/>
              </w:rPr>
            </w:pPr>
            <w:r w:rsidRPr="00D768EF">
              <w:rPr>
                <w:color w:val="000000"/>
                <w:szCs w:val="22"/>
                <w:lang w:val="sr-Latn-ME"/>
              </w:rPr>
              <w:t>274 (91.0%)</w:t>
            </w:r>
          </w:p>
        </w:tc>
      </w:tr>
      <w:tr w:rsidR="00C175E4" w:rsidRPr="00D768EF" w14:paraId="51F97FAB" w14:textId="77777777" w:rsidTr="00622285">
        <w:trPr>
          <w:cantSplit/>
          <w:trHeight w:val="320"/>
          <w:jc w:val="center"/>
        </w:trPr>
        <w:tc>
          <w:tcPr>
            <w:tcW w:w="5488" w:type="dxa"/>
            <w:vAlign w:val="bottom"/>
          </w:tcPr>
          <w:p w14:paraId="5001E574" w14:textId="14245D51" w:rsidR="00C175E4" w:rsidRPr="00D768EF" w:rsidRDefault="00C175E4" w:rsidP="00622285">
            <w:pPr>
              <w:widowControl w:val="0"/>
              <w:adjustRightInd w:val="0"/>
              <w:ind w:firstLine="25"/>
              <w:jc w:val="left"/>
              <w:rPr>
                <w:color w:val="000000"/>
                <w:szCs w:val="22"/>
                <w:lang w:val="sr-Latn-ME"/>
              </w:rPr>
            </w:pPr>
            <w:r w:rsidRPr="00D768EF">
              <w:rPr>
                <w:color w:val="000000"/>
                <w:szCs w:val="22"/>
                <w:lang w:val="sr-Latn-ME"/>
              </w:rPr>
              <w:t>PGA oporavljen (0) ili minim</w:t>
            </w:r>
            <w:r w:rsidR="00C67CCA" w:rsidRPr="00D768EF">
              <w:rPr>
                <w:color w:val="000000"/>
                <w:szCs w:val="22"/>
                <w:lang w:val="sr-Latn-ME"/>
              </w:rPr>
              <w:t>alan</w:t>
            </w:r>
            <w:r w:rsidRPr="00D768EF">
              <w:rPr>
                <w:color w:val="000000"/>
                <w:szCs w:val="22"/>
                <w:lang w:val="sr-Latn-ME"/>
              </w:rPr>
              <w:t xml:space="preserve"> (1)</w:t>
            </w:r>
          </w:p>
        </w:tc>
        <w:tc>
          <w:tcPr>
            <w:tcW w:w="1800" w:type="dxa"/>
            <w:vAlign w:val="center"/>
          </w:tcPr>
          <w:p w14:paraId="73CC7BAA" w14:textId="64C72022" w:rsidR="00C175E4" w:rsidRPr="00D768EF" w:rsidRDefault="00C175E4" w:rsidP="00622285">
            <w:pPr>
              <w:widowControl w:val="0"/>
              <w:adjustRightInd w:val="0"/>
              <w:jc w:val="left"/>
              <w:rPr>
                <w:color w:val="000000"/>
                <w:szCs w:val="22"/>
                <w:lang w:val="sr-Latn-ME"/>
              </w:rPr>
            </w:pPr>
            <w:r w:rsidRPr="00D768EF">
              <w:rPr>
                <w:color w:val="000000"/>
                <w:szCs w:val="22"/>
                <w:lang w:val="sr-Latn-ME"/>
              </w:rPr>
              <w:t>3 (3.9%)</w:t>
            </w:r>
          </w:p>
        </w:tc>
        <w:tc>
          <w:tcPr>
            <w:tcW w:w="1680" w:type="dxa"/>
            <w:vAlign w:val="center"/>
          </w:tcPr>
          <w:p w14:paraId="06B11183" w14:textId="46289F9A" w:rsidR="00C175E4" w:rsidRPr="00D768EF" w:rsidRDefault="00C175E4" w:rsidP="00622285">
            <w:pPr>
              <w:widowControl w:val="0"/>
              <w:adjustRightInd w:val="0"/>
              <w:jc w:val="left"/>
              <w:rPr>
                <w:color w:val="000000"/>
                <w:szCs w:val="22"/>
                <w:lang w:val="sr-Latn-ME"/>
              </w:rPr>
            </w:pPr>
            <w:r w:rsidRPr="00D768EF">
              <w:rPr>
                <w:color w:val="000000"/>
                <w:szCs w:val="22"/>
                <w:lang w:val="sr-Latn-ME"/>
              </w:rPr>
              <w:t>242 (82.9%)</w:t>
            </w:r>
            <w:r w:rsidRPr="00D768EF">
              <w:rPr>
                <w:color w:val="000000"/>
                <w:szCs w:val="22"/>
                <w:vertAlign w:val="superscript"/>
                <w:lang w:val="sr-Latn-ME"/>
              </w:rPr>
              <w:t>ab</w:t>
            </w:r>
          </w:p>
        </w:tc>
      </w:tr>
      <w:tr w:rsidR="00C175E4" w:rsidRPr="00D768EF" w14:paraId="7EE449B6" w14:textId="77777777" w:rsidTr="00622285">
        <w:trPr>
          <w:cantSplit/>
          <w:trHeight w:val="320"/>
          <w:jc w:val="center"/>
        </w:trPr>
        <w:tc>
          <w:tcPr>
            <w:tcW w:w="5488" w:type="dxa"/>
            <w:vAlign w:val="bottom"/>
          </w:tcPr>
          <w:p w14:paraId="6BA39BFC" w14:textId="662DD1A2" w:rsidR="00C175E4" w:rsidRPr="00D768EF" w:rsidRDefault="00C175E4" w:rsidP="00622285">
            <w:pPr>
              <w:widowControl w:val="0"/>
              <w:adjustRightInd w:val="0"/>
              <w:jc w:val="left"/>
              <w:rPr>
                <w:color w:val="000000"/>
                <w:szCs w:val="22"/>
                <w:lang w:val="sr-Latn-ME"/>
              </w:rPr>
            </w:pPr>
            <w:r w:rsidRPr="00D768EF">
              <w:rPr>
                <w:color w:val="000000"/>
                <w:szCs w:val="22"/>
                <w:lang w:val="sr-Latn-ME"/>
              </w:rPr>
              <w:t>PGA oporavljen (0), minim</w:t>
            </w:r>
            <w:r w:rsidR="00C67CCA" w:rsidRPr="00D768EF">
              <w:rPr>
                <w:color w:val="000000"/>
                <w:szCs w:val="22"/>
                <w:lang w:val="sr-Latn-ME"/>
              </w:rPr>
              <w:t>alan</w:t>
            </w:r>
            <w:r w:rsidRPr="00D768EF">
              <w:rPr>
                <w:color w:val="000000"/>
                <w:szCs w:val="22"/>
                <w:lang w:val="sr-Latn-ME"/>
              </w:rPr>
              <w:t xml:space="preserve"> (1) ili blag (2)</w:t>
            </w:r>
          </w:p>
        </w:tc>
        <w:tc>
          <w:tcPr>
            <w:tcW w:w="1800" w:type="dxa"/>
            <w:vAlign w:val="center"/>
          </w:tcPr>
          <w:p w14:paraId="7EA3FCB7" w14:textId="02688CC7" w:rsidR="00C175E4" w:rsidRPr="00D768EF" w:rsidRDefault="00C175E4" w:rsidP="00622285">
            <w:pPr>
              <w:widowControl w:val="0"/>
              <w:adjustRightInd w:val="0"/>
              <w:jc w:val="left"/>
              <w:rPr>
                <w:color w:val="000000"/>
                <w:szCs w:val="22"/>
                <w:lang w:val="sr-Latn-ME"/>
              </w:rPr>
            </w:pPr>
            <w:r w:rsidRPr="00D768EF">
              <w:rPr>
                <w:color w:val="000000"/>
                <w:szCs w:val="22"/>
                <w:lang w:val="sr-Latn-ME"/>
              </w:rPr>
              <w:t>14 (18.2%)</w:t>
            </w:r>
          </w:p>
        </w:tc>
        <w:tc>
          <w:tcPr>
            <w:tcW w:w="1680" w:type="dxa"/>
            <w:vAlign w:val="center"/>
          </w:tcPr>
          <w:p w14:paraId="74230784" w14:textId="7FED72D9" w:rsidR="00C175E4" w:rsidRPr="00D768EF" w:rsidRDefault="00C175E4" w:rsidP="00622285">
            <w:pPr>
              <w:widowControl w:val="0"/>
              <w:adjustRightInd w:val="0"/>
              <w:jc w:val="left"/>
              <w:rPr>
                <w:color w:val="000000"/>
                <w:szCs w:val="22"/>
                <w:lang w:val="sr-Latn-ME"/>
              </w:rPr>
            </w:pPr>
            <w:r w:rsidRPr="00D768EF">
              <w:rPr>
                <w:color w:val="000000"/>
                <w:szCs w:val="22"/>
                <w:lang w:val="sr-Latn-ME"/>
              </w:rPr>
              <w:t>275 (94.2%)</w:t>
            </w:r>
            <w:r w:rsidRPr="00D768EF">
              <w:rPr>
                <w:color w:val="000000"/>
                <w:szCs w:val="22"/>
                <w:vertAlign w:val="superscript"/>
                <w:lang w:val="sr-Latn-ME"/>
              </w:rPr>
              <w:t>ab</w:t>
            </w:r>
          </w:p>
        </w:tc>
      </w:tr>
      <w:tr w:rsidR="00C175E4" w:rsidRPr="00D768EF" w14:paraId="7D9A03F3" w14:textId="77777777" w:rsidTr="00622285">
        <w:trPr>
          <w:cantSplit/>
          <w:trHeight w:val="320"/>
          <w:jc w:val="center"/>
        </w:trPr>
        <w:tc>
          <w:tcPr>
            <w:tcW w:w="5488" w:type="dxa"/>
            <w:vAlign w:val="bottom"/>
          </w:tcPr>
          <w:p w14:paraId="16ECC793" w14:textId="0EFDD2D9" w:rsidR="00C175E4" w:rsidRPr="00D768EF" w:rsidRDefault="00C175E4" w:rsidP="00622285">
            <w:pPr>
              <w:widowControl w:val="0"/>
              <w:adjustRightInd w:val="0"/>
              <w:ind w:left="90" w:hanging="90"/>
              <w:jc w:val="left"/>
              <w:rPr>
                <w:b/>
                <w:bCs/>
                <w:color w:val="000000"/>
                <w:szCs w:val="22"/>
                <w:lang w:val="sr-Latn-ME"/>
              </w:rPr>
            </w:pPr>
            <w:r w:rsidRPr="00D768EF">
              <w:rPr>
                <w:b/>
                <w:bCs/>
                <w:color w:val="000000"/>
                <w:szCs w:val="22"/>
                <w:lang w:val="sr-Latn-ME"/>
              </w:rPr>
              <w:t xml:space="preserve">24. </w:t>
            </w:r>
            <w:r w:rsidR="00D57936" w:rsidRPr="00D768EF">
              <w:rPr>
                <w:b/>
                <w:bCs/>
                <w:color w:val="000000"/>
                <w:szCs w:val="22"/>
                <w:lang w:val="sr-Latn-ME"/>
              </w:rPr>
              <w:t>nedjelj</w:t>
            </w:r>
            <w:r w:rsidRPr="00D768EF">
              <w:rPr>
                <w:b/>
                <w:bCs/>
                <w:color w:val="000000"/>
                <w:szCs w:val="22"/>
                <w:lang w:val="sr-Latn-ME"/>
              </w:rPr>
              <w:t>a</w:t>
            </w:r>
          </w:p>
        </w:tc>
        <w:tc>
          <w:tcPr>
            <w:tcW w:w="1800" w:type="dxa"/>
            <w:vAlign w:val="center"/>
          </w:tcPr>
          <w:p w14:paraId="14B12101" w14:textId="77777777" w:rsidR="00C175E4" w:rsidRPr="00D768EF" w:rsidRDefault="00C175E4" w:rsidP="00622285">
            <w:pPr>
              <w:keepNext/>
              <w:widowControl w:val="0"/>
              <w:adjustRightInd w:val="0"/>
              <w:jc w:val="left"/>
              <w:rPr>
                <w:color w:val="000000"/>
                <w:szCs w:val="22"/>
                <w:lang w:val="sr-Latn-ME"/>
              </w:rPr>
            </w:pPr>
          </w:p>
        </w:tc>
        <w:tc>
          <w:tcPr>
            <w:tcW w:w="1680" w:type="dxa"/>
            <w:vAlign w:val="center"/>
          </w:tcPr>
          <w:p w14:paraId="6A4BEB98" w14:textId="77777777" w:rsidR="00C175E4" w:rsidRPr="00D768EF" w:rsidRDefault="00C175E4" w:rsidP="00622285">
            <w:pPr>
              <w:keepNext/>
              <w:widowControl w:val="0"/>
              <w:adjustRightInd w:val="0"/>
              <w:jc w:val="left"/>
              <w:rPr>
                <w:color w:val="000000"/>
                <w:szCs w:val="22"/>
                <w:lang w:val="sr-Latn-ME"/>
              </w:rPr>
            </w:pPr>
          </w:p>
        </w:tc>
      </w:tr>
      <w:tr w:rsidR="00C175E4" w:rsidRPr="00D768EF" w14:paraId="47ACF6EA" w14:textId="77777777" w:rsidTr="00622285">
        <w:trPr>
          <w:cantSplit/>
          <w:trHeight w:val="320"/>
          <w:jc w:val="center"/>
        </w:trPr>
        <w:tc>
          <w:tcPr>
            <w:tcW w:w="5488" w:type="dxa"/>
            <w:vAlign w:val="bottom"/>
          </w:tcPr>
          <w:p w14:paraId="18968A66" w14:textId="77777777" w:rsidR="00C175E4" w:rsidRPr="00D768EF" w:rsidRDefault="00C175E4" w:rsidP="00622285">
            <w:pPr>
              <w:widowControl w:val="0"/>
              <w:adjustRightInd w:val="0"/>
              <w:ind w:left="270" w:hanging="90"/>
              <w:jc w:val="left"/>
              <w:rPr>
                <w:color w:val="000000"/>
                <w:szCs w:val="22"/>
                <w:lang w:val="sr-Latn-ME"/>
              </w:rPr>
            </w:pPr>
            <w:r w:rsidRPr="00D768EF">
              <w:rPr>
                <w:color w:val="000000"/>
                <w:szCs w:val="22"/>
                <w:lang w:val="sr-Latn-ME"/>
              </w:rPr>
              <w:t>N</w:t>
            </w:r>
          </w:p>
        </w:tc>
        <w:tc>
          <w:tcPr>
            <w:tcW w:w="1800" w:type="dxa"/>
            <w:vAlign w:val="center"/>
          </w:tcPr>
          <w:p w14:paraId="62482E1D" w14:textId="77777777" w:rsidR="00C175E4" w:rsidRPr="00D768EF" w:rsidRDefault="00C175E4" w:rsidP="00622285">
            <w:pPr>
              <w:keepNext/>
              <w:widowControl w:val="0"/>
              <w:adjustRightInd w:val="0"/>
              <w:jc w:val="left"/>
              <w:rPr>
                <w:color w:val="000000"/>
                <w:szCs w:val="22"/>
                <w:lang w:val="sr-Latn-ME"/>
              </w:rPr>
            </w:pPr>
            <w:r w:rsidRPr="00D768EF">
              <w:rPr>
                <w:color w:val="000000"/>
                <w:szCs w:val="22"/>
                <w:lang w:val="sr-Latn-ME"/>
              </w:rPr>
              <w:t>77</w:t>
            </w:r>
          </w:p>
        </w:tc>
        <w:tc>
          <w:tcPr>
            <w:tcW w:w="1680" w:type="dxa"/>
            <w:vAlign w:val="center"/>
          </w:tcPr>
          <w:p w14:paraId="061DFE2F" w14:textId="77777777" w:rsidR="00C175E4" w:rsidRPr="00D768EF" w:rsidRDefault="00C175E4" w:rsidP="00622285">
            <w:pPr>
              <w:keepNext/>
              <w:widowControl w:val="0"/>
              <w:adjustRightInd w:val="0"/>
              <w:jc w:val="left"/>
              <w:rPr>
                <w:color w:val="000000"/>
                <w:szCs w:val="22"/>
                <w:lang w:val="sr-Latn-ME"/>
              </w:rPr>
            </w:pPr>
            <w:r w:rsidRPr="00D768EF">
              <w:rPr>
                <w:color w:val="000000"/>
                <w:szCs w:val="22"/>
                <w:lang w:val="sr-Latn-ME"/>
              </w:rPr>
              <w:t>276</w:t>
            </w:r>
          </w:p>
        </w:tc>
      </w:tr>
      <w:tr w:rsidR="00C175E4" w:rsidRPr="00D768EF" w14:paraId="1B30A3A8" w14:textId="77777777" w:rsidTr="00622285">
        <w:trPr>
          <w:cantSplit/>
          <w:trHeight w:val="320"/>
          <w:jc w:val="center"/>
        </w:trPr>
        <w:tc>
          <w:tcPr>
            <w:tcW w:w="5488" w:type="dxa"/>
            <w:vAlign w:val="bottom"/>
          </w:tcPr>
          <w:p w14:paraId="51893E6E" w14:textId="77777777" w:rsidR="00C175E4" w:rsidRPr="00D768EF" w:rsidRDefault="00C175E4" w:rsidP="00622285">
            <w:pPr>
              <w:widowControl w:val="0"/>
              <w:adjustRightInd w:val="0"/>
              <w:jc w:val="left"/>
              <w:rPr>
                <w:color w:val="000000"/>
                <w:szCs w:val="22"/>
                <w:lang w:val="sr-Latn-ME"/>
              </w:rPr>
            </w:pPr>
            <w:r w:rsidRPr="00D768EF">
              <w:rPr>
                <w:color w:val="000000"/>
                <w:szCs w:val="22"/>
                <w:lang w:val="sr-Latn-ME"/>
              </w:rPr>
              <w:t>≥ 90% poboljšanje</w:t>
            </w:r>
          </w:p>
        </w:tc>
        <w:tc>
          <w:tcPr>
            <w:tcW w:w="1800" w:type="dxa"/>
            <w:vAlign w:val="center"/>
          </w:tcPr>
          <w:p w14:paraId="192CF07C" w14:textId="3A8E99FC" w:rsidR="00C175E4" w:rsidRPr="00D768EF" w:rsidRDefault="00C175E4" w:rsidP="00622285">
            <w:pPr>
              <w:keepNext/>
              <w:widowControl w:val="0"/>
              <w:adjustRightInd w:val="0"/>
              <w:jc w:val="left"/>
              <w:rPr>
                <w:color w:val="000000"/>
                <w:szCs w:val="22"/>
                <w:lang w:val="sr-Latn-ME"/>
              </w:rPr>
            </w:pPr>
            <w:r w:rsidRPr="00D768EF">
              <w:rPr>
                <w:color w:val="000000"/>
                <w:szCs w:val="22"/>
                <w:lang w:val="sr-Latn-ME"/>
              </w:rPr>
              <w:t>1 (1.3%)</w:t>
            </w:r>
          </w:p>
        </w:tc>
        <w:tc>
          <w:tcPr>
            <w:tcW w:w="1680" w:type="dxa"/>
            <w:vAlign w:val="center"/>
          </w:tcPr>
          <w:p w14:paraId="6C127573" w14:textId="0BB63982" w:rsidR="00C175E4" w:rsidRPr="00D768EF" w:rsidRDefault="00C175E4" w:rsidP="00622285">
            <w:pPr>
              <w:keepNext/>
              <w:widowControl w:val="0"/>
              <w:adjustRightInd w:val="0"/>
              <w:jc w:val="left"/>
              <w:rPr>
                <w:color w:val="000000"/>
                <w:szCs w:val="22"/>
                <w:lang w:val="sr-Latn-ME"/>
              </w:rPr>
            </w:pPr>
            <w:r w:rsidRPr="00D768EF">
              <w:rPr>
                <w:color w:val="000000"/>
                <w:szCs w:val="22"/>
                <w:lang w:val="sr-Latn-ME"/>
              </w:rPr>
              <w:t>161 (58.3%)</w:t>
            </w:r>
            <w:r w:rsidRPr="00D768EF">
              <w:rPr>
                <w:color w:val="000000"/>
                <w:szCs w:val="22"/>
                <w:vertAlign w:val="superscript"/>
                <w:lang w:val="sr-Latn-ME"/>
              </w:rPr>
              <w:t>a</w:t>
            </w:r>
          </w:p>
        </w:tc>
      </w:tr>
      <w:tr w:rsidR="00C175E4" w:rsidRPr="00D768EF" w14:paraId="56F78A2C" w14:textId="77777777" w:rsidTr="00622285">
        <w:trPr>
          <w:cantSplit/>
          <w:trHeight w:val="320"/>
          <w:jc w:val="center"/>
        </w:trPr>
        <w:tc>
          <w:tcPr>
            <w:tcW w:w="5488" w:type="dxa"/>
            <w:vAlign w:val="bottom"/>
          </w:tcPr>
          <w:p w14:paraId="340326A5" w14:textId="77777777" w:rsidR="00C175E4" w:rsidRPr="00D768EF" w:rsidRDefault="00C175E4" w:rsidP="00622285">
            <w:pPr>
              <w:widowControl w:val="0"/>
              <w:adjustRightInd w:val="0"/>
              <w:jc w:val="left"/>
              <w:rPr>
                <w:color w:val="000000"/>
                <w:szCs w:val="22"/>
                <w:lang w:val="sr-Latn-ME"/>
              </w:rPr>
            </w:pPr>
            <w:r w:rsidRPr="00D768EF">
              <w:rPr>
                <w:color w:val="000000"/>
                <w:szCs w:val="22"/>
                <w:lang w:val="sr-Latn-ME"/>
              </w:rPr>
              <w:t>≥ 75% poboljšanje</w:t>
            </w:r>
          </w:p>
        </w:tc>
        <w:tc>
          <w:tcPr>
            <w:tcW w:w="1800" w:type="dxa"/>
            <w:vAlign w:val="center"/>
          </w:tcPr>
          <w:p w14:paraId="77EE4DC6" w14:textId="68C8E559" w:rsidR="00C175E4" w:rsidRPr="00D768EF" w:rsidRDefault="00C175E4" w:rsidP="00622285">
            <w:pPr>
              <w:keepNext/>
              <w:widowControl w:val="0"/>
              <w:adjustRightInd w:val="0"/>
              <w:jc w:val="left"/>
              <w:rPr>
                <w:color w:val="000000"/>
                <w:szCs w:val="22"/>
                <w:lang w:val="sr-Latn-ME"/>
              </w:rPr>
            </w:pPr>
            <w:r w:rsidRPr="00D768EF">
              <w:rPr>
                <w:color w:val="000000"/>
                <w:szCs w:val="22"/>
                <w:lang w:val="sr-Latn-ME"/>
              </w:rPr>
              <w:t>3 (3.9%)</w:t>
            </w:r>
          </w:p>
        </w:tc>
        <w:tc>
          <w:tcPr>
            <w:tcW w:w="1680" w:type="dxa"/>
            <w:vAlign w:val="center"/>
          </w:tcPr>
          <w:p w14:paraId="0C2A89DD" w14:textId="7E137F37" w:rsidR="00C175E4" w:rsidRPr="00D768EF" w:rsidRDefault="00C175E4" w:rsidP="00622285">
            <w:pPr>
              <w:keepNext/>
              <w:widowControl w:val="0"/>
              <w:adjustRightInd w:val="0"/>
              <w:jc w:val="left"/>
              <w:rPr>
                <w:color w:val="000000"/>
                <w:szCs w:val="22"/>
                <w:lang w:val="sr-Latn-ME"/>
              </w:rPr>
            </w:pPr>
            <w:r w:rsidRPr="00D768EF">
              <w:rPr>
                <w:color w:val="000000"/>
                <w:szCs w:val="22"/>
                <w:lang w:val="sr-Latn-ME"/>
              </w:rPr>
              <w:t>227 (82.2%)</w:t>
            </w:r>
            <w:r w:rsidRPr="00D768EF">
              <w:rPr>
                <w:color w:val="000000"/>
                <w:szCs w:val="22"/>
                <w:vertAlign w:val="superscript"/>
                <w:lang w:val="sr-Latn-ME"/>
              </w:rPr>
              <w:t>a</w:t>
            </w:r>
          </w:p>
        </w:tc>
      </w:tr>
      <w:tr w:rsidR="00C175E4" w:rsidRPr="00D768EF" w14:paraId="667462C6" w14:textId="77777777" w:rsidTr="00622285">
        <w:trPr>
          <w:cantSplit/>
          <w:trHeight w:val="320"/>
          <w:jc w:val="center"/>
        </w:trPr>
        <w:tc>
          <w:tcPr>
            <w:tcW w:w="5488" w:type="dxa"/>
            <w:vAlign w:val="bottom"/>
          </w:tcPr>
          <w:p w14:paraId="717C9E3C" w14:textId="77777777" w:rsidR="00C175E4" w:rsidRPr="00D768EF" w:rsidRDefault="00C175E4" w:rsidP="00622285">
            <w:pPr>
              <w:widowControl w:val="0"/>
              <w:adjustRightInd w:val="0"/>
              <w:jc w:val="left"/>
              <w:rPr>
                <w:color w:val="000000"/>
                <w:szCs w:val="22"/>
                <w:lang w:val="sr-Latn-ME"/>
              </w:rPr>
            </w:pPr>
            <w:r w:rsidRPr="00D768EF">
              <w:rPr>
                <w:color w:val="000000"/>
                <w:szCs w:val="22"/>
                <w:lang w:val="sr-Latn-ME"/>
              </w:rPr>
              <w:t>≥ 50% poboljšanje</w:t>
            </w:r>
          </w:p>
        </w:tc>
        <w:tc>
          <w:tcPr>
            <w:tcW w:w="1800" w:type="dxa"/>
            <w:vAlign w:val="center"/>
          </w:tcPr>
          <w:p w14:paraId="54CF6559" w14:textId="4D0452CC" w:rsidR="00C175E4" w:rsidRPr="00D768EF" w:rsidRDefault="00C175E4" w:rsidP="00622285">
            <w:pPr>
              <w:keepNext/>
              <w:widowControl w:val="0"/>
              <w:adjustRightInd w:val="0"/>
              <w:jc w:val="left"/>
              <w:rPr>
                <w:color w:val="000000"/>
                <w:szCs w:val="22"/>
                <w:lang w:val="sr-Latn-ME"/>
              </w:rPr>
            </w:pPr>
            <w:r w:rsidRPr="00D768EF">
              <w:rPr>
                <w:color w:val="000000"/>
                <w:szCs w:val="22"/>
                <w:lang w:val="sr-Latn-ME"/>
              </w:rPr>
              <w:t>5 (6.5%)</w:t>
            </w:r>
          </w:p>
        </w:tc>
        <w:tc>
          <w:tcPr>
            <w:tcW w:w="1680" w:type="dxa"/>
            <w:vAlign w:val="center"/>
          </w:tcPr>
          <w:p w14:paraId="336FE36C" w14:textId="39E932A7" w:rsidR="00C175E4" w:rsidRPr="00D768EF" w:rsidRDefault="00C175E4" w:rsidP="00622285">
            <w:pPr>
              <w:keepNext/>
              <w:widowControl w:val="0"/>
              <w:adjustRightInd w:val="0"/>
              <w:jc w:val="left"/>
              <w:rPr>
                <w:color w:val="000000"/>
                <w:szCs w:val="22"/>
                <w:lang w:val="sr-Latn-ME"/>
              </w:rPr>
            </w:pPr>
            <w:r w:rsidRPr="00D768EF">
              <w:rPr>
                <w:color w:val="000000"/>
                <w:szCs w:val="22"/>
                <w:lang w:val="sr-Latn-ME"/>
              </w:rPr>
              <w:t>248 (89.9%)</w:t>
            </w:r>
          </w:p>
        </w:tc>
      </w:tr>
      <w:tr w:rsidR="00C175E4" w:rsidRPr="00D768EF" w14:paraId="592F91EE" w14:textId="77777777" w:rsidTr="00622285">
        <w:trPr>
          <w:cantSplit/>
          <w:trHeight w:val="320"/>
          <w:jc w:val="center"/>
        </w:trPr>
        <w:tc>
          <w:tcPr>
            <w:tcW w:w="5488" w:type="dxa"/>
            <w:vAlign w:val="bottom"/>
          </w:tcPr>
          <w:p w14:paraId="19FE3D25" w14:textId="78EEB6D8" w:rsidR="00C175E4" w:rsidRPr="00D768EF" w:rsidRDefault="00C175E4" w:rsidP="00622285">
            <w:pPr>
              <w:widowControl w:val="0"/>
              <w:adjustRightInd w:val="0"/>
              <w:jc w:val="left"/>
              <w:rPr>
                <w:color w:val="000000"/>
                <w:szCs w:val="22"/>
                <w:lang w:val="sr-Latn-ME"/>
              </w:rPr>
            </w:pPr>
            <w:r w:rsidRPr="00D768EF">
              <w:rPr>
                <w:color w:val="000000"/>
                <w:szCs w:val="22"/>
                <w:lang w:val="sr-Latn-ME"/>
              </w:rPr>
              <w:t>PGA oporavljen (0) ili minim</w:t>
            </w:r>
            <w:r w:rsidR="00C67CCA" w:rsidRPr="00D768EF">
              <w:rPr>
                <w:color w:val="000000"/>
                <w:szCs w:val="22"/>
                <w:lang w:val="sr-Latn-ME"/>
              </w:rPr>
              <w:t>alan</w:t>
            </w:r>
            <w:r w:rsidRPr="00D768EF">
              <w:rPr>
                <w:color w:val="000000"/>
                <w:szCs w:val="22"/>
                <w:lang w:val="sr-Latn-ME"/>
              </w:rPr>
              <w:t xml:space="preserve"> (1)</w:t>
            </w:r>
          </w:p>
        </w:tc>
        <w:tc>
          <w:tcPr>
            <w:tcW w:w="1800" w:type="dxa"/>
            <w:vAlign w:val="center"/>
          </w:tcPr>
          <w:p w14:paraId="497C678B" w14:textId="424902A4" w:rsidR="00C175E4" w:rsidRPr="00D768EF" w:rsidRDefault="00C175E4" w:rsidP="00622285">
            <w:pPr>
              <w:widowControl w:val="0"/>
              <w:adjustRightInd w:val="0"/>
              <w:jc w:val="left"/>
              <w:rPr>
                <w:color w:val="000000"/>
                <w:szCs w:val="22"/>
                <w:lang w:val="sr-Latn-ME"/>
              </w:rPr>
            </w:pPr>
            <w:r w:rsidRPr="00D768EF">
              <w:rPr>
                <w:color w:val="000000"/>
                <w:szCs w:val="22"/>
                <w:lang w:val="sr-Latn-ME"/>
              </w:rPr>
              <w:t>2 (2.6%)</w:t>
            </w:r>
          </w:p>
        </w:tc>
        <w:tc>
          <w:tcPr>
            <w:tcW w:w="1680" w:type="dxa"/>
            <w:vAlign w:val="center"/>
          </w:tcPr>
          <w:p w14:paraId="449D14B1" w14:textId="05F71C7B" w:rsidR="00C175E4" w:rsidRPr="00D768EF" w:rsidRDefault="00C175E4" w:rsidP="00622285">
            <w:pPr>
              <w:widowControl w:val="0"/>
              <w:adjustRightInd w:val="0"/>
              <w:jc w:val="left"/>
              <w:rPr>
                <w:color w:val="000000"/>
                <w:szCs w:val="22"/>
                <w:lang w:val="sr-Latn-ME"/>
              </w:rPr>
            </w:pPr>
            <w:r w:rsidRPr="00D768EF">
              <w:rPr>
                <w:color w:val="000000"/>
                <w:szCs w:val="22"/>
                <w:lang w:val="sr-Latn-ME"/>
              </w:rPr>
              <w:t>203 (73.6%)</w:t>
            </w:r>
            <w:r w:rsidRPr="00D768EF">
              <w:rPr>
                <w:color w:val="000000"/>
                <w:szCs w:val="22"/>
                <w:vertAlign w:val="superscript"/>
                <w:lang w:val="sr-Latn-ME"/>
              </w:rPr>
              <w:t>a</w:t>
            </w:r>
          </w:p>
        </w:tc>
      </w:tr>
      <w:tr w:rsidR="00C175E4" w:rsidRPr="00D768EF" w14:paraId="47175D6C" w14:textId="77777777" w:rsidTr="00622285">
        <w:trPr>
          <w:cantSplit/>
          <w:trHeight w:val="320"/>
          <w:jc w:val="center"/>
        </w:trPr>
        <w:tc>
          <w:tcPr>
            <w:tcW w:w="5488" w:type="dxa"/>
            <w:vAlign w:val="bottom"/>
          </w:tcPr>
          <w:p w14:paraId="10FE4A2E" w14:textId="473E83AF" w:rsidR="00C175E4" w:rsidRPr="00D768EF" w:rsidRDefault="00C175E4" w:rsidP="00622285">
            <w:pPr>
              <w:widowControl w:val="0"/>
              <w:adjustRightInd w:val="0"/>
              <w:jc w:val="left"/>
              <w:rPr>
                <w:color w:val="000000"/>
                <w:szCs w:val="22"/>
                <w:lang w:val="sr-Latn-ME"/>
              </w:rPr>
            </w:pPr>
            <w:r w:rsidRPr="00D768EF">
              <w:rPr>
                <w:color w:val="000000"/>
                <w:szCs w:val="22"/>
                <w:lang w:val="sr-Latn-ME"/>
              </w:rPr>
              <w:t>PGA oporavljen (0), minim</w:t>
            </w:r>
            <w:r w:rsidR="00C67CCA" w:rsidRPr="00D768EF">
              <w:rPr>
                <w:color w:val="000000"/>
                <w:szCs w:val="22"/>
                <w:lang w:val="sr-Latn-ME"/>
              </w:rPr>
              <w:t>alan</w:t>
            </w:r>
            <w:r w:rsidRPr="00D768EF">
              <w:rPr>
                <w:color w:val="000000"/>
                <w:szCs w:val="22"/>
                <w:lang w:val="sr-Latn-ME"/>
              </w:rPr>
              <w:t xml:space="preserve"> (1) ili blag (2)</w:t>
            </w:r>
          </w:p>
        </w:tc>
        <w:tc>
          <w:tcPr>
            <w:tcW w:w="1800" w:type="dxa"/>
            <w:vAlign w:val="center"/>
          </w:tcPr>
          <w:p w14:paraId="06707DB6" w14:textId="18A91ADA" w:rsidR="00C175E4" w:rsidRPr="00D768EF" w:rsidRDefault="00C175E4" w:rsidP="00622285">
            <w:pPr>
              <w:widowControl w:val="0"/>
              <w:adjustRightInd w:val="0"/>
              <w:jc w:val="left"/>
              <w:rPr>
                <w:color w:val="000000"/>
                <w:szCs w:val="22"/>
                <w:lang w:val="sr-Latn-ME"/>
              </w:rPr>
            </w:pPr>
            <w:r w:rsidRPr="00D768EF">
              <w:rPr>
                <w:color w:val="000000"/>
                <w:szCs w:val="22"/>
                <w:lang w:val="sr-Latn-ME"/>
              </w:rPr>
              <w:t>15 (19.5%)</w:t>
            </w:r>
          </w:p>
        </w:tc>
        <w:tc>
          <w:tcPr>
            <w:tcW w:w="1680" w:type="dxa"/>
            <w:shd w:val="clear" w:color="auto" w:fill="auto"/>
            <w:vAlign w:val="center"/>
          </w:tcPr>
          <w:p w14:paraId="24936F08" w14:textId="2A77DB2A" w:rsidR="00C175E4" w:rsidRPr="00D768EF" w:rsidRDefault="00C175E4" w:rsidP="00622285">
            <w:pPr>
              <w:widowControl w:val="0"/>
              <w:adjustRightInd w:val="0"/>
              <w:jc w:val="left"/>
              <w:rPr>
                <w:color w:val="000000"/>
                <w:szCs w:val="22"/>
                <w:lang w:val="sr-Latn-ME"/>
              </w:rPr>
            </w:pPr>
            <w:r w:rsidRPr="00D768EF">
              <w:rPr>
                <w:color w:val="000000"/>
                <w:szCs w:val="22"/>
                <w:lang w:val="sr-Latn-ME"/>
              </w:rPr>
              <w:t>246 (89.1%)</w:t>
            </w:r>
            <w:r w:rsidRPr="00D768EF">
              <w:rPr>
                <w:color w:val="000000"/>
                <w:szCs w:val="22"/>
                <w:vertAlign w:val="superscript"/>
                <w:lang w:val="sr-Latn-ME"/>
              </w:rPr>
              <w:t>a</w:t>
            </w:r>
          </w:p>
        </w:tc>
      </w:tr>
      <w:tr w:rsidR="00C175E4" w:rsidRPr="00D768EF" w14:paraId="03D53E32" w14:textId="77777777" w:rsidTr="00622285">
        <w:trPr>
          <w:cantSplit/>
          <w:trHeight w:val="320"/>
          <w:jc w:val="center"/>
        </w:trPr>
        <w:tc>
          <w:tcPr>
            <w:tcW w:w="5488" w:type="dxa"/>
            <w:vAlign w:val="bottom"/>
          </w:tcPr>
          <w:p w14:paraId="6667D811" w14:textId="210A8B59" w:rsidR="00C175E4" w:rsidRPr="00D768EF" w:rsidRDefault="00C175E4" w:rsidP="00622285">
            <w:pPr>
              <w:widowControl w:val="0"/>
              <w:adjustRightInd w:val="0"/>
              <w:ind w:left="90" w:hanging="90"/>
              <w:jc w:val="left"/>
              <w:rPr>
                <w:b/>
                <w:bCs/>
                <w:color w:val="000000"/>
                <w:szCs w:val="22"/>
                <w:lang w:val="sr-Latn-ME"/>
              </w:rPr>
            </w:pPr>
            <w:r w:rsidRPr="00D768EF">
              <w:rPr>
                <w:b/>
                <w:bCs/>
                <w:color w:val="000000"/>
                <w:szCs w:val="22"/>
                <w:lang w:val="sr-Latn-ME"/>
              </w:rPr>
              <w:t xml:space="preserve">50. </w:t>
            </w:r>
            <w:r w:rsidR="00D57936" w:rsidRPr="00D768EF">
              <w:rPr>
                <w:b/>
                <w:bCs/>
                <w:color w:val="000000"/>
                <w:szCs w:val="22"/>
                <w:lang w:val="sr-Latn-ME"/>
              </w:rPr>
              <w:t>nedjelj</w:t>
            </w:r>
            <w:r w:rsidRPr="00D768EF">
              <w:rPr>
                <w:b/>
                <w:bCs/>
                <w:color w:val="000000"/>
                <w:szCs w:val="22"/>
                <w:lang w:val="sr-Latn-ME"/>
              </w:rPr>
              <w:t>a</w:t>
            </w:r>
          </w:p>
        </w:tc>
        <w:tc>
          <w:tcPr>
            <w:tcW w:w="1800" w:type="dxa"/>
            <w:vAlign w:val="center"/>
          </w:tcPr>
          <w:p w14:paraId="38D8EA3B" w14:textId="77777777" w:rsidR="00C175E4" w:rsidRPr="00D768EF" w:rsidRDefault="00C175E4" w:rsidP="00622285">
            <w:pPr>
              <w:keepNext/>
              <w:widowControl w:val="0"/>
              <w:adjustRightInd w:val="0"/>
              <w:jc w:val="left"/>
              <w:rPr>
                <w:color w:val="000000"/>
                <w:szCs w:val="22"/>
                <w:lang w:val="sr-Latn-ME"/>
              </w:rPr>
            </w:pPr>
          </w:p>
        </w:tc>
        <w:tc>
          <w:tcPr>
            <w:tcW w:w="1680" w:type="dxa"/>
            <w:vAlign w:val="center"/>
          </w:tcPr>
          <w:p w14:paraId="749E9C0B" w14:textId="77777777" w:rsidR="00C175E4" w:rsidRPr="00D768EF" w:rsidRDefault="00C175E4" w:rsidP="00622285">
            <w:pPr>
              <w:keepNext/>
              <w:widowControl w:val="0"/>
              <w:adjustRightInd w:val="0"/>
              <w:jc w:val="left"/>
              <w:rPr>
                <w:color w:val="000000"/>
                <w:szCs w:val="22"/>
                <w:lang w:val="sr-Latn-ME"/>
              </w:rPr>
            </w:pPr>
          </w:p>
        </w:tc>
      </w:tr>
      <w:tr w:rsidR="00C175E4" w:rsidRPr="00D768EF" w14:paraId="53AE4FD0" w14:textId="77777777" w:rsidTr="00622285">
        <w:trPr>
          <w:cantSplit/>
          <w:trHeight w:val="320"/>
          <w:jc w:val="center"/>
        </w:trPr>
        <w:tc>
          <w:tcPr>
            <w:tcW w:w="5488" w:type="dxa"/>
            <w:vAlign w:val="bottom"/>
          </w:tcPr>
          <w:p w14:paraId="26BFC2BB" w14:textId="77777777" w:rsidR="00C175E4" w:rsidRPr="00D768EF" w:rsidRDefault="00C175E4" w:rsidP="00622285">
            <w:pPr>
              <w:widowControl w:val="0"/>
              <w:adjustRightInd w:val="0"/>
              <w:ind w:left="270" w:hanging="90"/>
              <w:jc w:val="left"/>
              <w:rPr>
                <w:color w:val="000000"/>
                <w:szCs w:val="22"/>
                <w:lang w:val="sr-Latn-ME"/>
              </w:rPr>
            </w:pPr>
            <w:r w:rsidRPr="00D768EF">
              <w:rPr>
                <w:color w:val="000000"/>
                <w:szCs w:val="22"/>
                <w:lang w:val="sr-Latn-ME"/>
              </w:rPr>
              <w:t xml:space="preserve">N </w:t>
            </w:r>
          </w:p>
        </w:tc>
        <w:tc>
          <w:tcPr>
            <w:tcW w:w="1800" w:type="dxa"/>
            <w:vAlign w:val="center"/>
          </w:tcPr>
          <w:p w14:paraId="259E4D1D" w14:textId="77777777" w:rsidR="00C175E4" w:rsidRPr="00D768EF" w:rsidRDefault="00C175E4" w:rsidP="00622285">
            <w:pPr>
              <w:keepNext/>
              <w:widowControl w:val="0"/>
              <w:adjustRightInd w:val="0"/>
              <w:jc w:val="left"/>
              <w:rPr>
                <w:color w:val="000000"/>
                <w:szCs w:val="22"/>
                <w:lang w:val="sr-Latn-ME"/>
              </w:rPr>
            </w:pPr>
            <w:r w:rsidRPr="00D768EF">
              <w:rPr>
                <w:color w:val="000000"/>
                <w:szCs w:val="22"/>
                <w:lang w:val="sr-Latn-ME"/>
              </w:rPr>
              <w:t>68</w:t>
            </w:r>
          </w:p>
        </w:tc>
        <w:tc>
          <w:tcPr>
            <w:tcW w:w="1680" w:type="dxa"/>
            <w:vAlign w:val="center"/>
          </w:tcPr>
          <w:p w14:paraId="45010875" w14:textId="77777777" w:rsidR="00C175E4" w:rsidRPr="00D768EF" w:rsidRDefault="00C175E4" w:rsidP="00622285">
            <w:pPr>
              <w:keepNext/>
              <w:widowControl w:val="0"/>
              <w:adjustRightInd w:val="0"/>
              <w:jc w:val="left"/>
              <w:rPr>
                <w:color w:val="000000"/>
                <w:szCs w:val="22"/>
                <w:lang w:val="sr-Latn-ME"/>
              </w:rPr>
            </w:pPr>
            <w:r w:rsidRPr="00D768EF">
              <w:rPr>
                <w:color w:val="000000"/>
                <w:szCs w:val="22"/>
                <w:lang w:val="sr-Latn-ME"/>
              </w:rPr>
              <w:t>281</w:t>
            </w:r>
          </w:p>
        </w:tc>
      </w:tr>
      <w:tr w:rsidR="00C175E4" w:rsidRPr="00D768EF" w14:paraId="2C65D27B" w14:textId="77777777" w:rsidTr="00622285">
        <w:trPr>
          <w:cantSplit/>
          <w:trHeight w:val="320"/>
          <w:jc w:val="center"/>
        </w:trPr>
        <w:tc>
          <w:tcPr>
            <w:tcW w:w="5488" w:type="dxa"/>
            <w:vAlign w:val="bottom"/>
          </w:tcPr>
          <w:p w14:paraId="6138BA33" w14:textId="77777777" w:rsidR="00C175E4" w:rsidRPr="00D768EF" w:rsidRDefault="00C175E4" w:rsidP="00622285">
            <w:pPr>
              <w:widowControl w:val="0"/>
              <w:adjustRightInd w:val="0"/>
              <w:jc w:val="left"/>
              <w:rPr>
                <w:color w:val="000000"/>
                <w:szCs w:val="22"/>
                <w:lang w:val="sr-Latn-ME"/>
              </w:rPr>
            </w:pPr>
            <w:r w:rsidRPr="00D768EF">
              <w:rPr>
                <w:color w:val="000000"/>
                <w:szCs w:val="22"/>
                <w:lang w:val="sr-Latn-ME"/>
              </w:rPr>
              <w:t>≥ 90% poboljšanje</w:t>
            </w:r>
          </w:p>
        </w:tc>
        <w:tc>
          <w:tcPr>
            <w:tcW w:w="1800" w:type="dxa"/>
            <w:vAlign w:val="center"/>
          </w:tcPr>
          <w:p w14:paraId="584C15FC" w14:textId="2C90A6C8" w:rsidR="00C175E4" w:rsidRPr="00D768EF" w:rsidRDefault="00C175E4" w:rsidP="00622285">
            <w:pPr>
              <w:keepNext/>
              <w:widowControl w:val="0"/>
              <w:adjustRightInd w:val="0"/>
              <w:jc w:val="left"/>
              <w:rPr>
                <w:color w:val="000000"/>
                <w:szCs w:val="22"/>
                <w:lang w:val="sr-Latn-ME"/>
              </w:rPr>
            </w:pPr>
            <w:r w:rsidRPr="00D768EF">
              <w:rPr>
                <w:color w:val="000000"/>
                <w:szCs w:val="22"/>
                <w:lang w:val="sr-Latn-ME"/>
              </w:rPr>
              <w:t>34 (50.0%)</w:t>
            </w:r>
          </w:p>
        </w:tc>
        <w:tc>
          <w:tcPr>
            <w:tcW w:w="1680" w:type="dxa"/>
            <w:vAlign w:val="center"/>
          </w:tcPr>
          <w:p w14:paraId="79F44E1E" w14:textId="445B0B24" w:rsidR="00C175E4" w:rsidRPr="00D768EF" w:rsidRDefault="00C175E4" w:rsidP="00622285">
            <w:pPr>
              <w:keepNext/>
              <w:widowControl w:val="0"/>
              <w:adjustRightInd w:val="0"/>
              <w:jc w:val="left"/>
              <w:rPr>
                <w:color w:val="000000"/>
                <w:szCs w:val="22"/>
                <w:lang w:val="sr-Latn-ME"/>
              </w:rPr>
            </w:pPr>
            <w:r w:rsidRPr="00D768EF">
              <w:rPr>
                <w:color w:val="000000"/>
                <w:szCs w:val="22"/>
                <w:lang w:val="sr-Latn-ME"/>
              </w:rPr>
              <w:t>127 (45.2%)</w:t>
            </w:r>
          </w:p>
        </w:tc>
      </w:tr>
      <w:tr w:rsidR="00C175E4" w:rsidRPr="00D768EF" w14:paraId="10774D03" w14:textId="77777777" w:rsidTr="00622285">
        <w:trPr>
          <w:cantSplit/>
          <w:trHeight w:val="320"/>
          <w:jc w:val="center"/>
        </w:trPr>
        <w:tc>
          <w:tcPr>
            <w:tcW w:w="5488" w:type="dxa"/>
            <w:vAlign w:val="bottom"/>
          </w:tcPr>
          <w:p w14:paraId="59487CA4" w14:textId="77777777" w:rsidR="00C175E4" w:rsidRPr="00D768EF" w:rsidRDefault="00C175E4" w:rsidP="00622285">
            <w:pPr>
              <w:widowControl w:val="0"/>
              <w:adjustRightInd w:val="0"/>
              <w:jc w:val="left"/>
              <w:rPr>
                <w:color w:val="000000"/>
                <w:szCs w:val="22"/>
                <w:lang w:val="sr-Latn-ME"/>
              </w:rPr>
            </w:pPr>
            <w:r w:rsidRPr="00D768EF">
              <w:rPr>
                <w:color w:val="000000"/>
                <w:szCs w:val="22"/>
                <w:lang w:val="sr-Latn-ME"/>
              </w:rPr>
              <w:lastRenderedPageBreak/>
              <w:t>≥ 75% poboljšanje</w:t>
            </w:r>
          </w:p>
        </w:tc>
        <w:tc>
          <w:tcPr>
            <w:tcW w:w="1800" w:type="dxa"/>
            <w:vAlign w:val="center"/>
          </w:tcPr>
          <w:p w14:paraId="4CE2961D" w14:textId="73C73EAA" w:rsidR="00C175E4" w:rsidRPr="00D768EF" w:rsidRDefault="00C175E4" w:rsidP="00622285">
            <w:pPr>
              <w:keepNext/>
              <w:widowControl w:val="0"/>
              <w:adjustRightInd w:val="0"/>
              <w:jc w:val="left"/>
              <w:rPr>
                <w:color w:val="000000"/>
                <w:szCs w:val="22"/>
                <w:lang w:val="sr-Latn-ME"/>
              </w:rPr>
            </w:pPr>
            <w:r w:rsidRPr="00D768EF">
              <w:rPr>
                <w:color w:val="000000"/>
                <w:szCs w:val="22"/>
                <w:lang w:val="sr-Latn-ME"/>
              </w:rPr>
              <w:t>52 (76.5%)</w:t>
            </w:r>
          </w:p>
        </w:tc>
        <w:tc>
          <w:tcPr>
            <w:tcW w:w="1680" w:type="dxa"/>
            <w:vAlign w:val="center"/>
          </w:tcPr>
          <w:p w14:paraId="2BA5BE03" w14:textId="3DBBF0C0" w:rsidR="00C175E4" w:rsidRPr="00D768EF" w:rsidRDefault="00C175E4" w:rsidP="00622285">
            <w:pPr>
              <w:keepNext/>
              <w:widowControl w:val="0"/>
              <w:adjustRightInd w:val="0"/>
              <w:jc w:val="left"/>
              <w:rPr>
                <w:color w:val="000000"/>
                <w:szCs w:val="22"/>
                <w:lang w:val="sr-Latn-ME"/>
              </w:rPr>
            </w:pPr>
            <w:r w:rsidRPr="00D768EF">
              <w:rPr>
                <w:color w:val="000000"/>
                <w:szCs w:val="22"/>
                <w:lang w:val="sr-Latn-ME"/>
              </w:rPr>
              <w:t>170 (60.5%)</w:t>
            </w:r>
          </w:p>
        </w:tc>
      </w:tr>
      <w:tr w:rsidR="00C175E4" w:rsidRPr="00D768EF" w14:paraId="2D3A4EDA" w14:textId="77777777" w:rsidTr="00622285">
        <w:trPr>
          <w:cantSplit/>
          <w:trHeight w:val="320"/>
          <w:jc w:val="center"/>
        </w:trPr>
        <w:tc>
          <w:tcPr>
            <w:tcW w:w="5488" w:type="dxa"/>
            <w:vAlign w:val="bottom"/>
          </w:tcPr>
          <w:p w14:paraId="4BD23059" w14:textId="77777777" w:rsidR="00C175E4" w:rsidRPr="00D768EF" w:rsidRDefault="00C175E4" w:rsidP="00622285">
            <w:pPr>
              <w:widowControl w:val="0"/>
              <w:adjustRightInd w:val="0"/>
              <w:jc w:val="left"/>
              <w:rPr>
                <w:color w:val="000000"/>
                <w:szCs w:val="22"/>
                <w:lang w:val="sr-Latn-ME"/>
              </w:rPr>
            </w:pPr>
            <w:r w:rsidRPr="00D768EF">
              <w:rPr>
                <w:color w:val="000000"/>
                <w:szCs w:val="22"/>
                <w:lang w:val="sr-Latn-ME"/>
              </w:rPr>
              <w:t>≥ 50% poboljšanje</w:t>
            </w:r>
          </w:p>
        </w:tc>
        <w:tc>
          <w:tcPr>
            <w:tcW w:w="1800" w:type="dxa"/>
            <w:vAlign w:val="center"/>
          </w:tcPr>
          <w:p w14:paraId="5995B261" w14:textId="6E0FCC4A" w:rsidR="00C175E4" w:rsidRPr="00D768EF" w:rsidRDefault="00C175E4" w:rsidP="00622285">
            <w:pPr>
              <w:keepNext/>
              <w:widowControl w:val="0"/>
              <w:adjustRightInd w:val="0"/>
              <w:jc w:val="left"/>
              <w:rPr>
                <w:color w:val="000000"/>
                <w:szCs w:val="22"/>
                <w:lang w:val="sr-Latn-ME"/>
              </w:rPr>
            </w:pPr>
            <w:r w:rsidRPr="00D768EF">
              <w:rPr>
                <w:color w:val="000000"/>
                <w:szCs w:val="22"/>
                <w:lang w:val="sr-Latn-ME"/>
              </w:rPr>
              <w:t>61 (89.7%)</w:t>
            </w:r>
          </w:p>
        </w:tc>
        <w:tc>
          <w:tcPr>
            <w:tcW w:w="1680" w:type="dxa"/>
            <w:vAlign w:val="center"/>
          </w:tcPr>
          <w:p w14:paraId="5EE90A3A" w14:textId="6F1D2B37" w:rsidR="00C175E4" w:rsidRPr="00D768EF" w:rsidRDefault="00C175E4" w:rsidP="00622285">
            <w:pPr>
              <w:keepNext/>
              <w:widowControl w:val="0"/>
              <w:adjustRightInd w:val="0"/>
              <w:jc w:val="left"/>
              <w:rPr>
                <w:color w:val="000000"/>
                <w:szCs w:val="22"/>
                <w:lang w:val="sr-Latn-ME"/>
              </w:rPr>
            </w:pPr>
            <w:r w:rsidRPr="00D768EF">
              <w:rPr>
                <w:color w:val="000000"/>
                <w:szCs w:val="22"/>
                <w:lang w:val="sr-Latn-ME"/>
              </w:rPr>
              <w:t>193 (68.7%)</w:t>
            </w:r>
          </w:p>
        </w:tc>
      </w:tr>
      <w:tr w:rsidR="00C175E4" w:rsidRPr="00D768EF" w14:paraId="1921D227" w14:textId="77777777" w:rsidTr="00622285">
        <w:trPr>
          <w:cantSplit/>
          <w:trHeight w:val="320"/>
          <w:jc w:val="center"/>
        </w:trPr>
        <w:tc>
          <w:tcPr>
            <w:tcW w:w="5488" w:type="dxa"/>
            <w:vAlign w:val="bottom"/>
          </w:tcPr>
          <w:p w14:paraId="30EFDDBC" w14:textId="1A2B87D4" w:rsidR="00C175E4" w:rsidRPr="00D768EF" w:rsidRDefault="00C175E4" w:rsidP="00622285">
            <w:pPr>
              <w:widowControl w:val="0"/>
              <w:adjustRightInd w:val="0"/>
              <w:jc w:val="left"/>
              <w:rPr>
                <w:color w:val="000000"/>
                <w:szCs w:val="22"/>
                <w:lang w:val="sr-Latn-ME"/>
              </w:rPr>
            </w:pPr>
            <w:r w:rsidRPr="00D768EF">
              <w:rPr>
                <w:color w:val="000000"/>
                <w:szCs w:val="22"/>
                <w:lang w:val="sr-Latn-ME"/>
              </w:rPr>
              <w:t>PGA oporavljen (0) ili minim</w:t>
            </w:r>
            <w:r w:rsidR="00C67CCA" w:rsidRPr="00D768EF">
              <w:rPr>
                <w:color w:val="000000"/>
                <w:szCs w:val="22"/>
                <w:lang w:val="sr-Latn-ME"/>
              </w:rPr>
              <w:t>alan</w:t>
            </w:r>
            <w:r w:rsidRPr="00D768EF">
              <w:rPr>
                <w:color w:val="000000"/>
                <w:szCs w:val="22"/>
                <w:lang w:val="sr-Latn-ME"/>
              </w:rPr>
              <w:t xml:space="preserve"> (1)</w:t>
            </w:r>
          </w:p>
        </w:tc>
        <w:tc>
          <w:tcPr>
            <w:tcW w:w="1800" w:type="dxa"/>
            <w:vAlign w:val="center"/>
          </w:tcPr>
          <w:p w14:paraId="7D1A3548" w14:textId="4D0FD265" w:rsidR="00C175E4" w:rsidRPr="00D768EF" w:rsidRDefault="00C175E4" w:rsidP="00622285">
            <w:pPr>
              <w:widowControl w:val="0"/>
              <w:adjustRightInd w:val="0"/>
              <w:jc w:val="left"/>
              <w:rPr>
                <w:color w:val="000000"/>
                <w:szCs w:val="22"/>
                <w:lang w:val="sr-Latn-ME"/>
              </w:rPr>
            </w:pPr>
            <w:r w:rsidRPr="00D768EF">
              <w:rPr>
                <w:color w:val="000000"/>
                <w:szCs w:val="22"/>
                <w:lang w:val="sr-Latn-ME"/>
              </w:rPr>
              <w:t>46 (67.6%)</w:t>
            </w:r>
          </w:p>
        </w:tc>
        <w:tc>
          <w:tcPr>
            <w:tcW w:w="1680" w:type="dxa"/>
            <w:vAlign w:val="center"/>
          </w:tcPr>
          <w:p w14:paraId="717B1000" w14:textId="73073871" w:rsidR="00C175E4" w:rsidRPr="00D768EF" w:rsidRDefault="00C175E4" w:rsidP="00622285">
            <w:pPr>
              <w:widowControl w:val="0"/>
              <w:adjustRightInd w:val="0"/>
              <w:jc w:val="left"/>
              <w:rPr>
                <w:color w:val="000000"/>
                <w:szCs w:val="22"/>
                <w:lang w:val="sr-Latn-ME"/>
              </w:rPr>
            </w:pPr>
            <w:r w:rsidRPr="00D768EF">
              <w:rPr>
                <w:color w:val="000000"/>
                <w:szCs w:val="22"/>
                <w:lang w:val="sr-Latn-ME"/>
              </w:rPr>
              <w:t>149 (53.0%)</w:t>
            </w:r>
          </w:p>
        </w:tc>
      </w:tr>
      <w:tr w:rsidR="00C175E4" w:rsidRPr="00D768EF" w14:paraId="6FD664F2" w14:textId="77777777" w:rsidTr="00622285">
        <w:trPr>
          <w:cantSplit/>
          <w:trHeight w:val="320"/>
          <w:jc w:val="center"/>
        </w:trPr>
        <w:tc>
          <w:tcPr>
            <w:tcW w:w="5488" w:type="dxa"/>
            <w:vAlign w:val="bottom"/>
          </w:tcPr>
          <w:p w14:paraId="4187E946" w14:textId="5D1B7732" w:rsidR="00C175E4" w:rsidRPr="00D768EF" w:rsidRDefault="00C175E4" w:rsidP="00622285">
            <w:pPr>
              <w:widowControl w:val="0"/>
              <w:adjustRightInd w:val="0"/>
              <w:jc w:val="left"/>
              <w:rPr>
                <w:color w:val="000000"/>
                <w:szCs w:val="22"/>
                <w:lang w:val="sr-Latn-ME"/>
              </w:rPr>
            </w:pPr>
            <w:r w:rsidRPr="00D768EF">
              <w:rPr>
                <w:color w:val="000000"/>
                <w:szCs w:val="22"/>
                <w:lang w:val="sr-Latn-ME"/>
              </w:rPr>
              <w:t>PGA oporavljen (0), minim</w:t>
            </w:r>
            <w:r w:rsidR="00C67CCA" w:rsidRPr="00D768EF">
              <w:rPr>
                <w:color w:val="000000"/>
                <w:szCs w:val="22"/>
                <w:lang w:val="sr-Latn-ME"/>
              </w:rPr>
              <w:t>alan</w:t>
            </w:r>
            <w:r w:rsidRPr="00D768EF">
              <w:rPr>
                <w:color w:val="000000"/>
                <w:szCs w:val="22"/>
                <w:lang w:val="sr-Latn-ME"/>
              </w:rPr>
              <w:t xml:space="preserve"> (1) ili blag (2)</w:t>
            </w:r>
          </w:p>
        </w:tc>
        <w:tc>
          <w:tcPr>
            <w:tcW w:w="1800" w:type="dxa"/>
            <w:vAlign w:val="center"/>
          </w:tcPr>
          <w:p w14:paraId="160D0ABC" w14:textId="515F925C" w:rsidR="00C175E4" w:rsidRPr="00D768EF" w:rsidRDefault="00C175E4" w:rsidP="00622285">
            <w:pPr>
              <w:widowControl w:val="0"/>
              <w:adjustRightInd w:val="0"/>
              <w:jc w:val="left"/>
              <w:rPr>
                <w:color w:val="000000"/>
                <w:szCs w:val="22"/>
                <w:lang w:val="sr-Latn-ME"/>
              </w:rPr>
            </w:pPr>
            <w:r w:rsidRPr="00D768EF">
              <w:rPr>
                <w:color w:val="000000"/>
                <w:szCs w:val="22"/>
                <w:lang w:val="sr-Latn-ME"/>
              </w:rPr>
              <w:t>59 (86.8%)</w:t>
            </w:r>
          </w:p>
        </w:tc>
        <w:tc>
          <w:tcPr>
            <w:tcW w:w="1680" w:type="dxa"/>
            <w:vAlign w:val="center"/>
          </w:tcPr>
          <w:p w14:paraId="0D617BC8" w14:textId="5A7EB5F4" w:rsidR="00C175E4" w:rsidRPr="00D768EF" w:rsidRDefault="00C175E4" w:rsidP="00622285">
            <w:pPr>
              <w:widowControl w:val="0"/>
              <w:adjustRightInd w:val="0"/>
              <w:jc w:val="left"/>
              <w:rPr>
                <w:color w:val="000000"/>
                <w:szCs w:val="22"/>
                <w:lang w:val="sr-Latn-ME"/>
              </w:rPr>
            </w:pPr>
            <w:r w:rsidRPr="00D768EF">
              <w:rPr>
                <w:color w:val="000000"/>
                <w:szCs w:val="22"/>
                <w:lang w:val="sr-Latn-ME"/>
              </w:rPr>
              <w:t>189 (67.3%)</w:t>
            </w:r>
          </w:p>
        </w:tc>
      </w:tr>
      <w:tr w:rsidR="00C175E4" w:rsidRPr="00D768EF" w14:paraId="24D402B0" w14:textId="77777777" w:rsidTr="00622285">
        <w:trPr>
          <w:cantSplit/>
          <w:trHeight w:val="320"/>
          <w:jc w:val="center"/>
        </w:trPr>
        <w:tc>
          <w:tcPr>
            <w:tcW w:w="5488" w:type="dxa"/>
            <w:vAlign w:val="bottom"/>
          </w:tcPr>
          <w:p w14:paraId="0EEB8816" w14:textId="77777777" w:rsidR="00C175E4" w:rsidRPr="00D768EF" w:rsidRDefault="00C175E4" w:rsidP="00622285">
            <w:pPr>
              <w:jc w:val="left"/>
              <w:rPr>
                <w:b/>
                <w:bCs/>
                <w:color w:val="000000"/>
                <w:szCs w:val="22"/>
                <w:lang w:val="sr-Latn-ME"/>
              </w:rPr>
            </w:pPr>
            <w:r w:rsidRPr="00D768EF">
              <w:rPr>
                <w:b/>
                <w:bCs/>
                <w:color w:val="000000"/>
                <w:szCs w:val="22"/>
                <w:lang w:val="sr-Latn-ME"/>
              </w:rPr>
              <w:t>Svi nokti oporavljeni (bez psorijatičnih prom</w:t>
            </w:r>
            <w:r w:rsidR="00112897" w:rsidRPr="00D768EF">
              <w:rPr>
                <w:b/>
                <w:bCs/>
                <w:color w:val="000000"/>
                <w:szCs w:val="22"/>
                <w:lang w:val="sr-Latn-ME"/>
              </w:rPr>
              <w:t>j</w:t>
            </w:r>
            <w:r w:rsidRPr="00D768EF">
              <w:rPr>
                <w:b/>
                <w:bCs/>
                <w:color w:val="000000"/>
                <w:szCs w:val="22"/>
                <w:lang w:val="sr-Latn-ME"/>
              </w:rPr>
              <w:t>ena)</w:t>
            </w:r>
            <w:r w:rsidRPr="00D768EF">
              <w:rPr>
                <w:b/>
                <w:bCs/>
                <w:color w:val="000000"/>
                <w:szCs w:val="22"/>
                <w:vertAlign w:val="superscript"/>
                <w:lang w:val="sr-Latn-ME"/>
              </w:rPr>
              <w:t>c</w:t>
            </w:r>
          </w:p>
        </w:tc>
        <w:tc>
          <w:tcPr>
            <w:tcW w:w="1800" w:type="dxa"/>
            <w:vAlign w:val="center"/>
          </w:tcPr>
          <w:p w14:paraId="7CD06451" w14:textId="77777777" w:rsidR="00C175E4" w:rsidRPr="00D768EF" w:rsidRDefault="00C175E4" w:rsidP="00622285">
            <w:pPr>
              <w:widowControl w:val="0"/>
              <w:adjustRightInd w:val="0"/>
              <w:jc w:val="left"/>
              <w:rPr>
                <w:color w:val="000000"/>
                <w:szCs w:val="22"/>
                <w:lang w:val="sr-Latn-ME"/>
              </w:rPr>
            </w:pPr>
          </w:p>
        </w:tc>
        <w:tc>
          <w:tcPr>
            <w:tcW w:w="1680" w:type="dxa"/>
            <w:vAlign w:val="center"/>
          </w:tcPr>
          <w:p w14:paraId="61A57DB2" w14:textId="77777777" w:rsidR="00C175E4" w:rsidRPr="00D768EF" w:rsidRDefault="00C175E4" w:rsidP="00622285">
            <w:pPr>
              <w:widowControl w:val="0"/>
              <w:adjustRightInd w:val="0"/>
              <w:jc w:val="left"/>
              <w:rPr>
                <w:color w:val="000000"/>
                <w:szCs w:val="22"/>
                <w:lang w:val="sr-Latn-ME"/>
              </w:rPr>
            </w:pPr>
          </w:p>
        </w:tc>
      </w:tr>
      <w:tr w:rsidR="00C175E4" w:rsidRPr="00D768EF" w14:paraId="6031FC59" w14:textId="77777777" w:rsidTr="00622285">
        <w:trPr>
          <w:cantSplit/>
          <w:trHeight w:val="320"/>
          <w:jc w:val="center"/>
        </w:trPr>
        <w:tc>
          <w:tcPr>
            <w:tcW w:w="5488" w:type="dxa"/>
            <w:vAlign w:val="bottom"/>
          </w:tcPr>
          <w:p w14:paraId="7477D86D" w14:textId="02D04D6F" w:rsidR="00C175E4" w:rsidRPr="00D768EF" w:rsidRDefault="00C175E4" w:rsidP="00622285">
            <w:pPr>
              <w:jc w:val="left"/>
              <w:rPr>
                <w:color w:val="000000"/>
                <w:szCs w:val="22"/>
                <w:lang w:val="sr-Latn-ME"/>
              </w:rPr>
            </w:pPr>
            <w:r w:rsidRPr="00D768EF">
              <w:rPr>
                <w:color w:val="000000"/>
                <w:szCs w:val="22"/>
                <w:lang w:val="sr-Latn-ME"/>
              </w:rPr>
              <w:t xml:space="preserve">10. </w:t>
            </w:r>
            <w:r w:rsidR="00D57936" w:rsidRPr="00D768EF">
              <w:rPr>
                <w:color w:val="000000"/>
                <w:szCs w:val="22"/>
                <w:lang w:val="sr-Latn-ME"/>
              </w:rPr>
              <w:t>nedjelj</w:t>
            </w:r>
            <w:r w:rsidRPr="00D768EF">
              <w:rPr>
                <w:color w:val="000000"/>
                <w:szCs w:val="22"/>
                <w:lang w:val="sr-Latn-ME"/>
              </w:rPr>
              <w:t>a</w:t>
            </w:r>
          </w:p>
        </w:tc>
        <w:tc>
          <w:tcPr>
            <w:tcW w:w="1800" w:type="dxa"/>
            <w:vAlign w:val="center"/>
          </w:tcPr>
          <w:p w14:paraId="34B6BA2B" w14:textId="0C374E34" w:rsidR="00C175E4" w:rsidRPr="00D768EF" w:rsidRDefault="00C175E4" w:rsidP="00622285">
            <w:pPr>
              <w:widowControl w:val="0"/>
              <w:adjustRightInd w:val="0"/>
              <w:jc w:val="left"/>
              <w:rPr>
                <w:color w:val="000000"/>
                <w:szCs w:val="22"/>
                <w:lang w:val="sr-Latn-ME"/>
              </w:rPr>
            </w:pPr>
            <w:r w:rsidRPr="00D768EF">
              <w:rPr>
                <w:color w:val="000000"/>
                <w:szCs w:val="22"/>
                <w:lang w:val="sr-Latn-ME"/>
              </w:rPr>
              <w:t>1/65(1.5%)</w:t>
            </w:r>
          </w:p>
        </w:tc>
        <w:tc>
          <w:tcPr>
            <w:tcW w:w="1680" w:type="dxa"/>
            <w:vAlign w:val="center"/>
          </w:tcPr>
          <w:p w14:paraId="6110E51A" w14:textId="40BFE12F" w:rsidR="00C175E4" w:rsidRPr="00D768EF" w:rsidRDefault="00C175E4" w:rsidP="00622285">
            <w:pPr>
              <w:widowControl w:val="0"/>
              <w:adjustRightInd w:val="0"/>
              <w:jc w:val="left"/>
              <w:rPr>
                <w:color w:val="000000"/>
                <w:szCs w:val="22"/>
                <w:lang w:val="sr-Latn-ME"/>
              </w:rPr>
            </w:pPr>
            <w:r w:rsidRPr="00D768EF">
              <w:rPr>
                <w:color w:val="000000"/>
                <w:szCs w:val="22"/>
                <w:lang w:val="sr-Latn-ME"/>
              </w:rPr>
              <w:t>16/235 (6.8% )</w:t>
            </w:r>
          </w:p>
        </w:tc>
      </w:tr>
      <w:tr w:rsidR="00C175E4" w:rsidRPr="00D768EF" w14:paraId="71940B71" w14:textId="77777777" w:rsidTr="00622285">
        <w:trPr>
          <w:cantSplit/>
          <w:trHeight w:val="320"/>
          <w:jc w:val="center"/>
        </w:trPr>
        <w:tc>
          <w:tcPr>
            <w:tcW w:w="5488" w:type="dxa"/>
            <w:vAlign w:val="bottom"/>
          </w:tcPr>
          <w:p w14:paraId="78AABD5E" w14:textId="4DF07F5B" w:rsidR="00C175E4" w:rsidRPr="00D768EF" w:rsidRDefault="00C175E4" w:rsidP="00622285">
            <w:pPr>
              <w:jc w:val="left"/>
              <w:rPr>
                <w:color w:val="000000"/>
                <w:szCs w:val="22"/>
                <w:lang w:val="sr-Latn-ME"/>
              </w:rPr>
            </w:pPr>
            <w:r w:rsidRPr="00D768EF">
              <w:rPr>
                <w:color w:val="000000"/>
                <w:szCs w:val="22"/>
                <w:lang w:val="sr-Latn-ME"/>
              </w:rPr>
              <w:t xml:space="preserve">24. </w:t>
            </w:r>
            <w:r w:rsidR="00D57936" w:rsidRPr="00D768EF">
              <w:rPr>
                <w:color w:val="000000"/>
                <w:szCs w:val="22"/>
                <w:lang w:val="sr-Latn-ME"/>
              </w:rPr>
              <w:t>nedjelj</w:t>
            </w:r>
            <w:r w:rsidRPr="00D768EF">
              <w:rPr>
                <w:color w:val="000000"/>
                <w:szCs w:val="22"/>
                <w:lang w:val="sr-Latn-ME"/>
              </w:rPr>
              <w:t>a</w:t>
            </w:r>
          </w:p>
        </w:tc>
        <w:tc>
          <w:tcPr>
            <w:tcW w:w="1800" w:type="dxa"/>
            <w:vAlign w:val="center"/>
          </w:tcPr>
          <w:p w14:paraId="492FB396" w14:textId="1E529A0E" w:rsidR="00C175E4" w:rsidRPr="00D768EF" w:rsidRDefault="00C175E4" w:rsidP="00622285">
            <w:pPr>
              <w:widowControl w:val="0"/>
              <w:adjustRightInd w:val="0"/>
              <w:jc w:val="left"/>
              <w:rPr>
                <w:color w:val="000000"/>
                <w:szCs w:val="22"/>
                <w:lang w:val="sr-Latn-ME"/>
              </w:rPr>
            </w:pPr>
            <w:r w:rsidRPr="00D768EF">
              <w:rPr>
                <w:color w:val="000000"/>
                <w:szCs w:val="22"/>
                <w:lang w:val="sr-Latn-ME"/>
              </w:rPr>
              <w:t>3/65 (4.6%)</w:t>
            </w:r>
          </w:p>
        </w:tc>
        <w:tc>
          <w:tcPr>
            <w:tcW w:w="1680" w:type="dxa"/>
            <w:vAlign w:val="center"/>
          </w:tcPr>
          <w:p w14:paraId="460965D2" w14:textId="61ECD650" w:rsidR="00C175E4" w:rsidRPr="00D768EF" w:rsidRDefault="00C175E4" w:rsidP="00622285">
            <w:pPr>
              <w:widowControl w:val="0"/>
              <w:adjustRightInd w:val="0"/>
              <w:jc w:val="left"/>
              <w:rPr>
                <w:color w:val="000000"/>
                <w:szCs w:val="22"/>
                <w:lang w:val="sr-Latn-ME"/>
              </w:rPr>
            </w:pPr>
            <w:r w:rsidRPr="00D768EF">
              <w:rPr>
                <w:color w:val="000000"/>
                <w:szCs w:val="22"/>
                <w:lang w:val="sr-Latn-ME"/>
              </w:rPr>
              <w:t>58/223 (26,0%)</w:t>
            </w:r>
            <w:r w:rsidRPr="00D768EF">
              <w:rPr>
                <w:color w:val="000000"/>
                <w:szCs w:val="22"/>
                <w:vertAlign w:val="superscript"/>
                <w:lang w:val="sr-Latn-ME"/>
              </w:rPr>
              <w:t>a</w:t>
            </w:r>
          </w:p>
        </w:tc>
      </w:tr>
      <w:tr w:rsidR="00C175E4" w:rsidRPr="00D768EF" w14:paraId="4210EF7D" w14:textId="77777777" w:rsidTr="00622285">
        <w:trPr>
          <w:cantSplit/>
          <w:trHeight w:val="320"/>
          <w:jc w:val="center"/>
        </w:trPr>
        <w:tc>
          <w:tcPr>
            <w:tcW w:w="5488" w:type="dxa"/>
            <w:vAlign w:val="bottom"/>
          </w:tcPr>
          <w:p w14:paraId="5787EC4E" w14:textId="1ADCC4B1" w:rsidR="00C175E4" w:rsidRPr="00D768EF" w:rsidRDefault="00C175E4" w:rsidP="00622285">
            <w:pPr>
              <w:widowControl w:val="0"/>
              <w:adjustRightInd w:val="0"/>
              <w:jc w:val="left"/>
              <w:rPr>
                <w:color w:val="000000"/>
                <w:szCs w:val="22"/>
                <w:lang w:val="sr-Latn-ME"/>
              </w:rPr>
            </w:pPr>
            <w:r w:rsidRPr="00D768EF">
              <w:rPr>
                <w:color w:val="000000"/>
                <w:szCs w:val="22"/>
                <w:lang w:val="sr-Latn-ME"/>
              </w:rPr>
              <w:t xml:space="preserve">50. </w:t>
            </w:r>
            <w:r w:rsidR="00D57936" w:rsidRPr="00D768EF">
              <w:rPr>
                <w:color w:val="000000"/>
                <w:szCs w:val="22"/>
                <w:lang w:val="sr-Latn-ME"/>
              </w:rPr>
              <w:t>nedjelj</w:t>
            </w:r>
            <w:r w:rsidRPr="00D768EF">
              <w:rPr>
                <w:color w:val="000000"/>
                <w:szCs w:val="22"/>
                <w:lang w:val="sr-Latn-ME"/>
              </w:rPr>
              <w:t>a</w:t>
            </w:r>
          </w:p>
        </w:tc>
        <w:tc>
          <w:tcPr>
            <w:tcW w:w="1800" w:type="dxa"/>
            <w:vAlign w:val="center"/>
          </w:tcPr>
          <w:p w14:paraId="148148BA" w14:textId="2272823C" w:rsidR="00C175E4" w:rsidRPr="00D768EF" w:rsidRDefault="00C175E4" w:rsidP="00622285">
            <w:pPr>
              <w:widowControl w:val="0"/>
              <w:adjustRightInd w:val="0"/>
              <w:jc w:val="left"/>
              <w:rPr>
                <w:color w:val="000000"/>
                <w:szCs w:val="22"/>
                <w:lang w:val="sr-Latn-ME"/>
              </w:rPr>
            </w:pPr>
            <w:r w:rsidRPr="00D768EF">
              <w:rPr>
                <w:color w:val="000000"/>
                <w:szCs w:val="22"/>
                <w:lang w:val="sr-Latn-ME"/>
              </w:rPr>
              <w:t>27/64 (42.2%)</w:t>
            </w:r>
          </w:p>
        </w:tc>
        <w:tc>
          <w:tcPr>
            <w:tcW w:w="1680" w:type="dxa"/>
            <w:vAlign w:val="center"/>
          </w:tcPr>
          <w:p w14:paraId="3ECFB99F" w14:textId="1DFAF9A9" w:rsidR="00C175E4" w:rsidRPr="00D768EF" w:rsidRDefault="00C175E4" w:rsidP="00622285">
            <w:pPr>
              <w:widowControl w:val="0"/>
              <w:adjustRightInd w:val="0"/>
              <w:jc w:val="left"/>
              <w:rPr>
                <w:color w:val="000000"/>
                <w:szCs w:val="22"/>
                <w:lang w:val="sr-Latn-ME"/>
              </w:rPr>
            </w:pPr>
            <w:r w:rsidRPr="00D768EF">
              <w:rPr>
                <w:color w:val="000000"/>
                <w:szCs w:val="22"/>
                <w:lang w:val="sr-Latn-ME"/>
              </w:rPr>
              <w:t>92/226 (40.7%)</w:t>
            </w:r>
          </w:p>
        </w:tc>
      </w:tr>
      <w:tr w:rsidR="00C175E4" w:rsidRPr="00EE2CAE" w14:paraId="5F99F7E4" w14:textId="77777777" w:rsidTr="00622285">
        <w:trPr>
          <w:cantSplit/>
          <w:trHeight w:val="320"/>
          <w:jc w:val="center"/>
        </w:trPr>
        <w:tc>
          <w:tcPr>
            <w:tcW w:w="8968" w:type="dxa"/>
            <w:gridSpan w:val="3"/>
            <w:vAlign w:val="bottom"/>
          </w:tcPr>
          <w:p w14:paraId="1EC06960" w14:textId="40489545" w:rsidR="00C175E4" w:rsidRPr="00D768EF" w:rsidRDefault="00C175E4" w:rsidP="00622285">
            <w:pPr>
              <w:widowControl w:val="0"/>
              <w:adjustRightInd w:val="0"/>
              <w:rPr>
                <w:snapToGrid w:val="0"/>
                <w:color w:val="000000"/>
                <w:szCs w:val="22"/>
                <w:lang w:val="sr-Latn-ME"/>
              </w:rPr>
            </w:pPr>
            <w:r w:rsidRPr="00D768EF">
              <w:rPr>
                <w:snapToGrid w:val="0"/>
                <w:color w:val="000000"/>
                <w:szCs w:val="22"/>
                <w:vertAlign w:val="superscript"/>
                <w:lang w:val="sr-Latn-ME"/>
              </w:rPr>
              <w:t>a</w:t>
            </w:r>
            <w:r w:rsidRPr="00D768EF">
              <w:rPr>
                <w:snapToGrid w:val="0"/>
                <w:color w:val="000000"/>
                <w:szCs w:val="22"/>
                <w:lang w:val="sr-Latn-ME"/>
              </w:rPr>
              <w:t xml:space="preserve"> p &lt; 0.001, za svaku grupu koja je primala infliksimab terapiju u odnosu na kontrolnu grupu</w:t>
            </w:r>
          </w:p>
          <w:p w14:paraId="56974EFB" w14:textId="77777777" w:rsidR="00C175E4" w:rsidRPr="00D768EF" w:rsidRDefault="00C175E4" w:rsidP="00622285">
            <w:pPr>
              <w:widowControl w:val="0"/>
              <w:adjustRightInd w:val="0"/>
              <w:rPr>
                <w:snapToGrid w:val="0"/>
                <w:color w:val="000000"/>
                <w:szCs w:val="22"/>
                <w:lang w:val="sr-Latn-ME"/>
              </w:rPr>
            </w:pPr>
            <w:r w:rsidRPr="00D768EF">
              <w:rPr>
                <w:snapToGrid w:val="0"/>
                <w:color w:val="000000"/>
                <w:szCs w:val="22"/>
                <w:vertAlign w:val="superscript"/>
                <w:lang w:val="sr-Latn-ME"/>
              </w:rPr>
              <w:t>b</w:t>
            </w:r>
            <w:r w:rsidRPr="00D768EF">
              <w:rPr>
                <w:snapToGrid w:val="0"/>
                <w:color w:val="000000"/>
                <w:szCs w:val="22"/>
                <w:lang w:val="sr-Latn-ME"/>
              </w:rPr>
              <w:t xml:space="preserve"> n = 292</w:t>
            </w:r>
          </w:p>
          <w:p w14:paraId="05BDDB7D" w14:textId="01B893E8" w:rsidR="00C175E4" w:rsidRPr="00D768EF" w:rsidRDefault="00C175E4" w:rsidP="00622285">
            <w:pPr>
              <w:widowControl w:val="0"/>
              <w:adjustRightInd w:val="0"/>
              <w:rPr>
                <w:color w:val="000000"/>
                <w:szCs w:val="22"/>
                <w:lang w:val="sr-Latn-ME"/>
              </w:rPr>
            </w:pPr>
            <w:r w:rsidRPr="00D768EF">
              <w:rPr>
                <w:color w:val="000000"/>
                <w:szCs w:val="22"/>
                <w:vertAlign w:val="superscript"/>
                <w:lang w:val="sr-Latn-ME"/>
              </w:rPr>
              <w:t>c</w:t>
            </w:r>
            <w:r w:rsidRPr="00D768EF">
              <w:rPr>
                <w:color w:val="000000"/>
                <w:szCs w:val="22"/>
                <w:lang w:val="sr-Latn-ME"/>
              </w:rPr>
              <w:t xml:space="preserve"> Analiza je bila zasnovana na </w:t>
            </w:r>
            <w:r w:rsidR="00C67CCA" w:rsidRPr="00D768EF">
              <w:rPr>
                <w:color w:val="000000"/>
                <w:szCs w:val="22"/>
                <w:lang w:val="sr-Latn-ME"/>
              </w:rPr>
              <w:t xml:space="preserve">ispitanicima </w:t>
            </w:r>
            <w:r w:rsidRPr="00D768EF">
              <w:rPr>
                <w:color w:val="000000"/>
                <w:szCs w:val="22"/>
                <w:lang w:val="sr-Latn-ME"/>
              </w:rPr>
              <w:t>koji su na početku imali psorijazu noktiju (81,8% pacijenata). Srednji rezultati NAPSI skale na početku bili su 4,6 u infliksimab grupi i 4,3 u placebo grupi.</w:t>
            </w:r>
          </w:p>
        </w:tc>
      </w:tr>
    </w:tbl>
    <w:p w14:paraId="30C7C97C" w14:textId="77777777" w:rsidR="00C175E4" w:rsidRPr="00D768EF" w:rsidRDefault="00C175E4" w:rsidP="00C175E4">
      <w:pPr>
        <w:rPr>
          <w:color w:val="000000"/>
          <w:szCs w:val="22"/>
          <w:lang w:val="sr-Latn-ME"/>
        </w:rPr>
      </w:pPr>
    </w:p>
    <w:p w14:paraId="7B8963D9" w14:textId="5253AC59" w:rsidR="00C175E4" w:rsidRPr="00D768EF" w:rsidRDefault="00C175E4" w:rsidP="00C175E4">
      <w:pPr>
        <w:rPr>
          <w:color w:val="000000"/>
          <w:szCs w:val="22"/>
          <w:lang w:val="sr-Latn-ME"/>
        </w:rPr>
      </w:pPr>
      <w:r w:rsidRPr="00D768EF">
        <w:rPr>
          <w:color w:val="000000"/>
          <w:szCs w:val="22"/>
          <w:lang w:val="sr-Latn-ME"/>
        </w:rPr>
        <w:t>Značajno poboljšanje u odnosu na početno stanje pokazalo se i u upitniku DLQI (p &lt; 0</w:t>
      </w:r>
      <w:r w:rsidR="00C67CCA" w:rsidRPr="00D768EF">
        <w:rPr>
          <w:color w:val="000000"/>
          <w:szCs w:val="22"/>
          <w:lang w:val="sr-Latn-ME"/>
        </w:rPr>
        <w:t>,</w:t>
      </w:r>
      <w:r w:rsidRPr="00D768EF">
        <w:rPr>
          <w:color w:val="000000"/>
          <w:szCs w:val="22"/>
          <w:lang w:val="sr-Latn-ME"/>
        </w:rPr>
        <w:t>001) i u rezultatima fizičkih i mentalnih komponenti prema SF 36 upitniku (p &lt; 0</w:t>
      </w:r>
      <w:r w:rsidR="00C67CCA" w:rsidRPr="00D768EF">
        <w:rPr>
          <w:color w:val="000000"/>
          <w:szCs w:val="22"/>
          <w:lang w:val="sr-Latn-ME"/>
        </w:rPr>
        <w:t>,</w:t>
      </w:r>
      <w:r w:rsidRPr="00D768EF">
        <w:rPr>
          <w:color w:val="000000"/>
          <w:szCs w:val="22"/>
          <w:lang w:val="sr-Latn-ME"/>
        </w:rPr>
        <w:t>001 za svaku komponentu koja je poređena).</w:t>
      </w:r>
    </w:p>
    <w:p w14:paraId="60C878D0" w14:textId="77777777" w:rsidR="00C175E4" w:rsidRPr="00D768EF" w:rsidRDefault="00C175E4" w:rsidP="00C175E4">
      <w:pPr>
        <w:rPr>
          <w:szCs w:val="22"/>
          <w:lang w:val="sr-Latn-ME"/>
        </w:rPr>
      </w:pPr>
    </w:p>
    <w:p w14:paraId="05CF9C82" w14:textId="77777777" w:rsidR="00C175E4" w:rsidRPr="00D768EF" w:rsidRDefault="00C175E4" w:rsidP="002C1E29">
      <w:pPr>
        <w:keepNext/>
        <w:rPr>
          <w:color w:val="000000"/>
          <w:szCs w:val="22"/>
          <w:u w:val="single"/>
          <w:lang w:val="sr-Latn-ME"/>
        </w:rPr>
      </w:pPr>
      <w:r w:rsidRPr="00D768EF">
        <w:rPr>
          <w:color w:val="000000"/>
          <w:szCs w:val="22"/>
          <w:u w:val="single"/>
          <w:lang w:val="sr-Latn-ME"/>
        </w:rPr>
        <w:t>Pedijatrijska populacija</w:t>
      </w:r>
    </w:p>
    <w:p w14:paraId="08B3CBA5" w14:textId="77777777" w:rsidR="00C175E4" w:rsidRPr="00D768EF" w:rsidRDefault="00C175E4" w:rsidP="002C1E29">
      <w:pPr>
        <w:keepNext/>
        <w:rPr>
          <w:i/>
          <w:color w:val="000000"/>
          <w:szCs w:val="22"/>
          <w:u w:val="single"/>
          <w:lang w:val="sr-Latn-ME"/>
        </w:rPr>
      </w:pPr>
    </w:p>
    <w:p w14:paraId="7498370E" w14:textId="3DB78EE4" w:rsidR="00C175E4" w:rsidRPr="00D768EF" w:rsidRDefault="00C175E4" w:rsidP="002C1E29">
      <w:pPr>
        <w:keepNext/>
        <w:rPr>
          <w:i/>
          <w:color w:val="000000"/>
          <w:szCs w:val="22"/>
          <w:u w:val="single"/>
          <w:lang w:val="sr-Latn-ME"/>
        </w:rPr>
      </w:pPr>
      <w:r w:rsidRPr="00D768EF">
        <w:rPr>
          <w:i/>
          <w:color w:val="000000"/>
          <w:szCs w:val="22"/>
          <w:u w:val="single"/>
          <w:lang w:val="sr-Latn-ME"/>
        </w:rPr>
        <w:t xml:space="preserve">Kronova bolest kod </w:t>
      </w:r>
      <w:r w:rsidR="00220982" w:rsidRPr="00D768EF">
        <w:rPr>
          <w:i/>
          <w:color w:val="000000"/>
          <w:szCs w:val="22"/>
          <w:u w:val="single"/>
          <w:lang w:val="sr-Latn-ME"/>
        </w:rPr>
        <w:t>djece</w:t>
      </w:r>
      <w:r w:rsidRPr="00D768EF">
        <w:rPr>
          <w:i/>
          <w:color w:val="000000"/>
          <w:szCs w:val="22"/>
          <w:u w:val="single"/>
          <w:lang w:val="sr-Latn-ME"/>
        </w:rPr>
        <w:t xml:space="preserve"> (6 do17 godina)</w:t>
      </w:r>
    </w:p>
    <w:p w14:paraId="0E85042F" w14:textId="77777777" w:rsidR="00C175E4" w:rsidRPr="00D768EF" w:rsidRDefault="00C175E4" w:rsidP="002C1E29">
      <w:pPr>
        <w:keepNext/>
        <w:rPr>
          <w:color w:val="000000"/>
          <w:szCs w:val="22"/>
          <w:u w:val="single"/>
          <w:lang w:val="sr-Latn-ME"/>
        </w:rPr>
      </w:pPr>
    </w:p>
    <w:p w14:paraId="1FFE285D" w14:textId="16C64A3E" w:rsidR="00C175E4" w:rsidRPr="00D768EF" w:rsidRDefault="00C175E4" w:rsidP="00C175E4">
      <w:pPr>
        <w:tabs>
          <w:tab w:val="clear" w:pos="284"/>
        </w:tabs>
        <w:autoSpaceDE w:val="0"/>
        <w:autoSpaceDN w:val="0"/>
        <w:adjustRightInd w:val="0"/>
        <w:rPr>
          <w:color w:val="000000"/>
          <w:szCs w:val="22"/>
          <w:lang w:val="sr-Latn-ME"/>
        </w:rPr>
      </w:pPr>
      <w:r w:rsidRPr="00D768EF">
        <w:rPr>
          <w:color w:val="000000"/>
          <w:szCs w:val="22"/>
          <w:lang w:val="sr-Latn-ME"/>
        </w:rPr>
        <w:t>U okviru REACH studije, 112 pacijenata (6 do 17 godina, medijana 13</w:t>
      </w:r>
      <w:r w:rsidR="00C67CCA" w:rsidRPr="00D768EF">
        <w:rPr>
          <w:color w:val="000000"/>
          <w:szCs w:val="22"/>
          <w:lang w:val="sr-Latn-ME"/>
        </w:rPr>
        <w:t>,</w:t>
      </w:r>
      <w:r w:rsidRPr="00D768EF">
        <w:rPr>
          <w:color w:val="000000"/>
          <w:szCs w:val="22"/>
          <w:lang w:val="sr-Latn-ME"/>
        </w:rPr>
        <w:t>0 godina) sa um</w:t>
      </w:r>
      <w:r w:rsidR="00112897" w:rsidRPr="00D768EF">
        <w:rPr>
          <w:color w:val="000000"/>
          <w:szCs w:val="22"/>
          <w:lang w:val="sr-Latn-ME"/>
        </w:rPr>
        <w:t>j</w:t>
      </w:r>
      <w:r w:rsidRPr="00D768EF">
        <w:rPr>
          <w:color w:val="000000"/>
          <w:szCs w:val="22"/>
          <w:lang w:val="sr-Latn-ME"/>
        </w:rPr>
        <w:t xml:space="preserve">erenom do teškom aktivnom Kronovom bolešću (medijana pedijatrijskog CDAI bila je 40) i sa neadekvatnom reakcijom na konvencionalne terapije primilo je 5 mg/kg infliksimaba u 0, 2., i 6. </w:t>
      </w:r>
      <w:r w:rsidR="00D57936" w:rsidRPr="00D768EF">
        <w:rPr>
          <w:color w:val="000000"/>
          <w:szCs w:val="22"/>
          <w:lang w:val="sr-Latn-ME"/>
        </w:rPr>
        <w:t>nedjelj</w:t>
      </w:r>
      <w:r w:rsidRPr="00D768EF">
        <w:rPr>
          <w:color w:val="000000"/>
          <w:szCs w:val="22"/>
          <w:lang w:val="sr-Latn-ME"/>
        </w:rPr>
        <w:t xml:space="preserve">i. Svi pacijenti su morali da primaju stabilne doze 6-MP, AZA ili MTX (35% je takođe primalo kortikosteroide na početku terapije). </w:t>
      </w:r>
    </w:p>
    <w:p w14:paraId="745F2E7B" w14:textId="77777777" w:rsidR="00C175E4" w:rsidRPr="00D768EF" w:rsidRDefault="00C175E4" w:rsidP="00C175E4">
      <w:pPr>
        <w:tabs>
          <w:tab w:val="clear" w:pos="284"/>
        </w:tabs>
        <w:autoSpaceDE w:val="0"/>
        <w:autoSpaceDN w:val="0"/>
        <w:adjustRightInd w:val="0"/>
        <w:rPr>
          <w:color w:val="000000"/>
          <w:szCs w:val="22"/>
          <w:lang w:val="sr-Latn-ME"/>
        </w:rPr>
      </w:pPr>
    </w:p>
    <w:p w14:paraId="02871574" w14:textId="5BEA6DD3" w:rsidR="00C175E4" w:rsidRPr="00D768EF" w:rsidRDefault="00C175E4" w:rsidP="00C175E4">
      <w:pPr>
        <w:tabs>
          <w:tab w:val="clear" w:pos="284"/>
        </w:tabs>
        <w:autoSpaceDE w:val="0"/>
        <w:autoSpaceDN w:val="0"/>
        <w:adjustRightInd w:val="0"/>
        <w:rPr>
          <w:color w:val="000000"/>
          <w:szCs w:val="22"/>
          <w:lang w:val="sr-Latn-ME"/>
        </w:rPr>
      </w:pPr>
      <w:r w:rsidRPr="00D768EF">
        <w:rPr>
          <w:color w:val="000000"/>
          <w:szCs w:val="22"/>
          <w:lang w:val="sr-Latn-ME"/>
        </w:rPr>
        <w:t>Pacijenti, za koje je istraživač proc</w:t>
      </w:r>
      <w:r w:rsidR="00BB5F87" w:rsidRPr="00D768EF">
        <w:rPr>
          <w:color w:val="000000"/>
          <w:szCs w:val="22"/>
          <w:lang w:val="sr-Latn-ME"/>
        </w:rPr>
        <w:t>ij</w:t>
      </w:r>
      <w:r w:rsidRPr="00D768EF">
        <w:rPr>
          <w:color w:val="000000"/>
          <w:szCs w:val="22"/>
          <w:lang w:val="sr-Latn-ME"/>
        </w:rPr>
        <w:t xml:space="preserve">enio da su postigli klinički odgovor u 10. </w:t>
      </w:r>
      <w:r w:rsidR="00D57936" w:rsidRPr="00D768EF">
        <w:rPr>
          <w:color w:val="000000"/>
          <w:szCs w:val="22"/>
          <w:lang w:val="sr-Latn-ME"/>
        </w:rPr>
        <w:t>nedjelj</w:t>
      </w:r>
      <w:r w:rsidRPr="00D768EF">
        <w:rPr>
          <w:color w:val="000000"/>
          <w:szCs w:val="22"/>
          <w:lang w:val="sr-Latn-ME"/>
        </w:rPr>
        <w:t>i, randomizovani su u dv</w:t>
      </w:r>
      <w:r w:rsidR="00112897" w:rsidRPr="00D768EF">
        <w:rPr>
          <w:color w:val="000000"/>
          <w:szCs w:val="22"/>
          <w:lang w:val="sr-Latn-ME"/>
        </w:rPr>
        <w:t>ij</w:t>
      </w:r>
      <w:r w:rsidRPr="00D768EF">
        <w:rPr>
          <w:color w:val="000000"/>
          <w:szCs w:val="22"/>
          <w:lang w:val="sr-Latn-ME"/>
        </w:rPr>
        <w:t xml:space="preserve">e grupe. </w:t>
      </w:r>
      <w:r w:rsidRPr="00D768EF">
        <w:rPr>
          <w:szCs w:val="22"/>
          <w:lang w:val="sr-Latn-ME"/>
        </w:rPr>
        <w:t xml:space="preserve">Jedna grupa je kao terapiju održavanja primala dozu od 5 mg/kg infliksimaba svakih 8 </w:t>
      </w:r>
      <w:r w:rsidR="00D57936" w:rsidRPr="00D768EF">
        <w:rPr>
          <w:szCs w:val="22"/>
          <w:lang w:val="sr-Latn-ME"/>
        </w:rPr>
        <w:t>nedjelj</w:t>
      </w:r>
      <w:r w:rsidRPr="00D768EF">
        <w:rPr>
          <w:szCs w:val="22"/>
          <w:lang w:val="sr-Latn-ME"/>
        </w:rPr>
        <w:t xml:space="preserve">a, a druga svakih 12 </w:t>
      </w:r>
      <w:r w:rsidR="00D57936" w:rsidRPr="00D768EF">
        <w:rPr>
          <w:szCs w:val="22"/>
          <w:lang w:val="sr-Latn-ME"/>
        </w:rPr>
        <w:t>nedjelj</w:t>
      </w:r>
      <w:r w:rsidRPr="00D768EF">
        <w:rPr>
          <w:szCs w:val="22"/>
          <w:lang w:val="sr-Latn-ME"/>
        </w:rPr>
        <w:t xml:space="preserve">a. </w:t>
      </w:r>
      <w:r w:rsidRPr="00D768EF">
        <w:rPr>
          <w:color w:val="000000"/>
          <w:szCs w:val="22"/>
          <w:lang w:val="sr-Latn-ME"/>
        </w:rPr>
        <w:t xml:space="preserve">Ukoliko je u toku terapije održavanja došlo do gubitka odgovora, bio je dozvoljen prelazak na veću dozu (10 mg/kg) i/ili kraći interval između doza (8 </w:t>
      </w:r>
      <w:r w:rsidR="00D57936" w:rsidRPr="00D768EF">
        <w:rPr>
          <w:color w:val="000000"/>
          <w:szCs w:val="22"/>
          <w:lang w:val="sr-Latn-ME"/>
        </w:rPr>
        <w:t>nedjelj</w:t>
      </w:r>
      <w:r w:rsidRPr="00D768EF">
        <w:rPr>
          <w:color w:val="000000"/>
          <w:szCs w:val="22"/>
          <w:lang w:val="sr-Latn-ME"/>
        </w:rPr>
        <w:t xml:space="preserve">a). Trideset dva (32) pedijatrijska pacijenta, za koje je bilo moguće izvršiti evaluaciju, je prešlo u tu grupu </w:t>
      </w:r>
      <w:r w:rsidRPr="00D768EF">
        <w:rPr>
          <w:szCs w:val="22"/>
          <w:lang w:val="sr-Latn-ME"/>
        </w:rPr>
        <w:t xml:space="preserve">(9 ispitanika u grupi koja je primala terapiju održavanja svakih 8 </w:t>
      </w:r>
      <w:r w:rsidR="00D57936" w:rsidRPr="00D768EF">
        <w:rPr>
          <w:szCs w:val="22"/>
          <w:lang w:val="sr-Latn-ME"/>
        </w:rPr>
        <w:t>nedjelj</w:t>
      </w:r>
      <w:r w:rsidRPr="00D768EF">
        <w:rPr>
          <w:szCs w:val="22"/>
          <w:lang w:val="sr-Latn-ME"/>
        </w:rPr>
        <w:t xml:space="preserve">a i 23 ispitanika u grupi koja ju je primala svakih 12 </w:t>
      </w:r>
      <w:r w:rsidR="00D57936" w:rsidRPr="00D768EF">
        <w:rPr>
          <w:szCs w:val="22"/>
          <w:lang w:val="sr-Latn-ME"/>
        </w:rPr>
        <w:t>nedjelj</w:t>
      </w:r>
      <w:r w:rsidRPr="00D768EF">
        <w:rPr>
          <w:szCs w:val="22"/>
          <w:lang w:val="sr-Latn-ME"/>
        </w:rPr>
        <w:t>a).</w:t>
      </w:r>
      <w:r w:rsidRPr="00D768EF">
        <w:rPr>
          <w:color w:val="000000"/>
          <w:szCs w:val="22"/>
          <w:lang w:val="sr-Latn-ME"/>
        </w:rPr>
        <w:t xml:space="preserve"> Dvadeset četvoro od tih pacijenata (75</w:t>
      </w:r>
      <w:r w:rsidR="00C67CCA" w:rsidRPr="00D768EF">
        <w:rPr>
          <w:color w:val="000000"/>
          <w:szCs w:val="22"/>
          <w:lang w:val="sr-Latn-ME"/>
        </w:rPr>
        <w:t>,</w:t>
      </w:r>
      <w:r w:rsidRPr="00D768EF">
        <w:rPr>
          <w:color w:val="000000"/>
          <w:szCs w:val="22"/>
          <w:lang w:val="sr-Latn-ME"/>
        </w:rPr>
        <w:t>0%) ponovo je ostvarilo kliničk</w:t>
      </w:r>
      <w:r w:rsidR="00C67CCA" w:rsidRPr="00D768EF">
        <w:rPr>
          <w:color w:val="000000"/>
          <w:szCs w:val="22"/>
          <w:lang w:val="sr-Latn-ME"/>
        </w:rPr>
        <w:t>i</w:t>
      </w:r>
      <w:r w:rsidRPr="00D768EF">
        <w:rPr>
          <w:color w:val="000000"/>
          <w:szCs w:val="22"/>
          <w:lang w:val="sr-Latn-ME"/>
        </w:rPr>
        <w:t xml:space="preserve"> </w:t>
      </w:r>
      <w:r w:rsidR="00C67CCA" w:rsidRPr="00D768EF">
        <w:rPr>
          <w:color w:val="000000"/>
          <w:szCs w:val="22"/>
          <w:lang w:val="sr-Latn-ME"/>
        </w:rPr>
        <w:t>odgovor</w:t>
      </w:r>
      <w:r w:rsidRPr="00D768EF">
        <w:rPr>
          <w:color w:val="000000"/>
          <w:szCs w:val="22"/>
          <w:lang w:val="sr-Latn-ME"/>
        </w:rPr>
        <w:t xml:space="preserve"> posl</w:t>
      </w:r>
      <w:r w:rsidR="008B2126">
        <w:rPr>
          <w:color w:val="000000"/>
          <w:szCs w:val="22"/>
          <w:lang w:val="sr-Latn-ME"/>
        </w:rPr>
        <w:t>ij</w:t>
      </w:r>
      <w:r w:rsidRPr="00D768EF">
        <w:rPr>
          <w:color w:val="000000"/>
          <w:szCs w:val="22"/>
          <w:lang w:val="sr-Latn-ME"/>
        </w:rPr>
        <w:t xml:space="preserve">e prelaska. </w:t>
      </w:r>
    </w:p>
    <w:p w14:paraId="134EC4DB" w14:textId="1708014B" w:rsidR="00C175E4" w:rsidRPr="00D768EF" w:rsidRDefault="00C67CCA" w:rsidP="00C175E4">
      <w:pPr>
        <w:rPr>
          <w:color w:val="000000"/>
          <w:szCs w:val="22"/>
          <w:lang w:val="sr-Latn-ME"/>
        </w:rPr>
      </w:pPr>
      <w:r w:rsidRPr="00D768EF">
        <w:rPr>
          <w:color w:val="000000"/>
          <w:szCs w:val="22"/>
          <w:lang w:val="sr-Latn-ME"/>
        </w:rPr>
        <w:t>Ud</w:t>
      </w:r>
      <w:r w:rsidR="00EF4BB0" w:rsidRPr="00D768EF">
        <w:rPr>
          <w:color w:val="000000"/>
          <w:szCs w:val="22"/>
          <w:lang w:val="sr-Latn-ME"/>
        </w:rPr>
        <w:t>i</w:t>
      </w:r>
      <w:r w:rsidRPr="00D768EF">
        <w:rPr>
          <w:color w:val="000000"/>
          <w:szCs w:val="22"/>
          <w:lang w:val="sr-Latn-ME"/>
        </w:rPr>
        <w:t xml:space="preserve">o </w:t>
      </w:r>
      <w:r w:rsidR="00C175E4" w:rsidRPr="00D768EF">
        <w:rPr>
          <w:color w:val="000000"/>
          <w:szCs w:val="22"/>
          <w:lang w:val="sr-Latn-ME"/>
        </w:rPr>
        <w:t>ispitanika koji su imali kliničk</w:t>
      </w:r>
      <w:r w:rsidRPr="00D768EF">
        <w:rPr>
          <w:color w:val="000000"/>
          <w:szCs w:val="22"/>
          <w:lang w:val="sr-Latn-ME"/>
        </w:rPr>
        <w:t>i</w:t>
      </w:r>
      <w:r w:rsidR="00C175E4" w:rsidRPr="00D768EF">
        <w:rPr>
          <w:color w:val="000000"/>
          <w:szCs w:val="22"/>
          <w:lang w:val="sr-Latn-ME"/>
        </w:rPr>
        <w:t xml:space="preserve"> </w:t>
      </w:r>
      <w:r w:rsidRPr="00D768EF">
        <w:rPr>
          <w:color w:val="000000"/>
          <w:szCs w:val="22"/>
          <w:lang w:val="sr-Latn-ME"/>
        </w:rPr>
        <w:t>odgovor</w:t>
      </w:r>
      <w:r w:rsidR="00C175E4" w:rsidRPr="00D768EF">
        <w:rPr>
          <w:color w:val="000000"/>
          <w:szCs w:val="22"/>
          <w:lang w:val="sr-Latn-ME"/>
        </w:rPr>
        <w:t xml:space="preserve"> u 10. </w:t>
      </w:r>
      <w:r w:rsidR="00D57936" w:rsidRPr="00D768EF">
        <w:rPr>
          <w:color w:val="000000"/>
          <w:szCs w:val="22"/>
          <w:lang w:val="sr-Latn-ME"/>
        </w:rPr>
        <w:t>nedjelj</w:t>
      </w:r>
      <w:r w:rsidR="00C175E4" w:rsidRPr="00D768EF">
        <w:rPr>
          <w:color w:val="000000"/>
          <w:szCs w:val="22"/>
          <w:lang w:val="sr-Latn-ME"/>
        </w:rPr>
        <w:t xml:space="preserve">i bio je 88,4% (99/112). </w:t>
      </w:r>
      <w:r w:rsidRPr="00D768EF">
        <w:rPr>
          <w:color w:val="000000"/>
          <w:szCs w:val="22"/>
          <w:lang w:val="sr-Latn-ME"/>
        </w:rPr>
        <w:t>Ud</w:t>
      </w:r>
      <w:r w:rsidR="00BF5543" w:rsidRPr="00D768EF">
        <w:rPr>
          <w:color w:val="000000"/>
          <w:szCs w:val="22"/>
          <w:lang w:val="sr-Latn-ME"/>
        </w:rPr>
        <w:t>i</w:t>
      </w:r>
      <w:r w:rsidRPr="00D768EF">
        <w:rPr>
          <w:color w:val="000000"/>
          <w:szCs w:val="22"/>
          <w:lang w:val="sr-Latn-ME"/>
        </w:rPr>
        <w:t>o</w:t>
      </w:r>
      <w:r w:rsidR="00C175E4" w:rsidRPr="00D768EF">
        <w:rPr>
          <w:color w:val="000000"/>
          <w:szCs w:val="22"/>
          <w:lang w:val="sr-Latn-ME"/>
        </w:rPr>
        <w:t xml:space="preserve"> ispitanika koji su ostvarili kliničku remisiju u 10. </w:t>
      </w:r>
      <w:r w:rsidR="00D57936" w:rsidRPr="00D768EF">
        <w:rPr>
          <w:color w:val="000000"/>
          <w:szCs w:val="22"/>
          <w:lang w:val="sr-Latn-ME"/>
        </w:rPr>
        <w:t>nedjelj</w:t>
      </w:r>
      <w:r w:rsidR="00C175E4" w:rsidRPr="00D768EF">
        <w:rPr>
          <w:color w:val="000000"/>
          <w:szCs w:val="22"/>
          <w:lang w:val="sr-Latn-ME"/>
        </w:rPr>
        <w:t xml:space="preserve">i bio je 58,9% (66/112). </w:t>
      </w:r>
    </w:p>
    <w:p w14:paraId="4FE2C480" w14:textId="15A665C0" w:rsidR="00C175E4" w:rsidRPr="00D768EF" w:rsidRDefault="00C175E4" w:rsidP="00C175E4">
      <w:pPr>
        <w:tabs>
          <w:tab w:val="clear" w:pos="284"/>
        </w:tabs>
        <w:autoSpaceDE w:val="0"/>
        <w:autoSpaceDN w:val="0"/>
        <w:adjustRightInd w:val="0"/>
        <w:rPr>
          <w:szCs w:val="22"/>
          <w:lang w:val="sr-Latn-ME"/>
        </w:rPr>
      </w:pPr>
      <w:r w:rsidRPr="00D768EF">
        <w:rPr>
          <w:color w:val="000000"/>
          <w:szCs w:val="22"/>
          <w:lang w:val="sr-Latn-ME"/>
        </w:rPr>
        <w:t xml:space="preserve">U 30. </w:t>
      </w:r>
      <w:r w:rsidR="00D57936" w:rsidRPr="00D768EF">
        <w:rPr>
          <w:color w:val="000000"/>
          <w:szCs w:val="22"/>
          <w:lang w:val="sr-Latn-ME"/>
        </w:rPr>
        <w:t>nedjelj</w:t>
      </w:r>
      <w:r w:rsidRPr="00D768EF">
        <w:rPr>
          <w:color w:val="000000"/>
          <w:szCs w:val="22"/>
          <w:lang w:val="sr-Latn-ME"/>
        </w:rPr>
        <w:t xml:space="preserve">i, </w:t>
      </w:r>
      <w:r w:rsidR="00C67CCA" w:rsidRPr="00D768EF">
        <w:rPr>
          <w:color w:val="000000"/>
          <w:szCs w:val="22"/>
          <w:lang w:val="sr-Latn-ME"/>
        </w:rPr>
        <w:t>ud</w:t>
      </w:r>
      <w:r w:rsidR="00EF4BB0" w:rsidRPr="00D768EF">
        <w:rPr>
          <w:color w:val="000000"/>
          <w:szCs w:val="22"/>
          <w:lang w:val="sr-Latn-ME"/>
        </w:rPr>
        <w:t>i</w:t>
      </w:r>
      <w:r w:rsidR="00C67CCA" w:rsidRPr="00D768EF">
        <w:rPr>
          <w:color w:val="000000"/>
          <w:szCs w:val="22"/>
          <w:lang w:val="sr-Latn-ME"/>
        </w:rPr>
        <w:t xml:space="preserve">o </w:t>
      </w:r>
      <w:r w:rsidRPr="00D768EF">
        <w:rPr>
          <w:color w:val="000000"/>
          <w:szCs w:val="22"/>
          <w:lang w:val="sr-Latn-ME"/>
        </w:rPr>
        <w:t xml:space="preserve">ispitanika u kliničkoj remisiji bio je veći </w:t>
      </w:r>
      <w:r w:rsidRPr="00D768EF">
        <w:rPr>
          <w:szCs w:val="22"/>
          <w:lang w:val="sr-Latn-ME"/>
        </w:rPr>
        <w:t xml:space="preserve">u grupi koja je terapiju održavanja primala svakih 8 </w:t>
      </w:r>
      <w:r w:rsidR="00D57936" w:rsidRPr="00D768EF">
        <w:rPr>
          <w:szCs w:val="22"/>
          <w:lang w:val="sr-Latn-ME"/>
        </w:rPr>
        <w:t>nedjelj</w:t>
      </w:r>
      <w:r w:rsidRPr="00D768EF">
        <w:rPr>
          <w:szCs w:val="22"/>
          <w:lang w:val="sr-Latn-ME"/>
        </w:rPr>
        <w:t xml:space="preserve">a (59,6%, 31/52) nego u grupi koja je terapiju održavanja primala svakih 12 </w:t>
      </w:r>
      <w:r w:rsidR="00D57936" w:rsidRPr="00D768EF">
        <w:rPr>
          <w:szCs w:val="22"/>
          <w:lang w:val="sr-Latn-ME"/>
        </w:rPr>
        <w:t>nedjelj</w:t>
      </w:r>
      <w:r w:rsidRPr="00D768EF">
        <w:rPr>
          <w:szCs w:val="22"/>
          <w:lang w:val="sr-Latn-ME"/>
        </w:rPr>
        <w:t xml:space="preserve">a (35,3%, 18/51; p = 0,013). U 54. </w:t>
      </w:r>
      <w:r w:rsidR="00D57936" w:rsidRPr="00D768EF">
        <w:rPr>
          <w:szCs w:val="22"/>
          <w:lang w:val="sr-Latn-ME"/>
        </w:rPr>
        <w:t>nedjelj</w:t>
      </w:r>
      <w:r w:rsidRPr="00D768EF">
        <w:rPr>
          <w:szCs w:val="22"/>
          <w:lang w:val="sr-Latn-ME"/>
        </w:rPr>
        <w:t xml:space="preserve">i su navedeni </w:t>
      </w:r>
      <w:r w:rsidR="005B6AF4" w:rsidRPr="00D768EF">
        <w:rPr>
          <w:szCs w:val="22"/>
          <w:lang w:val="sr-Latn-ME"/>
        </w:rPr>
        <w:t>ud</w:t>
      </w:r>
      <w:r w:rsidR="00BF5543" w:rsidRPr="00D768EF">
        <w:rPr>
          <w:szCs w:val="22"/>
          <w:lang w:val="sr-Latn-ME"/>
        </w:rPr>
        <w:t>j</w:t>
      </w:r>
      <w:r w:rsidR="005B6AF4" w:rsidRPr="00D768EF">
        <w:rPr>
          <w:szCs w:val="22"/>
          <w:lang w:val="sr-Latn-ME"/>
        </w:rPr>
        <w:t xml:space="preserve">eli </w:t>
      </w:r>
      <w:r w:rsidRPr="00D768EF">
        <w:rPr>
          <w:szCs w:val="22"/>
          <w:lang w:val="sr-Latn-ME"/>
        </w:rPr>
        <w:t xml:space="preserve">iznosili 55,8% (29/52) u grupi koja je terapiju </w:t>
      </w:r>
      <w:r w:rsidRPr="00D768EF">
        <w:rPr>
          <w:spacing w:val="-4"/>
          <w:szCs w:val="22"/>
          <w:lang w:val="sr-Latn-ME"/>
        </w:rPr>
        <w:t xml:space="preserve">održavanja primala svakih 8 </w:t>
      </w:r>
      <w:r w:rsidR="00D57936" w:rsidRPr="00D768EF">
        <w:rPr>
          <w:spacing w:val="-4"/>
          <w:szCs w:val="22"/>
          <w:lang w:val="sr-Latn-ME"/>
        </w:rPr>
        <w:t>nedjelj</w:t>
      </w:r>
      <w:r w:rsidRPr="00D768EF">
        <w:rPr>
          <w:spacing w:val="-4"/>
          <w:szCs w:val="22"/>
          <w:lang w:val="sr-Latn-ME"/>
        </w:rPr>
        <w:t xml:space="preserve">a, odnosno 23,5% (12/51) u grupi koja ju je primala svakih 12 </w:t>
      </w:r>
      <w:r w:rsidR="00D57936" w:rsidRPr="00D768EF">
        <w:rPr>
          <w:spacing w:val="-4"/>
          <w:szCs w:val="22"/>
          <w:lang w:val="sr-Latn-ME"/>
        </w:rPr>
        <w:t>nedjelj</w:t>
      </w:r>
      <w:r w:rsidRPr="00D768EF">
        <w:rPr>
          <w:spacing w:val="-4"/>
          <w:szCs w:val="22"/>
          <w:lang w:val="sr-Latn-ME"/>
        </w:rPr>
        <w:t>a (p &lt; 0,001).</w:t>
      </w:r>
    </w:p>
    <w:p w14:paraId="49994328" w14:textId="2B9A256F" w:rsidR="00C175E4" w:rsidRPr="00D768EF" w:rsidRDefault="00C175E4" w:rsidP="00C175E4">
      <w:pPr>
        <w:tabs>
          <w:tab w:val="clear" w:pos="284"/>
        </w:tabs>
        <w:autoSpaceDE w:val="0"/>
        <w:autoSpaceDN w:val="0"/>
        <w:adjustRightInd w:val="0"/>
        <w:rPr>
          <w:szCs w:val="22"/>
          <w:lang w:val="sr-Latn-ME"/>
        </w:rPr>
      </w:pPr>
      <w:r w:rsidRPr="00D768EF">
        <w:rPr>
          <w:color w:val="000000"/>
          <w:szCs w:val="22"/>
          <w:lang w:val="sr-Latn-ME"/>
        </w:rPr>
        <w:t xml:space="preserve">Podaci o fistulama dobijeni su iz PCDAI rezultata. </w:t>
      </w:r>
      <w:r w:rsidR="005B6AF4" w:rsidRPr="00D768EF">
        <w:rPr>
          <w:color w:val="000000"/>
          <w:szCs w:val="22"/>
          <w:lang w:val="sr-Latn-ME"/>
        </w:rPr>
        <w:t>M</w:t>
      </w:r>
      <w:r w:rsidRPr="00D768EF">
        <w:rPr>
          <w:szCs w:val="22"/>
          <w:lang w:val="sr-Latn-ME"/>
        </w:rPr>
        <w:t>eđu 22 ispitanika u ob</w:t>
      </w:r>
      <w:r w:rsidR="00112897" w:rsidRPr="00D768EF">
        <w:rPr>
          <w:szCs w:val="22"/>
          <w:lang w:val="sr-Latn-ME"/>
        </w:rPr>
        <w:t>j</w:t>
      </w:r>
      <w:r w:rsidRPr="00D768EF">
        <w:rPr>
          <w:szCs w:val="22"/>
          <w:lang w:val="sr-Latn-ME"/>
        </w:rPr>
        <w:t xml:space="preserve">e grupe (održavanje svakih 8 </w:t>
      </w:r>
      <w:r w:rsidR="00D57936" w:rsidRPr="00D768EF">
        <w:rPr>
          <w:szCs w:val="22"/>
          <w:lang w:val="sr-Latn-ME"/>
        </w:rPr>
        <w:t>nedjelj</w:t>
      </w:r>
      <w:r w:rsidRPr="00D768EF">
        <w:rPr>
          <w:szCs w:val="22"/>
          <w:lang w:val="sr-Latn-ME"/>
        </w:rPr>
        <w:t xml:space="preserve">a i svakih 12 </w:t>
      </w:r>
      <w:r w:rsidR="00D57936" w:rsidRPr="00D768EF">
        <w:rPr>
          <w:szCs w:val="22"/>
          <w:lang w:val="sr-Latn-ME"/>
        </w:rPr>
        <w:t>nedjelj</w:t>
      </w:r>
      <w:r w:rsidRPr="00D768EF">
        <w:rPr>
          <w:szCs w:val="22"/>
          <w:lang w:val="sr-Latn-ME"/>
        </w:rPr>
        <w:t xml:space="preserve">a) koji su imali fistule na početku ispitivanja, fistule su bile potpuno zatvorene kod njih 63,6% (14/22) u 10. </w:t>
      </w:r>
      <w:r w:rsidR="00D57936" w:rsidRPr="00D768EF">
        <w:rPr>
          <w:szCs w:val="22"/>
          <w:lang w:val="sr-Latn-ME"/>
        </w:rPr>
        <w:t>nedjelj</w:t>
      </w:r>
      <w:r w:rsidRPr="00D768EF">
        <w:rPr>
          <w:szCs w:val="22"/>
          <w:lang w:val="sr-Latn-ME"/>
        </w:rPr>
        <w:t xml:space="preserve">i, kod 59,1% (13/22) u 30. </w:t>
      </w:r>
      <w:r w:rsidR="00D57936" w:rsidRPr="00D768EF">
        <w:rPr>
          <w:szCs w:val="22"/>
          <w:lang w:val="sr-Latn-ME"/>
        </w:rPr>
        <w:t>nedjelj</w:t>
      </w:r>
      <w:r w:rsidRPr="00D768EF">
        <w:rPr>
          <w:szCs w:val="22"/>
          <w:lang w:val="sr-Latn-ME"/>
        </w:rPr>
        <w:t xml:space="preserve">i, i kod 68,2% (15/22) pacijenata u 54. </w:t>
      </w:r>
      <w:r w:rsidR="00D57936" w:rsidRPr="00D768EF">
        <w:rPr>
          <w:szCs w:val="22"/>
          <w:lang w:val="sr-Latn-ME"/>
        </w:rPr>
        <w:t>nedjelj</w:t>
      </w:r>
      <w:r w:rsidRPr="00D768EF">
        <w:rPr>
          <w:szCs w:val="22"/>
          <w:lang w:val="sr-Latn-ME"/>
        </w:rPr>
        <w:t>i.</w:t>
      </w:r>
    </w:p>
    <w:p w14:paraId="17B23B83" w14:textId="77777777" w:rsidR="00C175E4" w:rsidRPr="00D768EF" w:rsidRDefault="00C175E4" w:rsidP="00C175E4">
      <w:pPr>
        <w:tabs>
          <w:tab w:val="clear" w:pos="284"/>
        </w:tabs>
        <w:autoSpaceDE w:val="0"/>
        <w:autoSpaceDN w:val="0"/>
        <w:adjustRightInd w:val="0"/>
        <w:rPr>
          <w:szCs w:val="22"/>
          <w:lang w:val="sr-Latn-ME"/>
        </w:rPr>
      </w:pPr>
    </w:p>
    <w:p w14:paraId="2BA1CC3C" w14:textId="77777777" w:rsidR="00C175E4" w:rsidRPr="00D768EF" w:rsidRDefault="00C175E4" w:rsidP="00C175E4">
      <w:pPr>
        <w:rPr>
          <w:color w:val="000000"/>
          <w:szCs w:val="22"/>
          <w:lang w:val="sr-Latn-ME"/>
        </w:rPr>
      </w:pPr>
      <w:r w:rsidRPr="00D768EF">
        <w:rPr>
          <w:color w:val="000000"/>
          <w:szCs w:val="22"/>
          <w:lang w:val="sr-Latn-ME"/>
        </w:rPr>
        <w:t>Pored toga, prim</w:t>
      </w:r>
      <w:r w:rsidR="00C3214E" w:rsidRPr="00D768EF">
        <w:rPr>
          <w:color w:val="000000"/>
          <w:szCs w:val="22"/>
          <w:lang w:val="sr-Latn-ME"/>
        </w:rPr>
        <w:t>ij</w:t>
      </w:r>
      <w:r w:rsidRPr="00D768EF">
        <w:rPr>
          <w:color w:val="000000"/>
          <w:szCs w:val="22"/>
          <w:lang w:val="sr-Latn-ME"/>
        </w:rPr>
        <w:t>ećena su statistički i klinički značajna poboljšanja u kvalitetu života i t</w:t>
      </w:r>
      <w:r w:rsidR="00112897" w:rsidRPr="00D768EF">
        <w:rPr>
          <w:color w:val="000000"/>
          <w:szCs w:val="22"/>
          <w:lang w:val="sr-Latn-ME"/>
        </w:rPr>
        <w:t>j</w:t>
      </w:r>
      <w:r w:rsidRPr="00D768EF">
        <w:rPr>
          <w:color w:val="000000"/>
          <w:szCs w:val="22"/>
          <w:lang w:val="sr-Latn-ME"/>
        </w:rPr>
        <w:t xml:space="preserve">elesnoj visini, kao i značajno smanjenje upotrebe kortikosteroida u odnosu na početak </w:t>
      </w:r>
      <w:r w:rsidR="00D57936" w:rsidRPr="00D768EF">
        <w:rPr>
          <w:color w:val="000000"/>
          <w:szCs w:val="22"/>
          <w:lang w:val="sr-Latn-ME"/>
        </w:rPr>
        <w:t>liječe</w:t>
      </w:r>
      <w:r w:rsidRPr="00D768EF">
        <w:rPr>
          <w:color w:val="000000"/>
          <w:szCs w:val="22"/>
          <w:lang w:val="sr-Latn-ME"/>
        </w:rPr>
        <w:t>nja.</w:t>
      </w:r>
    </w:p>
    <w:p w14:paraId="7924E3BF" w14:textId="77777777" w:rsidR="00C175E4" w:rsidRPr="00D768EF" w:rsidRDefault="00C175E4" w:rsidP="00C175E4">
      <w:pPr>
        <w:rPr>
          <w:color w:val="000000"/>
          <w:szCs w:val="22"/>
          <w:u w:val="single"/>
          <w:lang w:val="sr-Latn-ME"/>
        </w:rPr>
      </w:pPr>
    </w:p>
    <w:p w14:paraId="1742214E" w14:textId="062A6E73" w:rsidR="00C175E4" w:rsidRPr="00D768EF" w:rsidRDefault="00C175E4" w:rsidP="00C175E4">
      <w:pPr>
        <w:rPr>
          <w:i/>
          <w:color w:val="000000"/>
          <w:szCs w:val="22"/>
          <w:u w:val="single"/>
          <w:lang w:val="sr-Latn-ME"/>
        </w:rPr>
      </w:pPr>
      <w:r w:rsidRPr="00D768EF">
        <w:rPr>
          <w:i/>
          <w:color w:val="000000"/>
          <w:szCs w:val="22"/>
          <w:u w:val="single"/>
          <w:lang w:val="sr-Latn-ME"/>
        </w:rPr>
        <w:lastRenderedPageBreak/>
        <w:t xml:space="preserve">Ulcerozni koltitis kod </w:t>
      </w:r>
      <w:r w:rsidR="00220982" w:rsidRPr="00D768EF">
        <w:rPr>
          <w:i/>
          <w:color w:val="000000"/>
          <w:szCs w:val="22"/>
          <w:u w:val="single"/>
          <w:lang w:val="sr-Latn-ME"/>
        </w:rPr>
        <w:t>djece</w:t>
      </w:r>
      <w:r w:rsidRPr="00D768EF">
        <w:rPr>
          <w:i/>
          <w:color w:val="000000"/>
          <w:szCs w:val="22"/>
          <w:u w:val="single"/>
          <w:lang w:val="sr-Latn-ME"/>
        </w:rPr>
        <w:t xml:space="preserve"> (6 do 17 godina)</w:t>
      </w:r>
    </w:p>
    <w:p w14:paraId="5F047E2F" w14:textId="77777777" w:rsidR="00C175E4" w:rsidRPr="00D768EF" w:rsidRDefault="00C175E4" w:rsidP="00C175E4">
      <w:pPr>
        <w:rPr>
          <w:color w:val="000000"/>
          <w:szCs w:val="22"/>
          <w:u w:val="single"/>
          <w:lang w:val="sr-Latn-ME"/>
        </w:rPr>
      </w:pPr>
    </w:p>
    <w:p w14:paraId="4A69AA8A" w14:textId="241A349D" w:rsidR="00C175E4" w:rsidRPr="00D768EF" w:rsidRDefault="00282A1E" w:rsidP="00C175E4">
      <w:pPr>
        <w:rPr>
          <w:color w:val="000000"/>
          <w:szCs w:val="22"/>
          <w:lang w:val="sr-Latn-ME"/>
        </w:rPr>
      </w:pPr>
      <w:r w:rsidRPr="00D768EF">
        <w:rPr>
          <w:color w:val="000000"/>
          <w:szCs w:val="22"/>
          <w:lang w:val="sr-Latn-ME"/>
        </w:rPr>
        <w:t>Bezbjedn</w:t>
      </w:r>
      <w:r w:rsidR="00220982" w:rsidRPr="00D768EF">
        <w:rPr>
          <w:color w:val="000000"/>
          <w:szCs w:val="22"/>
          <w:lang w:val="sr-Latn-ME"/>
        </w:rPr>
        <w:t>o</w:t>
      </w:r>
      <w:r w:rsidR="00C175E4" w:rsidRPr="00D768EF">
        <w:rPr>
          <w:color w:val="000000"/>
          <w:szCs w:val="22"/>
          <w:lang w:val="sr-Latn-ME"/>
        </w:rPr>
        <w:t>st i efikasnost prim</w:t>
      </w:r>
      <w:r w:rsidR="00126595" w:rsidRPr="00D768EF">
        <w:rPr>
          <w:color w:val="000000"/>
          <w:szCs w:val="22"/>
          <w:lang w:val="sr-Latn-ME"/>
        </w:rPr>
        <w:t>j</w:t>
      </w:r>
      <w:r w:rsidR="00C175E4" w:rsidRPr="00D768EF">
        <w:rPr>
          <w:color w:val="000000"/>
          <w:szCs w:val="22"/>
          <w:lang w:val="sr-Latn-ME"/>
        </w:rPr>
        <w:t>ene infliksimaba proc</w:t>
      </w:r>
      <w:r w:rsidR="00BB5F87" w:rsidRPr="00D768EF">
        <w:rPr>
          <w:color w:val="000000"/>
          <w:szCs w:val="22"/>
          <w:lang w:val="sr-Latn-ME"/>
        </w:rPr>
        <w:t>j</w:t>
      </w:r>
      <w:r w:rsidR="00C175E4" w:rsidRPr="00D768EF">
        <w:rPr>
          <w:color w:val="000000"/>
          <w:szCs w:val="22"/>
          <w:lang w:val="sr-Latn-ME"/>
        </w:rPr>
        <w:t>enjivane su u multicentričnoj, randomizovanoj, otvorenoj kliničkoj studiji paralelnog dizajna (C0168T72) koja je obuhvatala 60 pedijatrijskih pacijenata uzrasta 6 do 17 godina (medijana 14,5 godina) sa um</w:t>
      </w:r>
      <w:r w:rsidR="00B00208" w:rsidRPr="00D768EF">
        <w:rPr>
          <w:color w:val="000000"/>
          <w:szCs w:val="22"/>
          <w:lang w:val="sr-Latn-ME"/>
        </w:rPr>
        <w:t>j</w:t>
      </w:r>
      <w:r w:rsidR="00C175E4" w:rsidRPr="00D768EF">
        <w:rPr>
          <w:color w:val="000000"/>
          <w:szCs w:val="22"/>
          <w:lang w:val="sr-Latn-ME"/>
        </w:rPr>
        <w:t xml:space="preserve">erenim do teškim oblikom aktivnog ulceroznog kolitisa (Mayo skor od 6 do 12; podrezultat endoskopije </w:t>
      </w:r>
      <w:r w:rsidR="00C175E4" w:rsidRPr="00D768EF">
        <w:rPr>
          <w:szCs w:val="22"/>
          <w:lang w:val="sr-Latn-ME"/>
        </w:rPr>
        <w:t xml:space="preserve">≥ </w:t>
      </w:r>
      <w:r w:rsidR="00C175E4" w:rsidRPr="00D768EF">
        <w:rPr>
          <w:color w:val="000000"/>
          <w:szCs w:val="22"/>
          <w:lang w:val="sr-Latn-ME"/>
        </w:rPr>
        <w:t>2) i sa neadekvatnim odgovorom na konvencionaln</w:t>
      </w:r>
      <w:r w:rsidR="005B6AF4" w:rsidRPr="00D768EF">
        <w:rPr>
          <w:color w:val="000000"/>
          <w:szCs w:val="22"/>
          <w:lang w:val="sr-Latn-ME"/>
        </w:rPr>
        <w:t>r</w:t>
      </w:r>
      <w:r w:rsidR="00C175E4" w:rsidRPr="00D768EF">
        <w:rPr>
          <w:color w:val="000000"/>
          <w:szCs w:val="22"/>
          <w:lang w:val="sr-Latn-ME"/>
        </w:rPr>
        <w:t xml:space="preserve"> terapij</w:t>
      </w:r>
      <w:r w:rsidR="005B6AF4" w:rsidRPr="00D768EF">
        <w:rPr>
          <w:color w:val="000000"/>
          <w:szCs w:val="22"/>
          <w:lang w:val="sr-Latn-ME"/>
        </w:rPr>
        <w:t>r</w:t>
      </w:r>
      <w:r w:rsidR="00C175E4" w:rsidRPr="00D768EF">
        <w:rPr>
          <w:color w:val="000000"/>
          <w:szCs w:val="22"/>
          <w:lang w:val="sr-Latn-ME"/>
        </w:rPr>
        <w:t>. Na početku studije 53% pacijenata je primalo terapiju imunomodulatorima (6-MP, AZA i/ili MTX), a 62% pacijenata je primalo kortikosteroide. Prekid terapije imunomodulatorima i postupno smanjivanje doze kortikosteroida bili su dozvoljeni posl</w:t>
      </w:r>
      <w:r w:rsidR="008B2126">
        <w:rPr>
          <w:color w:val="000000"/>
          <w:szCs w:val="22"/>
          <w:lang w:val="sr-Latn-ME"/>
        </w:rPr>
        <w:t>ij</w:t>
      </w:r>
      <w:r w:rsidR="00C175E4" w:rsidRPr="00D768EF">
        <w:rPr>
          <w:color w:val="000000"/>
          <w:szCs w:val="22"/>
          <w:lang w:val="sr-Latn-ME"/>
        </w:rPr>
        <w:t xml:space="preserve">e 0 </w:t>
      </w:r>
      <w:r w:rsidR="00D57936" w:rsidRPr="00D768EF">
        <w:rPr>
          <w:color w:val="000000"/>
          <w:szCs w:val="22"/>
          <w:lang w:val="sr-Latn-ME"/>
        </w:rPr>
        <w:t>nedjelj</w:t>
      </w:r>
      <w:r w:rsidR="00C175E4" w:rsidRPr="00D768EF">
        <w:rPr>
          <w:color w:val="000000"/>
          <w:szCs w:val="22"/>
          <w:lang w:val="sr-Latn-ME"/>
        </w:rPr>
        <w:t>e.</w:t>
      </w:r>
    </w:p>
    <w:p w14:paraId="52C04553" w14:textId="77777777" w:rsidR="00C175E4" w:rsidRPr="00D768EF" w:rsidRDefault="00C175E4" w:rsidP="00C175E4">
      <w:pPr>
        <w:rPr>
          <w:color w:val="000000"/>
          <w:szCs w:val="22"/>
          <w:u w:val="single"/>
          <w:lang w:val="sr-Latn-ME"/>
        </w:rPr>
      </w:pPr>
    </w:p>
    <w:p w14:paraId="35306F26" w14:textId="6C38466E" w:rsidR="00C175E4" w:rsidRPr="00D768EF" w:rsidRDefault="00C175E4" w:rsidP="00C175E4">
      <w:pPr>
        <w:tabs>
          <w:tab w:val="clear" w:pos="284"/>
        </w:tabs>
        <w:autoSpaceDE w:val="0"/>
        <w:autoSpaceDN w:val="0"/>
        <w:adjustRightInd w:val="0"/>
        <w:rPr>
          <w:color w:val="000000"/>
          <w:szCs w:val="22"/>
          <w:lang w:val="sr-Latn-ME"/>
        </w:rPr>
      </w:pPr>
      <w:r w:rsidRPr="00D768EF">
        <w:rPr>
          <w:color w:val="000000"/>
          <w:szCs w:val="22"/>
          <w:lang w:val="sr-Latn-ME"/>
        </w:rPr>
        <w:t xml:space="preserve">Svi pacijenti su primili </w:t>
      </w:r>
      <w:r w:rsidR="00E97FE0" w:rsidRPr="00D768EF">
        <w:rPr>
          <w:color w:val="000000"/>
          <w:szCs w:val="22"/>
          <w:lang w:val="sr-Latn-ME"/>
        </w:rPr>
        <w:t xml:space="preserve">uvodni </w:t>
      </w:r>
      <w:r w:rsidRPr="00D768EF">
        <w:rPr>
          <w:color w:val="000000"/>
          <w:szCs w:val="22"/>
          <w:lang w:val="sr-Latn-ME"/>
        </w:rPr>
        <w:t xml:space="preserve">režim od 5 mg/kg infliksimaba u 0, 2. i 6. </w:t>
      </w:r>
      <w:r w:rsidR="00D57936" w:rsidRPr="00D768EF">
        <w:rPr>
          <w:color w:val="000000"/>
          <w:szCs w:val="22"/>
          <w:lang w:val="sr-Latn-ME"/>
        </w:rPr>
        <w:t>nedjelj</w:t>
      </w:r>
      <w:r w:rsidRPr="00D768EF">
        <w:rPr>
          <w:color w:val="000000"/>
          <w:szCs w:val="22"/>
          <w:lang w:val="sr-Latn-ME"/>
        </w:rPr>
        <w:t xml:space="preserve">i. Pacijenti koji nisu odreagovali na infliksimab u 8. </w:t>
      </w:r>
      <w:r w:rsidR="00D57936" w:rsidRPr="00D768EF">
        <w:rPr>
          <w:color w:val="000000"/>
          <w:szCs w:val="22"/>
          <w:lang w:val="sr-Latn-ME"/>
        </w:rPr>
        <w:t>nedjelj</w:t>
      </w:r>
      <w:r w:rsidRPr="00D768EF">
        <w:rPr>
          <w:color w:val="000000"/>
          <w:szCs w:val="22"/>
          <w:lang w:val="sr-Latn-ME"/>
        </w:rPr>
        <w:t>i (n=15) nisu dalje primali l</w:t>
      </w:r>
      <w:r w:rsidR="00C3214E" w:rsidRPr="00D768EF">
        <w:rPr>
          <w:color w:val="000000"/>
          <w:szCs w:val="22"/>
          <w:lang w:val="sr-Latn-ME"/>
        </w:rPr>
        <w:t>ij</w:t>
      </w:r>
      <w:r w:rsidRPr="00D768EF">
        <w:rPr>
          <w:color w:val="000000"/>
          <w:szCs w:val="22"/>
          <w:lang w:val="sr-Latn-ME"/>
        </w:rPr>
        <w:t xml:space="preserve">ek i kod njih je nastavljeno </w:t>
      </w:r>
      <w:r w:rsidR="00282A1E" w:rsidRPr="00D768EF">
        <w:rPr>
          <w:color w:val="000000"/>
          <w:szCs w:val="22"/>
          <w:lang w:val="sr-Latn-ME"/>
        </w:rPr>
        <w:t>bezbjedn</w:t>
      </w:r>
      <w:r w:rsidR="00220982" w:rsidRPr="00D768EF">
        <w:rPr>
          <w:color w:val="000000"/>
          <w:szCs w:val="22"/>
          <w:lang w:val="sr-Latn-ME"/>
        </w:rPr>
        <w:t>o</w:t>
      </w:r>
      <w:r w:rsidRPr="00D768EF">
        <w:rPr>
          <w:color w:val="000000"/>
          <w:szCs w:val="22"/>
          <w:lang w:val="sr-Latn-ME"/>
        </w:rPr>
        <w:t xml:space="preserve">sno praćenje. U 8. </w:t>
      </w:r>
      <w:r w:rsidR="00D57936" w:rsidRPr="00D768EF">
        <w:rPr>
          <w:color w:val="000000"/>
          <w:szCs w:val="22"/>
          <w:lang w:val="sr-Latn-ME"/>
        </w:rPr>
        <w:t>nedjelj</w:t>
      </w:r>
      <w:r w:rsidRPr="00D768EF">
        <w:rPr>
          <w:color w:val="000000"/>
          <w:szCs w:val="22"/>
          <w:lang w:val="sr-Latn-ME"/>
        </w:rPr>
        <w:t xml:space="preserve">i 45 pacijenata je randomizovano i primali su 5 mg/kg infliksimaba kao terapiju održavanja na svakih 8, odnosno 12 </w:t>
      </w:r>
      <w:r w:rsidR="00D57936" w:rsidRPr="00D768EF">
        <w:rPr>
          <w:color w:val="000000"/>
          <w:szCs w:val="22"/>
          <w:lang w:val="sr-Latn-ME"/>
        </w:rPr>
        <w:t>nedjelj</w:t>
      </w:r>
      <w:r w:rsidRPr="00D768EF">
        <w:rPr>
          <w:color w:val="000000"/>
          <w:szCs w:val="22"/>
          <w:lang w:val="sr-Latn-ME"/>
        </w:rPr>
        <w:t>a.</w:t>
      </w:r>
    </w:p>
    <w:p w14:paraId="1E24D129" w14:textId="77777777" w:rsidR="00C175E4" w:rsidRPr="00D768EF" w:rsidRDefault="00C175E4" w:rsidP="00C175E4">
      <w:pPr>
        <w:tabs>
          <w:tab w:val="clear" w:pos="284"/>
        </w:tabs>
        <w:autoSpaceDE w:val="0"/>
        <w:autoSpaceDN w:val="0"/>
        <w:adjustRightInd w:val="0"/>
        <w:rPr>
          <w:color w:val="000000"/>
          <w:szCs w:val="22"/>
          <w:lang w:val="sr-Latn-ME"/>
        </w:rPr>
      </w:pPr>
    </w:p>
    <w:p w14:paraId="0578C8E5" w14:textId="13223E2D" w:rsidR="00C175E4" w:rsidRPr="00D768EF" w:rsidRDefault="00C175E4" w:rsidP="00C175E4">
      <w:pPr>
        <w:tabs>
          <w:tab w:val="clear" w:pos="284"/>
        </w:tabs>
        <w:autoSpaceDE w:val="0"/>
        <w:autoSpaceDN w:val="0"/>
        <w:adjustRightInd w:val="0"/>
        <w:rPr>
          <w:color w:val="000000"/>
          <w:szCs w:val="22"/>
          <w:lang w:val="sr-Latn-ME"/>
        </w:rPr>
      </w:pPr>
      <w:r w:rsidRPr="00D768EF">
        <w:rPr>
          <w:color w:val="000000"/>
          <w:szCs w:val="22"/>
          <w:lang w:val="sr-Latn-ME"/>
        </w:rPr>
        <w:t xml:space="preserve">Procenat pacijenata koji su pokazali klinički odgovor u 8. </w:t>
      </w:r>
      <w:r w:rsidR="00D57936" w:rsidRPr="00D768EF">
        <w:rPr>
          <w:color w:val="000000"/>
          <w:szCs w:val="22"/>
          <w:lang w:val="sr-Latn-ME"/>
        </w:rPr>
        <w:t>nedjelj</w:t>
      </w:r>
      <w:r w:rsidRPr="00D768EF">
        <w:rPr>
          <w:color w:val="000000"/>
          <w:szCs w:val="22"/>
          <w:lang w:val="sr-Latn-ME"/>
        </w:rPr>
        <w:t xml:space="preserve">i je bio 73,3% (44/60). Klinički odgovor u 8. </w:t>
      </w:r>
      <w:r w:rsidR="00D57936" w:rsidRPr="00D768EF">
        <w:rPr>
          <w:color w:val="000000"/>
          <w:szCs w:val="22"/>
          <w:lang w:val="sr-Latn-ME"/>
        </w:rPr>
        <w:t>nedjelj</w:t>
      </w:r>
      <w:r w:rsidRPr="00D768EF">
        <w:rPr>
          <w:color w:val="000000"/>
          <w:szCs w:val="22"/>
          <w:lang w:val="sr-Latn-ME"/>
        </w:rPr>
        <w:t xml:space="preserve">i je bio sličan kod pacijenata koji su na početku studije istovremeno </w:t>
      </w:r>
      <w:r w:rsidR="00E97FE0" w:rsidRPr="00D768EF">
        <w:rPr>
          <w:color w:val="000000"/>
          <w:szCs w:val="22"/>
          <w:lang w:val="sr-Latn-ME"/>
        </w:rPr>
        <w:t xml:space="preserve">primali terapiju </w:t>
      </w:r>
      <w:r w:rsidRPr="00D768EF">
        <w:rPr>
          <w:color w:val="000000"/>
          <w:szCs w:val="22"/>
          <w:lang w:val="sr-Latn-ME"/>
        </w:rPr>
        <w:t>imunomodulator</w:t>
      </w:r>
      <w:r w:rsidR="00E97FE0" w:rsidRPr="00D768EF">
        <w:rPr>
          <w:color w:val="000000"/>
          <w:szCs w:val="22"/>
          <w:lang w:val="sr-Latn-ME"/>
        </w:rPr>
        <w:t>ima</w:t>
      </w:r>
      <w:r w:rsidRPr="00D768EF">
        <w:rPr>
          <w:color w:val="000000"/>
          <w:szCs w:val="22"/>
          <w:lang w:val="sr-Latn-ME"/>
        </w:rPr>
        <w:t xml:space="preserve"> i onih koji nisu. U 8. </w:t>
      </w:r>
      <w:r w:rsidR="00D57936" w:rsidRPr="00D768EF">
        <w:rPr>
          <w:color w:val="000000"/>
          <w:szCs w:val="22"/>
          <w:lang w:val="sr-Latn-ME"/>
        </w:rPr>
        <w:t>nedjelj</w:t>
      </w:r>
      <w:r w:rsidRPr="00D768EF">
        <w:rPr>
          <w:color w:val="000000"/>
          <w:szCs w:val="22"/>
          <w:lang w:val="sr-Latn-ME"/>
        </w:rPr>
        <w:t>i je 33,3% pacijenata (17/51) bilo u kliničkoj remisiji, m</w:t>
      </w:r>
      <w:r w:rsidR="00B00208" w:rsidRPr="00D768EF">
        <w:rPr>
          <w:color w:val="000000"/>
          <w:szCs w:val="22"/>
          <w:lang w:val="sr-Latn-ME"/>
        </w:rPr>
        <w:t>j</w:t>
      </w:r>
      <w:r w:rsidRPr="00D768EF">
        <w:rPr>
          <w:color w:val="000000"/>
          <w:szCs w:val="22"/>
          <w:lang w:val="sr-Latn-ME"/>
        </w:rPr>
        <w:t xml:space="preserve">ereno skorom indeksa aktivnosti pedijatrijskog ulceroznog kolitisa (engl. </w:t>
      </w:r>
      <w:r w:rsidRPr="00D768EF">
        <w:rPr>
          <w:i/>
          <w:color w:val="000000"/>
          <w:szCs w:val="22"/>
          <w:lang w:val="sr-Latn-ME"/>
        </w:rPr>
        <w:t>Paediatric Ulcerative Colitis Activity Index</w:t>
      </w:r>
      <w:r w:rsidRPr="00D768EF">
        <w:rPr>
          <w:color w:val="000000"/>
          <w:szCs w:val="22"/>
          <w:lang w:val="sr-Latn-ME"/>
        </w:rPr>
        <w:t xml:space="preserve">, PUCAI). </w:t>
      </w:r>
    </w:p>
    <w:p w14:paraId="05BFB91C" w14:textId="77777777" w:rsidR="00C175E4" w:rsidRPr="00D768EF" w:rsidRDefault="00C175E4" w:rsidP="00C175E4">
      <w:pPr>
        <w:tabs>
          <w:tab w:val="clear" w:pos="284"/>
        </w:tabs>
        <w:autoSpaceDE w:val="0"/>
        <w:autoSpaceDN w:val="0"/>
        <w:adjustRightInd w:val="0"/>
        <w:rPr>
          <w:color w:val="000000"/>
          <w:szCs w:val="22"/>
          <w:lang w:val="sr-Latn-ME"/>
        </w:rPr>
      </w:pPr>
    </w:p>
    <w:p w14:paraId="272D1854" w14:textId="5FBA737E" w:rsidR="00C175E4" w:rsidRPr="00D768EF" w:rsidRDefault="00C175E4" w:rsidP="00C175E4">
      <w:pPr>
        <w:tabs>
          <w:tab w:val="clear" w:pos="284"/>
        </w:tabs>
        <w:autoSpaceDE w:val="0"/>
        <w:autoSpaceDN w:val="0"/>
        <w:adjustRightInd w:val="0"/>
        <w:rPr>
          <w:color w:val="000000"/>
          <w:szCs w:val="22"/>
          <w:lang w:val="sr-Latn-ME"/>
        </w:rPr>
      </w:pPr>
      <w:r w:rsidRPr="00D768EF">
        <w:rPr>
          <w:color w:val="000000"/>
          <w:szCs w:val="22"/>
          <w:lang w:val="sr-Latn-ME"/>
        </w:rPr>
        <w:t xml:space="preserve">U 54. </w:t>
      </w:r>
      <w:r w:rsidR="00D57936" w:rsidRPr="00D768EF">
        <w:rPr>
          <w:color w:val="000000"/>
          <w:szCs w:val="22"/>
          <w:lang w:val="sr-Latn-ME"/>
        </w:rPr>
        <w:t>nedjelj</w:t>
      </w:r>
      <w:r w:rsidRPr="00D768EF">
        <w:rPr>
          <w:color w:val="000000"/>
          <w:szCs w:val="22"/>
          <w:lang w:val="sr-Latn-ME"/>
        </w:rPr>
        <w:t xml:space="preserve">i, </w:t>
      </w:r>
      <w:r w:rsidR="00E97FE0" w:rsidRPr="00D768EF">
        <w:rPr>
          <w:color w:val="000000"/>
          <w:szCs w:val="22"/>
          <w:lang w:val="sr-Latn-ME"/>
        </w:rPr>
        <w:t xml:space="preserve">udeo </w:t>
      </w:r>
      <w:r w:rsidRPr="00D768EF">
        <w:rPr>
          <w:color w:val="000000"/>
          <w:szCs w:val="22"/>
          <w:lang w:val="sr-Latn-ME"/>
        </w:rPr>
        <w:t xml:space="preserve">pacijenata koji su postigli kliničku remisiju </w:t>
      </w:r>
      <w:r w:rsidR="00E97FE0" w:rsidRPr="00D768EF">
        <w:rPr>
          <w:color w:val="000000"/>
          <w:szCs w:val="22"/>
          <w:lang w:val="sr-Latn-ME"/>
        </w:rPr>
        <w:t xml:space="preserve">mjereno PUCAI skorom </w:t>
      </w:r>
      <w:r w:rsidRPr="00D768EF">
        <w:rPr>
          <w:color w:val="000000"/>
          <w:szCs w:val="22"/>
          <w:lang w:val="sr-Latn-ME"/>
        </w:rPr>
        <w:t xml:space="preserve">bio je 38% (8/21) u grupi koja je primala terapiju održavanja na svakih 8 </w:t>
      </w:r>
      <w:r w:rsidR="00D57936" w:rsidRPr="00D768EF">
        <w:rPr>
          <w:color w:val="000000"/>
          <w:szCs w:val="22"/>
          <w:lang w:val="sr-Latn-ME"/>
        </w:rPr>
        <w:t>nedjelj</w:t>
      </w:r>
      <w:r w:rsidRPr="00D768EF">
        <w:rPr>
          <w:color w:val="000000"/>
          <w:szCs w:val="22"/>
          <w:lang w:val="sr-Latn-ME"/>
        </w:rPr>
        <w:t xml:space="preserve">a i 18% (4/22) u grupi koja je primala terapiju održavanja svakih 12 </w:t>
      </w:r>
      <w:r w:rsidR="00D57936" w:rsidRPr="00D768EF">
        <w:rPr>
          <w:color w:val="000000"/>
          <w:szCs w:val="22"/>
          <w:lang w:val="sr-Latn-ME"/>
        </w:rPr>
        <w:t>nedjelj</w:t>
      </w:r>
      <w:r w:rsidRPr="00D768EF">
        <w:rPr>
          <w:color w:val="000000"/>
          <w:szCs w:val="22"/>
          <w:lang w:val="sr-Latn-ME"/>
        </w:rPr>
        <w:t xml:space="preserve">a. Kod pacijenata koji su primali kortikosteroide na početku studije, </w:t>
      </w:r>
      <w:r w:rsidR="00E97FE0" w:rsidRPr="00D768EF">
        <w:rPr>
          <w:color w:val="000000"/>
          <w:szCs w:val="22"/>
          <w:lang w:val="sr-Latn-ME"/>
        </w:rPr>
        <w:t>ud</w:t>
      </w:r>
      <w:r w:rsidR="00BF5543" w:rsidRPr="00D768EF">
        <w:rPr>
          <w:color w:val="000000"/>
          <w:szCs w:val="22"/>
          <w:lang w:val="sr-Latn-ME"/>
        </w:rPr>
        <w:t>i</w:t>
      </w:r>
      <w:r w:rsidR="00E97FE0" w:rsidRPr="00D768EF">
        <w:rPr>
          <w:color w:val="000000"/>
          <w:szCs w:val="22"/>
          <w:lang w:val="sr-Latn-ME"/>
        </w:rPr>
        <w:t>o pacijenata</w:t>
      </w:r>
      <w:r w:rsidRPr="00D768EF">
        <w:rPr>
          <w:color w:val="000000"/>
          <w:szCs w:val="22"/>
          <w:lang w:val="sr-Latn-ME"/>
        </w:rPr>
        <w:t xml:space="preserve"> koji su postigli kliničku remisiju i koji više ne primaju kortikosteroide u 54. </w:t>
      </w:r>
      <w:r w:rsidR="00D57936" w:rsidRPr="00D768EF">
        <w:rPr>
          <w:color w:val="000000"/>
          <w:szCs w:val="22"/>
          <w:lang w:val="sr-Latn-ME"/>
        </w:rPr>
        <w:t>nedjelj</w:t>
      </w:r>
      <w:r w:rsidRPr="00D768EF">
        <w:rPr>
          <w:color w:val="000000"/>
          <w:szCs w:val="22"/>
          <w:lang w:val="sr-Latn-ME"/>
        </w:rPr>
        <w:t>i bio je 38,5% (5/13) m</w:t>
      </w:r>
      <w:r w:rsidR="00B00208" w:rsidRPr="00D768EF">
        <w:rPr>
          <w:color w:val="000000"/>
          <w:szCs w:val="22"/>
          <w:lang w:val="sr-Latn-ME"/>
        </w:rPr>
        <w:t>j</w:t>
      </w:r>
      <w:r w:rsidRPr="00D768EF">
        <w:rPr>
          <w:color w:val="000000"/>
          <w:szCs w:val="22"/>
          <w:lang w:val="sr-Latn-ME"/>
        </w:rPr>
        <w:t xml:space="preserve">ereno PUCAI skorom u grupi koja je primala terapiju održavanja na svakih 8 </w:t>
      </w:r>
      <w:r w:rsidR="00D57936" w:rsidRPr="00D768EF">
        <w:rPr>
          <w:color w:val="000000"/>
          <w:szCs w:val="22"/>
          <w:lang w:val="sr-Latn-ME"/>
        </w:rPr>
        <w:t>nedjelj</w:t>
      </w:r>
      <w:r w:rsidRPr="00D768EF">
        <w:rPr>
          <w:color w:val="000000"/>
          <w:szCs w:val="22"/>
          <w:lang w:val="sr-Latn-ME"/>
        </w:rPr>
        <w:t xml:space="preserve">a, i 0% (0/13) u grupi koja je primala terapiju održavanja na svakih 12 </w:t>
      </w:r>
      <w:r w:rsidR="00D57936" w:rsidRPr="00D768EF">
        <w:rPr>
          <w:color w:val="000000"/>
          <w:szCs w:val="22"/>
          <w:lang w:val="sr-Latn-ME"/>
        </w:rPr>
        <w:t>nedjelj</w:t>
      </w:r>
      <w:r w:rsidRPr="00D768EF">
        <w:rPr>
          <w:color w:val="000000"/>
          <w:szCs w:val="22"/>
          <w:lang w:val="sr-Latn-ME"/>
        </w:rPr>
        <w:t xml:space="preserve">a. </w:t>
      </w:r>
    </w:p>
    <w:p w14:paraId="080B07FD" w14:textId="77777777" w:rsidR="00C175E4" w:rsidRPr="00D768EF" w:rsidRDefault="00C175E4" w:rsidP="00C175E4">
      <w:pPr>
        <w:tabs>
          <w:tab w:val="clear" w:pos="284"/>
        </w:tabs>
        <w:autoSpaceDE w:val="0"/>
        <w:autoSpaceDN w:val="0"/>
        <w:adjustRightInd w:val="0"/>
        <w:rPr>
          <w:lang w:val="sr-Latn-ME"/>
        </w:rPr>
      </w:pPr>
    </w:p>
    <w:p w14:paraId="2A3E349A" w14:textId="09626800" w:rsidR="00C175E4" w:rsidRPr="00D768EF" w:rsidRDefault="00C175E4" w:rsidP="00C175E4">
      <w:pPr>
        <w:tabs>
          <w:tab w:val="clear" w:pos="284"/>
        </w:tabs>
        <w:autoSpaceDE w:val="0"/>
        <w:autoSpaceDN w:val="0"/>
        <w:adjustRightInd w:val="0"/>
        <w:rPr>
          <w:color w:val="000000"/>
          <w:szCs w:val="22"/>
          <w:lang w:val="sr-Latn-ME"/>
        </w:rPr>
      </w:pPr>
      <w:r w:rsidRPr="00D768EF">
        <w:rPr>
          <w:color w:val="000000"/>
          <w:szCs w:val="22"/>
          <w:lang w:val="sr-Latn-ME"/>
        </w:rPr>
        <w:t xml:space="preserve">U ovoj studiji je bilo više pacijenata u grupi uzrasta 12 do 17 godina nego u grupi uzrasta 6 do 11 godina (45/60 naspram 15/60). </w:t>
      </w:r>
      <w:r w:rsidRPr="00D768EF">
        <w:rPr>
          <w:szCs w:val="22"/>
          <w:lang w:val="sr-Latn-ME"/>
        </w:rPr>
        <w:t>Iako je broj pacijenata u svakoj podgrupi bio suviše mali da bi se don</w:t>
      </w:r>
      <w:r w:rsidR="00B00208" w:rsidRPr="00D768EF">
        <w:rPr>
          <w:szCs w:val="22"/>
          <w:lang w:val="sr-Latn-ME"/>
        </w:rPr>
        <w:t>i</w:t>
      </w:r>
      <w:r w:rsidRPr="00D768EF">
        <w:rPr>
          <w:szCs w:val="22"/>
          <w:lang w:val="sr-Latn-ME"/>
        </w:rPr>
        <w:t>o konačan zaključak u vezi uticaja uzrasta, procenat pacijenata kod kojih je došlo do povećanja doze ili kod kojih je prekinuta terapija zbog neadekvatne efikasnosti je bio veći u grupi mlađeg, nego u grupi starijeg uzrasta.</w:t>
      </w:r>
    </w:p>
    <w:p w14:paraId="2C25C5C9" w14:textId="77777777" w:rsidR="00C175E4" w:rsidRPr="00D768EF" w:rsidRDefault="00C175E4" w:rsidP="00C175E4">
      <w:pPr>
        <w:autoSpaceDE w:val="0"/>
        <w:autoSpaceDN w:val="0"/>
        <w:adjustRightInd w:val="0"/>
        <w:rPr>
          <w:szCs w:val="22"/>
          <w:u w:val="single"/>
          <w:lang w:val="sr-Latn-ME"/>
        </w:rPr>
      </w:pPr>
    </w:p>
    <w:p w14:paraId="40216E96" w14:textId="77777777" w:rsidR="00C175E4" w:rsidRPr="00D768EF" w:rsidRDefault="00C175E4" w:rsidP="00C175E4">
      <w:pPr>
        <w:autoSpaceDE w:val="0"/>
        <w:autoSpaceDN w:val="0"/>
        <w:adjustRightInd w:val="0"/>
        <w:rPr>
          <w:i/>
          <w:szCs w:val="22"/>
          <w:u w:val="single"/>
          <w:lang w:val="sr-Latn-ME"/>
        </w:rPr>
      </w:pPr>
      <w:r w:rsidRPr="00D768EF">
        <w:rPr>
          <w:i/>
          <w:szCs w:val="22"/>
          <w:u w:val="single"/>
          <w:lang w:val="sr-Latn-ME"/>
        </w:rPr>
        <w:t>Ostale pedijatrijske indikacije</w:t>
      </w:r>
    </w:p>
    <w:p w14:paraId="5D9C3DAB" w14:textId="6D4094FB" w:rsidR="00AE064D" w:rsidRPr="00D768EF" w:rsidRDefault="00C175E4" w:rsidP="00AE064D">
      <w:pPr>
        <w:rPr>
          <w:rFonts w:eastAsia="Arial Unicode MS"/>
          <w:color w:val="000000"/>
          <w:szCs w:val="22"/>
          <w:lang w:val="sr-Latn-ME"/>
        </w:rPr>
      </w:pPr>
      <w:r w:rsidRPr="00D768EF">
        <w:rPr>
          <w:rFonts w:eastAsia="Arial Unicode MS"/>
          <w:color w:val="000000"/>
          <w:szCs w:val="22"/>
          <w:lang w:val="sr-Latn-ME"/>
        </w:rPr>
        <w:t>Evropska agencija za l</w:t>
      </w:r>
      <w:r w:rsidR="00C3214E" w:rsidRPr="00D768EF">
        <w:rPr>
          <w:rFonts w:eastAsia="Arial Unicode MS"/>
          <w:color w:val="000000"/>
          <w:szCs w:val="22"/>
          <w:lang w:val="sr-Latn-ME"/>
        </w:rPr>
        <w:t>j</w:t>
      </w:r>
      <w:r w:rsidRPr="00D768EF">
        <w:rPr>
          <w:rFonts w:eastAsia="Arial Unicode MS"/>
          <w:color w:val="000000"/>
          <w:szCs w:val="22"/>
          <w:lang w:val="sr-Latn-ME"/>
        </w:rPr>
        <w:t xml:space="preserve">ekove </w:t>
      </w:r>
      <w:r w:rsidR="00E97FE0" w:rsidRPr="00D768EF">
        <w:rPr>
          <w:rFonts w:eastAsia="Arial Unicode MS"/>
          <w:color w:val="000000"/>
          <w:szCs w:val="22"/>
          <w:lang w:val="sr-Latn-ME"/>
        </w:rPr>
        <w:t>ukinula je</w:t>
      </w:r>
      <w:r w:rsidR="00C463C8" w:rsidRPr="00D768EF">
        <w:rPr>
          <w:rFonts w:eastAsia="Arial Unicode MS"/>
          <w:color w:val="000000"/>
          <w:szCs w:val="22"/>
          <w:lang w:val="sr-Latn-ME"/>
        </w:rPr>
        <w:t xml:space="preserve"> </w:t>
      </w:r>
      <w:r w:rsidRPr="00D768EF">
        <w:rPr>
          <w:rFonts w:eastAsia="Arial Unicode MS"/>
          <w:color w:val="000000"/>
          <w:szCs w:val="22"/>
          <w:lang w:val="sr-Latn-ME"/>
        </w:rPr>
        <w:t>obavez</w:t>
      </w:r>
      <w:r w:rsidR="00E97FE0" w:rsidRPr="00D768EF">
        <w:rPr>
          <w:rFonts w:eastAsia="Arial Unicode MS"/>
          <w:color w:val="000000"/>
          <w:szCs w:val="22"/>
          <w:lang w:val="sr-Latn-ME"/>
        </w:rPr>
        <w:t>u da se</w:t>
      </w:r>
      <w:r w:rsidRPr="00D768EF">
        <w:rPr>
          <w:rFonts w:eastAsia="Arial Unicode MS"/>
          <w:color w:val="000000"/>
          <w:szCs w:val="22"/>
          <w:lang w:val="sr-Latn-ME"/>
        </w:rPr>
        <w:t xml:space="preserve"> </w:t>
      </w:r>
      <w:r w:rsidR="00DF7B42" w:rsidRPr="00D768EF">
        <w:rPr>
          <w:rFonts w:eastAsia="Arial Unicode MS"/>
          <w:color w:val="000000"/>
          <w:szCs w:val="22"/>
          <w:lang w:val="sr-Latn-ME"/>
        </w:rPr>
        <w:t>podno</w:t>
      </w:r>
      <w:r w:rsidR="00E97FE0" w:rsidRPr="00D768EF">
        <w:rPr>
          <w:rFonts w:eastAsia="Arial Unicode MS"/>
          <w:color w:val="000000"/>
          <w:szCs w:val="22"/>
          <w:lang w:val="sr-Latn-ME"/>
        </w:rPr>
        <w:t>se</w:t>
      </w:r>
      <w:r w:rsidRPr="00D768EF">
        <w:rPr>
          <w:rFonts w:eastAsia="Arial Unicode MS"/>
          <w:color w:val="000000"/>
          <w:szCs w:val="22"/>
          <w:lang w:val="sr-Latn-ME"/>
        </w:rPr>
        <w:t xml:space="preserve"> rezultat</w:t>
      </w:r>
      <w:r w:rsidR="00E97FE0" w:rsidRPr="00D768EF">
        <w:rPr>
          <w:rFonts w:eastAsia="Arial Unicode MS"/>
          <w:color w:val="000000"/>
          <w:szCs w:val="22"/>
          <w:lang w:val="sr-Latn-ME"/>
        </w:rPr>
        <w:t>i</w:t>
      </w:r>
      <w:r w:rsidRPr="00D768EF">
        <w:rPr>
          <w:rFonts w:eastAsia="Arial Unicode MS"/>
          <w:color w:val="000000"/>
          <w:szCs w:val="22"/>
          <w:lang w:val="sr-Latn-ME"/>
        </w:rPr>
        <w:t xml:space="preserve"> </w:t>
      </w:r>
      <w:r w:rsidR="00DF7B42" w:rsidRPr="00D768EF">
        <w:rPr>
          <w:rFonts w:eastAsia="Arial Unicode MS"/>
          <w:color w:val="000000"/>
          <w:szCs w:val="22"/>
          <w:lang w:val="sr-Latn-ME"/>
        </w:rPr>
        <w:t xml:space="preserve">ispitivanja </w:t>
      </w:r>
      <w:r w:rsidRPr="00D768EF">
        <w:rPr>
          <w:rFonts w:eastAsia="Arial Unicode MS"/>
          <w:color w:val="000000"/>
          <w:szCs w:val="22"/>
          <w:lang w:val="sr-Latn-ME"/>
        </w:rPr>
        <w:t>l</w:t>
      </w:r>
      <w:r w:rsidR="00C3214E" w:rsidRPr="00D768EF">
        <w:rPr>
          <w:rFonts w:eastAsia="Arial Unicode MS"/>
          <w:color w:val="000000"/>
          <w:szCs w:val="22"/>
          <w:lang w:val="sr-Latn-ME"/>
        </w:rPr>
        <w:t>ij</w:t>
      </w:r>
      <w:r w:rsidRPr="00D768EF">
        <w:rPr>
          <w:rFonts w:eastAsia="Arial Unicode MS"/>
          <w:color w:val="000000"/>
          <w:szCs w:val="22"/>
          <w:lang w:val="sr-Latn-ME"/>
        </w:rPr>
        <w:t>ek</w:t>
      </w:r>
      <w:r w:rsidR="00DF7B42" w:rsidRPr="00D768EF">
        <w:rPr>
          <w:rFonts w:eastAsia="Arial Unicode MS"/>
          <w:color w:val="000000"/>
          <w:szCs w:val="22"/>
          <w:lang w:val="sr-Latn-ME"/>
        </w:rPr>
        <w:t>a</w:t>
      </w:r>
      <w:r w:rsidRPr="00D768EF">
        <w:rPr>
          <w:rFonts w:eastAsia="Arial Unicode MS"/>
          <w:color w:val="000000"/>
          <w:szCs w:val="22"/>
          <w:lang w:val="sr-Latn-ME"/>
        </w:rPr>
        <w:t xml:space="preserve"> infliksimab </w:t>
      </w:r>
      <w:r w:rsidR="00DF7B42" w:rsidRPr="00D768EF">
        <w:rPr>
          <w:rFonts w:eastAsia="Arial Unicode MS"/>
          <w:color w:val="000000"/>
          <w:szCs w:val="22"/>
          <w:lang w:val="sr-Latn-ME"/>
        </w:rPr>
        <w:t xml:space="preserve">u </w:t>
      </w:r>
      <w:r w:rsidRPr="00D768EF">
        <w:rPr>
          <w:rFonts w:eastAsia="Arial Unicode MS"/>
          <w:color w:val="000000"/>
          <w:szCs w:val="22"/>
          <w:lang w:val="sr-Latn-ME"/>
        </w:rPr>
        <w:t>svi</w:t>
      </w:r>
      <w:r w:rsidR="00DF7B42" w:rsidRPr="00D768EF">
        <w:rPr>
          <w:rFonts w:eastAsia="Arial Unicode MS"/>
          <w:color w:val="000000"/>
          <w:szCs w:val="22"/>
          <w:lang w:val="sr-Latn-ME"/>
        </w:rPr>
        <w:t>m</w:t>
      </w:r>
      <w:r w:rsidRPr="00D768EF">
        <w:rPr>
          <w:rFonts w:eastAsia="Arial Unicode MS"/>
          <w:color w:val="000000"/>
          <w:szCs w:val="22"/>
          <w:lang w:val="sr-Latn-ME"/>
        </w:rPr>
        <w:t xml:space="preserve"> podgrupa</w:t>
      </w:r>
      <w:r w:rsidR="00DF7B42" w:rsidRPr="00D768EF">
        <w:rPr>
          <w:rFonts w:eastAsia="Arial Unicode MS"/>
          <w:color w:val="000000"/>
          <w:szCs w:val="22"/>
          <w:lang w:val="sr-Latn-ME"/>
        </w:rPr>
        <w:t>ma</w:t>
      </w:r>
      <w:r w:rsidRPr="00D768EF">
        <w:rPr>
          <w:rFonts w:eastAsia="Arial Unicode MS"/>
          <w:color w:val="000000"/>
          <w:szCs w:val="22"/>
          <w:lang w:val="sr-Latn-ME"/>
        </w:rPr>
        <w:t xml:space="preserve"> pedijatrijske populacije za reumatoidni artritis, juvenilni idiopatski artritis, psorijatični artritis, ankilozirajući spondilitis, psorijazu i Kronovu bolest (</w:t>
      </w:r>
      <w:r w:rsidR="00282A1E" w:rsidRPr="00D768EF">
        <w:rPr>
          <w:rFonts w:eastAsia="Arial Unicode MS"/>
          <w:color w:val="000000"/>
          <w:szCs w:val="22"/>
          <w:lang w:val="sr-Latn-ME"/>
        </w:rPr>
        <w:t>vidjeti</w:t>
      </w:r>
      <w:r w:rsidRPr="00D768EF">
        <w:rPr>
          <w:rFonts w:eastAsia="Arial Unicode MS"/>
          <w:color w:val="000000"/>
          <w:szCs w:val="22"/>
          <w:lang w:val="sr-Latn-ME"/>
        </w:rPr>
        <w:t xml:space="preserve"> </w:t>
      </w:r>
      <w:r w:rsidR="00454E9F" w:rsidRPr="00D768EF">
        <w:rPr>
          <w:rFonts w:eastAsia="Arial Unicode MS"/>
          <w:color w:val="000000"/>
          <w:szCs w:val="22"/>
          <w:lang w:val="sr-Latn-ME"/>
        </w:rPr>
        <w:t>dio</w:t>
      </w:r>
      <w:r w:rsidRPr="00D768EF">
        <w:rPr>
          <w:rFonts w:eastAsia="Arial Unicode MS"/>
          <w:color w:val="000000"/>
          <w:szCs w:val="22"/>
          <w:lang w:val="sr-Latn-ME"/>
        </w:rPr>
        <w:t xml:space="preserve"> 4.2 za informacije o</w:t>
      </w:r>
      <w:r w:rsidR="00DF7B42" w:rsidRPr="00D768EF">
        <w:rPr>
          <w:rFonts w:eastAsia="Arial Unicode MS"/>
          <w:color w:val="000000"/>
          <w:szCs w:val="22"/>
          <w:lang w:val="sr-Latn-ME"/>
        </w:rPr>
        <w:t xml:space="preserve"> upotrebi u</w:t>
      </w:r>
      <w:r w:rsidRPr="00D768EF">
        <w:rPr>
          <w:rFonts w:eastAsia="Arial Unicode MS"/>
          <w:color w:val="000000"/>
          <w:szCs w:val="22"/>
          <w:lang w:val="sr-Latn-ME"/>
        </w:rPr>
        <w:t xml:space="preserve"> pedijatrijskoj </w:t>
      </w:r>
      <w:r w:rsidR="00DF7B42" w:rsidRPr="00D768EF">
        <w:rPr>
          <w:rFonts w:eastAsia="Arial Unicode MS"/>
          <w:color w:val="000000"/>
          <w:szCs w:val="22"/>
          <w:lang w:val="sr-Latn-ME"/>
        </w:rPr>
        <w:t>populaciji</w:t>
      </w:r>
      <w:r w:rsidRPr="00D768EF">
        <w:rPr>
          <w:rFonts w:eastAsia="Arial Unicode MS"/>
          <w:color w:val="000000"/>
          <w:szCs w:val="22"/>
          <w:lang w:val="sr-Latn-ME"/>
        </w:rPr>
        <w:t>).</w:t>
      </w:r>
    </w:p>
    <w:p w14:paraId="4DF6A668" w14:textId="77777777" w:rsidR="00DF7B42" w:rsidRPr="00D768EF" w:rsidRDefault="00DF7B42" w:rsidP="00AE064D">
      <w:pPr>
        <w:rPr>
          <w:rFonts w:eastAsia="Arial Unicode MS"/>
          <w:color w:val="000000"/>
          <w:szCs w:val="22"/>
          <w:lang w:val="sr-Latn-ME"/>
        </w:rPr>
      </w:pPr>
    </w:p>
    <w:p w14:paraId="0A5AC318" w14:textId="774875BC" w:rsidR="00CE09F3" w:rsidRPr="00D768EF" w:rsidRDefault="00CE09F3" w:rsidP="00923865">
      <w:pPr>
        <w:rPr>
          <w:b/>
          <w:bCs/>
          <w:szCs w:val="22"/>
          <w:lang w:val="sr-Latn-ME"/>
        </w:rPr>
      </w:pPr>
      <w:r w:rsidRPr="00D768EF">
        <w:rPr>
          <w:b/>
          <w:bCs/>
          <w:szCs w:val="22"/>
          <w:lang w:val="sr-Latn-ME"/>
        </w:rPr>
        <w:t>5.2. Farmakokinetički podaci</w:t>
      </w:r>
    </w:p>
    <w:p w14:paraId="56FB24FE" w14:textId="77777777" w:rsidR="00D8713D" w:rsidRPr="00D768EF" w:rsidRDefault="00D8713D" w:rsidP="00D8713D">
      <w:pPr>
        <w:pStyle w:val="Default"/>
        <w:rPr>
          <w:sz w:val="23"/>
          <w:szCs w:val="23"/>
          <w:lang w:val="sr-Latn-ME"/>
        </w:rPr>
      </w:pPr>
    </w:p>
    <w:p w14:paraId="7BC703BB" w14:textId="606EA897" w:rsidR="00610DB5" w:rsidRPr="00D768EF" w:rsidRDefault="00610DB5" w:rsidP="00610DB5">
      <w:pPr>
        <w:rPr>
          <w:snapToGrid w:val="0"/>
          <w:color w:val="000000"/>
          <w:szCs w:val="22"/>
          <w:lang w:val="sr-Latn-ME" w:eastAsia="sv-SE"/>
        </w:rPr>
      </w:pPr>
      <w:r w:rsidRPr="00D768EF">
        <w:rPr>
          <w:snapToGrid w:val="0"/>
          <w:color w:val="000000"/>
          <w:szCs w:val="22"/>
          <w:lang w:val="sr-Latn-ME" w:eastAsia="sv-SE"/>
        </w:rPr>
        <w:t>Jednokratne intravenske infuzije od 1, 3, 5, 10 ili 20 mg/kg infliksimaba dovele su do povećanja maksimalne koncentracije u serumu (C</w:t>
      </w:r>
      <w:r w:rsidRPr="00D768EF">
        <w:rPr>
          <w:snapToGrid w:val="0"/>
          <w:color w:val="000000"/>
          <w:szCs w:val="22"/>
          <w:vertAlign w:val="subscript"/>
          <w:lang w:val="sr-Latn-ME" w:eastAsia="sv-SE"/>
        </w:rPr>
        <w:t>max</w:t>
      </w:r>
      <w:r w:rsidRPr="00D768EF">
        <w:rPr>
          <w:snapToGrid w:val="0"/>
          <w:color w:val="000000"/>
          <w:szCs w:val="22"/>
          <w:lang w:val="sr-Latn-ME" w:eastAsia="sv-SE"/>
        </w:rPr>
        <w:t>)</w:t>
      </w:r>
      <w:r w:rsidR="00E97FE0" w:rsidRPr="00D768EF">
        <w:rPr>
          <w:snapToGrid w:val="0"/>
          <w:color w:val="000000"/>
          <w:szCs w:val="22"/>
          <w:lang w:val="sr-Latn-ME" w:eastAsia="sv-SE"/>
        </w:rPr>
        <w:t xml:space="preserve"> </w:t>
      </w:r>
      <w:r w:rsidRPr="00D768EF">
        <w:rPr>
          <w:snapToGrid w:val="0"/>
          <w:color w:val="000000"/>
          <w:szCs w:val="22"/>
          <w:lang w:val="sr-Latn-ME" w:eastAsia="sv-SE"/>
        </w:rPr>
        <w:t>i površine ispod krive koncentracija-vreme (AUC)</w:t>
      </w:r>
      <w:r w:rsidR="00E97FE0" w:rsidRPr="00D768EF">
        <w:rPr>
          <w:snapToGrid w:val="0"/>
          <w:color w:val="000000"/>
          <w:szCs w:val="22"/>
          <w:lang w:val="sr-Latn-ME" w:eastAsia="sv-SE"/>
        </w:rPr>
        <w:t>, proporcionalno dozi</w:t>
      </w:r>
      <w:r w:rsidRPr="00D768EF">
        <w:rPr>
          <w:snapToGrid w:val="0"/>
          <w:color w:val="000000"/>
          <w:szCs w:val="22"/>
          <w:lang w:val="sr-Latn-ME" w:eastAsia="sv-SE"/>
        </w:rPr>
        <w:t>. Volumen distribucije u stanju dinamičke ravnoteže (medijana V</w:t>
      </w:r>
      <w:r w:rsidRPr="00D768EF">
        <w:rPr>
          <w:snapToGrid w:val="0"/>
          <w:color w:val="000000"/>
          <w:szCs w:val="22"/>
          <w:vertAlign w:val="subscript"/>
          <w:lang w:val="sr-Latn-ME" w:eastAsia="sv-SE"/>
        </w:rPr>
        <w:t xml:space="preserve">d </w:t>
      </w:r>
      <w:r w:rsidRPr="00D768EF">
        <w:rPr>
          <w:snapToGrid w:val="0"/>
          <w:color w:val="000000"/>
          <w:szCs w:val="22"/>
          <w:lang w:val="sr-Latn-ME" w:eastAsia="sv-SE"/>
        </w:rPr>
        <w:t>od 3,0 do 4,1 litara) nije zavisila od veličine prim</w:t>
      </w:r>
      <w:r w:rsidR="00126595" w:rsidRPr="00D768EF">
        <w:rPr>
          <w:snapToGrid w:val="0"/>
          <w:color w:val="000000"/>
          <w:szCs w:val="22"/>
          <w:lang w:val="sr-Latn-ME" w:eastAsia="sv-SE"/>
        </w:rPr>
        <w:t>ij</w:t>
      </w:r>
      <w:r w:rsidRPr="00D768EF">
        <w:rPr>
          <w:snapToGrid w:val="0"/>
          <w:color w:val="000000"/>
          <w:szCs w:val="22"/>
          <w:lang w:val="sr-Latn-ME" w:eastAsia="sv-SE"/>
        </w:rPr>
        <w:t xml:space="preserve">enjene doze i ukazuje na to da se infliksimab prevashodno distribuira </w:t>
      </w:r>
      <w:r w:rsidR="00E97FE0" w:rsidRPr="00D768EF">
        <w:rPr>
          <w:snapToGrid w:val="0"/>
          <w:color w:val="000000"/>
          <w:szCs w:val="22"/>
          <w:lang w:val="sr-Latn-ME" w:eastAsia="sv-SE"/>
        </w:rPr>
        <w:t xml:space="preserve">u </w:t>
      </w:r>
      <w:r w:rsidRPr="00D768EF">
        <w:rPr>
          <w:snapToGrid w:val="0"/>
          <w:color w:val="000000"/>
          <w:szCs w:val="22"/>
          <w:lang w:val="sr-Latn-ME" w:eastAsia="sv-SE"/>
        </w:rPr>
        <w:t>vaskularno</w:t>
      </w:r>
      <w:r w:rsidR="00E97FE0" w:rsidRPr="00D768EF">
        <w:rPr>
          <w:snapToGrid w:val="0"/>
          <w:color w:val="000000"/>
          <w:szCs w:val="22"/>
          <w:lang w:val="sr-Latn-ME" w:eastAsia="sv-SE"/>
        </w:rPr>
        <w:t>m prostoru</w:t>
      </w:r>
      <w:r w:rsidRPr="00D768EF">
        <w:rPr>
          <w:snapToGrid w:val="0"/>
          <w:color w:val="000000"/>
          <w:szCs w:val="22"/>
          <w:lang w:val="sr-Latn-ME" w:eastAsia="sv-SE"/>
        </w:rPr>
        <w:t>. Nije prim</w:t>
      </w:r>
      <w:r w:rsidR="00C3214E" w:rsidRPr="00D768EF">
        <w:rPr>
          <w:snapToGrid w:val="0"/>
          <w:color w:val="000000"/>
          <w:szCs w:val="22"/>
          <w:lang w:val="sr-Latn-ME" w:eastAsia="sv-SE"/>
        </w:rPr>
        <w:t>ij</w:t>
      </w:r>
      <w:r w:rsidRPr="00D768EF">
        <w:rPr>
          <w:snapToGrid w:val="0"/>
          <w:color w:val="000000"/>
          <w:szCs w:val="22"/>
          <w:lang w:val="sr-Latn-ME" w:eastAsia="sv-SE"/>
        </w:rPr>
        <w:t>ećena zavisnost farmakokinetike od vremena. Putevi eliminacije infliksimaba nisu opisani. Neizm</w:t>
      </w:r>
      <w:r w:rsidR="00126595" w:rsidRPr="00D768EF">
        <w:rPr>
          <w:snapToGrid w:val="0"/>
          <w:color w:val="000000"/>
          <w:szCs w:val="22"/>
          <w:lang w:val="sr-Latn-ME" w:eastAsia="sv-SE"/>
        </w:rPr>
        <w:t>ij</w:t>
      </w:r>
      <w:r w:rsidRPr="00D768EF">
        <w:rPr>
          <w:snapToGrid w:val="0"/>
          <w:color w:val="000000"/>
          <w:szCs w:val="22"/>
          <w:lang w:val="sr-Latn-ME" w:eastAsia="sv-SE"/>
        </w:rPr>
        <w:t>enjen infliksimab nije pronađen u urinu. Nisu prim</w:t>
      </w:r>
      <w:r w:rsidR="00C3214E" w:rsidRPr="00D768EF">
        <w:rPr>
          <w:snapToGrid w:val="0"/>
          <w:color w:val="000000"/>
          <w:szCs w:val="22"/>
          <w:lang w:val="sr-Latn-ME" w:eastAsia="sv-SE"/>
        </w:rPr>
        <w:t>ij</w:t>
      </w:r>
      <w:r w:rsidRPr="00D768EF">
        <w:rPr>
          <w:snapToGrid w:val="0"/>
          <w:color w:val="000000"/>
          <w:szCs w:val="22"/>
          <w:lang w:val="sr-Latn-ME" w:eastAsia="sv-SE"/>
        </w:rPr>
        <w:t>ećene veće razlike u eliminaciji ili volumenu distribucije koje su vezane za starosnu dob ili t</w:t>
      </w:r>
      <w:r w:rsidR="00B00208" w:rsidRPr="00D768EF">
        <w:rPr>
          <w:snapToGrid w:val="0"/>
          <w:color w:val="000000"/>
          <w:szCs w:val="22"/>
          <w:lang w:val="sr-Latn-ME" w:eastAsia="sv-SE"/>
        </w:rPr>
        <w:t>j</w:t>
      </w:r>
      <w:r w:rsidRPr="00D768EF">
        <w:rPr>
          <w:snapToGrid w:val="0"/>
          <w:color w:val="000000"/>
          <w:szCs w:val="22"/>
          <w:lang w:val="sr-Latn-ME" w:eastAsia="sv-SE"/>
        </w:rPr>
        <w:t xml:space="preserve">elesnu masu kod pacijenata sa reumatoidnim artritisom. </w:t>
      </w:r>
      <w:r w:rsidRPr="00D768EF">
        <w:rPr>
          <w:color w:val="000000"/>
          <w:szCs w:val="22"/>
          <w:lang w:val="sr-Latn-ME"/>
        </w:rPr>
        <w:t xml:space="preserve">Farmakokinetika infliksimaba kod starijih pacijenata nije istraživana. Nisu vršene studije na pacijentima sa oboljenjem jetre ili bubrega. </w:t>
      </w:r>
    </w:p>
    <w:p w14:paraId="1CE70683" w14:textId="77777777" w:rsidR="00610DB5" w:rsidRPr="00D768EF" w:rsidRDefault="00610DB5" w:rsidP="00610DB5">
      <w:pPr>
        <w:rPr>
          <w:snapToGrid w:val="0"/>
          <w:color w:val="000000"/>
          <w:szCs w:val="22"/>
          <w:lang w:val="sr-Latn-ME" w:eastAsia="sv-SE"/>
        </w:rPr>
      </w:pPr>
    </w:p>
    <w:p w14:paraId="65F18084" w14:textId="64A6D229" w:rsidR="00610DB5" w:rsidRPr="00D768EF" w:rsidRDefault="00610DB5" w:rsidP="00610DB5">
      <w:pPr>
        <w:rPr>
          <w:snapToGrid w:val="0"/>
          <w:color w:val="000000"/>
          <w:szCs w:val="22"/>
          <w:lang w:val="sr-Latn-ME" w:eastAsia="sv-SE"/>
        </w:rPr>
      </w:pPr>
      <w:r w:rsidRPr="00D768EF">
        <w:rPr>
          <w:snapToGrid w:val="0"/>
          <w:color w:val="000000"/>
          <w:szCs w:val="22"/>
          <w:lang w:val="sr-Latn-ME" w:eastAsia="sv-SE"/>
        </w:rPr>
        <w:t>Kod pojedinačnih doza od 3, 5 ili 10 mg/kg, medijana C</w:t>
      </w:r>
      <w:r w:rsidRPr="00D768EF">
        <w:rPr>
          <w:snapToGrid w:val="0"/>
          <w:color w:val="000000"/>
          <w:szCs w:val="22"/>
          <w:vertAlign w:val="subscript"/>
          <w:lang w:val="sr-Latn-ME" w:eastAsia="sv-SE"/>
        </w:rPr>
        <w:t>max</w:t>
      </w:r>
      <w:r w:rsidRPr="00D768EF">
        <w:rPr>
          <w:snapToGrid w:val="0"/>
          <w:color w:val="000000"/>
          <w:szCs w:val="22"/>
          <w:lang w:val="sr-Latn-ME" w:eastAsia="sv-SE"/>
        </w:rPr>
        <w:t xml:space="preserve"> </w:t>
      </w:r>
      <w:r w:rsidR="008A0A5C" w:rsidRPr="00D768EF">
        <w:rPr>
          <w:snapToGrid w:val="0"/>
          <w:color w:val="000000"/>
          <w:szCs w:val="22"/>
          <w:lang w:val="sr-Latn-ME" w:eastAsia="sv-SE"/>
        </w:rPr>
        <w:t>vrijedno</w:t>
      </w:r>
      <w:r w:rsidRPr="00D768EF">
        <w:rPr>
          <w:snapToGrid w:val="0"/>
          <w:color w:val="000000"/>
          <w:szCs w:val="22"/>
          <w:lang w:val="sr-Latn-ME" w:eastAsia="sv-SE"/>
        </w:rPr>
        <w:t>sti bile su 77, 118 </w:t>
      </w:r>
      <w:r w:rsidR="00E97FE0" w:rsidRPr="00D768EF">
        <w:rPr>
          <w:snapToGrid w:val="0"/>
          <w:color w:val="000000"/>
          <w:szCs w:val="22"/>
          <w:lang w:val="sr-Latn-ME" w:eastAsia="sv-SE"/>
        </w:rPr>
        <w:t>odnosno</w:t>
      </w:r>
      <w:r w:rsidRPr="00D768EF">
        <w:rPr>
          <w:snapToGrid w:val="0"/>
          <w:color w:val="000000"/>
          <w:szCs w:val="22"/>
          <w:lang w:val="sr-Latn-ME" w:eastAsia="sv-SE"/>
        </w:rPr>
        <w:t xml:space="preserve"> 277 mikrograma/m</w:t>
      </w:r>
      <w:r w:rsidR="00E97FE0" w:rsidRPr="00D768EF">
        <w:rPr>
          <w:snapToGrid w:val="0"/>
          <w:color w:val="000000"/>
          <w:szCs w:val="22"/>
          <w:lang w:val="sr-Latn-ME" w:eastAsia="sv-SE"/>
        </w:rPr>
        <w:t>L</w:t>
      </w:r>
      <w:r w:rsidRPr="00D768EF">
        <w:rPr>
          <w:snapToGrid w:val="0"/>
          <w:color w:val="000000"/>
          <w:szCs w:val="22"/>
          <w:lang w:val="sr-Latn-ME" w:eastAsia="sv-SE"/>
        </w:rPr>
        <w:t xml:space="preserve">. Medijana terminalnog poluvremena eliminacije pri ovim dozama bio je u opsegu </w:t>
      </w:r>
      <w:r w:rsidRPr="00D768EF">
        <w:rPr>
          <w:snapToGrid w:val="0"/>
          <w:color w:val="000000"/>
          <w:szCs w:val="22"/>
          <w:lang w:val="sr-Latn-ME" w:eastAsia="sv-SE"/>
        </w:rPr>
        <w:lastRenderedPageBreak/>
        <w:t>od 8 do 9</w:t>
      </w:r>
      <w:r w:rsidR="00E97FE0" w:rsidRPr="00D768EF">
        <w:rPr>
          <w:snapToGrid w:val="0"/>
          <w:color w:val="000000"/>
          <w:szCs w:val="22"/>
          <w:lang w:val="sr-Latn-ME" w:eastAsia="sv-SE"/>
        </w:rPr>
        <w:t>,</w:t>
      </w:r>
      <w:r w:rsidRPr="00D768EF">
        <w:rPr>
          <w:snapToGrid w:val="0"/>
          <w:color w:val="000000"/>
          <w:szCs w:val="22"/>
          <w:lang w:val="sr-Latn-ME" w:eastAsia="sv-SE"/>
        </w:rPr>
        <w:t xml:space="preserve">5 dana. Kod većine pacijenata, infliksimab se mogao pronaći u serumu najmanje 8 </w:t>
      </w:r>
      <w:r w:rsidR="00D57936" w:rsidRPr="00D768EF">
        <w:rPr>
          <w:snapToGrid w:val="0"/>
          <w:color w:val="000000"/>
          <w:szCs w:val="22"/>
          <w:lang w:val="sr-Latn-ME" w:eastAsia="sv-SE"/>
        </w:rPr>
        <w:t>nedjelj</w:t>
      </w:r>
      <w:r w:rsidRPr="00D768EF">
        <w:rPr>
          <w:snapToGrid w:val="0"/>
          <w:color w:val="000000"/>
          <w:szCs w:val="22"/>
          <w:lang w:val="sr-Latn-ME" w:eastAsia="sv-SE"/>
        </w:rPr>
        <w:t>a posl</w:t>
      </w:r>
      <w:r w:rsidR="008B2126">
        <w:rPr>
          <w:snapToGrid w:val="0"/>
          <w:color w:val="000000"/>
          <w:szCs w:val="22"/>
          <w:lang w:val="sr-Latn-ME" w:eastAsia="sv-SE"/>
        </w:rPr>
        <w:t>ij</w:t>
      </w:r>
      <w:r w:rsidRPr="00D768EF">
        <w:rPr>
          <w:snapToGrid w:val="0"/>
          <w:color w:val="000000"/>
          <w:szCs w:val="22"/>
          <w:lang w:val="sr-Latn-ME" w:eastAsia="sv-SE"/>
        </w:rPr>
        <w:t xml:space="preserve">e preporučene </w:t>
      </w:r>
      <w:r w:rsidR="00E97FE0" w:rsidRPr="00D768EF">
        <w:rPr>
          <w:snapToGrid w:val="0"/>
          <w:color w:val="000000"/>
          <w:szCs w:val="22"/>
          <w:lang w:val="sr-Latn-ME" w:eastAsia="sv-SE"/>
        </w:rPr>
        <w:t xml:space="preserve">pojedinačne </w:t>
      </w:r>
      <w:r w:rsidRPr="00D768EF">
        <w:rPr>
          <w:snapToGrid w:val="0"/>
          <w:color w:val="000000"/>
          <w:szCs w:val="22"/>
          <w:lang w:val="sr-Latn-ME" w:eastAsia="sv-SE"/>
        </w:rPr>
        <w:t>doze od 5 mg/kg kod pacijenata sa Kronovom bolešću i doze održavanja kod pacijenata sa reumatoidnim artritisom od 3 mg/kg svakih 8 </w:t>
      </w:r>
      <w:r w:rsidR="00D57936" w:rsidRPr="00D768EF">
        <w:rPr>
          <w:snapToGrid w:val="0"/>
          <w:color w:val="000000"/>
          <w:szCs w:val="22"/>
          <w:lang w:val="sr-Latn-ME" w:eastAsia="sv-SE"/>
        </w:rPr>
        <w:t>nedjelj</w:t>
      </w:r>
      <w:r w:rsidRPr="00D768EF">
        <w:rPr>
          <w:snapToGrid w:val="0"/>
          <w:color w:val="000000"/>
          <w:szCs w:val="22"/>
          <w:lang w:val="sr-Latn-ME" w:eastAsia="sv-SE"/>
        </w:rPr>
        <w:t>a.</w:t>
      </w:r>
    </w:p>
    <w:p w14:paraId="7CDC393E" w14:textId="77777777" w:rsidR="00610DB5" w:rsidRPr="00D768EF" w:rsidRDefault="00610DB5" w:rsidP="00610DB5">
      <w:pPr>
        <w:rPr>
          <w:snapToGrid w:val="0"/>
          <w:szCs w:val="22"/>
          <w:lang w:val="sr-Latn-ME" w:eastAsia="sv-SE"/>
        </w:rPr>
      </w:pPr>
    </w:p>
    <w:p w14:paraId="278CF1F1" w14:textId="14E6B3CE" w:rsidR="00610DB5" w:rsidRPr="00D768EF" w:rsidRDefault="00610DB5" w:rsidP="00610DB5">
      <w:pPr>
        <w:rPr>
          <w:szCs w:val="22"/>
          <w:lang w:val="sr-Latn-ME"/>
        </w:rPr>
      </w:pPr>
      <w:r w:rsidRPr="00D768EF">
        <w:rPr>
          <w:szCs w:val="22"/>
          <w:lang w:val="sr-Latn-ME"/>
        </w:rPr>
        <w:t xml:space="preserve">Ponovljena </w:t>
      </w:r>
      <w:r w:rsidR="00D57936" w:rsidRPr="00D768EF">
        <w:rPr>
          <w:szCs w:val="22"/>
          <w:lang w:val="sr-Latn-ME"/>
        </w:rPr>
        <w:t>primjena</w:t>
      </w:r>
      <w:r w:rsidRPr="00D768EF">
        <w:rPr>
          <w:szCs w:val="22"/>
          <w:lang w:val="sr-Latn-ME"/>
        </w:rPr>
        <w:t xml:space="preserve"> infliksimaba (5 mg/kg 0, 2. i 6. </w:t>
      </w:r>
      <w:r w:rsidR="00D57936" w:rsidRPr="00D768EF">
        <w:rPr>
          <w:szCs w:val="22"/>
          <w:lang w:val="sr-Latn-ME"/>
        </w:rPr>
        <w:t>nedjelj</w:t>
      </w:r>
      <w:r w:rsidRPr="00D768EF">
        <w:rPr>
          <w:szCs w:val="22"/>
          <w:lang w:val="sr-Latn-ME"/>
        </w:rPr>
        <w:t>i kod fistulizirajuće Kronove bolesti, 3 ili 10 mg/kg svakih 4 ili 8 </w:t>
      </w:r>
      <w:r w:rsidR="00D57936" w:rsidRPr="00D768EF">
        <w:rPr>
          <w:szCs w:val="22"/>
          <w:lang w:val="sr-Latn-ME"/>
        </w:rPr>
        <w:t>nedjelj</w:t>
      </w:r>
      <w:r w:rsidRPr="00D768EF">
        <w:rPr>
          <w:szCs w:val="22"/>
          <w:lang w:val="sr-Latn-ME"/>
        </w:rPr>
        <w:t xml:space="preserve">a kod reumatoidnog artritisa) dovela je do </w:t>
      </w:r>
      <w:r w:rsidR="00E97FE0" w:rsidRPr="00D768EF">
        <w:rPr>
          <w:szCs w:val="22"/>
          <w:lang w:val="sr-Latn-ME"/>
        </w:rPr>
        <w:t xml:space="preserve">blage </w:t>
      </w:r>
      <w:r w:rsidRPr="00D768EF">
        <w:rPr>
          <w:szCs w:val="22"/>
          <w:lang w:val="sr-Latn-ME"/>
        </w:rPr>
        <w:t>akumulacije infliksimaba u serumu posl</w:t>
      </w:r>
      <w:r w:rsidR="008B2126">
        <w:rPr>
          <w:szCs w:val="22"/>
          <w:lang w:val="sr-Latn-ME"/>
        </w:rPr>
        <w:t>ij</w:t>
      </w:r>
      <w:r w:rsidRPr="00D768EF">
        <w:rPr>
          <w:szCs w:val="22"/>
          <w:lang w:val="sr-Latn-ME"/>
        </w:rPr>
        <w:t>e druge doze. Nije prim</w:t>
      </w:r>
      <w:r w:rsidR="00C3214E" w:rsidRPr="00D768EF">
        <w:rPr>
          <w:szCs w:val="22"/>
          <w:lang w:val="sr-Latn-ME"/>
        </w:rPr>
        <w:t>ij</w:t>
      </w:r>
      <w:r w:rsidRPr="00D768EF">
        <w:rPr>
          <w:szCs w:val="22"/>
          <w:lang w:val="sr-Latn-ME"/>
        </w:rPr>
        <w:t>ećena dalja klinički relevantna kumulacija l</w:t>
      </w:r>
      <w:r w:rsidR="00C3214E" w:rsidRPr="00D768EF">
        <w:rPr>
          <w:szCs w:val="22"/>
          <w:lang w:val="sr-Latn-ME"/>
        </w:rPr>
        <w:t>ij</w:t>
      </w:r>
      <w:r w:rsidRPr="00D768EF">
        <w:rPr>
          <w:szCs w:val="22"/>
          <w:lang w:val="sr-Latn-ME"/>
        </w:rPr>
        <w:t>eka. Kod većine pacijenata sa fistulizirajućom Kronovom bolešću, infliksimab je pronađen u serumu tokom 12 </w:t>
      </w:r>
      <w:r w:rsidR="00D57936" w:rsidRPr="00D768EF">
        <w:rPr>
          <w:szCs w:val="22"/>
          <w:lang w:val="sr-Latn-ME"/>
        </w:rPr>
        <w:t>nedjelj</w:t>
      </w:r>
      <w:r w:rsidRPr="00D768EF">
        <w:rPr>
          <w:szCs w:val="22"/>
          <w:lang w:val="sr-Latn-ME"/>
        </w:rPr>
        <w:t>a (opseg 4</w:t>
      </w:r>
      <w:r w:rsidRPr="00D768EF">
        <w:rPr>
          <w:szCs w:val="22"/>
          <w:lang w:val="sr-Latn-ME"/>
        </w:rPr>
        <w:noBreakHyphen/>
        <w:t>28 </w:t>
      </w:r>
      <w:r w:rsidR="00D57936" w:rsidRPr="00D768EF">
        <w:rPr>
          <w:szCs w:val="22"/>
          <w:lang w:val="sr-Latn-ME"/>
        </w:rPr>
        <w:t>nedjelj</w:t>
      </w:r>
      <w:r w:rsidRPr="00D768EF">
        <w:rPr>
          <w:szCs w:val="22"/>
          <w:lang w:val="sr-Latn-ME"/>
        </w:rPr>
        <w:t>a) posl</w:t>
      </w:r>
      <w:r w:rsidR="008B2126">
        <w:rPr>
          <w:szCs w:val="22"/>
          <w:lang w:val="sr-Latn-ME"/>
        </w:rPr>
        <w:t>ij</w:t>
      </w:r>
      <w:r w:rsidRPr="00D768EF">
        <w:rPr>
          <w:szCs w:val="22"/>
          <w:lang w:val="sr-Latn-ME"/>
        </w:rPr>
        <w:t>e davanje terapije.</w:t>
      </w:r>
    </w:p>
    <w:p w14:paraId="652A6C1C" w14:textId="77777777" w:rsidR="00610DB5" w:rsidRPr="00D768EF" w:rsidRDefault="00610DB5" w:rsidP="00610DB5">
      <w:pPr>
        <w:rPr>
          <w:szCs w:val="22"/>
          <w:lang w:val="sr-Latn-ME"/>
        </w:rPr>
      </w:pPr>
    </w:p>
    <w:p w14:paraId="27826BE7" w14:textId="77777777" w:rsidR="00610DB5" w:rsidRPr="00D768EF" w:rsidRDefault="00610DB5" w:rsidP="00610DB5">
      <w:pPr>
        <w:rPr>
          <w:i/>
          <w:szCs w:val="22"/>
          <w:u w:val="single"/>
          <w:lang w:val="sr-Latn-ME"/>
        </w:rPr>
      </w:pPr>
      <w:r w:rsidRPr="00D768EF">
        <w:rPr>
          <w:i/>
          <w:szCs w:val="22"/>
          <w:u w:val="single"/>
          <w:lang w:val="sr-Latn-ME"/>
        </w:rPr>
        <w:t>Pedijatrijska populacija</w:t>
      </w:r>
    </w:p>
    <w:p w14:paraId="51724ED0" w14:textId="77777777" w:rsidR="00610DB5" w:rsidRPr="00D768EF" w:rsidRDefault="00610DB5" w:rsidP="00610DB5">
      <w:pPr>
        <w:rPr>
          <w:color w:val="000000"/>
          <w:szCs w:val="22"/>
          <w:lang w:val="sr-Latn-ME"/>
        </w:rPr>
      </w:pPr>
    </w:p>
    <w:p w14:paraId="29466FDC" w14:textId="65D6F29E" w:rsidR="00610DB5" w:rsidRPr="00D768EF" w:rsidRDefault="00610DB5" w:rsidP="00610DB5">
      <w:pPr>
        <w:rPr>
          <w:color w:val="000000"/>
          <w:szCs w:val="22"/>
          <w:lang w:val="sr-Latn-ME"/>
        </w:rPr>
      </w:pPr>
      <w:r w:rsidRPr="00D768EF">
        <w:rPr>
          <w:color w:val="000000"/>
          <w:szCs w:val="22"/>
          <w:lang w:val="sr-Latn-ME"/>
        </w:rPr>
        <w:t>Populaciona farmakokinetička analiza zasnovana na podacima dobijenim kod pacijenata sa ulceroznim kolitisom (N=60), Kronovom bolešću (N=112), juvenilnim reumatoidnim artritisom (N=117) i Kavasakijevom bolešću (N=16) sa sveukupnim opsegom uzrasta od 2 m</w:t>
      </w:r>
      <w:r w:rsidR="00B00208" w:rsidRPr="00D768EF">
        <w:rPr>
          <w:color w:val="000000"/>
          <w:szCs w:val="22"/>
          <w:lang w:val="sr-Latn-ME"/>
        </w:rPr>
        <w:t>j</w:t>
      </w:r>
      <w:r w:rsidRPr="00D768EF">
        <w:rPr>
          <w:color w:val="000000"/>
          <w:szCs w:val="22"/>
          <w:lang w:val="sr-Latn-ME"/>
        </w:rPr>
        <w:t>eseca do 17 godina, ukazala je da je izloženost infliksimabu nelinearno zavisna od t</w:t>
      </w:r>
      <w:r w:rsidR="00B00208" w:rsidRPr="00D768EF">
        <w:rPr>
          <w:color w:val="000000"/>
          <w:szCs w:val="22"/>
          <w:lang w:val="sr-Latn-ME"/>
        </w:rPr>
        <w:t>j</w:t>
      </w:r>
      <w:r w:rsidRPr="00D768EF">
        <w:rPr>
          <w:color w:val="000000"/>
          <w:szCs w:val="22"/>
          <w:lang w:val="sr-Latn-ME"/>
        </w:rPr>
        <w:t>elesne mase. Posl</w:t>
      </w:r>
      <w:r w:rsidR="008B2126">
        <w:rPr>
          <w:color w:val="000000"/>
          <w:szCs w:val="22"/>
          <w:lang w:val="sr-Latn-ME"/>
        </w:rPr>
        <w:t>ij</w:t>
      </w:r>
      <w:r w:rsidRPr="00D768EF">
        <w:rPr>
          <w:color w:val="000000"/>
          <w:szCs w:val="22"/>
          <w:lang w:val="sr-Latn-ME"/>
        </w:rPr>
        <w:t>e prim</w:t>
      </w:r>
      <w:r w:rsidR="00126595" w:rsidRPr="00D768EF">
        <w:rPr>
          <w:color w:val="000000"/>
          <w:szCs w:val="22"/>
          <w:lang w:val="sr-Latn-ME"/>
        </w:rPr>
        <w:t>j</w:t>
      </w:r>
      <w:r w:rsidRPr="00D768EF">
        <w:rPr>
          <w:color w:val="000000"/>
          <w:szCs w:val="22"/>
          <w:lang w:val="sr-Latn-ME"/>
        </w:rPr>
        <w:t xml:space="preserve">ene 5 mg/kg infliksimaba svakih 8 </w:t>
      </w:r>
      <w:r w:rsidR="00D57936" w:rsidRPr="00D768EF">
        <w:rPr>
          <w:color w:val="000000"/>
          <w:szCs w:val="22"/>
          <w:lang w:val="sr-Latn-ME"/>
        </w:rPr>
        <w:t>nedjelj</w:t>
      </w:r>
      <w:r w:rsidRPr="00D768EF">
        <w:rPr>
          <w:color w:val="000000"/>
          <w:szCs w:val="22"/>
          <w:lang w:val="sr-Latn-ME"/>
        </w:rPr>
        <w:t>a, predviđena</w:t>
      </w:r>
      <w:r w:rsidR="00E97FE0" w:rsidRPr="00D768EF">
        <w:rPr>
          <w:color w:val="000000"/>
          <w:szCs w:val="22"/>
          <w:lang w:val="sr-Latn-ME"/>
        </w:rPr>
        <w:t xml:space="preserve"> medijana</w:t>
      </w:r>
      <w:r w:rsidRPr="00D768EF">
        <w:rPr>
          <w:color w:val="000000"/>
          <w:szCs w:val="22"/>
          <w:lang w:val="sr-Latn-ME"/>
        </w:rPr>
        <w:t xml:space="preserve"> izloženost</w:t>
      </w:r>
      <w:r w:rsidR="00E97FE0" w:rsidRPr="00D768EF">
        <w:rPr>
          <w:color w:val="000000"/>
          <w:szCs w:val="22"/>
          <w:lang w:val="sr-Latn-ME"/>
        </w:rPr>
        <w:t>i</w:t>
      </w:r>
      <w:r w:rsidRPr="00D768EF">
        <w:rPr>
          <w:color w:val="000000"/>
          <w:szCs w:val="22"/>
          <w:lang w:val="sr-Latn-ME"/>
        </w:rPr>
        <w:t xml:space="preserve"> infliksimabu u stanjuravnoteže (površina ispod krive koncentracija-vr</w:t>
      </w:r>
      <w:r w:rsidR="00B00208" w:rsidRPr="00D768EF">
        <w:rPr>
          <w:color w:val="000000"/>
          <w:szCs w:val="22"/>
          <w:lang w:val="sr-Latn-ME"/>
        </w:rPr>
        <w:t>ij</w:t>
      </w:r>
      <w:r w:rsidRPr="00D768EF">
        <w:rPr>
          <w:color w:val="000000"/>
          <w:szCs w:val="22"/>
          <w:lang w:val="sr-Latn-ME"/>
        </w:rPr>
        <w:t xml:space="preserve">eme u stanju ravnoteže - </w:t>
      </w:r>
      <w:r w:rsidR="00E97FE0" w:rsidRPr="00D768EF">
        <w:rPr>
          <w:color w:val="000000"/>
          <w:szCs w:val="22"/>
          <w:lang w:val="sr-Latn-ME"/>
        </w:rPr>
        <w:t>PIK</w:t>
      </w:r>
      <w:r w:rsidR="00E97FE0" w:rsidRPr="00D768EF">
        <w:rPr>
          <w:color w:val="000000"/>
          <w:szCs w:val="22"/>
          <w:vertAlign w:val="subscript"/>
          <w:lang w:val="sr-Latn-ME"/>
        </w:rPr>
        <w:t>SS</w:t>
      </w:r>
      <w:r w:rsidRPr="00D768EF">
        <w:rPr>
          <w:color w:val="000000"/>
          <w:szCs w:val="22"/>
          <w:lang w:val="sr-Latn-ME"/>
        </w:rPr>
        <w:t xml:space="preserve">) kod pedijatrijskih pacijenata uzrasta 6 do 17 godina je bila približno 20% </w:t>
      </w:r>
      <w:r w:rsidR="00E97FE0" w:rsidRPr="00D768EF">
        <w:rPr>
          <w:color w:val="000000"/>
          <w:szCs w:val="22"/>
          <w:lang w:val="sr-Latn-ME"/>
        </w:rPr>
        <w:t xml:space="preserve">manja </w:t>
      </w:r>
      <w:r w:rsidRPr="00D768EF">
        <w:rPr>
          <w:color w:val="000000"/>
          <w:szCs w:val="22"/>
          <w:lang w:val="sr-Latn-ME"/>
        </w:rPr>
        <w:t xml:space="preserve">nego predviđena izloženost u stanju ravnoteže kod odraslih. Za medijanu </w:t>
      </w:r>
      <w:r w:rsidR="00E97FE0" w:rsidRPr="00D768EF">
        <w:rPr>
          <w:color w:val="000000"/>
          <w:szCs w:val="22"/>
          <w:lang w:val="sr-Latn-ME"/>
        </w:rPr>
        <w:t>PIK</w:t>
      </w:r>
      <w:r w:rsidRPr="00D768EF">
        <w:rPr>
          <w:color w:val="000000"/>
          <w:szCs w:val="22"/>
          <w:vertAlign w:val="subscript"/>
          <w:lang w:val="sr-Latn-ME"/>
        </w:rPr>
        <w:t xml:space="preserve">SS </w:t>
      </w:r>
      <w:r w:rsidRPr="00D768EF">
        <w:rPr>
          <w:color w:val="000000"/>
          <w:szCs w:val="22"/>
          <w:lang w:val="sr-Latn-ME"/>
        </w:rPr>
        <w:t xml:space="preserve">kod pedijatrijskih pacijenata uzrasta od 2 godine do manje od 6 godina, predviđena je </w:t>
      </w:r>
      <w:r w:rsidR="008A0A5C" w:rsidRPr="00D768EF">
        <w:rPr>
          <w:color w:val="000000"/>
          <w:szCs w:val="22"/>
          <w:lang w:val="sr-Latn-ME"/>
        </w:rPr>
        <w:t>vrijedno</w:t>
      </w:r>
      <w:r w:rsidRPr="00D768EF">
        <w:rPr>
          <w:color w:val="000000"/>
          <w:szCs w:val="22"/>
          <w:lang w:val="sr-Latn-ME"/>
        </w:rPr>
        <w:t xml:space="preserve">st za </w:t>
      </w:r>
      <w:r w:rsidR="00E97FE0" w:rsidRPr="00D768EF">
        <w:rPr>
          <w:color w:val="000000"/>
          <w:szCs w:val="22"/>
          <w:lang w:val="sr-Latn-ME"/>
        </w:rPr>
        <w:t xml:space="preserve">približno </w:t>
      </w:r>
      <w:r w:rsidRPr="00D768EF">
        <w:rPr>
          <w:color w:val="000000"/>
          <w:szCs w:val="22"/>
          <w:lang w:val="sr-Latn-ME"/>
        </w:rPr>
        <w:t>40% manja nego kod odraslih pacijenata, iako je broj pacijenata na kojem se zasniva ta proc</w:t>
      </w:r>
      <w:r w:rsidR="00BB5F87" w:rsidRPr="00D768EF">
        <w:rPr>
          <w:color w:val="000000"/>
          <w:szCs w:val="22"/>
          <w:lang w:val="sr-Latn-ME"/>
        </w:rPr>
        <w:t>j</w:t>
      </w:r>
      <w:r w:rsidRPr="00D768EF">
        <w:rPr>
          <w:color w:val="000000"/>
          <w:szCs w:val="22"/>
          <w:lang w:val="sr-Latn-ME"/>
        </w:rPr>
        <w:t>ena ograničen.</w:t>
      </w:r>
    </w:p>
    <w:p w14:paraId="0E3E0CCA" w14:textId="77777777" w:rsidR="00610DB5" w:rsidRPr="00D768EF" w:rsidRDefault="00610DB5" w:rsidP="00D8713D">
      <w:pPr>
        <w:pStyle w:val="Default"/>
        <w:rPr>
          <w:color w:val="auto"/>
          <w:sz w:val="22"/>
          <w:szCs w:val="22"/>
          <w:u w:val="single"/>
          <w:lang w:val="sr-Latn-ME"/>
        </w:rPr>
      </w:pPr>
    </w:p>
    <w:p w14:paraId="7D7D47E4" w14:textId="11C02875" w:rsidR="00CE09F3" w:rsidRPr="00D768EF" w:rsidRDefault="00CE09F3" w:rsidP="00923865">
      <w:pPr>
        <w:rPr>
          <w:b/>
          <w:bCs/>
          <w:szCs w:val="22"/>
          <w:lang w:val="sr-Latn-ME"/>
        </w:rPr>
      </w:pPr>
      <w:r w:rsidRPr="00D768EF">
        <w:rPr>
          <w:b/>
          <w:bCs/>
          <w:szCs w:val="22"/>
          <w:lang w:val="sr-Latn-ME"/>
        </w:rPr>
        <w:t xml:space="preserve">5.3. Pretklinički podaci o </w:t>
      </w:r>
      <w:r w:rsidR="00282A1E" w:rsidRPr="00D768EF">
        <w:rPr>
          <w:b/>
          <w:bCs/>
          <w:szCs w:val="22"/>
          <w:lang w:val="sr-Latn-ME"/>
        </w:rPr>
        <w:t>bezbjedn</w:t>
      </w:r>
      <w:r w:rsidR="00220982" w:rsidRPr="00D768EF">
        <w:rPr>
          <w:b/>
          <w:bCs/>
          <w:szCs w:val="22"/>
          <w:lang w:val="sr-Latn-ME"/>
        </w:rPr>
        <w:t>o</w:t>
      </w:r>
      <w:r w:rsidRPr="00D768EF">
        <w:rPr>
          <w:b/>
          <w:bCs/>
          <w:szCs w:val="22"/>
          <w:lang w:val="sr-Latn-ME"/>
        </w:rPr>
        <w:t xml:space="preserve">sti </w:t>
      </w:r>
    </w:p>
    <w:p w14:paraId="4A3C03F8" w14:textId="77777777" w:rsidR="00CE09F3" w:rsidRPr="00D768EF" w:rsidRDefault="00CE09F3" w:rsidP="00923865">
      <w:pPr>
        <w:rPr>
          <w:szCs w:val="22"/>
          <w:lang w:val="sr-Latn-ME"/>
        </w:rPr>
      </w:pPr>
    </w:p>
    <w:p w14:paraId="7B710A98" w14:textId="12EF7770" w:rsidR="00610DB5" w:rsidRPr="00D768EF" w:rsidRDefault="00610DB5" w:rsidP="00610DB5">
      <w:pPr>
        <w:rPr>
          <w:color w:val="000000"/>
          <w:szCs w:val="22"/>
          <w:lang w:val="sr-Latn-ME"/>
        </w:rPr>
      </w:pPr>
      <w:r w:rsidRPr="00D768EF">
        <w:rPr>
          <w:color w:val="000000"/>
          <w:szCs w:val="22"/>
          <w:lang w:val="sr-Latn-ME"/>
        </w:rPr>
        <w:t>Infliksimab nema unakrsnu reaktivnost sa TNF</w:t>
      </w:r>
      <w:r w:rsidRPr="00D768EF">
        <w:rPr>
          <w:color w:val="000000"/>
          <w:szCs w:val="22"/>
          <w:vertAlign w:val="subscript"/>
          <w:lang w:val="sr-Latn-ME"/>
        </w:rPr>
        <w:sym w:font="Symbol" w:char="F061"/>
      </w:r>
      <w:r w:rsidRPr="00D768EF">
        <w:rPr>
          <w:color w:val="000000"/>
          <w:szCs w:val="22"/>
          <w:vertAlign w:val="subscript"/>
          <w:lang w:val="sr-Latn-ME"/>
        </w:rPr>
        <w:t xml:space="preserve"> </w:t>
      </w:r>
      <w:r w:rsidRPr="00D768EF">
        <w:rPr>
          <w:color w:val="000000"/>
          <w:szCs w:val="22"/>
          <w:lang w:val="sr-Latn-ME"/>
        </w:rPr>
        <w:t>drugih vrsta osim sa TNF</w:t>
      </w:r>
      <w:r w:rsidRPr="00D768EF">
        <w:rPr>
          <w:color w:val="000000"/>
          <w:szCs w:val="22"/>
          <w:vertAlign w:val="subscript"/>
          <w:lang w:val="sr-Latn-ME"/>
        </w:rPr>
        <w:sym w:font="Symbol" w:char="F061"/>
      </w:r>
      <w:r w:rsidRPr="00D768EF">
        <w:rPr>
          <w:color w:val="000000"/>
          <w:szCs w:val="22"/>
          <w:lang w:val="sr-Latn-ME"/>
        </w:rPr>
        <w:t xml:space="preserve"> ljudi i šimpanzi. Iz tog razloga, konvencionalni</w:t>
      </w:r>
      <w:r w:rsidRPr="00D768EF">
        <w:rPr>
          <w:szCs w:val="22"/>
          <w:lang w:val="sr-Latn-ME"/>
        </w:rPr>
        <w:t xml:space="preserve"> </w:t>
      </w:r>
      <w:r w:rsidRPr="00D768EF">
        <w:rPr>
          <w:color w:val="000000"/>
          <w:szCs w:val="22"/>
          <w:lang w:val="sr-Latn-ME"/>
        </w:rPr>
        <w:t xml:space="preserve">pretklinički podaci o </w:t>
      </w:r>
      <w:r w:rsidR="00282A1E" w:rsidRPr="00D768EF">
        <w:rPr>
          <w:color w:val="000000"/>
          <w:szCs w:val="22"/>
          <w:lang w:val="sr-Latn-ME"/>
        </w:rPr>
        <w:t>bezbjedn</w:t>
      </w:r>
      <w:r w:rsidR="00220982" w:rsidRPr="00D768EF">
        <w:rPr>
          <w:color w:val="000000"/>
          <w:szCs w:val="22"/>
          <w:lang w:val="sr-Latn-ME"/>
        </w:rPr>
        <w:t>o</w:t>
      </w:r>
      <w:r w:rsidRPr="00D768EF">
        <w:rPr>
          <w:color w:val="000000"/>
          <w:szCs w:val="22"/>
          <w:lang w:val="sr-Latn-ME"/>
        </w:rPr>
        <w:t>sti infliksimaba su ograničeni. U studiji o razvojnoj toksičnosti koja je sprovedena na miševima prim</w:t>
      </w:r>
      <w:r w:rsidR="00126595" w:rsidRPr="00D768EF">
        <w:rPr>
          <w:color w:val="000000"/>
          <w:szCs w:val="22"/>
          <w:lang w:val="sr-Latn-ME"/>
        </w:rPr>
        <w:t>j</w:t>
      </w:r>
      <w:r w:rsidRPr="00D768EF">
        <w:rPr>
          <w:color w:val="000000"/>
          <w:szCs w:val="22"/>
          <w:lang w:val="sr-Latn-ME"/>
        </w:rPr>
        <w:t xml:space="preserve">enom analognog </w:t>
      </w:r>
      <w:r w:rsidR="00220982" w:rsidRPr="00D768EF">
        <w:rPr>
          <w:color w:val="000000"/>
          <w:szCs w:val="22"/>
          <w:lang w:val="sr-Latn-ME"/>
        </w:rPr>
        <w:t>antitijel</w:t>
      </w:r>
      <w:r w:rsidRPr="00D768EF">
        <w:rPr>
          <w:color w:val="000000"/>
          <w:szCs w:val="22"/>
          <w:lang w:val="sr-Latn-ME"/>
        </w:rPr>
        <w:t>a koje selektivno inhibira funkcionalnu aktivnost TNF</w:t>
      </w:r>
      <w:r w:rsidRPr="00D768EF">
        <w:rPr>
          <w:color w:val="000000"/>
          <w:szCs w:val="22"/>
          <w:vertAlign w:val="subscript"/>
          <w:lang w:val="sr-Latn-ME"/>
        </w:rPr>
        <w:sym w:font="Symbol" w:char="F061"/>
      </w:r>
      <w:r w:rsidRPr="00D768EF">
        <w:rPr>
          <w:color w:val="000000"/>
          <w:szCs w:val="22"/>
          <w:lang w:val="sr-Latn-ME"/>
        </w:rPr>
        <w:t xml:space="preserve"> kod miša, nije bilo znakova toksičnosti kod majke, embriotoksičnosti ili teratogenosti. U studiji plodnosti i opšte reproduktivne funkcije, broj skotnih miševa bio je smanjen posl</w:t>
      </w:r>
      <w:r w:rsidR="008B2126">
        <w:rPr>
          <w:color w:val="000000"/>
          <w:szCs w:val="22"/>
          <w:lang w:val="sr-Latn-ME"/>
        </w:rPr>
        <w:t>ij</w:t>
      </w:r>
      <w:r w:rsidRPr="00D768EF">
        <w:rPr>
          <w:color w:val="000000"/>
          <w:szCs w:val="22"/>
          <w:lang w:val="sr-Latn-ME"/>
        </w:rPr>
        <w:t>e prim</w:t>
      </w:r>
      <w:r w:rsidR="00126595" w:rsidRPr="00D768EF">
        <w:rPr>
          <w:color w:val="000000"/>
          <w:szCs w:val="22"/>
          <w:lang w:val="sr-Latn-ME"/>
        </w:rPr>
        <w:t>j</w:t>
      </w:r>
      <w:r w:rsidRPr="00D768EF">
        <w:rPr>
          <w:color w:val="000000"/>
          <w:szCs w:val="22"/>
          <w:lang w:val="sr-Latn-ME"/>
        </w:rPr>
        <w:t xml:space="preserve">ene istog analognog </w:t>
      </w:r>
      <w:r w:rsidR="00220982" w:rsidRPr="00D768EF">
        <w:rPr>
          <w:color w:val="000000"/>
          <w:szCs w:val="22"/>
          <w:lang w:val="sr-Latn-ME"/>
        </w:rPr>
        <w:t>antitijel</w:t>
      </w:r>
      <w:r w:rsidRPr="00D768EF">
        <w:rPr>
          <w:color w:val="000000"/>
          <w:szCs w:val="22"/>
          <w:lang w:val="sr-Latn-ME"/>
        </w:rPr>
        <w:t xml:space="preserve">a. Nepoznato je da li je taj nalaz rezultat dejstva na mužjake i/ili ženke. U </w:t>
      </w:r>
      <w:r w:rsidR="006D694B" w:rsidRPr="00D768EF">
        <w:rPr>
          <w:color w:val="000000"/>
          <w:szCs w:val="22"/>
          <w:lang w:val="sr-Latn-ME"/>
        </w:rPr>
        <w:t xml:space="preserve">6-mjesečnoj </w:t>
      </w:r>
      <w:r w:rsidRPr="00D768EF">
        <w:rPr>
          <w:color w:val="000000"/>
          <w:szCs w:val="22"/>
          <w:lang w:val="sr-Latn-ME"/>
        </w:rPr>
        <w:t xml:space="preserve">studiji </w:t>
      </w:r>
      <w:r w:rsidRPr="00D768EF">
        <w:rPr>
          <w:snapToGrid w:val="0"/>
          <w:color w:val="000000"/>
          <w:szCs w:val="22"/>
          <w:lang w:val="sr-Latn-ME"/>
        </w:rPr>
        <w:t>toksičnosti ponovljen</w:t>
      </w:r>
      <w:r w:rsidR="006D694B" w:rsidRPr="00D768EF">
        <w:rPr>
          <w:snapToGrid w:val="0"/>
          <w:color w:val="000000"/>
          <w:szCs w:val="22"/>
          <w:lang w:val="sr-Latn-ME"/>
        </w:rPr>
        <w:t>ih</w:t>
      </w:r>
      <w:r w:rsidRPr="00D768EF">
        <w:rPr>
          <w:snapToGrid w:val="0"/>
          <w:color w:val="000000"/>
          <w:szCs w:val="22"/>
          <w:lang w:val="sr-Latn-ME"/>
        </w:rPr>
        <w:t xml:space="preserve"> doz</w:t>
      </w:r>
      <w:r w:rsidR="006D694B" w:rsidRPr="00D768EF">
        <w:rPr>
          <w:snapToGrid w:val="0"/>
          <w:color w:val="000000"/>
          <w:szCs w:val="22"/>
          <w:lang w:val="sr-Latn-ME"/>
        </w:rPr>
        <w:t>a na miševima</w:t>
      </w:r>
      <w:r w:rsidRPr="00D768EF">
        <w:rPr>
          <w:snapToGrid w:val="0"/>
          <w:color w:val="000000"/>
          <w:szCs w:val="22"/>
          <w:lang w:val="sr-Latn-ME"/>
        </w:rPr>
        <w:t>, prim</w:t>
      </w:r>
      <w:r w:rsidR="00126595" w:rsidRPr="00D768EF">
        <w:rPr>
          <w:snapToGrid w:val="0"/>
          <w:color w:val="000000"/>
          <w:szCs w:val="22"/>
          <w:lang w:val="sr-Latn-ME"/>
        </w:rPr>
        <w:t>j</w:t>
      </w:r>
      <w:r w:rsidRPr="00D768EF">
        <w:rPr>
          <w:snapToGrid w:val="0"/>
          <w:color w:val="000000"/>
          <w:szCs w:val="22"/>
          <w:lang w:val="sr-Latn-ME"/>
        </w:rPr>
        <w:t xml:space="preserve">enom </w:t>
      </w:r>
      <w:r w:rsidRPr="00D768EF">
        <w:rPr>
          <w:color w:val="000000"/>
          <w:szCs w:val="22"/>
          <w:lang w:val="sr-Latn-ME"/>
        </w:rPr>
        <w:t xml:space="preserve">istog analognog </w:t>
      </w:r>
      <w:r w:rsidR="00220982" w:rsidRPr="00D768EF">
        <w:rPr>
          <w:color w:val="000000"/>
          <w:szCs w:val="22"/>
          <w:lang w:val="sr-Latn-ME"/>
        </w:rPr>
        <w:t>antitijel</w:t>
      </w:r>
      <w:r w:rsidRPr="00D768EF">
        <w:rPr>
          <w:color w:val="000000"/>
          <w:szCs w:val="22"/>
          <w:lang w:val="sr-Latn-ME"/>
        </w:rPr>
        <w:t>a</w:t>
      </w:r>
      <w:r w:rsidRPr="00D768EF">
        <w:rPr>
          <w:snapToGrid w:val="0"/>
          <w:color w:val="000000"/>
          <w:szCs w:val="22"/>
          <w:lang w:val="sr-Latn-ME"/>
        </w:rPr>
        <w:t xml:space="preserve"> </w:t>
      </w:r>
      <w:r w:rsidR="006D694B" w:rsidRPr="00D768EF">
        <w:rPr>
          <w:snapToGrid w:val="0"/>
          <w:color w:val="000000"/>
          <w:szCs w:val="22"/>
          <w:lang w:val="sr-Latn-ME"/>
        </w:rPr>
        <w:t>na mišji</w:t>
      </w:r>
      <w:r w:rsidRPr="00D768EF">
        <w:rPr>
          <w:snapToGrid w:val="0"/>
          <w:color w:val="000000"/>
          <w:szCs w:val="22"/>
          <w:lang w:val="sr-Latn-ME"/>
        </w:rPr>
        <w:t xml:space="preserve"> TNF</w:t>
      </w:r>
      <w:r w:rsidRPr="00D768EF">
        <w:rPr>
          <w:color w:val="000000"/>
          <w:szCs w:val="22"/>
          <w:vertAlign w:val="subscript"/>
          <w:lang w:val="sr-Latn-ME"/>
        </w:rPr>
        <w:sym w:font="Symbol" w:char="F061"/>
      </w:r>
      <w:r w:rsidRPr="00D768EF">
        <w:rPr>
          <w:color w:val="000000"/>
          <w:szCs w:val="22"/>
          <w:lang w:val="sr-Latn-ME"/>
        </w:rPr>
        <w:t xml:space="preserve"> prim</w:t>
      </w:r>
      <w:r w:rsidR="00126595" w:rsidRPr="00D768EF">
        <w:rPr>
          <w:color w:val="000000"/>
          <w:szCs w:val="22"/>
          <w:lang w:val="sr-Latn-ME"/>
        </w:rPr>
        <w:t>ij</w:t>
      </w:r>
      <w:r w:rsidRPr="00D768EF">
        <w:rPr>
          <w:color w:val="000000"/>
          <w:szCs w:val="22"/>
          <w:lang w:val="sr-Latn-ME"/>
        </w:rPr>
        <w:t>ećene su</w:t>
      </w:r>
      <w:r w:rsidRPr="00D768EF">
        <w:rPr>
          <w:snapToGrid w:val="0"/>
          <w:color w:val="000000"/>
          <w:szCs w:val="22"/>
          <w:lang w:val="sr-Latn-ME"/>
        </w:rPr>
        <w:t xml:space="preserve"> kristalne naslage na kapsuli sočiva kod nekih od mužjaka koji su primali terapiju. Nisu vršeni posebni oftalmološki pregledi pacijenata da bi se istražio značaj ovog nalaza kod ljudi. </w:t>
      </w:r>
    </w:p>
    <w:p w14:paraId="3AB070B1" w14:textId="503E5248" w:rsidR="00610DB5" w:rsidRPr="00D768EF" w:rsidRDefault="00610DB5" w:rsidP="00610DB5">
      <w:pPr>
        <w:rPr>
          <w:color w:val="000000"/>
          <w:szCs w:val="22"/>
          <w:lang w:val="sr-Latn-ME"/>
        </w:rPr>
      </w:pPr>
      <w:r w:rsidRPr="00D768EF">
        <w:rPr>
          <w:color w:val="000000"/>
          <w:szCs w:val="22"/>
          <w:lang w:val="sr-Latn-ME"/>
        </w:rPr>
        <w:t>Nisu vršene dugoročne studije da bi se proc</w:t>
      </w:r>
      <w:r w:rsidR="00BB5F87" w:rsidRPr="00D768EF">
        <w:rPr>
          <w:color w:val="000000"/>
          <w:szCs w:val="22"/>
          <w:lang w:val="sr-Latn-ME"/>
        </w:rPr>
        <w:t>ij</w:t>
      </w:r>
      <w:r w:rsidRPr="00D768EF">
        <w:rPr>
          <w:color w:val="000000"/>
          <w:szCs w:val="22"/>
          <w:lang w:val="sr-Latn-ME"/>
        </w:rPr>
        <w:t>enio kancerogeni potencijal infliksimaba. U studijama na miševima sa defici</w:t>
      </w:r>
      <w:r w:rsidR="006D694B" w:rsidRPr="00D768EF">
        <w:rPr>
          <w:color w:val="000000"/>
          <w:szCs w:val="22"/>
          <w:lang w:val="sr-Latn-ME"/>
        </w:rPr>
        <w:t>jencijom</w:t>
      </w:r>
      <w:r w:rsidRPr="00D768EF">
        <w:rPr>
          <w:color w:val="000000"/>
          <w:szCs w:val="22"/>
          <w:lang w:val="sr-Latn-ME"/>
        </w:rPr>
        <w:t xml:space="preserve"> TNF</w:t>
      </w:r>
      <w:r w:rsidRPr="00D768EF">
        <w:rPr>
          <w:color w:val="000000"/>
          <w:szCs w:val="22"/>
          <w:vertAlign w:val="subscript"/>
          <w:lang w:val="sr-Latn-ME"/>
        </w:rPr>
        <w:sym w:font="Symbol" w:char="F061"/>
      </w:r>
      <w:r w:rsidRPr="00D768EF">
        <w:rPr>
          <w:color w:val="000000"/>
          <w:szCs w:val="22"/>
          <w:vertAlign w:val="subscript"/>
          <w:lang w:val="sr-Latn-ME"/>
        </w:rPr>
        <w:t xml:space="preserve"> </w:t>
      </w:r>
      <w:r w:rsidRPr="00D768EF">
        <w:rPr>
          <w:color w:val="000000"/>
          <w:szCs w:val="22"/>
          <w:lang w:val="sr-Latn-ME"/>
        </w:rPr>
        <w:t>nije pokazan</w:t>
      </w:r>
      <w:r w:rsidR="006D694B" w:rsidRPr="00D768EF">
        <w:rPr>
          <w:color w:val="000000"/>
          <w:szCs w:val="22"/>
          <w:lang w:val="sr-Latn-ME"/>
        </w:rPr>
        <w:t>a</w:t>
      </w:r>
      <w:r w:rsidRPr="00D768EF">
        <w:rPr>
          <w:color w:val="000000"/>
          <w:szCs w:val="22"/>
          <w:lang w:val="sr-Latn-ME"/>
        </w:rPr>
        <w:t xml:space="preserve"> povećan</w:t>
      </w:r>
      <w:r w:rsidR="006D694B" w:rsidRPr="00D768EF">
        <w:rPr>
          <w:color w:val="000000"/>
          <w:szCs w:val="22"/>
          <w:lang w:val="sr-Latn-ME"/>
        </w:rPr>
        <w:t>a</w:t>
      </w:r>
      <w:r w:rsidRPr="00D768EF">
        <w:rPr>
          <w:color w:val="000000"/>
          <w:szCs w:val="22"/>
          <w:lang w:val="sr-Latn-ME"/>
        </w:rPr>
        <w:t xml:space="preserve"> </w:t>
      </w:r>
      <w:r w:rsidR="006D694B" w:rsidRPr="00D768EF">
        <w:rPr>
          <w:color w:val="000000"/>
          <w:szCs w:val="22"/>
          <w:lang w:val="sr-Latn-ME"/>
        </w:rPr>
        <w:t xml:space="preserve">pojava </w:t>
      </w:r>
      <w:r w:rsidRPr="00D768EF">
        <w:rPr>
          <w:color w:val="000000"/>
          <w:szCs w:val="22"/>
          <w:lang w:val="sr-Latn-ME"/>
        </w:rPr>
        <w:t xml:space="preserve">tumora </w:t>
      </w:r>
      <w:r w:rsidR="006D694B" w:rsidRPr="00D768EF">
        <w:rPr>
          <w:color w:val="000000"/>
          <w:szCs w:val="22"/>
          <w:lang w:val="sr-Latn-ME"/>
        </w:rPr>
        <w:t>nakon izloženosti</w:t>
      </w:r>
      <w:r w:rsidRPr="00D768EF">
        <w:rPr>
          <w:color w:val="000000"/>
          <w:szCs w:val="22"/>
          <w:lang w:val="sr-Latn-ME"/>
        </w:rPr>
        <w:t xml:space="preserve"> poznati</w:t>
      </w:r>
      <w:r w:rsidR="006D694B" w:rsidRPr="00D768EF">
        <w:rPr>
          <w:color w:val="000000"/>
          <w:szCs w:val="22"/>
          <w:lang w:val="sr-Latn-ME"/>
        </w:rPr>
        <w:t>m</w:t>
      </w:r>
      <w:r w:rsidRPr="00D768EF">
        <w:rPr>
          <w:color w:val="000000"/>
          <w:szCs w:val="22"/>
          <w:lang w:val="sr-Latn-ME"/>
        </w:rPr>
        <w:t xml:space="preserve"> inicijator</w:t>
      </w:r>
      <w:r w:rsidR="006D694B" w:rsidRPr="00D768EF">
        <w:rPr>
          <w:color w:val="000000"/>
          <w:szCs w:val="22"/>
          <w:lang w:val="sr-Latn-ME"/>
        </w:rPr>
        <w:t>im</w:t>
      </w:r>
      <w:r w:rsidRPr="00D768EF">
        <w:rPr>
          <w:color w:val="000000"/>
          <w:szCs w:val="22"/>
          <w:lang w:val="sr-Latn-ME"/>
        </w:rPr>
        <w:t>a i/ili promoter</w:t>
      </w:r>
      <w:r w:rsidR="006D694B" w:rsidRPr="00D768EF">
        <w:rPr>
          <w:color w:val="000000"/>
          <w:szCs w:val="22"/>
          <w:lang w:val="sr-Latn-ME"/>
        </w:rPr>
        <w:t>im</w:t>
      </w:r>
      <w:r w:rsidRPr="00D768EF">
        <w:rPr>
          <w:color w:val="000000"/>
          <w:szCs w:val="22"/>
          <w:lang w:val="sr-Latn-ME"/>
        </w:rPr>
        <w:t>a tumora.</w:t>
      </w:r>
    </w:p>
    <w:p w14:paraId="1DDFF95D" w14:textId="77777777" w:rsidR="00D8713D" w:rsidRPr="00D768EF" w:rsidRDefault="00D8713D" w:rsidP="00D8713D">
      <w:pPr>
        <w:rPr>
          <w:szCs w:val="22"/>
          <w:lang w:val="sr-Latn-ME"/>
        </w:rPr>
      </w:pPr>
    </w:p>
    <w:p w14:paraId="346E2E11" w14:textId="49B32BEF" w:rsidR="00CE09F3" w:rsidRPr="00D768EF" w:rsidRDefault="00CE09F3" w:rsidP="00923865">
      <w:pPr>
        <w:pStyle w:val="NASLOV123"/>
        <w:rPr>
          <w:lang w:val="sr-Latn-ME"/>
        </w:rPr>
      </w:pPr>
      <w:r w:rsidRPr="00D768EF">
        <w:rPr>
          <w:lang w:val="sr-Latn-ME"/>
        </w:rPr>
        <w:t>6. FARMACEUTSKI PODACI</w:t>
      </w:r>
    </w:p>
    <w:p w14:paraId="01EA0E62" w14:textId="79A94AB6" w:rsidR="00CE09F3" w:rsidRPr="00D768EF" w:rsidRDefault="00CE09F3" w:rsidP="00923865">
      <w:pPr>
        <w:rPr>
          <w:b/>
          <w:bCs/>
          <w:szCs w:val="22"/>
          <w:lang w:val="sr-Latn-ME"/>
        </w:rPr>
      </w:pPr>
      <w:r w:rsidRPr="00D768EF">
        <w:rPr>
          <w:b/>
          <w:bCs/>
          <w:szCs w:val="22"/>
          <w:lang w:val="sr-Latn-ME"/>
        </w:rPr>
        <w:t>6.1. Lista pomoćnih supstanci</w:t>
      </w:r>
      <w:r w:rsidR="00770C2F" w:rsidRPr="00D768EF">
        <w:rPr>
          <w:b/>
          <w:bCs/>
          <w:szCs w:val="22"/>
          <w:lang w:val="sr-Latn-ME"/>
        </w:rPr>
        <w:t xml:space="preserve"> (ekscipijenasa)</w:t>
      </w:r>
    </w:p>
    <w:p w14:paraId="0B366EAA" w14:textId="77777777" w:rsidR="00CE09F3" w:rsidRPr="00D768EF" w:rsidRDefault="00CE09F3" w:rsidP="00923865">
      <w:pPr>
        <w:rPr>
          <w:szCs w:val="22"/>
          <w:lang w:val="sr-Latn-ME"/>
        </w:rPr>
      </w:pPr>
    </w:p>
    <w:p w14:paraId="424037EB" w14:textId="7CBFCECC" w:rsidR="00803264" w:rsidRPr="00D768EF" w:rsidRDefault="00803264" w:rsidP="00803264">
      <w:pPr>
        <w:pStyle w:val="Header"/>
        <w:tabs>
          <w:tab w:val="clear" w:pos="4536"/>
          <w:tab w:val="clear" w:pos="9072"/>
          <w:tab w:val="left" w:pos="284"/>
        </w:tabs>
        <w:rPr>
          <w:szCs w:val="22"/>
          <w:lang w:val="sr-Latn-ME"/>
        </w:rPr>
      </w:pPr>
      <w:r w:rsidRPr="00D768EF">
        <w:rPr>
          <w:szCs w:val="22"/>
          <w:lang w:val="sr-Latn-ME"/>
        </w:rPr>
        <w:t xml:space="preserve">Saharoza </w:t>
      </w:r>
    </w:p>
    <w:p w14:paraId="34ADF9C5" w14:textId="656D532E" w:rsidR="00803264" w:rsidRPr="00D768EF" w:rsidRDefault="00803264" w:rsidP="00803264">
      <w:pPr>
        <w:pStyle w:val="Header"/>
        <w:tabs>
          <w:tab w:val="clear" w:pos="4536"/>
          <w:tab w:val="clear" w:pos="9072"/>
          <w:tab w:val="left" w:pos="284"/>
        </w:tabs>
        <w:rPr>
          <w:szCs w:val="22"/>
          <w:lang w:val="sr-Latn-ME"/>
        </w:rPr>
      </w:pPr>
      <w:r w:rsidRPr="00D768EF">
        <w:rPr>
          <w:szCs w:val="22"/>
          <w:lang w:val="sr-Latn-ME"/>
        </w:rPr>
        <w:t>Polisorbat 80</w:t>
      </w:r>
    </w:p>
    <w:p w14:paraId="1153C918" w14:textId="6B16542C" w:rsidR="00803264" w:rsidRPr="00D768EF" w:rsidRDefault="00803264" w:rsidP="00803264">
      <w:pPr>
        <w:pStyle w:val="Header"/>
        <w:tabs>
          <w:tab w:val="clear" w:pos="4536"/>
          <w:tab w:val="clear" w:pos="9072"/>
          <w:tab w:val="left" w:pos="284"/>
        </w:tabs>
        <w:rPr>
          <w:szCs w:val="22"/>
          <w:lang w:val="sr-Latn-ME"/>
        </w:rPr>
      </w:pPr>
      <w:r w:rsidRPr="00D768EF">
        <w:rPr>
          <w:szCs w:val="22"/>
          <w:lang w:val="sr-Latn-ME"/>
        </w:rPr>
        <w:t>Natrijum</w:t>
      </w:r>
      <w:r w:rsidR="004A5B01">
        <w:rPr>
          <w:szCs w:val="22"/>
          <w:lang w:val="sr-Latn-ME"/>
        </w:rPr>
        <w:t xml:space="preserve"> </w:t>
      </w:r>
      <w:r w:rsidRPr="00D768EF">
        <w:rPr>
          <w:szCs w:val="22"/>
          <w:lang w:val="sr-Latn-ME"/>
        </w:rPr>
        <w:t>dihidrogenfosfat monohidrat</w:t>
      </w:r>
    </w:p>
    <w:p w14:paraId="56565EFB" w14:textId="52A81930" w:rsidR="00803264" w:rsidRPr="00D768EF" w:rsidRDefault="00803264" w:rsidP="00803264">
      <w:pPr>
        <w:pStyle w:val="Header"/>
        <w:tabs>
          <w:tab w:val="clear" w:pos="4536"/>
          <w:tab w:val="clear" w:pos="9072"/>
          <w:tab w:val="left" w:pos="284"/>
        </w:tabs>
        <w:rPr>
          <w:szCs w:val="22"/>
          <w:lang w:val="sr-Latn-ME"/>
        </w:rPr>
      </w:pPr>
      <w:r w:rsidRPr="00D768EF">
        <w:rPr>
          <w:szCs w:val="22"/>
          <w:lang w:val="sr-Latn-ME"/>
        </w:rPr>
        <w:t>Dinatrijum</w:t>
      </w:r>
      <w:r w:rsidR="004A5B01">
        <w:rPr>
          <w:szCs w:val="22"/>
          <w:lang w:val="sr-Latn-ME"/>
        </w:rPr>
        <w:t xml:space="preserve"> </w:t>
      </w:r>
      <w:r w:rsidRPr="00D768EF">
        <w:rPr>
          <w:szCs w:val="22"/>
          <w:lang w:val="sr-Latn-ME"/>
        </w:rPr>
        <w:t>fosfat dihidrat</w:t>
      </w:r>
    </w:p>
    <w:p w14:paraId="47E15354" w14:textId="77777777" w:rsidR="00D26136" w:rsidRDefault="00D26136" w:rsidP="00923865">
      <w:pPr>
        <w:rPr>
          <w:b/>
          <w:bCs/>
          <w:szCs w:val="22"/>
          <w:lang w:val="sr-Latn-ME"/>
        </w:rPr>
      </w:pPr>
    </w:p>
    <w:p w14:paraId="2A765304" w14:textId="5CD73A38" w:rsidR="00CE09F3" w:rsidRPr="00D768EF" w:rsidRDefault="00CE09F3" w:rsidP="00923865">
      <w:pPr>
        <w:rPr>
          <w:b/>
          <w:bCs/>
          <w:szCs w:val="22"/>
          <w:lang w:val="sr-Latn-ME"/>
        </w:rPr>
      </w:pPr>
      <w:r w:rsidRPr="00D768EF">
        <w:rPr>
          <w:b/>
          <w:bCs/>
          <w:szCs w:val="22"/>
          <w:lang w:val="sr-Latn-ME"/>
        </w:rPr>
        <w:t>6.2. Inkompatibilnost</w:t>
      </w:r>
      <w:r w:rsidR="00770C2F" w:rsidRPr="00D768EF">
        <w:rPr>
          <w:b/>
          <w:bCs/>
          <w:szCs w:val="22"/>
          <w:lang w:val="sr-Latn-ME"/>
        </w:rPr>
        <w:t>i</w:t>
      </w:r>
    </w:p>
    <w:p w14:paraId="185B86E3" w14:textId="77777777" w:rsidR="00CE09F3" w:rsidRPr="00D768EF" w:rsidRDefault="00CE09F3" w:rsidP="00923865">
      <w:pPr>
        <w:rPr>
          <w:szCs w:val="22"/>
          <w:lang w:val="sr-Latn-ME"/>
        </w:rPr>
      </w:pPr>
    </w:p>
    <w:p w14:paraId="0A52826B" w14:textId="69BDF239" w:rsidR="00770C2F" w:rsidRPr="00D768EF" w:rsidRDefault="006D694B" w:rsidP="00770C2F">
      <w:pPr>
        <w:pStyle w:val="Header"/>
        <w:tabs>
          <w:tab w:val="left" w:pos="284"/>
        </w:tabs>
        <w:rPr>
          <w:szCs w:val="22"/>
          <w:lang w:val="sr-Latn-ME"/>
        </w:rPr>
      </w:pPr>
      <w:r w:rsidRPr="00D768EF">
        <w:rPr>
          <w:szCs w:val="22"/>
          <w:lang w:val="sr-Latn-ME"/>
        </w:rPr>
        <w:t>U odsustvu</w:t>
      </w:r>
      <w:r w:rsidR="00770C2F" w:rsidRPr="00D768EF">
        <w:rPr>
          <w:szCs w:val="22"/>
          <w:lang w:val="sr-Latn-ME"/>
        </w:rPr>
        <w:t xml:space="preserve"> ispitivanja kompatibilnosti, ovaj se lijek ne smije mješati sa drugim ljekovima.</w:t>
      </w:r>
    </w:p>
    <w:p w14:paraId="1A61EF15" w14:textId="2F2E6A6D" w:rsidR="005E2385" w:rsidRDefault="005E2385" w:rsidP="005E2385">
      <w:pPr>
        <w:rPr>
          <w:szCs w:val="22"/>
          <w:lang w:val="sr-Latn-ME"/>
        </w:rPr>
      </w:pPr>
    </w:p>
    <w:p w14:paraId="22B593B1" w14:textId="77777777" w:rsidR="00DA6A33" w:rsidRPr="00D768EF" w:rsidRDefault="00DA6A33" w:rsidP="005E2385">
      <w:pPr>
        <w:rPr>
          <w:szCs w:val="22"/>
          <w:lang w:val="sr-Latn-ME"/>
        </w:rPr>
      </w:pPr>
    </w:p>
    <w:p w14:paraId="3A1DB28D" w14:textId="2328F9A7" w:rsidR="00CE09F3" w:rsidRDefault="00CE09F3" w:rsidP="00923865">
      <w:pPr>
        <w:rPr>
          <w:b/>
          <w:bCs/>
          <w:szCs w:val="22"/>
          <w:lang w:val="sr-Latn-ME"/>
        </w:rPr>
      </w:pPr>
      <w:r w:rsidRPr="00D768EF">
        <w:rPr>
          <w:b/>
          <w:bCs/>
          <w:szCs w:val="22"/>
          <w:lang w:val="sr-Latn-ME"/>
        </w:rPr>
        <w:lastRenderedPageBreak/>
        <w:t>6.3. Rok upotrebe</w:t>
      </w:r>
    </w:p>
    <w:p w14:paraId="75FE4911" w14:textId="77777777" w:rsidR="007954D5" w:rsidRPr="00D768EF" w:rsidRDefault="007954D5" w:rsidP="00923865">
      <w:pPr>
        <w:rPr>
          <w:b/>
          <w:bCs/>
          <w:szCs w:val="22"/>
          <w:lang w:val="sr-Latn-ME"/>
        </w:rPr>
      </w:pPr>
    </w:p>
    <w:p w14:paraId="738D782C" w14:textId="15DB345C" w:rsidR="007954D5" w:rsidRPr="007954D5" w:rsidRDefault="007954D5" w:rsidP="007954D5">
      <w:pPr>
        <w:tabs>
          <w:tab w:val="left" w:pos="720"/>
        </w:tabs>
        <w:spacing w:line="360" w:lineRule="auto"/>
        <w:rPr>
          <w:u w:val="single"/>
          <w:lang w:val="sr-Latn-ME"/>
        </w:rPr>
      </w:pPr>
      <w:r w:rsidRPr="00D768EF">
        <w:rPr>
          <w:szCs w:val="22"/>
          <w:u w:val="single"/>
          <w:lang w:val="sr-Latn-ME"/>
        </w:rPr>
        <w:t xml:space="preserve">Rok upotrebe </w:t>
      </w:r>
      <w:r>
        <w:rPr>
          <w:u w:val="single"/>
          <w:lang w:val="sr-Latn-ME"/>
        </w:rPr>
        <w:t>prije rekonstitucije:</w:t>
      </w:r>
    </w:p>
    <w:p w14:paraId="5E3FB802" w14:textId="1D5DCF69" w:rsidR="00803264" w:rsidRPr="00D768EF" w:rsidRDefault="00770C2F" w:rsidP="007954D5">
      <w:pPr>
        <w:spacing w:line="360" w:lineRule="auto"/>
        <w:rPr>
          <w:szCs w:val="22"/>
          <w:lang w:val="sr-Latn-ME"/>
        </w:rPr>
      </w:pPr>
      <w:bookmarkStart w:id="9" w:name="_Hlk68680652"/>
      <w:r w:rsidRPr="00D768EF">
        <w:rPr>
          <w:szCs w:val="22"/>
          <w:lang w:val="sr-Latn-ME"/>
        </w:rPr>
        <w:t>Rok upotrebe</w:t>
      </w:r>
      <w:r w:rsidR="003D35EA" w:rsidRPr="00D768EF">
        <w:rPr>
          <w:szCs w:val="22"/>
          <w:lang w:val="sr-Latn-ME"/>
        </w:rPr>
        <w:t xml:space="preserve"> </w:t>
      </w:r>
      <w:r w:rsidR="002F3545" w:rsidRPr="00D768EF">
        <w:rPr>
          <w:szCs w:val="22"/>
          <w:lang w:val="sr-Latn-ME"/>
        </w:rPr>
        <w:t>neotvorenog lijeka</w:t>
      </w:r>
      <w:r w:rsidR="006D694B" w:rsidRPr="00D768EF">
        <w:rPr>
          <w:szCs w:val="22"/>
          <w:lang w:val="sr-Latn-ME"/>
        </w:rPr>
        <w:t>:</w:t>
      </w:r>
      <w:r w:rsidR="002F3545" w:rsidRPr="00D768EF">
        <w:rPr>
          <w:szCs w:val="22"/>
          <w:lang w:val="sr-Latn-ME"/>
        </w:rPr>
        <w:t xml:space="preserve"> pet (5) godina </w:t>
      </w:r>
      <w:r w:rsidR="006D694B" w:rsidRPr="00D768EF">
        <w:rPr>
          <w:szCs w:val="22"/>
          <w:lang w:val="sr-Latn-ME"/>
        </w:rPr>
        <w:t>ukoliko</w:t>
      </w:r>
      <w:r w:rsidR="002F3545" w:rsidRPr="00D768EF">
        <w:rPr>
          <w:szCs w:val="22"/>
          <w:lang w:val="sr-Latn-ME"/>
        </w:rPr>
        <w:t xml:space="preserve"> se čuva </w:t>
      </w:r>
      <w:r w:rsidR="00803264" w:rsidRPr="00D768EF">
        <w:rPr>
          <w:szCs w:val="22"/>
          <w:lang w:val="sr-Latn-ME"/>
        </w:rPr>
        <w:t>na temperaturi od 2°C</w:t>
      </w:r>
      <w:r w:rsidR="002F3545" w:rsidRPr="00D768EF">
        <w:rPr>
          <w:szCs w:val="22"/>
          <w:lang w:val="sr-Latn-ME"/>
        </w:rPr>
        <w:t xml:space="preserve"> </w:t>
      </w:r>
      <w:r w:rsidR="006D694B" w:rsidRPr="00D768EF">
        <w:rPr>
          <w:szCs w:val="22"/>
          <w:lang w:val="sr-Latn-ME"/>
        </w:rPr>
        <w:t>do</w:t>
      </w:r>
      <w:r w:rsidR="002F3545" w:rsidRPr="00D768EF">
        <w:rPr>
          <w:szCs w:val="22"/>
          <w:lang w:val="sr-Latn-ME"/>
        </w:rPr>
        <w:t xml:space="preserve"> </w:t>
      </w:r>
      <w:r w:rsidR="00803264" w:rsidRPr="00D768EF">
        <w:rPr>
          <w:szCs w:val="22"/>
          <w:lang w:val="sr-Latn-ME"/>
        </w:rPr>
        <w:t>8°C.</w:t>
      </w:r>
    </w:p>
    <w:bookmarkEnd w:id="9"/>
    <w:p w14:paraId="4D82FC04" w14:textId="6552C477" w:rsidR="00803264" w:rsidRPr="00D768EF" w:rsidRDefault="006D694B" w:rsidP="00803264">
      <w:pPr>
        <w:tabs>
          <w:tab w:val="clear" w:pos="284"/>
          <w:tab w:val="left" w:pos="720"/>
        </w:tabs>
        <w:spacing w:before="120" w:after="120"/>
        <w:rPr>
          <w:szCs w:val="22"/>
          <w:lang w:val="sr-Latn-ME"/>
        </w:rPr>
      </w:pPr>
      <w:r w:rsidRPr="00D768EF">
        <w:rPr>
          <w:szCs w:val="22"/>
          <w:lang w:val="sr-Latn-ME"/>
        </w:rPr>
        <w:t>L</w:t>
      </w:r>
      <w:r w:rsidR="000155D7" w:rsidRPr="00D768EF">
        <w:rPr>
          <w:szCs w:val="22"/>
          <w:lang w:val="sr-Latn-ME"/>
        </w:rPr>
        <w:t>ij</w:t>
      </w:r>
      <w:r w:rsidRPr="00D768EF">
        <w:rPr>
          <w:szCs w:val="22"/>
          <w:lang w:val="sr-Latn-ME"/>
        </w:rPr>
        <w:t xml:space="preserve">ek </w:t>
      </w:r>
      <w:r w:rsidR="00803264" w:rsidRPr="00D768EF">
        <w:rPr>
          <w:szCs w:val="22"/>
          <w:lang w:val="sr-Latn-ME"/>
        </w:rPr>
        <w:t>Inflectra se može čuvati na temperaturi do najviše 25°C tokom jednokratnog perioda do 6 m</w:t>
      </w:r>
      <w:r w:rsidR="00A9377A" w:rsidRPr="00D768EF">
        <w:rPr>
          <w:szCs w:val="22"/>
          <w:lang w:val="sr-Latn-ME"/>
        </w:rPr>
        <w:t>j</w:t>
      </w:r>
      <w:r w:rsidR="00803264" w:rsidRPr="00D768EF">
        <w:rPr>
          <w:szCs w:val="22"/>
          <w:lang w:val="sr-Latn-ME"/>
        </w:rPr>
        <w:t>eseci, ali ne izvan originalnog roka upotrebe. Novi rok upotrebe mora biti napisan na kutiji l</w:t>
      </w:r>
      <w:r w:rsidR="00C3214E" w:rsidRPr="00D768EF">
        <w:rPr>
          <w:szCs w:val="22"/>
          <w:lang w:val="sr-Latn-ME"/>
        </w:rPr>
        <w:t>ij</w:t>
      </w:r>
      <w:r w:rsidR="00803264" w:rsidRPr="00D768EF">
        <w:rPr>
          <w:szCs w:val="22"/>
          <w:lang w:val="sr-Latn-ME"/>
        </w:rPr>
        <w:t xml:space="preserve">eka. Nakon što se izvadi iz frižidera, </w:t>
      </w:r>
      <w:r w:rsidRPr="00D768EF">
        <w:rPr>
          <w:szCs w:val="22"/>
          <w:lang w:val="sr-Latn-ME"/>
        </w:rPr>
        <w:t>l</w:t>
      </w:r>
      <w:r w:rsidR="000155D7" w:rsidRPr="00D768EF">
        <w:rPr>
          <w:szCs w:val="22"/>
          <w:lang w:val="sr-Latn-ME"/>
        </w:rPr>
        <w:t>ij</w:t>
      </w:r>
      <w:r w:rsidRPr="00D768EF">
        <w:rPr>
          <w:szCs w:val="22"/>
          <w:lang w:val="sr-Latn-ME"/>
        </w:rPr>
        <w:t xml:space="preserve">ek </w:t>
      </w:r>
      <w:r w:rsidR="00803264" w:rsidRPr="00D768EF">
        <w:rPr>
          <w:szCs w:val="22"/>
          <w:lang w:val="sr-Latn-ME"/>
        </w:rPr>
        <w:t>Inflectra se ne sm</w:t>
      </w:r>
      <w:r w:rsidR="00A9377A" w:rsidRPr="00D768EF">
        <w:rPr>
          <w:szCs w:val="22"/>
          <w:lang w:val="sr-Latn-ME"/>
        </w:rPr>
        <w:t>ij</w:t>
      </w:r>
      <w:r w:rsidR="00803264" w:rsidRPr="00D768EF">
        <w:rPr>
          <w:szCs w:val="22"/>
          <w:lang w:val="sr-Latn-ME"/>
        </w:rPr>
        <w:t>e vratiti u frižider zbog čuvanja.</w:t>
      </w:r>
    </w:p>
    <w:p w14:paraId="350B16BF" w14:textId="260980A4" w:rsidR="00803264" w:rsidRPr="00D768EF" w:rsidRDefault="002F3545" w:rsidP="00803264">
      <w:pPr>
        <w:tabs>
          <w:tab w:val="clear" w:pos="284"/>
          <w:tab w:val="left" w:pos="720"/>
        </w:tabs>
        <w:spacing w:before="120" w:after="120"/>
        <w:rPr>
          <w:szCs w:val="22"/>
          <w:u w:val="single"/>
          <w:lang w:val="sr-Latn-ME"/>
        </w:rPr>
      </w:pPr>
      <w:bookmarkStart w:id="10" w:name="_Hlk68680793"/>
      <w:r w:rsidRPr="00D768EF">
        <w:rPr>
          <w:szCs w:val="22"/>
          <w:u w:val="single"/>
          <w:lang w:val="sr-Latn-ME"/>
        </w:rPr>
        <w:t xml:space="preserve">Rok upotrebe nakon </w:t>
      </w:r>
      <w:r w:rsidR="00803264" w:rsidRPr="00D768EF">
        <w:rPr>
          <w:szCs w:val="22"/>
          <w:u w:val="single"/>
          <w:lang w:val="sr-Latn-ME"/>
        </w:rPr>
        <w:t>rekonstitucije</w:t>
      </w:r>
      <w:r w:rsidR="00567AF2" w:rsidRPr="00D768EF">
        <w:rPr>
          <w:szCs w:val="22"/>
          <w:u w:val="single"/>
          <w:lang w:val="sr-Latn-ME"/>
        </w:rPr>
        <w:t xml:space="preserve"> i razblaženja</w:t>
      </w:r>
      <w:r w:rsidR="00803264" w:rsidRPr="00D768EF">
        <w:rPr>
          <w:szCs w:val="22"/>
          <w:u w:val="single"/>
          <w:lang w:val="sr-Latn-ME"/>
        </w:rPr>
        <w:t>:</w:t>
      </w:r>
    </w:p>
    <w:p w14:paraId="49884D83" w14:textId="1B09852A" w:rsidR="006D694B" w:rsidRPr="00D768EF" w:rsidRDefault="00803264" w:rsidP="00D24CB8">
      <w:pPr>
        <w:pStyle w:val="Header"/>
        <w:spacing w:before="120"/>
        <w:rPr>
          <w:szCs w:val="22"/>
          <w:lang w:val="sr-Latn-ME"/>
        </w:rPr>
      </w:pPr>
      <w:r w:rsidRPr="00D768EF">
        <w:rPr>
          <w:szCs w:val="22"/>
          <w:lang w:val="sr-Latn-ME"/>
        </w:rPr>
        <w:t xml:space="preserve">Fizičko-hemijska stabilnost </w:t>
      </w:r>
      <w:r w:rsidR="00D24CB8" w:rsidRPr="00D768EF">
        <w:rPr>
          <w:szCs w:val="22"/>
          <w:lang w:val="sr-Latn-ME"/>
        </w:rPr>
        <w:t xml:space="preserve">razblaženog </w:t>
      </w:r>
      <w:r w:rsidRPr="00D768EF">
        <w:rPr>
          <w:szCs w:val="22"/>
          <w:lang w:val="sr-Latn-ME"/>
        </w:rPr>
        <w:t xml:space="preserve">rastvora pokazana je </w:t>
      </w:r>
      <w:r w:rsidR="006D694B" w:rsidRPr="00D768EF">
        <w:rPr>
          <w:szCs w:val="22"/>
          <w:lang w:val="sr-Latn-ME"/>
        </w:rPr>
        <w:t>za</w:t>
      </w:r>
      <w:r w:rsidR="00D24CB8" w:rsidRPr="00D768EF">
        <w:rPr>
          <w:szCs w:val="22"/>
          <w:lang w:val="sr-Latn-ME"/>
        </w:rPr>
        <w:t xml:space="preserve"> </w:t>
      </w:r>
      <w:r w:rsidR="00EE2CAE">
        <w:rPr>
          <w:szCs w:val="22"/>
          <w:lang w:val="sr-Latn-ME"/>
        </w:rPr>
        <w:t>60</w:t>
      </w:r>
      <w:r w:rsidR="00DD3CC9" w:rsidRPr="00D768EF">
        <w:rPr>
          <w:szCs w:val="22"/>
          <w:lang w:val="sr-Latn-ME"/>
        </w:rPr>
        <w:t> </w:t>
      </w:r>
      <w:r w:rsidR="00D24CB8" w:rsidRPr="00D768EF">
        <w:rPr>
          <w:szCs w:val="22"/>
          <w:lang w:val="sr-Latn-ME"/>
        </w:rPr>
        <w:t xml:space="preserve">dana na temperaturi od 2°C </w:t>
      </w:r>
      <w:r w:rsidR="006D694B" w:rsidRPr="00D768EF">
        <w:rPr>
          <w:szCs w:val="22"/>
          <w:lang w:val="sr-Latn-ME"/>
        </w:rPr>
        <w:t>do</w:t>
      </w:r>
      <w:r w:rsidR="00D24CB8" w:rsidRPr="00D768EF">
        <w:rPr>
          <w:szCs w:val="22"/>
          <w:lang w:val="sr-Latn-ME"/>
        </w:rPr>
        <w:t xml:space="preserve"> 8°C </w:t>
      </w:r>
      <w:r w:rsidR="00D24CB8" w:rsidRPr="007954D5">
        <w:rPr>
          <w:color w:val="000000" w:themeColor="text1"/>
          <w:szCs w:val="22"/>
          <w:lang w:val="sr-Latn-ME"/>
        </w:rPr>
        <w:t xml:space="preserve">i </w:t>
      </w:r>
      <w:r w:rsidR="006D694B" w:rsidRPr="007954D5">
        <w:rPr>
          <w:color w:val="000000" w:themeColor="text1"/>
          <w:szCs w:val="22"/>
          <w:lang w:val="sr-Latn-ME"/>
        </w:rPr>
        <w:t>za</w:t>
      </w:r>
      <w:r w:rsidR="00D24CB8" w:rsidRPr="007954D5">
        <w:rPr>
          <w:color w:val="000000" w:themeColor="text1"/>
          <w:szCs w:val="22"/>
          <w:lang w:val="sr-Latn-ME"/>
        </w:rPr>
        <w:t xml:space="preserve"> dodatn</w:t>
      </w:r>
      <w:r w:rsidR="006D694B" w:rsidRPr="007954D5">
        <w:rPr>
          <w:color w:val="000000" w:themeColor="text1"/>
          <w:szCs w:val="22"/>
          <w:lang w:val="sr-Latn-ME"/>
        </w:rPr>
        <w:t>ih</w:t>
      </w:r>
      <w:r w:rsidR="00D24CB8" w:rsidRPr="007954D5">
        <w:rPr>
          <w:color w:val="000000" w:themeColor="text1"/>
          <w:szCs w:val="22"/>
          <w:lang w:val="sr-Latn-ME"/>
        </w:rPr>
        <w:t xml:space="preserve"> 24 sata na temperaturi od 25°C</w:t>
      </w:r>
      <w:r w:rsidR="003D35EA" w:rsidRPr="007954D5">
        <w:rPr>
          <w:color w:val="000000" w:themeColor="text1"/>
          <w:szCs w:val="22"/>
          <w:lang w:val="sr-Latn-ME"/>
        </w:rPr>
        <w:t xml:space="preserve"> nakon </w:t>
      </w:r>
      <w:r w:rsidR="006D694B" w:rsidRPr="007954D5">
        <w:rPr>
          <w:color w:val="000000" w:themeColor="text1"/>
          <w:szCs w:val="22"/>
          <w:lang w:val="sr-Latn-ME"/>
        </w:rPr>
        <w:t>što se razblaženi rastvor izvadi</w:t>
      </w:r>
      <w:r w:rsidR="003D35EA" w:rsidRPr="007954D5">
        <w:rPr>
          <w:color w:val="000000" w:themeColor="text1"/>
          <w:szCs w:val="22"/>
          <w:lang w:val="sr-Latn-ME"/>
        </w:rPr>
        <w:t xml:space="preserve"> iz frižidera</w:t>
      </w:r>
      <w:r w:rsidRPr="007954D5">
        <w:rPr>
          <w:color w:val="000000" w:themeColor="text1"/>
          <w:szCs w:val="22"/>
          <w:lang w:val="sr-Latn-ME"/>
        </w:rPr>
        <w:t xml:space="preserve">. </w:t>
      </w:r>
      <w:bookmarkEnd w:id="10"/>
    </w:p>
    <w:p w14:paraId="05746971" w14:textId="739A6975" w:rsidR="00803264" w:rsidRPr="00D768EF" w:rsidRDefault="00803264" w:rsidP="00D24CB8">
      <w:pPr>
        <w:pStyle w:val="Header"/>
        <w:spacing w:before="120"/>
        <w:rPr>
          <w:szCs w:val="22"/>
          <w:lang w:val="sr-Latn-ME"/>
        </w:rPr>
      </w:pPr>
      <w:r w:rsidRPr="00D768EF">
        <w:rPr>
          <w:szCs w:val="22"/>
          <w:lang w:val="sr-Latn-ME"/>
        </w:rPr>
        <w:t xml:space="preserve">Sa mikrobiološke tačke gledišta </w:t>
      </w:r>
      <w:r w:rsidR="00567AF2" w:rsidRPr="00D768EF">
        <w:rPr>
          <w:szCs w:val="22"/>
          <w:lang w:val="sr-Latn-ME"/>
        </w:rPr>
        <w:t>infuzioni rastvor</w:t>
      </w:r>
      <w:r w:rsidRPr="00D768EF">
        <w:rPr>
          <w:szCs w:val="22"/>
          <w:lang w:val="sr-Latn-ME"/>
        </w:rPr>
        <w:t xml:space="preserve"> upotrebiti odmah. Ukoliko se ne upotr</w:t>
      </w:r>
      <w:r w:rsidR="00B264CD" w:rsidRPr="00D768EF">
        <w:rPr>
          <w:szCs w:val="22"/>
          <w:lang w:val="sr-Latn-ME"/>
        </w:rPr>
        <w:t>ij</w:t>
      </w:r>
      <w:r w:rsidRPr="00D768EF">
        <w:rPr>
          <w:szCs w:val="22"/>
          <w:lang w:val="sr-Latn-ME"/>
        </w:rPr>
        <w:t>ebi</w:t>
      </w:r>
      <w:r w:rsidR="000D1EDD" w:rsidRPr="00D768EF">
        <w:rPr>
          <w:szCs w:val="22"/>
          <w:lang w:val="sr-Latn-ME"/>
        </w:rPr>
        <w:t xml:space="preserve"> odmah</w:t>
      </w:r>
      <w:r w:rsidRPr="00D768EF">
        <w:rPr>
          <w:szCs w:val="22"/>
          <w:lang w:val="sr-Latn-ME"/>
        </w:rPr>
        <w:t>, vr</w:t>
      </w:r>
      <w:r w:rsidR="00B264CD" w:rsidRPr="00D768EF">
        <w:rPr>
          <w:szCs w:val="22"/>
          <w:lang w:val="sr-Latn-ME"/>
        </w:rPr>
        <w:t>ij</w:t>
      </w:r>
      <w:r w:rsidRPr="00D768EF">
        <w:rPr>
          <w:szCs w:val="22"/>
          <w:lang w:val="sr-Latn-ME"/>
        </w:rPr>
        <w:t>eme i uslovi čuvanja pr</w:t>
      </w:r>
      <w:r w:rsidR="00B264CD" w:rsidRPr="00D768EF">
        <w:rPr>
          <w:szCs w:val="22"/>
          <w:lang w:val="sr-Latn-ME"/>
        </w:rPr>
        <w:t>ij</w:t>
      </w:r>
      <w:r w:rsidRPr="00D768EF">
        <w:rPr>
          <w:szCs w:val="22"/>
          <w:lang w:val="sr-Latn-ME"/>
        </w:rPr>
        <w:t>e upotrebe su odgovornost korisnika i ne sm</w:t>
      </w:r>
      <w:r w:rsidR="00B264CD" w:rsidRPr="00D768EF">
        <w:rPr>
          <w:szCs w:val="22"/>
          <w:lang w:val="sr-Latn-ME"/>
        </w:rPr>
        <w:t>i</w:t>
      </w:r>
      <w:r w:rsidRPr="00D768EF">
        <w:rPr>
          <w:szCs w:val="22"/>
          <w:lang w:val="sr-Latn-ME"/>
        </w:rPr>
        <w:t>ju biti duži od 24</w:t>
      </w:r>
      <w:r w:rsidR="006D694B" w:rsidRPr="00D768EF">
        <w:rPr>
          <w:szCs w:val="22"/>
          <w:lang w:val="sr-Latn-ME"/>
        </w:rPr>
        <w:t xml:space="preserve"> sata</w:t>
      </w:r>
      <w:r w:rsidRPr="00D768EF">
        <w:rPr>
          <w:szCs w:val="22"/>
          <w:lang w:val="sr-Latn-ME"/>
        </w:rPr>
        <w:t xml:space="preserve"> na </w:t>
      </w:r>
      <w:r w:rsidR="006D694B" w:rsidRPr="00D768EF">
        <w:rPr>
          <w:szCs w:val="22"/>
          <w:lang w:val="sr-Latn-ME"/>
        </w:rPr>
        <w:t xml:space="preserve">temperaturi od </w:t>
      </w:r>
      <w:r w:rsidRPr="00D768EF">
        <w:rPr>
          <w:szCs w:val="22"/>
          <w:lang w:val="sr-Latn-ME"/>
        </w:rPr>
        <w:t>2</w:t>
      </w:r>
      <w:r w:rsidR="006D694B" w:rsidRPr="00D768EF">
        <w:rPr>
          <w:szCs w:val="22"/>
          <w:lang w:val="sr-Latn-ME"/>
        </w:rPr>
        <w:t xml:space="preserve"> do </w:t>
      </w:r>
      <w:r w:rsidRPr="00D768EF">
        <w:rPr>
          <w:szCs w:val="22"/>
          <w:lang w:val="sr-Latn-ME"/>
        </w:rPr>
        <w:t>8°C</w:t>
      </w:r>
      <w:r w:rsidR="00567AF2" w:rsidRPr="00D768EF">
        <w:rPr>
          <w:szCs w:val="22"/>
          <w:lang w:val="sr-Latn-ME"/>
        </w:rPr>
        <w:t>, osim ukoliko se rekonstitucija/</w:t>
      </w:r>
      <w:r w:rsidR="007501CD" w:rsidRPr="00D768EF">
        <w:rPr>
          <w:szCs w:val="22"/>
          <w:lang w:val="sr-Latn-ME"/>
        </w:rPr>
        <w:t>razblaženje</w:t>
      </w:r>
      <w:r w:rsidR="00567AF2" w:rsidRPr="00D768EF">
        <w:rPr>
          <w:szCs w:val="22"/>
          <w:lang w:val="sr-Latn-ME"/>
        </w:rPr>
        <w:t xml:space="preserve"> ne odvijaju u kontrolisanim i validiranim aseptičkim uslovima</w:t>
      </w:r>
      <w:r w:rsidRPr="00D768EF">
        <w:rPr>
          <w:szCs w:val="22"/>
          <w:lang w:val="sr-Latn-ME"/>
        </w:rPr>
        <w:t>.</w:t>
      </w:r>
    </w:p>
    <w:p w14:paraId="5DFDD589" w14:textId="77777777" w:rsidR="00803264" w:rsidRPr="00D768EF" w:rsidRDefault="00803264" w:rsidP="00923865">
      <w:pPr>
        <w:rPr>
          <w:szCs w:val="22"/>
          <w:lang w:val="sr-Latn-ME"/>
        </w:rPr>
      </w:pPr>
    </w:p>
    <w:p w14:paraId="6DF5DF87" w14:textId="59D18A8A" w:rsidR="00CE09F3" w:rsidRPr="00D768EF" w:rsidRDefault="00CE09F3" w:rsidP="00923865">
      <w:pPr>
        <w:rPr>
          <w:b/>
          <w:bCs/>
          <w:szCs w:val="22"/>
          <w:lang w:val="sr-Latn-ME"/>
        </w:rPr>
      </w:pPr>
      <w:r w:rsidRPr="00D768EF">
        <w:rPr>
          <w:b/>
          <w:bCs/>
          <w:szCs w:val="22"/>
          <w:lang w:val="sr-Latn-ME"/>
        </w:rPr>
        <w:t>6.4. Posebne m</w:t>
      </w:r>
      <w:r w:rsidR="009E46CC" w:rsidRPr="00D768EF">
        <w:rPr>
          <w:b/>
          <w:bCs/>
          <w:szCs w:val="22"/>
          <w:lang w:val="sr-Latn-ME"/>
        </w:rPr>
        <w:t>j</w:t>
      </w:r>
      <w:r w:rsidRPr="00D768EF">
        <w:rPr>
          <w:b/>
          <w:bCs/>
          <w:szCs w:val="22"/>
          <w:lang w:val="sr-Latn-ME"/>
        </w:rPr>
        <w:t>ere opreza pri čuvanju</w:t>
      </w:r>
      <w:r w:rsidR="00A31075" w:rsidRPr="00D768EF">
        <w:rPr>
          <w:b/>
          <w:bCs/>
          <w:szCs w:val="22"/>
          <w:lang w:val="sr-Latn-ME"/>
        </w:rPr>
        <w:t xml:space="preserve"> lijeka</w:t>
      </w:r>
    </w:p>
    <w:p w14:paraId="0C8D3A6D" w14:textId="77777777" w:rsidR="00CE09F3" w:rsidRPr="00D768EF" w:rsidRDefault="00CE09F3" w:rsidP="00923865">
      <w:pPr>
        <w:rPr>
          <w:szCs w:val="22"/>
          <w:lang w:val="sr-Latn-ME"/>
        </w:rPr>
      </w:pPr>
    </w:p>
    <w:p w14:paraId="21072F28" w14:textId="1830CA81" w:rsidR="00803264" w:rsidRPr="00D768EF" w:rsidRDefault="00803264" w:rsidP="00803264">
      <w:pPr>
        <w:pStyle w:val="Header"/>
        <w:tabs>
          <w:tab w:val="clear" w:pos="4536"/>
          <w:tab w:val="clear" w:pos="9072"/>
          <w:tab w:val="left" w:pos="284"/>
        </w:tabs>
        <w:rPr>
          <w:szCs w:val="22"/>
          <w:lang w:val="sr-Latn-ME"/>
        </w:rPr>
      </w:pPr>
      <w:r w:rsidRPr="00D768EF">
        <w:rPr>
          <w:szCs w:val="22"/>
          <w:lang w:val="sr-Latn-ME"/>
        </w:rPr>
        <w:t>Čuvati u frižideru (</w:t>
      </w:r>
      <w:r w:rsidR="00D24CB8" w:rsidRPr="00D768EF">
        <w:rPr>
          <w:szCs w:val="22"/>
          <w:lang w:val="sr-Latn-ME"/>
        </w:rPr>
        <w:t xml:space="preserve">na temperaturi </w:t>
      </w:r>
      <w:r w:rsidRPr="00D768EF">
        <w:rPr>
          <w:szCs w:val="22"/>
          <w:lang w:val="sr-Latn-ME"/>
        </w:rPr>
        <w:t>od 2</w:t>
      </w:r>
      <w:r w:rsidRPr="00D768EF">
        <w:rPr>
          <w:szCs w:val="22"/>
          <w:lang w:val="sr-Latn-ME"/>
        </w:rPr>
        <w:sym w:font="Symbol" w:char="F0B0"/>
      </w:r>
      <w:r w:rsidRPr="00D768EF">
        <w:rPr>
          <w:szCs w:val="22"/>
          <w:lang w:val="sr-Latn-ME"/>
        </w:rPr>
        <w:t>C do 8</w:t>
      </w:r>
      <w:r w:rsidRPr="00D768EF">
        <w:rPr>
          <w:szCs w:val="22"/>
          <w:lang w:val="sr-Latn-ME"/>
        </w:rPr>
        <w:sym w:font="Symbol" w:char="F0B0"/>
      </w:r>
      <w:r w:rsidRPr="00D768EF">
        <w:rPr>
          <w:szCs w:val="22"/>
          <w:lang w:val="sr-Latn-ME"/>
        </w:rPr>
        <w:t>C).</w:t>
      </w:r>
    </w:p>
    <w:p w14:paraId="2BA8D6EB" w14:textId="77777777" w:rsidR="00803264" w:rsidRPr="00D768EF" w:rsidRDefault="00803264" w:rsidP="00803264">
      <w:pPr>
        <w:pStyle w:val="Header"/>
        <w:tabs>
          <w:tab w:val="clear" w:pos="4536"/>
          <w:tab w:val="clear" w:pos="9072"/>
          <w:tab w:val="left" w:pos="284"/>
        </w:tabs>
        <w:rPr>
          <w:szCs w:val="22"/>
          <w:lang w:val="sr-Latn-ME"/>
        </w:rPr>
      </w:pPr>
    </w:p>
    <w:p w14:paraId="0749B07E" w14:textId="22D570DC" w:rsidR="00803264" w:rsidRPr="00D768EF" w:rsidRDefault="00803264" w:rsidP="00803264">
      <w:pPr>
        <w:pStyle w:val="Header"/>
        <w:tabs>
          <w:tab w:val="clear" w:pos="4536"/>
          <w:tab w:val="clear" w:pos="9072"/>
          <w:tab w:val="left" w:pos="284"/>
        </w:tabs>
        <w:rPr>
          <w:szCs w:val="22"/>
          <w:lang w:val="sr-Latn-ME"/>
        </w:rPr>
      </w:pPr>
      <w:r w:rsidRPr="00D768EF">
        <w:rPr>
          <w:szCs w:val="22"/>
          <w:lang w:val="sr-Latn-ME"/>
        </w:rPr>
        <w:t>Za uslove čuvanja na temperaturi do 25°C pr</w:t>
      </w:r>
      <w:r w:rsidR="00EB3683" w:rsidRPr="00D768EF">
        <w:rPr>
          <w:szCs w:val="22"/>
          <w:lang w:val="sr-Latn-ME"/>
        </w:rPr>
        <w:t>ij</w:t>
      </w:r>
      <w:r w:rsidRPr="00D768EF">
        <w:rPr>
          <w:szCs w:val="22"/>
          <w:lang w:val="sr-Latn-ME"/>
        </w:rPr>
        <w:t xml:space="preserve">e rekonstitucije, </w:t>
      </w:r>
      <w:r w:rsidR="00282A1E" w:rsidRPr="00D768EF">
        <w:rPr>
          <w:szCs w:val="22"/>
          <w:lang w:val="sr-Latn-ME"/>
        </w:rPr>
        <w:t>vidjeti</w:t>
      </w:r>
      <w:r w:rsidRPr="00D768EF">
        <w:rPr>
          <w:szCs w:val="22"/>
          <w:lang w:val="sr-Latn-ME"/>
        </w:rPr>
        <w:t xml:space="preserve"> </w:t>
      </w:r>
      <w:r w:rsidR="00454E9F" w:rsidRPr="00D768EF">
        <w:rPr>
          <w:szCs w:val="22"/>
          <w:lang w:val="sr-Latn-ME"/>
        </w:rPr>
        <w:t>dio</w:t>
      </w:r>
      <w:r w:rsidRPr="00D768EF">
        <w:rPr>
          <w:szCs w:val="22"/>
          <w:lang w:val="sr-Latn-ME"/>
        </w:rPr>
        <w:t xml:space="preserve"> 6.3.</w:t>
      </w:r>
    </w:p>
    <w:p w14:paraId="31049150" w14:textId="77777777" w:rsidR="00803264" w:rsidRPr="00D768EF" w:rsidRDefault="00803264" w:rsidP="00803264">
      <w:pPr>
        <w:pStyle w:val="Header"/>
        <w:tabs>
          <w:tab w:val="clear" w:pos="4536"/>
          <w:tab w:val="clear" w:pos="9072"/>
          <w:tab w:val="left" w:pos="284"/>
        </w:tabs>
        <w:rPr>
          <w:szCs w:val="22"/>
          <w:lang w:val="sr-Latn-ME"/>
        </w:rPr>
      </w:pPr>
    </w:p>
    <w:p w14:paraId="1747851A" w14:textId="34198FDF" w:rsidR="00803264" w:rsidRPr="00D768EF" w:rsidRDefault="00803264" w:rsidP="00803264">
      <w:pPr>
        <w:tabs>
          <w:tab w:val="clear" w:pos="284"/>
        </w:tabs>
        <w:autoSpaceDE w:val="0"/>
        <w:autoSpaceDN w:val="0"/>
        <w:adjustRightInd w:val="0"/>
        <w:rPr>
          <w:rFonts w:eastAsia="TimesNewRoman"/>
          <w:szCs w:val="22"/>
          <w:lang w:val="sr-Latn-ME"/>
        </w:rPr>
      </w:pPr>
      <w:r w:rsidRPr="00D768EF">
        <w:rPr>
          <w:szCs w:val="22"/>
          <w:lang w:val="sr-Latn-ME"/>
        </w:rPr>
        <w:t xml:space="preserve">Za </w:t>
      </w:r>
      <w:bookmarkStart w:id="11" w:name="_Hlk68680821"/>
      <w:r w:rsidRPr="00D768EF">
        <w:rPr>
          <w:szCs w:val="22"/>
          <w:lang w:val="sr-Latn-ME"/>
        </w:rPr>
        <w:t xml:space="preserve">uslove čuvanja posle rekonstitucije </w:t>
      </w:r>
      <w:r w:rsidR="00D24CB8" w:rsidRPr="00D768EF">
        <w:rPr>
          <w:szCs w:val="22"/>
          <w:lang w:val="sr-Latn-ME"/>
        </w:rPr>
        <w:t>i razblaživanja</w:t>
      </w:r>
      <w:r w:rsidRPr="00D768EF">
        <w:rPr>
          <w:szCs w:val="22"/>
          <w:lang w:val="sr-Latn-ME"/>
        </w:rPr>
        <w:t xml:space="preserve">, </w:t>
      </w:r>
      <w:r w:rsidR="00282A1E" w:rsidRPr="00D768EF">
        <w:rPr>
          <w:szCs w:val="22"/>
          <w:lang w:val="sr-Latn-ME"/>
        </w:rPr>
        <w:t>vidjeti</w:t>
      </w:r>
      <w:r w:rsidRPr="00D768EF">
        <w:rPr>
          <w:szCs w:val="22"/>
          <w:lang w:val="sr-Latn-ME"/>
        </w:rPr>
        <w:t xml:space="preserve"> </w:t>
      </w:r>
      <w:r w:rsidR="00454E9F" w:rsidRPr="00D768EF">
        <w:rPr>
          <w:szCs w:val="22"/>
          <w:lang w:val="sr-Latn-ME"/>
        </w:rPr>
        <w:t>dio</w:t>
      </w:r>
      <w:r w:rsidRPr="00D768EF">
        <w:rPr>
          <w:szCs w:val="22"/>
          <w:lang w:val="sr-Latn-ME"/>
        </w:rPr>
        <w:t xml:space="preserve"> 6.3.</w:t>
      </w:r>
    </w:p>
    <w:bookmarkEnd w:id="11"/>
    <w:p w14:paraId="2DCA0486" w14:textId="77777777" w:rsidR="00E22CB0" w:rsidRPr="00D768EF" w:rsidRDefault="00E22CB0" w:rsidP="00923865">
      <w:pPr>
        <w:rPr>
          <w:szCs w:val="22"/>
          <w:lang w:val="sr-Latn-ME"/>
        </w:rPr>
      </w:pPr>
    </w:p>
    <w:p w14:paraId="3A1C467F" w14:textId="1A348834" w:rsidR="00CE09F3" w:rsidRPr="00D768EF" w:rsidRDefault="0022223A" w:rsidP="00923865">
      <w:pPr>
        <w:rPr>
          <w:b/>
          <w:bCs/>
          <w:szCs w:val="22"/>
          <w:lang w:val="sr-Latn-ME"/>
        </w:rPr>
      </w:pPr>
      <w:r w:rsidRPr="00D768EF">
        <w:rPr>
          <w:b/>
          <w:bCs/>
          <w:szCs w:val="22"/>
          <w:lang w:val="sr-Latn-ME"/>
        </w:rPr>
        <w:t xml:space="preserve">6.5. </w:t>
      </w:r>
      <w:r w:rsidR="00A31075" w:rsidRPr="00D768EF">
        <w:rPr>
          <w:b/>
          <w:bCs/>
          <w:szCs w:val="22"/>
          <w:lang w:val="sr-Latn-ME"/>
        </w:rPr>
        <w:t xml:space="preserve">Vrsta </w:t>
      </w:r>
      <w:r w:rsidR="00CE09F3" w:rsidRPr="00D768EF">
        <w:rPr>
          <w:b/>
          <w:bCs/>
          <w:szCs w:val="22"/>
          <w:lang w:val="sr-Latn-ME"/>
        </w:rPr>
        <w:t>i sadržaj pakovanja</w:t>
      </w:r>
      <w:r w:rsidR="00F42610" w:rsidRPr="00D768EF">
        <w:rPr>
          <w:b/>
          <w:bCs/>
          <w:szCs w:val="22"/>
          <w:lang w:val="sr-Latn-ME"/>
        </w:rPr>
        <w:t xml:space="preserve"> </w:t>
      </w:r>
    </w:p>
    <w:p w14:paraId="69C94A5B" w14:textId="77777777" w:rsidR="00CE09F3" w:rsidRPr="00D768EF" w:rsidRDefault="00CE09F3" w:rsidP="00923865">
      <w:pPr>
        <w:rPr>
          <w:szCs w:val="22"/>
          <w:lang w:val="sr-Latn-ME"/>
        </w:rPr>
      </w:pPr>
    </w:p>
    <w:p w14:paraId="6A366530" w14:textId="71577206" w:rsidR="00803264" w:rsidRPr="00D768EF" w:rsidRDefault="006D694B" w:rsidP="00803264">
      <w:pPr>
        <w:rPr>
          <w:lang w:val="sr-Latn-ME"/>
        </w:rPr>
      </w:pPr>
      <w:r w:rsidRPr="00D768EF">
        <w:rPr>
          <w:lang w:val="sr-Latn-ME"/>
        </w:rPr>
        <w:t>Unutrašnje pakovanje je s</w:t>
      </w:r>
      <w:r w:rsidR="00803264" w:rsidRPr="00D768EF">
        <w:rPr>
          <w:lang w:val="sr-Latn-ME"/>
        </w:rPr>
        <w:t>taklena bočica zapremine 20 m</w:t>
      </w:r>
      <w:r w:rsidR="004A5B01">
        <w:rPr>
          <w:lang w:val="sr-Latn-ME"/>
        </w:rPr>
        <w:t>l</w:t>
      </w:r>
      <w:r w:rsidR="00803264" w:rsidRPr="00D768EF">
        <w:rPr>
          <w:lang w:val="sr-Latn-ME"/>
        </w:rPr>
        <w:t xml:space="preserve"> (od borosilikatnog stakla tipa I), zatvorena čepom od butil gume, aluminijumskim prstenom i plastičnim </w:t>
      </w:r>
      <w:r w:rsidR="00803264" w:rsidRPr="00D768EF">
        <w:rPr>
          <w:i/>
          <w:lang w:val="sr-Latn-ME"/>
        </w:rPr>
        <w:t>flip-off</w:t>
      </w:r>
      <w:r w:rsidR="00803264" w:rsidRPr="00D768EF">
        <w:rPr>
          <w:lang w:val="sr-Latn-ME"/>
        </w:rPr>
        <w:t xml:space="preserve"> poklopcem.</w:t>
      </w:r>
    </w:p>
    <w:p w14:paraId="43D4E45D" w14:textId="77777777" w:rsidR="00803264" w:rsidRPr="00D768EF" w:rsidRDefault="00803264" w:rsidP="00803264">
      <w:pPr>
        <w:rPr>
          <w:szCs w:val="22"/>
          <w:lang w:val="sr-Latn-ME"/>
        </w:rPr>
      </w:pPr>
    </w:p>
    <w:p w14:paraId="59499C46" w14:textId="2AD3B35A" w:rsidR="00803264" w:rsidRPr="00D768EF" w:rsidRDefault="00113540" w:rsidP="00803264">
      <w:pPr>
        <w:rPr>
          <w:szCs w:val="22"/>
          <w:lang w:val="sr-Latn-ME"/>
        </w:rPr>
      </w:pPr>
      <w:r w:rsidRPr="00D768EF">
        <w:rPr>
          <w:lang w:val="sr-Latn-ME"/>
        </w:rPr>
        <w:t>Spoljašnje pakovanje</w:t>
      </w:r>
      <w:r w:rsidRPr="00D768EF">
        <w:rPr>
          <w:szCs w:val="22"/>
          <w:lang w:val="sr-Latn-ME"/>
        </w:rPr>
        <w:t xml:space="preserve"> je </w:t>
      </w:r>
      <w:r w:rsidR="006D694B" w:rsidRPr="00D768EF">
        <w:rPr>
          <w:szCs w:val="22"/>
          <w:lang w:val="sr-Latn-ME"/>
        </w:rPr>
        <w:t>složiva</w:t>
      </w:r>
      <w:r w:rsidR="00D24CB8" w:rsidRPr="00D768EF">
        <w:rPr>
          <w:szCs w:val="22"/>
          <w:lang w:val="sr-Latn-ME"/>
        </w:rPr>
        <w:t xml:space="preserve"> </w:t>
      </w:r>
      <w:r w:rsidR="00803264" w:rsidRPr="00D768EF">
        <w:rPr>
          <w:szCs w:val="22"/>
          <w:lang w:val="sr-Latn-ME"/>
        </w:rPr>
        <w:t>kartonsk</w:t>
      </w:r>
      <w:r w:rsidRPr="00D768EF">
        <w:rPr>
          <w:szCs w:val="22"/>
          <w:lang w:val="sr-Latn-ME"/>
        </w:rPr>
        <w:t>a</w:t>
      </w:r>
      <w:r w:rsidR="00803264" w:rsidRPr="00D768EF">
        <w:rPr>
          <w:szCs w:val="22"/>
          <w:lang w:val="sr-Latn-ME"/>
        </w:rPr>
        <w:t xml:space="preserve"> kutij</w:t>
      </w:r>
      <w:r w:rsidRPr="00D768EF">
        <w:rPr>
          <w:szCs w:val="22"/>
          <w:lang w:val="sr-Latn-ME"/>
        </w:rPr>
        <w:t>a</w:t>
      </w:r>
      <w:r w:rsidR="006D694B" w:rsidRPr="00D768EF">
        <w:rPr>
          <w:szCs w:val="22"/>
          <w:lang w:val="sr-Latn-ME"/>
        </w:rPr>
        <w:t xml:space="preserve"> u kojoj</w:t>
      </w:r>
      <w:r w:rsidR="0014274F" w:rsidRPr="00D768EF">
        <w:rPr>
          <w:szCs w:val="22"/>
          <w:lang w:val="sr-Latn-ME"/>
        </w:rPr>
        <w:t xml:space="preserve"> se</w:t>
      </w:r>
      <w:r w:rsidR="00803264" w:rsidRPr="00D768EF">
        <w:rPr>
          <w:szCs w:val="22"/>
          <w:lang w:val="sr-Latn-ME"/>
        </w:rPr>
        <w:t xml:space="preserve"> nalazi 1 bočica </w:t>
      </w:r>
      <w:r w:rsidR="00D24CB8" w:rsidRPr="00D768EF">
        <w:rPr>
          <w:szCs w:val="22"/>
          <w:lang w:val="sr-Latn-ME"/>
        </w:rPr>
        <w:t xml:space="preserve">lijeka Inflectra </w:t>
      </w:r>
      <w:r w:rsidR="00803264" w:rsidRPr="00D768EF">
        <w:rPr>
          <w:szCs w:val="22"/>
          <w:lang w:val="sr-Latn-ME"/>
        </w:rPr>
        <w:t>i Uputstvo za l</w:t>
      </w:r>
      <w:r w:rsidR="00C3214E" w:rsidRPr="00D768EF">
        <w:rPr>
          <w:szCs w:val="22"/>
          <w:lang w:val="sr-Latn-ME"/>
        </w:rPr>
        <w:t>ij</w:t>
      </w:r>
      <w:r w:rsidR="00803264" w:rsidRPr="00D768EF">
        <w:rPr>
          <w:szCs w:val="22"/>
          <w:lang w:val="sr-Latn-ME"/>
        </w:rPr>
        <w:t>ek.</w:t>
      </w:r>
    </w:p>
    <w:p w14:paraId="77FD171F" w14:textId="77777777" w:rsidR="00E22CB0" w:rsidRPr="00D768EF" w:rsidRDefault="00E22CB0" w:rsidP="00923865">
      <w:pPr>
        <w:rPr>
          <w:szCs w:val="22"/>
          <w:lang w:val="sr-Latn-ME"/>
        </w:rPr>
      </w:pPr>
    </w:p>
    <w:p w14:paraId="436CFD78" w14:textId="1D492D82" w:rsidR="00CE09F3" w:rsidRPr="00D768EF" w:rsidRDefault="00CE09F3" w:rsidP="00923865">
      <w:pPr>
        <w:rPr>
          <w:b/>
          <w:bCs/>
          <w:szCs w:val="22"/>
          <w:lang w:val="sr-Latn-ME"/>
        </w:rPr>
      </w:pPr>
      <w:r w:rsidRPr="00D768EF">
        <w:rPr>
          <w:b/>
          <w:bCs/>
          <w:szCs w:val="22"/>
          <w:lang w:val="sr-Latn-ME"/>
        </w:rPr>
        <w:t>6.6. Posebne m</w:t>
      </w:r>
      <w:r w:rsidR="00126595" w:rsidRPr="00D768EF">
        <w:rPr>
          <w:b/>
          <w:bCs/>
          <w:szCs w:val="22"/>
          <w:lang w:val="sr-Latn-ME"/>
        </w:rPr>
        <w:t>j</w:t>
      </w:r>
      <w:r w:rsidRPr="00D768EF">
        <w:rPr>
          <w:b/>
          <w:bCs/>
          <w:szCs w:val="22"/>
          <w:lang w:val="sr-Latn-ME"/>
        </w:rPr>
        <w:t>ere opreza pri odlaganju materijala koji treba odbaciti nakon prim</w:t>
      </w:r>
      <w:r w:rsidR="00126595" w:rsidRPr="00D768EF">
        <w:rPr>
          <w:b/>
          <w:bCs/>
          <w:szCs w:val="22"/>
          <w:lang w:val="sr-Latn-ME"/>
        </w:rPr>
        <w:t>j</w:t>
      </w:r>
      <w:r w:rsidRPr="00D768EF">
        <w:rPr>
          <w:b/>
          <w:bCs/>
          <w:szCs w:val="22"/>
          <w:lang w:val="sr-Latn-ME"/>
        </w:rPr>
        <w:t>ene l</w:t>
      </w:r>
      <w:r w:rsidR="00126595" w:rsidRPr="00D768EF">
        <w:rPr>
          <w:b/>
          <w:bCs/>
          <w:szCs w:val="22"/>
          <w:lang w:val="sr-Latn-ME"/>
        </w:rPr>
        <w:t>ij</w:t>
      </w:r>
      <w:r w:rsidRPr="00D768EF">
        <w:rPr>
          <w:b/>
          <w:bCs/>
          <w:szCs w:val="22"/>
          <w:lang w:val="sr-Latn-ME"/>
        </w:rPr>
        <w:t>eka (i druga uputstva za rukovanje l</w:t>
      </w:r>
      <w:r w:rsidR="00C3214E" w:rsidRPr="00D768EF">
        <w:rPr>
          <w:b/>
          <w:bCs/>
          <w:szCs w:val="22"/>
          <w:lang w:val="sr-Latn-ME"/>
        </w:rPr>
        <w:t>ij</w:t>
      </w:r>
      <w:r w:rsidRPr="00D768EF">
        <w:rPr>
          <w:b/>
          <w:bCs/>
          <w:szCs w:val="22"/>
          <w:lang w:val="sr-Latn-ME"/>
        </w:rPr>
        <w:t>ekom)</w:t>
      </w:r>
    </w:p>
    <w:p w14:paraId="4744AC26" w14:textId="77777777" w:rsidR="00CE09F3" w:rsidRPr="00D768EF" w:rsidRDefault="00CE09F3" w:rsidP="00923865">
      <w:pPr>
        <w:rPr>
          <w:szCs w:val="22"/>
          <w:lang w:val="sr-Latn-ME"/>
        </w:rPr>
      </w:pPr>
    </w:p>
    <w:p w14:paraId="308D198E" w14:textId="63058AE5" w:rsidR="00803264" w:rsidRPr="00D768EF" w:rsidRDefault="00803264" w:rsidP="00803264">
      <w:pPr>
        <w:numPr>
          <w:ilvl w:val="0"/>
          <w:numId w:val="22"/>
        </w:numPr>
        <w:tabs>
          <w:tab w:val="clear" w:pos="284"/>
        </w:tabs>
        <w:ind w:left="567" w:hanging="567"/>
        <w:rPr>
          <w:color w:val="000000"/>
          <w:szCs w:val="22"/>
          <w:lang w:val="sr-Latn-ME"/>
        </w:rPr>
      </w:pPr>
      <w:r w:rsidRPr="00D768EF">
        <w:rPr>
          <w:color w:val="000000"/>
          <w:szCs w:val="22"/>
          <w:lang w:val="sr-Latn-ME"/>
        </w:rPr>
        <w:t xml:space="preserve">Potrebno je da se izračuna doza i broj </w:t>
      </w:r>
      <w:r w:rsidR="00EB1607" w:rsidRPr="00D768EF">
        <w:rPr>
          <w:color w:val="000000"/>
          <w:szCs w:val="22"/>
          <w:lang w:val="sr-Latn-ME"/>
        </w:rPr>
        <w:t>bočica l</w:t>
      </w:r>
      <w:r w:rsidR="000155D7" w:rsidRPr="00D768EF">
        <w:rPr>
          <w:color w:val="000000"/>
          <w:szCs w:val="22"/>
          <w:lang w:val="sr-Latn-ME"/>
        </w:rPr>
        <w:t>ij</w:t>
      </w:r>
      <w:r w:rsidR="00EB1607" w:rsidRPr="00D768EF">
        <w:rPr>
          <w:color w:val="000000"/>
          <w:szCs w:val="22"/>
          <w:lang w:val="sr-Latn-ME"/>
        </w:rPr>
        <w:t xml:space="preserve">eka </w:t>
      </w:r>
      <w:r w:rsidRPr="00D768EF">
        <w:rPr>
          <w:color w:val="000000"/>
          <w:szCs w:val="22"/>
          <w:lang w:val="sr-Latn-ME"/>
        </w:rPr>
        <w:t xml:space="preserve">Inflectra. </w:t>
      </w:r>
      <w:r w:rsidR="00EB1607" w:rsidRPr="00D768EF">
        <w:rPr>
          <w:color w:val="000000"/>
          <w:szCs w:val="22"/>
          <w:lang w:val="sr-Latn-ME"/>
        </w:rPr>
        <w:t>Jedna</w:t>
      </w:r>
      <w:r w:rsidRPr="00D768EF">
        <w:rPr>
          <w:color w:val="000000"/>
          <w:szCs w:val="22"/>
          <w:lang w:val="sr-Latn-ME"/>
        </w:rPr>
        <w:t xml:space="preserve"> </w:t>
      </w:r>
      <w:r w:rsidR="0014551F" w:rsidRPr="00D768EF">
        <w:rPr>
          <w:color w:val="000000"/>
          <w:szCs w:val="22"/>
          <w:lang w:val="sr-Latn-ME"/>
        </w:rPr>
        <w:t xml:space="preserve">bočica lijeka </w:t>
      </w:r>
      <w:r w:rsidRPr="00D768EF">
        <w:rPr>
          <w:color w:val="000000"/>
          <w:szCs w:val="22"/>
          <w:lang w:val="sr-Latn-ME"/>
        </w:rPr>
        <w:t>Inflectra sadrži 100 mg infliksimaba. Potrebno je izračun</w:t>
      </w:r>
      <w:r w:rsidR="002942DD">
        <w:rPr>
          <w:color w:val="000000"/>
          <w:szCs w:val="22"/>
          <w:lang w:val="sr-Latn-ME"/>
        </w:rPr>
        <w:t>ati</w:t>
      </w:r>
      <w:r w:rsidRPr="00D768EF">
        <w:rPr>
          <w:color w:val="000000"/>
          <w:szCs w:val="22"/>
          <w:lang w:val="sr-Latn-ME"/>
        </w:rPr>
        <w:t xml:space="preserve"> ukupn</w:t>
      </w:r>
      <w:r w:rsidR="002942DD">
        <w:rPr>
          <w:color w:val="000000"/>
          <w:szCs w:val="22"/>
          <w:lang w:val="sr-Latn-ME"/>
        </w:rPr>
        <w:t>u</w:t>
      </w:r>
      <w:r w:rsidRPr="00D768EF">
        <w:rPr>
          <w:color w:val="000000"/>
          <w:szCs w:val="22"/>
          <w:lang w:val="sr-Latn-ME"/>
        </w:rPr>
        <w:t xml:space="preserve"> zapremin</w:t>
      </w:r>
      <w:r w:rsidR="002942DD">
        <w:rPr>
          <w:color w:val="000000"/>
          <w:szCs w:val="22"/>
          <w:lang w:val="sr-Latn-ME"/>
        </w:rPr>
        <w:t>u</w:t>
      </w:r>
      <w:r w:rsidRPr="00D768EF">
        <w:rPr>
          <w:color w:val="000000"/>
          <w:szCs w:val="22"/>
          <w:lang w:val="sr-Latn-ME"/>
        </w:rPr>
        <w:t xml:space="preserve"> </w:t>
      </w:r>
      <w:r w:rsidR="00EB1607" w:rsidRPr="00D768EF">
        <w:rPr>
          <w:color w:val="000000"/>
          <w:szCs w:val="22"/>
          <w:lang w:val="sr-Latn-ME"/>
        </w:rPr>
        <w:t xml:space="preserve">potrebnog </w:t>
      </w:r>
      <w:r w:rsidRPr="00D768EF">
        <w:rPr>
          <w:color w:val="000000"/>
          <w:szCs w:val="22"/>
          <w:lang w:val="sr-Latn-ME"/>
        </w:rPr>
        <w:t>rekonstituisanog rastvora l</w:t>
      </w:r>
      <w:r w:rsidR="00C3214E" w:rsidRPr="00D768EF">
        <w:rPr>
          <w:color w:val="000000"/>
          <w:szCs w:val="22"/>
          <w:lang w:val="sr-Latn-ME"/>
        </w:rPr>
        <w:t>ij</w:t>
      </w:r>
      <w:r w:rsidRPr="00D768EF">
        <w:rPr>
          <w:color w:val="000000"/>
          <w:szCs w:val="22"/>
          <w:lang w:val="sr-Latn-ME"/>
        </w:rPr>
        <w:t>eka Inflectra.</w:t>
      </w:r>
    </w:p>
    <w:p w14:paraId="301A17B5" w14:textId="77777777" w:rsidR="00803264" w:rsidRPr="00D768EF" w:rsidRDefault="00803264" w:rsidP="00803264">
      <w:pPr>
        <w:rPr>
          <w:color w:val="000000"/>
          <w:szCs w:val="22"/>
          <w:lang w:val="sr-Latn-ME"/>
        </w:rPr>
      </w:pPr>
    </w:p>
    <w:p w14:paraId="740C3A4A" w14:textId="66AE4EC0" w:rsidR="00803264" w:rsidRPr="00D768EF" w:rsidRDefault="00803264" w:rsidP="00803264">
      <w:pPr>
        <w:numPr>
          <w:ilvl w:val="0"/>
          <w:numId w:val="22"/>
        </w:numPr>
        <w:tabs>
          <w:tab w:val="clear" w:pos="284"/>
        </w:tabs>
        <w:ind w:left="567" w:hanging="567"/>
        <w:rPr>
          <w:color w:val="000000"/>
          <w:szCs w:val="22"/>
          <w:lang w:val="sr-Latn-ME"/>
        </w:rPr>
      </w:pPr>
      <w:r w:rsidRPr="00D768EF">
        <w:rPr>
          <w:color w:val="000000"/>
          <w:szCs w:val="22"/>
          <w:lang w:val="sr-Latn-ME"/>
        </w:rPr>
        <w:t>U aseptičnim uslovima, treba rekonstituisati svaku bočicu l</w:t>
      </w:r>
      <w:r w:rsidR="00C3214E" w:rsidRPr="00D768EF">
        <w:rPr>
          <w:color w:val="000000"/>
          <w:szCs w:val="22"/>
          <w:lang w:val="sr-Latn-ME"/>
        </w:rPr>
        <w:t>ij</w:t>
      </w:r>
      <w:r w:rsidRPr="00D768EF">
        <w:rPr>
          <w:color w:val="000000"/>
          <w:szCs w:val="22"/>
          <w:lang w:val="sr-Latn-ME"/>
        </w:rPr>
        <w:t>eka Inflectra sa 10 m</w:t>
      </w:r>
      <w:r w:rsidR="004A5B01">
        <w:rPr>
          <w:color w:val="000000"/>
          <w:szCs w:val="22"/>
          <w:lang w:val="sr-Latn-ME"/>
        </w:rPr>
        <w:t>l</w:t>
      </w:r>
      <w:r w:rsidRPr="00D768EF">
        <w:rPr>
          <w:color w:val="000000"/>
          <w:szCs w:val="22"/>
          <w:lang w:val="sr-Latn-ME"/>
        </w:rPr>
        <w:t xml:space="preserve"> vode za injekciju, koristeći špric sa iglom prom</w:t>
      </w:r>
      <w:r w:rsidR="009E46CC" w:rsidRPr="00D768EF">
        <w:rPr>
          <w:color w:val="000000"/>
          <w:szCs w:val="22"/>
          <w:lang w:val="sr-Latn-ME"/>
        </w:rPr>
        <w:t>j</w:t>
      </w:r>
      <w:r w:rsidRPr="00D768EF">
        <w:rPr>
          <w:color w:val="000000"/>
          <w:szCs w:val="22"/>
          <w:lang w:val="sr-Latn-ME"/>
        </w:rPr>
        <w:t xml:space="preserve">era 21 (0,8 mm) ili užom. Ukloniti poklopac sa bočice i obrisati vrh tupferom natopljenim sa 70% alkoholom. Ubaciti iglu u bočicu kroz centar gumenog zatvarača i ubrizgati vodu za injekciju prema staklenom zidu bočice. </w:t>
      </w:r>
      <w:r w:rsidR="00EB1607" w:rsidRPr="00D768EF">
        <w:rPr>
          <w:color w:val="000000"/>
          <w:szCs w:val="22"/>
          <w:lang w:val="sr-Latn-ME"/>
        </w:rPr>
        <w:t>Pažljivo l</w:t>
      </w:r>
      <w:r w:rsidRPr="00D768EF">
        <w:rPr>
          <w:color w:val="000000"/>
          <w:szCs w:val="22"/>
          <w:lang w:val="sr-Latn-ME"/>
        </w:rPr>
        <w:t>agano prom</w:t>
      </w:r>
      <w:r w:rsidR="0014551F" w:rsidRPr="00D768EF">
        <w:rPr>
          <w:color w:val="000000"/>
          <w:szCs w:val="22"/>
          <w:lang w:val="sr-Latn-ME"/>
        </w:rPr>
        <w:t>ij</w:t>
      </w:r>
      <w:r w:rsidRPr="00D768EF">
        <w:rPr>
          <w:color w:val="000000"/>
          <w:szCs w:val="22"/>
          <w:lang w:val="sr-Latn-ME"/>
        </w:rPr>
        <w:t>ešati</w:t>
      </w:r>
      <w:r w:rsidR="00EB1607" w:rsidRPr="00D768EF">
        <w:rPr>
          <w:color w:val="000000"/>
          <w:szCs w:val="22"/>
          <w:lang w:val="sr-Latn-ME"/>
        </w:rPr>
        <w:t xml:space="preserve"> bočicu sa rastvorom rotirajućim pokretom</w:t>
      </w:r>
      <w:r w:rsidRPr="00D768EF">
        <w:rPr>
          <w:color w:val="000000"/>
          <w:szCs w:val="22"/>
          <w:lang w:val="sr-Latn-ME"/>
        </w:rPr>
        <w:t xml:space="preserve"> </w:t>
      </w:r>
      <w:r w:rsidR="00EB1607" w:rsidRPr="00D768EF">
        <w:rPr>
          <w:color w:val="000000"/>
          <w:szCs w:val="22"/>
          <w:lang w:val="sr-Latn-ME"/>
        </w:rPr>
        <w:t>kako</w:t>
      </w:r>
      <w:r w:rsidRPr="00D768EF">
        <w:rPr>
          <w:color w:val="000000"/>
          <w:szCs w:val="22"/>
          <w:lang w:val="sr-Latn-ME"/>
        </w:rPr>
        <w:t xml:space="preserve"> bi se prašak</w:t>
      </w:r>
      <w:r w:rsidR="00EB1607" w:rsidRPr="00D768EF">
        <w:rPr>
          <w:color w:val="000000"/>
          <w:szCs w:val="22"/>
          <w:lang w:val="sr-Latn-ME"/>
        </w:rPr>
        <w:t xml:space="preserve"> rastvorio</w:t>
      </w:r>
      <w:r w:rsidRPr="00D768EF">
        <w:rPr>
          <w:color w:val="000000"/>
          <w:szCs w:val="22"/>
          <w:lang w:val="sr-Latn-ME"/>
        </w:rPr>
        <w:t>. Izb</w:t>
      </w:r>
      <w:r w:rsidR="0014551F" w:rsidRPr="00D768EF">
        <w:rPr>
          <w:color w:val="000000"/>
          <w:szCs w:val="22"/>
          <w:lang w:val="sr-Latn-ME"/>
        </w:rPr>
        <w:t>j</w:t>
      </w:r>
      <w:r w:rsidRPr="00D768EF">
        <w:rPr>
          <w:color w:val="000000"/>
          <w:szCs w:val="22"/>
          <w:lang w:val="sr-Latn-ME"/>
        </w:rPr>
        <w:t xml:space="preserve">egavajte dugotrajno ili snažno </w:t>
      </w:r>
      <w:r w:rsidR="00EB1607" w:rsidRPr="00D768EF">
        <w:rPr>
          <w:color w:val="000000"/>
          <w:szCs w:val="22"/>
          <w:lang w:val="sr-Latn-ME"/>
        </w:rPr>
        <w:t>m</w:t>
      </w:r>
      <w:r w:rsidR="004A5B01">
        <w:rPr>
          <w:color w:val="000000"/>
          <w:szCs w:val="22"/>
          <w:lang w:val="sr-Latn-ME"/>
        </w:rPr>
        <w:t>ij</w:t>
      </w:r>
      <w:r w:rsidR="00EB1607" w:rsidRPr="00D768EF">
        <w:rPr>
          <w:color w:val="000000"/>
          <w:szCs w:val="22"/>
          <w:lang w:val="sr-Latn-ME"/>
        </w:rPr>
        <w:t>ešanje</w:t>
      </w:r>
      <w:r w:rsidRPr="00D768EF">
        <w:rPr>
          <w:color w:val="000000"/>
          <w:szCs w:val="22"/>
          <w:lang w:val="sr-Latn-ME"/>
        </w:rPr>
        <w:t xml:space="preserve">. </w:t>
      </w:r>
      <w:r w:rsidR="00EB1607" w:rsidRPr="00D768EF">
        <w:rPr>
          <w:color w:val="000000"/>
          <w:szCs w:val="22"/>
          <w:lang w:val="sr-Latn-ME"/>
        </w:rPr>
        <w:t>NEMOJTE MUĆKATI BOČICU</w:t>
      </w:r>
      <w:r w:rsidRPr="00D768EF">
        <w:rPr>
          <w:color w:val="000000"/>
          <w:szCs w:val="22"/>
          <w:lang w:val="sr-Latn-ME"/>
        </w:rPr>
        <w:t xml:space="preserve">. </w:t>
      </w:r>
      <w:r w:rsidR="00EB1607" w:rsidRPr="00D768EF">
        <w:rPr>
          <w:color w:val="000000"/>
          <w:szCs w:val="22"/>
          <w:lang w:val="sr-Latn-ME"/>
        </w:rPr>
        <w:t>Moguće je</w:t>
      </w:r>
      <w:r w:rsidR="0014551F" w:rsidRPr="00D768EF">
        <w:rPr>
          <w:color w:val="000000"/>
          <w:szCs w:val="22"/>
          <w:lang w:val="sr-Latn-ME"/>
        </w:rPr>
        <w:t xml:space="preserve"> stvaranj</w:t>
      </w:r>
      <w:r w:rsidR="00CF3859">
        <w:rPr>
          <w:color w:val="000000"/>
          <w:szCs w:val="22"/>
          <w:lang w:val="sr-Latn-ME"/>
        </w:rPr>
        <w:t>e</w:t>
      </w:r>
      <w:r w:rsidR="0014551F" w:rsidRPr="00D768EF">
        <w:rPr>
          <w:color w:val="000000"/>
          <w:szCs w:val="22"/>
          <w:lang w:val="sr-Latn-ME"/>
        </w:rPr>
        <w:t xml:space="preserve"> pjene u rastvoru </w:t>
      </w:r>
      <w:r w:rsidR="00EB1607" w:rsidRPr="00D768EF">
        <w:rPr>
          <w:color w:val="000000"/>
          <w:szCs w:val="22"/>
          <w:lang w:val="sr-Latn-ME"/>
        </w:rPr>
        <w:t xml:space="preserve">posle </w:t>
      </w:r>
      <w:r w:rsidR="0014551F" w:rsidRPr="00D768EF">
        <w:rPr>
          <w:color w:val="000000"/>
          <w:szCs w:val="22"/>
          <w:lang w:val="sr-Latn-ME"/>
        </w:rPr>
        <w:t xml:space="preserve">rekonstitucije. </w:t>
      </w:r>
      <w:r w:rsidRPr="00D768EF">
        <w:rPr>
          <w:color w:val="000000"/>
          <w:szCs w:val="22"/>
          <w:lang w:val="sr-Latn-ME"/>
        </w:rPr>
        <w:t xml:space="preserve">Ostavite da rekonstituisani rastvor odstoji 5 minuta. </w:t>
      </w:r>
      <w:r w:rsidR="00EB1607" w:rsidRPr="00D768EF">
        <w:rPr>
          <w:color w:val="000000"/>
          <w:szCs w:val="22"/>
          <w:lang w:val="sr-Latn-ME"/>
        </w:rPr>
        <w:t>Prov</w:t>
      </w:r>
      <w:r w:rsidR="00671EBD">
        <w:rPr>
          <w:color w:val="000000"/>
          <w:szCs w:val="22"/>
          <w:lang w:val="sr-Latn-ME"/>
        </w:rPr>
        <w:t>j</w:t>
      </w:r>
      <w:r w:rsidR="00EB1607" w:rsidRPr="00D768EF">
        <w:rPr>
          <w:color w:val="000000"/>
          <w:szCs w:val="22"/>
          <w:lang w:val="sr-Latn-ME"/>
        </w:rPr>
        <w:t>erite da li je r</w:t>
      </w:r>
      <w:r w:rsidR="0014551F" w:rsidRPr="00D768EF">
        <w:rPr>
          <w:color w:val="000000"/>
          <w:szCs w:val="22"/>
          <w:lang w:val="sr-Latn-ME"/>
        </w:rPr>
        <w:t xml:space="preserve">astvor bezbojan do svijetložute boje i opalescentan. </w:t>
      </w:r>
      <w:r w:rsidRPr="00D768EF">
        <w:rPr>
          <w:color w:val="000000"/>
          <w:szCs w:val="22"/>
          <w:lang w:val="sr-Latn-ME"/>
        </w:rPr>
        <w:t>U rastvoru može da se razvije nekoliko malih prozirnih čestica, budući da je infliksimab protein. Ne koristit</w:t>
      </w:r>
      <w:r w:rsidR="00EB1607" w:rsidRPr="00D768EF">
        <w:rPr>
          <w:color w:val="000000"/>
          <w:szCs w:val="22"/>
          <w:lang w:val="sr-Latn-ME"/>
        </w:rPr>
        <w:t>e</w:t>
      </w:r>
      <w:r w:rsidRPr="00D768EF">
        <w:rPr>
          <w:color w:val="000000"/>
          <w:szCs w:val="22"/>
          <w:lang w:val="sr-Latn-ME"/>
        </w:rPr>
        <w:t xml:space="preserve"> </w:t>
      </w:r>
      <w:r w:rsidR="00EB1607" w:rsidRPr="00D768EF">
        <w:rPr>
          <w:color w:val="000000"/>
          <w:szCs w:val="22"/>
          <w:lang w:val="sr-Latn-ME"/>
        </w:rPr>
        <w:t xml:space="preserve">rastvor </w:t>
      </w:r>
      <w:r w:rsidRPr="00D768EF">
        <w:rPr>
          <w:color w:val="000000"/>
          <w:szCs w:val="22"/>
          <w:lang w:val="sr-Latn-ME"/>
        </w:rPr>
        <w:t xml:space="preserve">ukoliko se u rastvoru nalaze neprozirne čestice, </w:t>
      </w:r>
      <w:r w:rsidR="00EB1607" w:rsidRPr="00D768EF">
        <w:rPr>
          <w:color w:val="000000"/>
          <w:szCs w:val="22"/>
          <w:lang w:val="sr-Latn-ME"/>
        </w:rPr>
        <w:t xml:space="preserve">ili bilo kakve </w:t>
      </w:r>
      <w:r w:rsidRPr="00D768EF">
        <w:rPr>
          <w:color w:val="000000"/>
          <w:szCs w:val="22"/>
          <w:lang w:val="sr-Latn-ME"/>
        </w:rPr>
        <w:t xml:space="preserve">druge strane čestice, ili ukoliko dođe do </w:t>
      </w:r>
      <w:r w:rsidR="00EB1607" w:rsidRPr="00D768EF">
        <w:rPr>
          <w:color w:val="000000"/>
          <w:szCs w:val="22"/>
          <w:lang w:val="sr-Latn-ME"/>
        </w:rPr>
        <w:t>prom</w:t>
      </w:r>
      <w:r w:rsidR="009F3807" w:rsidRPr="00D768EF">
        <w:rPr>
          <w:color w:val="000000"/>
          <w:szCs w:val="22"/>
          <w:lang w:val="sr-Latn-ME"/>
        </w:rPr>
        <w:t>j</w:t>
      </w:r>
      <w:r w:rsidR="00EB1607" w:rsidRPr="00D768EF">
        <w:rPr>
          <w:color w:val="000000"/>
          <w:szCs w:val="22"/>
          <w:lang w:val="sr-Latn-ME"/>
        </w:rPr>
        <w:t>ene boje</w:t>
      </w:r>
      <w:r w:rsidRPr="00D768EF">
        <w:rPr>
          <w:color w:val="000000"/>
          <w:szCs w:val="22"/>
          <w:lang w:val="sr-Latn-ME"/>
        </w:rPr>
        <w:t>.</w:t>
      </w:r>
    </w:p>
    <w:p w14:paraId="14252A49" w14:textId="77777777" w:rsidR="00803264" w:rsidRPr="00D768EF" w:rsidRDefault="00803264" w:rsidP="00803264">
      <w:pPr>
        <w:numPr>
          <w:ilvl w:val="12"/>
          <w:numId w:val="0"/>
        </w:numPr>
        <w:rPr>
          <w:color w:val="000000"/>
          <w:szCs w:val="22"/>
          <w:lang w:val="sr-Latn-ME"/>
        </w:rPr>
      </w:pPr>
    </w:p>
    <w:p w14:paraId="70D400AB" w14:textId="1AE7FE69" w:rsidR="00803264" w:rsidRPr="00D768EF" w:rsidRDefault="00803264" w:rsidP="00B92E82">
      <w:pPr>
        <w:numPr>
          <w:ilvl w:val="0"/>
          <w:numId w:val="22"/>
        </w:numPr>
        <w:tabs>
          <w:tab w:val="clear" w:pos="284"/>
        </w:tabs>
        <w:rPr>
          <w:color w:val="000000"/>
          <w:szCs w:val="22"/>
          <w:lang w:val="sr-Latn-ME"/>
        </w:rPr>
      </w:pPr>
      <w:r w:rsidRPr="00D768EF">
        <w:rPr>
          <w:color w:val="000000"/>
          <w:szCs w:val="22"/>
          <w:lang w:val="sr-Latn-ME"/>
        </w:rPr>
        <w:t>Potrebn</w:t>
      </w:r>
      <w:r w:rsidR="00EB1607" w:rsidRPr="00D768EF">
        <w:rPr>
          <w:color w:val="000000"/>
          <w:szCs w:val="22"/>
          <w:lang w:val="sr-Latn-ME"/>
        </w:rPr>
        <w:t>i</w:t>
      </w:r>
      <w:r w:rsidR="0043135C" w:rsidRPr="00D768EF">
        <w:rPr>
          <w:color w:val="000000"/>
          <w:szCs w:val="22"/>
          <w:lang w:val="sr-Latn-ME"/>
        </w:rPr>
        <w:t xml:space="preserve"> </w:t>
      </w:r>
      <w:r w:rsidR="00EB1607" w:rsidRPr="00D768EF">
        <w:rPr>
          <w:color w:val="000000"/>
          <w:szCs w:val="22"/>
          <w:lang w:val="sr-Latn-ME"/>
        </w:rPr>
        <w:t>volumen</w:t>
      </w:r>
      <w:r w:rsidRPr="00D768EF">
        <w:rPr>
          <w:szCs w:val="22"/>
          <w:lang w:val="sr-Latn-ME"/>
        </w:rPr>
        <w:t xml:space="preserve"> rekonstituisanog rastvora l</w:t>
      </w:r>
      <w:r w:rsidR="00C3214E" w:rsidRPr="00D768EF">
        <w:rPr>
          <w:szCs w:val="22"/>
          <w:lang w:val="sr-Latn-ME"/>
        </w:rPr>
        <w:t>ij</w:t>
      </w:r>
      <w:r w:rsidRPr="00D768EF">
        <w:rPr>
          <w:szCs w:val="22"/>
          <w:lang w:val="sr-Latn-ME"/>
        </w:rPr>
        <w:t>eka Inflectra treba raz</w:t>
      </w:r>
      <w:r w:rsidR="00927A6D" w:rsidRPr="00D768EF">
        <w:rPr>
          <w:szCs w:val="22"/>
          <w:lang w:val="sr-Latn-ME"/>
        </w:rPr>
        <w:t>blažiti</w:t>
      </w:r>
      <w:r w:rsidRPr="00D768EF">
        <w:rPr>
          <w:szCs w:val="22"/>
          <w:lang w:val="sr-Latn-ME"/>
        </w:rPr>
        <w:t xml:space="preserve"> sa rastvorom natrijum hlorida od 9 mg/m</w:t>
      </w:r>
      <w:r w:rsidR="00671EBD">
        <w:rPr>
          <w:szCs w:val="22"/>
          <w:lang w:val="sr-Latn-ME"/>
        </w:rPr>
        <w:t>l</w:t>
      </w:r>
      <w:r w:rsidRPr="00D768EF">
        <w:rPr>
          <w:szCs w:val="22"/>
          <w:lang w:val="sr-Latn-ME"/>
        </w:rPr>
        <w:t xml:space="preserve"> (0,9%) za infuziju do ukupn</w:t>
      </w:r>
      <w:r w:rsidR="00EB1607" w:rsidRPr="00D768EF">
        <w:rPr>
          <w:szCs w:val="22"/>
          <w:lang w:val="sr-Latn-ME"/>
        </w:rPr>
        <w:t>og</w:t>
      </w:r>
      <w:r w:rsidR="0043135C" w:rsidRPr="00D768EF">
        <w:rPr>
          <w:szCs w:val="22"/>
          <w:lang w:val="sr-Latn-ME"/>
        </w:rPr>
        <w:t xml:space="preserve"> </w:t>
      </w:r>
      <w:r w:rsidR="00EB1607" w:rsidRPr="00D768EF">
        <w:rPr>
          <w:szCs w:val="22"/>
          <w:lang w:val="sr-Latn-ME"/>
        </w:rPr>
        <w:t>volumena</w:t>
      </w:r>
      <w:r w:rsidRPr="00D768EF">
        <w:rPr>
          <w:szCs w:val="22"/>
          <w:lang w:val="sr-Latn-ME"/>
        </w:rPr>
        <w:t xml:space="preserve"> od 250 m</w:t>
      </w:r>
      <w:r w:rsidR="00671EBD">
        <w:rPr>
          <w:szCs w:val="22"/>
          <w:lang w:val="sr-Latn-ME"/>
        </w:rPr>
        <w:t>l</w:t>
      </w:r>
      <w:r w:rsidRPr="00D768EF">
        <w:rPr>
          <w:szCs w:val="22"/>
          <w:lang w:val="sr-Latn-ME"/>
        </w:rPr>
        <w:t>.</w:t>
      </w:r>
      <w:r w:rsidRPr="00D768EF">
        <w:rPr>
          <w:color w:val="000000"/>
          <w:szCs w:val="22"/>
          <w:lang w:val="sr-Latn-ME"/>
        </w:rPr>
        <w:t xml:space="preserve"> Nemojte raz</w:t>
      </w:r>
      <w:r w:rsidR="00927A6D" w:rsidRPr="00D768EF">
        <w:rPr>
          <w:color w:val="000000"/>
          <w:szCs w:val="22"/>
          <w:lang w:val="sr-Latn-ME"/>
        </w:rPr>
        <w:t>blaživati</w:t>
      </w:r>
      <w:r w:rsidRPr="00D768EF">
        <w:rPr>
          <w:color w:val="000000"/>
          <w:szCs w:val="22"/>
          <w:lang w:val="sr-Latn-ME"/>
        </w:rPr>
        <w:t xml:space="preserve"> </w:t>
      </w:r>
      <w:r w:rsidRPr="00D768EF">
        <w:rPr>
          <w:color w:val="000000"/>
          <w:szCs w:val="22"/>
          <w:lang w:val="sr-Latn-ME"/>
        </w:rPr>
        <w:lastRenderedPageBreak/>
        <w:t>rekonstituisani rastvor l</w:t>
      </w:r>
      <w:r w:rsidR="00C3214E" w:rsidRPr="00D768EF">
        <w:rPr>
          <w:color w:val="000000"/>
          <w:szCs w:val="22"/>
          <w:lang w:val="sr-Latn-ME"/>
        </w:rPr>
        <w:t>ij</w:t>
      </w:r>
      <w:r w:rsidRPr="00D768EF">
        <w:rPr>
          <w:color w:val="000000"/>
          <w:szCs w:val="22"/>
          <w:lang w:val="sr-Latn-ME"/>
        </w:rPr>
        <w:t xml:space="preserve">eka Inflectra </w:t>
      </w:r>
      <w:r w:rsidR="00EB1607" w:rsidRPr="00D768EF">
        <w:rPr>
          <w:color w:val="000000"/>
          <w:szCs w:val="22"/>
          <w:lang w:val="sr-Latn-ME"/>
        </w:rPr>
        <w:t>sa nekim drugim rastvaračem</w:t>
      </w:r>
      <w:r w:rsidRPr="00D768EF">
        <w:rPr>
          <w:color w:val="000000"/>
          <w:szCs w:val="22"/>
          <w:lang w:val="sr-Latn-ME"/>
        </w:rPr>
        <w:t xml:space="preserve">. </w:t>
      </w:r>
      <w:r w:rsidR="00927A6D" w:rsidRPr="00D768EF">
        <w:rPr>
          <w:color w:val="000000"/>
          <w:szCs w:val="22"/>
          <w:lang w:val="sr-Latn-ME"/>
        </w:rPr>
        <w:t xml:space="preserve">Razblaživanje </w:t>
      </w:r>
      <w:r w:rsidRPr="00D768EF">
        <w:rPr>
          <w:color w:val="000000"/>
          <w:szCs w:val="22"/>
          <w:lang w:val="sr-Latn-ME"/>
        </w:rPr>
        <w:t xml:space="preserve">se može </w:t>
      </w:r>
      <w:r w:rsidR="00242839" w:rsidRPr="00D768EF">
        <w:rPr>
          <w:color w:val="000000"/>
          <w:szCs w:val="22"/>
          <w:lang w:val="sr-Latn-ME"/>
        </w:rPr>
        <w:t xml:space="preserve">postići </w:t>
      </w:r>
      <w:r w:rsidRPr="00D768EF">
        <w:rPr>
          <w:color w:val="000000"/>
          <w:szCs w:val="22"/>
          <w:lang w:val="sr-Latn-ME"/>
        </w:rPr>
        <w:t>tako što ćete iz staklene bočice ili kese za infuziju od 250 m</w:t>
      </w:r>
      <w:r w:rsidR="00671EBD">
        <w:rPr>
          <w:color w:val="000000"/>
          <w:szCs w:val="22"/>
          <w:lang w:val="sr-Latn-ME"/>
        </w:rPr>
        <w:t>l</w:t>
      </w:r>
      <w:r w:rsidRPr="00D768EF">
        <w:rPr>
          <w:color w:val="000000"/>
          <w:szCs w:val="22"/>
          <w:lang w:val="sr-Latn-ME"/>
        </w:rPr>
        <w:t>, ispustiti količinu rastvora natrijum hlorida 9</w:t>
      </w:r>
      <w:r w:rsidR="00E91915" w:rsidRPr="00D768EF">
        <w:rPr>
          <w:color w:val="000000"/>
          <w:szCs w:val="22"/>
          <w:lang w:val="sr-Latn-ME"/>
        </w:rPr>
        <w:t> </w:t>
      </w:r>
      <w:r w:rsidRPr="00D768EF">
        <w:rPr>
          <w:color w:val="000000"/>
          <w:szCs w:val="22"/>
          <w:lang w:val="sr-Latn-ME"/>
        </w:rPr>
        <w:t>mg/m</w:t>
      </w:r>
      <w:r w:rsidR="00671EBD">
        <w:rPr>
          <w:color w:val="000000"/>
          <w:szCs w:val="22"/>
          <w:lang w:val="sr-Latn-ME"/>
        </w:rPr>
        <w:t>l</w:t>
      </w:r>
      <w:r w:rsidRPr="00D768EF">
        <w:rPr>
          <w:color w:val="000000"/>
          <w:szCs w:val="22"/>
          <w:lang w:val="sr-Latn-ME"/>
        </w:rPr>
        <w:t xml:space="preserve"> (0,9%) za infuziju koja je jednaka količini rekonstituisanog l</w:t>
      </w:r>
      <w:r w:rsidR="00C3214E" w:rsidRPr="00D768EF">
        <w:rPr>
          <w:color w:val="000000"/>
          <w:szCs w:val="22"/>
          <w:lang w:val="sr-Latn-ME"/>
        </w:rPr>
        <w:t>ij</w:t>
      </w:r>
      <w:r w:rsidRPr="00D768EF">
        <w:rPr>
          <w:color w:val="000000"/>
          <w:szCs w:val="22"/>
          <w:lang w:val="sr-Latn-ME"/>
        </w:rPr>
        <w:t>eka Inflectra. Polako dodajte ukupnu količinu rekonstituisanog rastvora l</w:t>
      </w:r>
      <w:r w:rsidR="00C3214E" w:rsidRPr="00D768EF">
        <w:rPr>
          <w:color w:val="000000"/>
          <w:szCs w:val="22"/>
          <w:lang w:val="sr-Latn-ME"/>
        </w:rPr>
        <w:t>ij</w:t>
      </w:r>
      <w:r w:rsidRPr="00D768EF">
        <w:rPr>
          <w:color w:val="000000"/>
          <w:szCs w:val="22"/>
          <w:lang w:val="sr-Latn-ME"/>
        </w:rPr>
        <w:t>eka Inflectra u bocu ili kesu za infuziju od 250 m</w:t>
      </w:r>
      <w:r w:rsidR="00671EBD">
        <w:rPr>
          <w:color w:val="000000"/>
          <w:szCs w:val="22"/>
          <w:lang w:val="sr-Latn-ME"/>
        </w:rPr>
        <w:t>l</w:t>
      </w:r>
      <w:r w:rsidRPr="00D768EF">
        <w:rPr>
          <w:color w:val="000000"/>
          <w:szCs w:val="22"/>
          <w:lang w:val="sr-Latn-ME"/>
        </w:rPr>
        <w:t>. Lagano prom</w:t>
      </w:r>
      <w:r w:rsidR="0043135C" w:rsidRPr="00D768EF">
        <w:rPr>
          <w:color w:val="000000"/>
          <w:szCs w:val="22"/>
          <w:lang w:val="sr-Latn-ME"/>
        </w:rPr>
        <w:t>ij</w:t>
      </w:r>
      <w:r w:rsidRPr="00D768EF">
        <w:rPr>
          <w:color w:val="000000"/>
          <w:szCs w:val="22"/>
          <w:lang w:val="sr-Latn-ME"/>
        </w:rPr>
        <w:t>ešajte.</w:t>
      </w:r>
      <w:r w:rsidR="000D1EDD" w:rsidRPr="00D768EF">
        <w:rPr>
          <w:szCs w:val="22"/>
          <w:lang w:val="sr-Latn-ME"/>
        </w:rPr>
        <w:t xml:space="preserve"> Za </w:t>
      </w:r>
      <w:r w:rsidR="00EB1607" w:rsidRPr="00D768EF">
        <w:rPr>
          <w:szCs w:val="22"/>
          <w:lang w:val="sr-Latn-ME"/>
        </w:rPr>
        <w:t xml:space="preserve">zapremine </w:t>
      </w:r>
      <w:r w:rsidR="000D1EDD" w:rsidRPr="00D768EF">
        <w:rPr>
          <w:szCs w:val="22"/>
          <w:lang w:val="sr-Latn-ME"/>
        </w:rPr>
        <w:t>veće od 250 m</w:t>
      </w:r>
      <w:r w:rsidR="00671EBD">
        <w:rPr>
          <w:szCs w:val="22"/>
          <w:lang w:val="sr-Latn-ME"/>
        </w:rPr>
        <w:t>l</w:t>
      </w:r>
      <w:r w:rsidR="000D1EDD" w:rsidRPr="00D768EF">
        <w:rPr>
          <w:szCs w:val="22"/>
          <w:lang w:val="sr-Latn-ME"/>
        </w:rPr>
        <w:t xml:space="preserve"> može se upotr</w:t>
      </w:r>
      <w:r w:rsidR="00671EBD">
        <w:rPr>
          <w:szCs w:val="22"/>
          <w:lang w:val="sr-Latn-ME"/>
        </w:rPr>
        <w:t>ij</w:t>
      </w:r>
      <w:r w:rsidR="000D1EDD" w:rsidRPr="00D768EF">
        <w:rPr>
          <w:szCs w:val="22"/>
          <w:lang w:val="sr-Latn-ME"/>
        </w:rPr>
        <w:t xml:space="preserve">ebiti ili veća </w:t>
      </w:r>
      <w:r w:rsidR="000D1EDD" w:rsidRPr="00D768EF">
        <w:rPr>
          <w:color w:val="000000"/>
          <w:szCs w:val="22"/>
          <w:lang w:val="sr-Latn-ME"/>
        </w:rPr>
        <w:t>kesa za infuziju</w:t>
      </w:r>
      <w:r w:rsidR="000D1EDD" w:rsidRPr="00D768EF">
        <w:rPr>
          <w:szCs w:val="22"/>
          <w:lang w:val="sr-Latn-ME"/>
        </w:rPr>
        <w:t xml:space="preserve"> (npr. od 500 m</w:t>
      </w:r>
      <w:r w:rsidR="00F0201A">
        <w:rPr>
          <w:szCs w:val="22"/>
          <w:lang w:val="sr-Latn-ME"/>
        </w:rPr>
        <w:t>l</w:t>
      </w:r>
      <w:r w:rsidR="000D1EDD" w:rsidRPr="00D768EF">
        <w:rPr>
          <w:szCs w:val="22"/>
          <w:lang w:val="sr-Latn-ME"/>
        </w:rPr>
        <w:t>, 1000 m</w:t>
      </w:r>
      <w:r w:rsidR="00F0201A">
        <w:rPr>
          <w:szCs w:val="22"/>
          <w:lang w:val="sr-Latn-ME"/>
        </w:rPr>
        <w:t>l</w:t>
      </w:r>
      <w:r w:rsidR="000D1EDD" w:rsidRPr="00D768EF">
        <w:rPr>
          <w:szCs w:val="22"/>
          <w:lang w:val="sr-Latn-ME"/>
        </w:rPr>
        <w:t xml:space="preserve">) ili nekoliko </w:t>
      </w:r>
      <w:r w:rsidR="000D1EDD" w:rsidRPr="00D768EF">
        <w:rPr>
          <w:color w:val="000000"/>
          <w:szCs w:val="22"/>
          <w:lang w:val="sr-Latn-ME"/>
        </w:rPr>
        <w:t>kesa za infuziju</w:t>
      </w:r>
      <w:r w:rsidR="000D1EDD" w:rsidRPr="00D768EF">
        <w:rPr>
          <w:szCs w:val="22"/>
          <w:lang w:val="sr-Latn-ME"/>
        </w:rPr>
        <w:t xml:space="preserve"> od 250 m</w:t>
      </w:r>
      <w:r w:rsidR="00F0201A">
        <w:rPr>
          <w:szCs w:val="22"/>
          <w:lang w:val="sr-Latn-ME"/>
        </w:rPr>
        <w:t>l</w:t>
      </w:r>
      <w:r w:rsidR="000D1EDD" w:rsidRPr="00D768EF">
        <w:rPr>
          <w:szCs w:val="22"/>
          <w:lang w:val="sr-Latn-ME"/>
        </w:rPr>
        <w:t>, da bi se osiguralo da koncentracija rastvora za infuziju neće prelazi</w:t>
      </w:r>
      <w:r w:rsidR="006753CA" w:rsidRPr="00D768EF">
        <w:rPr>
          <w:szCs w:val="22"/>
          <w:lang w:val="sr-Latn-ME"/>
        </w:rPr>
        <w:t>ti</w:t>
      </w:r>
      <w:r w:rsidR="000D1EDD" w:rsidRPr="00D768EF">
        <w:rPr>
          <w:szCs w:val="22"/>
          <w:lang w:val="sr-Latn-ME"/>
        </w:rPr>
        <w:t xml:space="preserve"> 4 mg/m</w:t>
      </w:r>
      <w:r w:rsidR="00F0201A">
        <w:rPr>
          <w:szCs w:val="22"/>
          <w:lang w:val="sr-Latn-ME"/>
        </w:rPr>
        <w:t>l</w:t>
      </w:r>
      <w:r w:rsidR="000D1EDD" w:rsidRPr="00D768EF">
        <w:rPr>
          <w:szCs w:val="22"/>
          <w:lang w:val="sr-Latn-ME"/>
        </w:rPr>
        <w:t>.</w:t>
      </w:r>
      <w:r w:rsidR="00D24CB8" w:rsidRPr="00D768EF">
        <w:rPr>
          <w:szCs w:val="22"/>
          <w:lang w:val="sr-Latn-ME"/>
        </w:rPr>
        <w:t xml:space="preserve"> </w:t>
      </w:r>
      <w:bookmarkStart w:id="12" w:name="_Hlk68681219"/>
      <w:r w:rsidR="00EB1607" w:rsidRPr="00D768EF">
        <w:rPr>
          <w:szCs w:val="22"/>
          <w:lang w:val="sr-Latn-ME"/>
        </w:rPr>
        <w:t>Ukoliko se čuva u frižideru</w:t>
      </w:r>
      <w:r w:rsidR="00D24CB8" w:rsidRPr="00D768EF">
        <w:rPr>
          <w:szCs w:val="22"/>
          <w:lang w:val="sr-Latn-ME"/>
        </w:rPr>
        <w:t xml:space="preserve"> </w:t>
      </w:r>
      <w:r w:rsidR="00EB1607" w:rsidRPr="00D768EF">
        <w:rPr>
          <w:szCs w:val="22"/>
          <w:lang w:val="sr-Latn-ME"/>
        </w:rPr>
        <w:t xml:space="preserve">posle </w:t>
      </w:r>
      <w:r w:rsidR="00D24CB8" w:rsidRPr="00D768EF">
        <w:rPr>
          <w:szCs w:val="22"/>
          <w:lang w:val="sr-Latn-ME"/>
        </w:rPr>
        <w:t>rekonstitucije i razb</w:t>
      </w:r>
      <w:r w:rsidR="003D35EA" w:rsidRPr="00D768EF">
        <w:rPr>
          <w:szCs w:val="22"/>
          <w:lang w:val="sr-Latn-ME"/>
        </w:rPr>
        <w:t>l</w:t>
      </w:r>
      <w:r w:rsidR="00D24CB8" w:rsidRPr="00D768EF">
        <w:rPr>
          <w:szCs w:val="22"/>
          <w:lang w:val="sr-Latn-ME"/>
        </w:rPr>
        <w:t>až</w:t>
      </w:r>
      <w:r w:rsidR="009545B6" w:rsidRPr="00D768EF">
        <w:rPr>
          <w:szCs w:val="22"/>
          <w:lang w:val="sr-Latn-ME"/>
        </w:rPr>
        <w:t>enja</w:t>
      </w:r>
      <w:r w:rsidR="00D24CB8" w:rsidRPr="00D768EF">
        <w:rPr>
          <w:szCs w:val="22"/>
          <w:lang w:val="sr-Latn-ME"/>
        </w:rPr>
        <w:t xml:space="preserve">, </w:t>
      </w:r>
      <w:r w:rsidR="009545B6" w:rsidRPr="00D768EF">
        <w:rPr>
          <w:szCs w:val="22"/>
          <w:lang w:val="sr-Latn-ME"/>
        </w:rPr>
        <w:t xml:space="preserve">rastvor za infuziju treba da dostigne sobnu temperaturu do 25°C u roku od 3 sata </w:t>
      </w:r>
      <w:r w:rsidR="00D24CB8" w:rsidRPr="00D768EF">
        <w:rPr>
          <w:szCs w:val="22"/>
          <w:lang w:val="sr-Latn-ME"/>
        </w:rPr>
        <w:t xml:space="preserve">prije </w:t>
      </w:r>
      <w:r w:rsidR="009545B6" w:rsidRPr="00D768EF">
        <w:rPr>
          <w:szCs w:val="22"/>
          <w:lang w:val="sr-Latn-ME"/>
        </w:rPr>
        <w:t xml:space="preserve">koraka </w:t>
      </w:r>
      <w:r w:rsidR="00D24CB8" w:rsidRPr="00D768EF">
        <w:rPr>
          <w:szCs w:val="22"/>
          <w:lang w:val="sr-Latn-ME"/>
        </w:rPr>
        <w:t>4. koraka (</w:t>
      </w:r>
      <w:r w:rsidR="003D35EA" w:rsidRPr="00D768EF">
        <w:rPr>
          <w:szCs w:val="22"/>
          <w:lang w:val="sr-Latn-ME"/>
        </w:rPr>
        <w:t>i</w:t>
      </w:r>
      <w:r w:rsidR="00D24CB8" w:rsidRPr="00D768EF">
        <w:rPr>
          <w:szCs w:val="22"/>
          <w:lang w:val="sr-Latn-ME"/>
        </w:rPr>
        <w:t xml:space="preserve">nfuzija). Čuvanje duže od 24 sata na temperaturi od 2°C </w:t>
      </w:r>
      <w:r w:rsidR="009545B6" w:rsidRPr="00D768EF">
        <w:rPr>
          <w:szCs w:val="22"/>
          <w:lang w:val="sr-Latn-ME"/>
        </w:rPr>
        <w:t>do</w:t>
      </w:r>
      <w:r w:rsidR="00D24CB8" w:rsidRPr="00D768EF">
        <w:rPr>
          <w:szCs w:val="22"/>
          <w:lang w:val="sr-Latn-ME"/>
        </w:rPr>
        <w:t xml:space="preserve"> 8°C odnosi se samo na pripremu lijeka Inflectra u kesi za infuziju.</w:t>
      </w:r>
      <w:r w:rsidR="000D1EDD" w:rsidRPr="00D768EF">
        <w:rPr>
          <w:szCs w:val="22"/>
          <w:lang w:val="sr-Latn-ME"/>
        </w:rPr>
        <w:cr/>
      </w:r>
    </w:p>
    <w:bookmarkEnd w:id="12"/>
    <w:p w14:paraId="102A8B46" w14:textId="3060A030" w:rsidR="00803264" w:rsidRPr="00D768EF" w:rsidRDefault="00803264" w:rsidP="000D1EDD">
      <w:pPr>
        <w:numPr>
          <w:ilvl w:val="0"/>
          <w:numId w:val="22"/>
        </w:numPr>
        <w:tabs>
          <w:tab w:val="clear" w:pos="284"/>
        </w:tabs>
        <w:rPr>
          <w:szCs w:val="22"/>
          <w:lang w:val="sr-Latn-ME"/>
        </w:rPr>
      </w:pPr>
      <w:r w:rsidRPr="00D768EF">
        <w:rPr>
          <w:szCs w:val="22"/>
          <w:lang w:val="sr-Latn-ME"/>
        </w:rPr>
        <w:t>Rastvor za infuziju treba dati u periodu koji ne može biti manji od preporučenog vremena za infuziju (</w:t>
      </w:r>
      <w:r w:rsidR="00282A1E" w:rsidRPr="00D768EF">
        <w:rPr>
          <w:szCs w:val="22"/>
          <w:lang w:val="sr-Latn-ME"/>
        </w:rPr>
        <w:t>vidjeti</w:t>
      </w:r>
      <w:r w:rsidRPr="00D768EF">
        <w:rPr>
          <w:szCs w:val="22"/>
          <w:lang w:val="sr-Latn-ME"/>
        </w:rPr>
        <w:t xml:space="preserve"> </w:t>
      </w:r>
      <w:r w:rsidR="00454E9F" w:rsidRPr="00D768EF">
        <w:rPr>
          <w:szCs w:val="22"/>
          <w:lang w:val="sr-Latn-ME"/>
        </w:rPr>
        <w:t>dio</w:t>
      </w:r>
      <w:r w:rsidRPr="00D768EF">
        <w:rPr>
          <w:szCs w:val="22"/>
          <w:lang w:val="sr-Latn-ME"/>
        </w:rPr>
        <w:t xml:space="preserve"> 4.2). Koristiti samo set za infuziju sa ugrađenim, sterilnim, apirogenim, filterom koji slabo vezuje proteine (veličina pora 1,2 mikrometara ili manje). Budući da ne </w:t>
      </w:r>
      <w:r w:rsidR="007501CD" w:rsidRPr="00D768EF">
        <w:rPr>
          <w:szCs w:val="22"/>
          <w:lang w:val="sr-Latn-ME"/>
        </w:rPr>
        <w:t>sadrži</w:t>
      </w:r>
      <w:r w:rsidRPr="00D768EF">
        <w:rPr>
          <w:szCs w:val="22"/>
          <w:lang w:val="sr-Latn-ME"/>
        </w:rPr>
        <w:t xml:space="preserve"> konzervans, preporučuje se da rastvor za infuziju počne da se daje što je moguće pr</w:t>
      </w:r>
      <w:r w:rsidR="00D81225" w:rsidRPr="00D768EF">
        <w:rPr>
          <w:szCs w:val="22"/>
          <w:lang w:val="sr-Latn-ME"/>
        </w:rPr>
        <w:t>ij</w:t>
      </w:r>
      <w:r w:rsidRPr="00D768EF">
        <w:rPr>
          <w:szCs w:val="22"/>
          <w:lang w:val="sr-Latn-ME"/>
        </w:rPr>
        <w:t>e i u roku od 3 sata posle rekonstitucije i ra</w:t>
      </w:r>
      <w:r w:rsidR="007501CD" w:rsidRPr="00D768EF">
        <w:rPr>
          <w:szCs w:val="22"/>
          <w:lang w:val="sr-Latn-ME"/>
        </w:rPr>
        <w:t>zblaženja</w:t>
      </w:r>
      <w:r w:rsidRPr="00D768EF">
        <w:rPr>
          <w:szCs w:val="22"/>
          <w:lang w:val="sr-Latn-ME"/>
        </w:rPr>
        <w:t xml:space="preserve">. </w:t>
      </w:r>
      <w:r w:rsidR="007501CD" w:rsidRPr="00D768EF">
        <w:rPr>
          <w:szCs w:val="22"/>
          <w:lang w:val="sr-Latn-ME"/>
        </w:rPr>
        <w:t>Ukoliko se ne upotr</w:t>
      </w:r>
      <w:r w:rsidR="00D81225" w:rsidRPr="00D768EF">
        <w:rPr>
          <w:szCs w:val="22"/>
          <w:lang w:val="sr-Latn-ME"/>
        </w:rPr>
        <w:t>ij</w:t>
      </w:r>
      <w:r w:rsidR="007501CD" w:rsidRPr="00D768EF">
        <w:rPr>
          <w:szCs w:val="22"/>
          <w:lang w:val="sr-Latn-ME"/>
        </w:rPr>
        <w:t>ebi</w:t>
      </w:r>
      <w:r w:rsidR="000D1EDD" w:rsidRPr="00D768EF">
        <w:rPr>
          <w:szCs w:val="22"/>
          <w:lang w:val="sr-Latn-ME"/>
        </w:rPr>
        <w:t xml:space="preserve"> odmah</w:t>
      </w:r>
      <w:r w:rsidR="007501CD" w:rsidRPr="00D768EF">
        <w:rPr>
          <w:szCs w:val="22"/>
          <w:lang w:val="sr-Latn-ME"/>
        </w:rPr>
        <w:t>, vr</w:t>
      </w:r>
      <w:r w:rsidR="00693A87" w:rsidRPr="00D768EF">
        <w:rPr>
          <w:szCs w:val="22"/>
          <w:lang w:val="sr-Latn-ME"/>
        </w:rPr>
        <w:t>ij</w:t>
      </w:r>
      <w:r w:rsidR="007501CD" w:rsidRPr="00D768EF">
        <w:rPr>
          <w:szCs w:val="22"/>
          <w:lang w:val="sr-Latn-ME"/>
        </w:rPr>
        <w:t>eme i uslovi čuvanja pr</w:t>
      </w:r>
      <w:r w:rsidR="00693A87" w:rsidRPr="00D768EF">
        <w:rPr>
          <w:szCs w:val="22"/>
          <w:lang w:val="sr-Latn-ME"/>
        </w:rPr>
        <w:t>ij</w:t>
      </w:r>
      <w:r w:rsidR="007501CD" w:rsidRPr="00D768EF">
        <w:rPr>
          <w:szCs w:val="22"/>
          <w:lang w:val="sr-Latn-ME"/>
        </w:rPr>
        <w:t>e upotrebe su odgovornost korisnika i ne sm</w:t>
      </w:r>
      <w:r w:rsidR="00693A87" w:rsidRPr="00D768EF">
        <w:rPr>
          <w:szCs w:val="22"/>
          <w:lang w:val="sr-Latn-ME"/>
        </w:rPr>
        <w:t>i</w:t>
      </w:r>
      <w:r w:rsidR="007501CD" w:rsidRPr="00D768EF">
        <w:rPr>
          <w:szCs w:val="22"/>
          <w:lang w:val="sr-Latn-ME"/>
        </w:rPr>
        <w:t>ju biti duži od 24h na 2-8°C, osim ukoliko se rekonstitucija/razblaženje ne odvijaju u kontrolisanim i validiranim aseptičkim uslovima</w:t>
      </w:r>
      <w:r w:rsidRPr="00D768EF">
        <w:rPr>
          <w:szCs w:val="22"/>
          <w:lang w:val="sr-Latn-ME"/>
        </w:rPr>
        <w:t>. Bilo koja neiskorišćena količina l</w:t>
      </w:r>
      <w:r w:rsidR="00C3214E" w:rsidRPr="00D768EF">
        <w:rPr>
          <w:szCs w:val="22"/>
          <w:lang w:val="sr-Latn-ME"/>
        </w:rPr>
        <w:t>ij</w:t>
      </w:r>
      <w:r w:rsidRPr="00D768EF">
        <w:rPr>
          <w:szCs w:val="22"/>
          <w:lang w:val="sr-Latn-ME"/>
        </w:rPr>
        <w:t>eka se ne sm</w:t>
      </w:r>
      <w:r w:rsidR="00C3214E" w:rsidRPr="00D768EF">
        <w:rPr>
          <w:szCs w:val="22"/>
          <w:lang w:val="sr-Latn-ME"/>
        </w:rPr>
        <w:t>ij</w:t>
      </w:r>
      <w:r w:rsidRPr="00D768EF">
        <w:rPr>
          <w:szCs w:val="22"/>
          <w:lang w:val="sr-Latn-ME"/>
        </w:rPr>
        <w:t xml:space="preserve">e čuvati za ponovnu upotrebu. </w:t>
      </w:r>
    </w:p>
    <w:p w14:paraId="4B2DA650" w14:textId="77777777" w:rsidR="00803264" w:rsidRPr="00D768EF" w:rsidRDefault="00803264" w:rsidP="00803264">
      <w:pPr>
        <w:numPr>
          <w:ilvl w:val="12"/>
          <w:numId w:val="0"/>
        </w:numPr>
        <w:rPr>
          <w:color w:val="000000"/>
          <w:szCs w:val="22"/>
          <w:lang w:val="sr-Latn-ME"/>
        </w:rPr>
      </w:pPr>
    </w:p>
    <w:p w14:paraId="31523982" w14:textId="337D707F" w:rsidR="00803264" w:rsidRPr="00D768EF" w:rsidRDefault="00803264" w:rsidP="00803264">
      <w:pPr>
        <w:numPr>
          <w:ilvl w:val="0"/>
          <w:numId w:val="22"/>
        </w:numPr>
        <w:tabs>
          <w:tab w:val="clear" w:pos="284"/>
        </w:tabs>
        <w:ind w:left="567" w:hanging="567"/>
        <w:rPr>
          <w:color w:val="000000"/>
          <w:szCs w:val="22"/>
          <w:lang w:val="sr-Latn-ME"/>
        </w:rPr>
      </w:pPr>
      <w:r w:rsidRPr="00D768EF">
        <w:rPr>
          <w:color w:val="000000"/>
          <w:szCs w:val="22"/>
          <w:lang w:val="sr-Latn-ME"/>
        </w:rPr>
        <w:t>Potrebno je izvršiti vizuelnu kontrolu l</w:t>
      </w:r>
      <w:r w:rsidR="00C3214E" w:rsidRPr="00D768EF">
        <w:rPr>
          <w:color w:val="000000"/>
          <w:szCs w:val="22"/>
          <w:lang w:val="sr-Latn-ME"/>
        </w:rPr>
        <w:t>ij</w:t>
      </w:r>
      <w:r w:rsidRPr="00D768EF">
        <w:rPr>
          <w:color w:val="000000"/>
          <w:szCs w:val="22"/>
          <w:lang w:val="sr-Latn-ME"/>
        </w:rPr>
        <w:t>eka Inflectra da bi se utvrdilo prisustvo čestica ili diskoloracije pr</w:t>
      </w:r>
      <w:r w:rsidR="00693A87" w:rsidRPr="00D768EF">
        <w:rPr>
          <w:color w:val="000000"/>
          <w:szCs w:val="22"/>
          <w:lang w:val="sr-Latn-ME"/>
        </w:rPr>
        <w:t>ij</w:t>
      </w:r>
      <w:r w:rsidRPr="00D768EF">
        <w:rPr>
          <w:color w:val="000000"/>
          <w:szCs w:val="22"/>
          <w:lang w:val="sr-Latn-ME"/>
        </w:rPr>
        <w:t xml:space="preserve">e davanja infuzije. Nemojte koristiti ukoliko se u rastvoru nalaze neprozirne čestice, druge strane čestice, ili ukoliko dođe do </w:t>
      </w:r>
      <w:r w:rsidR="009545B6" w:rsidRPr="00D768EF">
        <w:rPr>
          <w:color w:val="000000"/>
          <w:szCs w:val="22"/>
          <w:lang w:val="sr-Latn-ME"/>
        </w:rPr>
        <w:t>prom</w:t>
      </w:r>
      <w:r w:rsidR="009F3807" w:rsidRPr="00D768EF">
        <w:rPr>
          <w:color w:val="000000"/>
          <w:szCs w:val="22"/>
          <w:lang w:val="sr-Latn-ME"/>
        </w:rPr>
        <w:t>j</w:t>
      </w:r>
      <w:r w:rsidR="009545B6" w:rsidRPr="00D768EF">
        <w:rPr>
          <w:color w:val="000000"/>
          <w:szCs w:val="22"/>
          <w:lang w:val="sr-Latn-ME"/>
        </w:rPr>
        <w:t>ene boje</w:t>
      </w:r>
      <w:r w:rsidRPr="00D768EF">
        <w:rPr>
          <w:color w:val="000000"/>
          <w:szCs w:val="22"/>
          <w:lang w:val="sr-Latn-ME"/>
        </w:rPr>
        <w:t>.</w:t>
      </w:r>
    </w:p>
    <w:p w14:paraId="3A750007" w14:textId="77777777" w:rsidR="00803264" w:rsidRPr="00D768EF" w:rsidRDefault="00803264" w:rsidP="00803264">
      <w:pPr>
        <w:rPr>
          <w:color w:val="000000"/>
          <w:szCs w:val="22"/>
          <w:lang w:val="sr-Latn-ME"/>
        </w:rPr>
      </w:pPr>
    </w:p>
    <w:p w14:paraId="6BE37E59" w14:textId="0EA1C995" w:rsidR="00324147" w:rsidRPr="00F0201A" w:rsidRDefault="007501CD" w:rsidP="00923865">
      <w:pPr>
        <w:numPr>
          <w:ilvl w:val="0"/>
          <w:numId w:val="22"/>
        </w:numPr>
        <w:tabs>
          <w:tab w:val="clear" w:pos="284"/>
        </w:tabs>
        <w:rPr>
          <w:lang w:val="sr-Latn-ME"/>
        </w:rPr>
      </w:pPr>
      <w:r w:rsidRPr="00D768EF">
        <w:rPr>
          <w:color w:val="000000"/>
          <w:szCs w:val="22"/>
          <w:lang w:val="sr-Latn-ME"/>
        </w:rPr>
        <w:t>Svu neiskorišćenu količinu l</w:t>
      </w:r>
      <w:r w:rsidR="00C3214E" w:rsidRPr="00D768EF">
        <w:rPr>
          <w:color w:val="000000"/>
          <w:szCs w:val="22"/>
          <w:lang w:val="sr-Latn-ME"/>
        </w:rPr>
        <w:t>ij</w:t>
      </w:r>
      <w:r w:rsidRPr="00D768EF">
        <w:rPr>
          <w:color w:val="000000"/>
          <w:szCs w:val="22"/>
          <w:lang w:val="sr-Latn-ME"/>
        </w:rPr>
        <w:t xml:space="preserve">eka ili otpadnog materijala nakon njegove upotrebe treba ukloniti, u skladu sa </w:t>
      </w:r>
      <w:r w:rsidR="009545B6" w:rsidRPr="00D768EF">
        <w:rPr>
          <w:color w:val="000000"/>
          <w:szCs w:val="22"/>
          <w:lang w:val="sr-Latn-ME"/>
        </w:rPr>
        <w:t xml:space="preserve">važećim </w:t>
      </w:r>
      <w:r w:rsidRPr="00D768EF">
        <w:rPr>
          <w:color w:val="000000"/>
          <w:szCs w:val="22"/>
          <w:lang w:val="sr-Latn-ME"/>
        </w:rPr>
        <w:t>propisima.</w:t>
      </w:r>
    </w:p>
    <w:p w14:paraId="6FBF04BC" w14:textId="76459748" w:rsidR="00F0201A" w:rsidRPr="00A3302F" w:rsidRDefault="00F0201A" w:rsidP="00F0201A">
      <w:pPr>
        <w:tabs>
          <w:tab w:val="clear" w:pos="284"/>
        </w:tabs>
        <w:rPr>
          <w:lang w:val="sr-Latn-ME"/>
        </w:rPr>
      </w:pPr>
    </w:p>
    <w:p w14:paraId="4864BAC3" w14:textId="48101A9A" w:rsidR="00CE09F3" w:rsidRPr="00D768EF" w:rsidRDefault="00CE09F3" w:rsidP="00CF3859">
      <w:pPr>
        <w:pStyle w:val="NASLOV123"/>
        <w:numPr>
          <w:ilvl w:val="0"/>
          <w:numId w:val="22"/>
        </w:numPr>
        <w:tabs>
          <w:tab w:val="left" w:pos="539"/>
        </w:tabs>
        <w:rPr>
          <w:lang w:val="sr-Latn-ME"/>
        </w:rPr>
      </w:pPr>
      <w:r w:rsidRPr="00D768EF">
        <w:rPr>
          <w:lang w:val="sr-Latn-ME"/>
        </w:rPr>
        <w:t xml:space="preserve"> NOSILAC DOZVOLE </w:t>
      </w:r>
    </w:p>
    <w:p w14:paraId="4929A662" w14:textId="2CD973A4" w:rsidR="00D26136" w:rsidRDefault="00324147" w:rsidP="00CF3859">
      <w:pPr>
        <w:tabs>
          <w:tab w:val="left" w:pos="539"/>
        </w:tabs>
        <w:rPr>
          <w:szCs w:val="22"/>
          <w:lang w:val="sr-Latn-ME"/>
        </w:rPr>
      </w:pPr>
      <w:r w:rsidRPr="00D768EF">
        <w:rPr>
          <w:szCs w:val="22"/>
          <w:lang w:val="sr-Latn-ME"/>
        </w:rPr>
        <w:t>Glosarij d.o.o.</w:t>
      </w:r>
      <w:r w:rsidR="00CF3859">
        <w:rPr>
          <w:szCs w:val="22"/>
          <w:lang w:val="sr-Latn-ME"/>
        </w:rPr>
        <w:t xml:space="preserve">, </w:t>
      </w:r>
      <w:r w:rsidRPr="00D768EF">
        <w:rPr>
          <w:szCs w:val="22"/>
          <w:lang w:val="sr-Latn-ME"/>
        </w:rPr>
        <w:t>Vojislavljevića 76,</w:t>
      </w:r>
      <w:r w:rsidR="00A00F6F" w:rsidRPr="00D768EF">
        <w:rPr>
          <w:szCs w:val="22"/>
          <w:lang w:val="sr-Latn-ME"/>
        </w:rPr>
        <w:t xml:space="preserve"> </w:t>
      </w:r>
      <w:r w:rsidR="00CF3859">
        <w:rPr>
          <w:bCs/>
          <w:szCs w:val="22"/>
          <w:lang w:val="sr-Latn-ME"/>
        </w:rPr>
        <w:t xml:space="preserve">81 000 </w:t>
      </w:r>
      <w:r w:rsidR="00A00F6F" w:rsidRPr="00D768EF">
        <w:rPr>
          <w:szCs w:val="22"/>
          <w:lang w:val="sr-Latn-ME"/>
        </w:rPr>
        <w:t>Podgorica, Crna Gora</w:t>
      </w:r>
    </w:p>
    <w:p w14:paraId="53755F75" w14:textId="77777777" w:rsidR="00F0201A" w:rsidRDefault="00F0201A" w:rsidP="00CF3859">
      <w:pPr>
        <w:tabs>
          <w:tab w:val="left" w:pos="539"/>
        </w:tabs>
        <w:spacing w:before="120"/>
        <w:rPr>
          <w:lang w:val="sr-Latn-ME"/>
        </w:rPr>
      </w:pPr>
    </w:p>
    <w:p w14:paraId="3AF0BC1B" w14:textId="2D36316C" w:rsidR="00CE09F3" w:rsidRPr="00D768EF" w:rsidRDefault="00CE09F3" w:rsidP="00CF3859">
      <w:pPr>
        <w:pStyle w:val="NASLOV123"/>
        <w:numPr>
          <w:ilvl w:val="0"/>
          <w:numId w:val="22"/>
        </w:numPr>
        <w:tabs>
          <w:tab w:val="left" w:pos="539"/>
        </w:tabs>
        <w:rPr>
          <w:lang w:val="sr-Latn-ME"/>
        </w:rPr>
      </w:pPr>
      <w:r w:rsidRPr="00D768EF">
        <w:rPr>
          <w:lang w:val="sr-Latn-ME"/>
        </w:rPr>
        <w:t xml:space="preserve"> BROJ DOZVOLE ZA STAVLJANJE L</w:t>
      </w:r>
      <w:r w:rsidR="00A00F6F" w:rsidRPr="00D768EF">
        <w:rPr>
          <w:lang w:val="sr-Latn-ME"/>
        </w:rPr>
        <w:t>IJ</w:t>
      </w:r>
      <w:r w:rsidRPr="00D768EF">
        <w:rPr>
          <w:lang w:val="sr-Latn-ME"/>
        </w:rPr>
        <w:t>EKA U PROMET</w:t>
      </w:r>
    </w:p>
    <w:p w14:paraId="36AC4F46" w14:textId="477664CA" w:rsidR="003E55EF" w:rsidRDefault="00A36E55" w:rsidP="00CF3859">
      <w:pPr>
        <w:tabs>
          <w:tab w:val="left" w:pos="539"/>
          <w:tab w:val="left" w:pos="569"/>
        </w:tabs>
        <w:rPr>
          <w:bCs/>
        </w:rPr>
      </w:pPr>
      <w:r w:rsidRPr="00BC1D34">
        <w:rPr>
          <w:bCs/>
        </w:rPr>
        <w:t xml:space="preserve">2030/25/1652 </w:t>
      </w:r>
      <w:r>
        <w:rPr>
          <w:bCs/>
          <w:lang w:val="sr-Latn-ME"/>
        </w:rPr>
        <w:t>-</w:t>
      </w:r>
      <w:r w:rsidRPr="00BC1D34">
        <w:rPr>
          <w:bCs/>
        </w:rPr>
        <w:t xml:space="preserve"> 3339</w:t>
      </w:r>
    </w:p>
    <w:p w14:paraId="0D05A773" w14:textId="77777777" w:rsidR="00A36E55" w:rsidRPr="00D768EF" w:rsidRDefault="00A36E55" w:rsidP="00CF3859">
      <w:pPr>
        <w:tabs>
          <w:tab w:val="left" w:pos="539"/>
          <w:tab w:val="left" w:pos="569"/>
        </w:tabs>
        <w:rPr>
          <w:szCs w:val="22"/>
          <w:lang w:val="sr-Latn-ME"/>
        </w:rPr>
      </w:pPr>
    </w:p>
    <w:p w14:paraId="0B69F7FD" w14:textId="2BF25F8D" w:rsidR="003E55EF" w:rsidRPr="00A36E55" w:rsidRDefault="00CE09F3" w:rsidP="00CF3859">
      <w:pPr>
        <w:pStyle w:val="NASLOV123"/>
        <w:keepNext/>
        <w:tabs>
          <w:tab w:val="left" w:pos="539"/>
        </w:tabs>
        <w:jc w:val="both"/>
        <w:rPr>
          <w:lang w:val="sr-Latn-ME"/>
        </w:rPr>
      </w:pPr>
      <w:r w:rsidRPr="00D768EF">
        <w:rPr>
          <w:lang w:val="sr-Latn-ME"/>
        </w:rPr>
        <w:t>9</w:t>
      </w:r>
      <w:bookmarkStart w:id="13" w:name="_GoBack"/>
      <w:bookmarkEnd w:id="13"/>
      <w:r w:rsidRPr="00D768EF">
        <w:rPr>
          <w:lang w:val="sr-Latn-ME"/>
        </w:rPr>
        <w:t>.</w:t>
      </w:r>
      <w:r w:rsidR="00CF3859">
        <w:rPr>
          <w:lang w:val="sr-Latn-ME"/>
        </w:rPr>
        <w:tab/>
      </w:r>
      <w:r w:rsidRPr="00D768EF">
        <w:rPr>
          <w:lang w:val="sr-Latn-ME"/>
        </w:rPr>
        <w:t xml:space="preserve"> DATUM PRVE DOZVOLE</w:t>
      </w:r>
      <w:r w:rsidR="00B2193E">
        <w:rPr>
          <w:lang w:val="sr-Latn-ME"/>
        </w:rPr>
        <w:t xml:space="preserve"> I </w:t>
      </w:r>
      <w:r w:rsidRPr="00D768EF">
        <w:rPr>
          <w:lang w:val="sr-Latn-ME"/>
        </w:rPr>
        <w:t>OBNOVE DOZVOLE ZA STAVLJANJE L</w:t>
      </w:r>
      <w:r w:rsidR="003E55EF" w:rsidRPr="00D768EF">
        <w:rPr>
          <w:lang w:val="sr-Latn-ME"/>
        </w:rPr>
        <w:t>IJ</w:t>
      </w:r>
      <w:r w:rsidRPr="00D768EF">
        <w:rPr>
          <w:lang w:val="sr-Latn-ME"/>
        </w:rPr>
        <w:t xml:space="preserve">EKA U </w:t>
      </w:r>
      <w:r w:rsidRPr="00A36E55">
        <w:rPr>
          <w:lang w:val="sr-Latn-ME"/>
        </w:rPr>
        <w:t>PROMET</w:t>
      </w:r>
    </w:p>
    <w:p w14:paraId="7B5B6A4A" w14:textId="7B17A6B4" w:rsidR="003E55EF" w:rsidRPr="00A36E55" w:rsidRDefault="00CF3859" w:rsidP="00CF3859">
      <w:pPr>
        <w:tabs>
          <w:tab w:val="left" w:pos="539"/>
          <w:tab w:val="left" w:pos="569"/>
        </w:tabs>
        <w:rPr>
          <w:bCs/>
          <w:szCs w:val="22"/>
          <w:lang w:val="sr-Latn-ME" w:eastAsia="de-DE"/>
        </w:rPr>
      </w:pPr>
      <w:r w:rsidRPr="00A36E55">
        <w:rPr>
          <w:bCs/>
          <w:szCs w:val="22"/>
          <w:lang w:val="sr-Latn-ME"/>
        </w:rPr>
        <w:t xml:space="preserve">Datum prve dozvole: </w:t>
      </w:r>
      <w:r w:rsidR="003E55EF" w:rsidRPr="00A36E55">
        <w:rPr>
          <w:bCs/>
          <w:szCs w:val="22"/>
          <w:lang w:val="sr-Latn-ME" w:eastAsia="de-DE"/>
        </w:rPr>
        <w:t>28.02.2017. godine</w:t>
      </w:r>
    </w:p>
    <w:p w14:paraId="55634B1D" w14:textId="0BAAF6A3" w:rsidR="00CF3859" w:rsidRPr="00A36E55" w:rsidRDefault="00CF3859" w:rsidP="00CF3859">
      <w:pPr>
        <w:tabs>
          <w:tab w:val="left" w:pos="540"/>
          <w:tab w:val="left" w:pos="569"/>
        </w:tabs>
        <w:rPr>
          <w:bCs/>
          <w:szCs w:val="22"/>
          <w:lang w:val="sr-Latn-ME"/>
        </w:rPr>
      </w:pPr>
      <w:r w:rsidRPr="00A36E55">
        <w:rPr>
          <w:bCs/>
          <w:szCs w:val="22"/>
          <w:lang w:val="sr-Latn-ME"/>
        </w:rPr>
        <w:t xml:space="preserve">Datum poslednje obnove dozvole: </w:t>
      </w:r>
      <w:r w:rsidR="00A36E55" w:rsidRPr="00A36E55">
        <w:rPr>
          <w:rFonts w:ascii="TimesNewRoman" w:hAnsi="TimesNewRoman" w:cs="TimesNewRoman"/>
          <w:lang w:val="sr-Latn-ME"/>
        </w:rPr>
        <w:t>04.04.2025. godine</w:t>
      </w:r>
    </w:p>
    <w:p w14:paraId="7D09A0B9" w14:textId="77777777" w:rsidR="00816682" w:rsidRPr="00A36E55" w:rsidRDefault="00816682" w:rsidP="00CF3859">
      <w:pPr>
        <w:tabs>
          <w:tab w:val="left" w:pos="539"/>
        </w:tabs>
        <w:rPr>
          <w:szCs w:val="22"/>
          <w:lang w:val="sr-Latn-ME"/>
        </w:rPr>
      </w:pPr>
    </w:p>
    <w:p w14:paraId="7567E58B" w14:textId="59C67085" w:rsidR="00CE09F3" w:rsidRPr="00A36E55" w:rsidRDefault="00A36E55" w:rsidP="00A36E55">
      <w:pPr>
        <w:pStyle w:val="NASLOV123"/>
        <w:tabs>
          <w:tab w:val="clear" w:pos="284"/>
          <w:tab w:val="left" w:pos="539"/>
        </w:tabs>
        <w:rPr>
          <w:lang w:val="sr-Latn-ME"/>
        </w:rPr>
      </w:pPr>
      <w:r w:rsidRPr="00A36E55">
        <w:rPr>
          <w:lang w:val="sr-Latn-ME"/>
        </w:rPr>
        <w:t>10.</w:t>
      </w:r>
      <w:r w:rsidRPr="00A36E55">
        <w:rPr>
          <w:lang w:val="sr-Latn-ME"/>
        </w:rPr>
        <w:tab/>
      </w:r>
      <w:r w:rsidR="00CE09F3" w:rsidRPr="00A36E55">
        <w:rPr>
          <w:lang w:val="sr-Latn-ME"/>
        </w:rPr>
        <w:t>DATUM REVIZIJE TEKSTA</w:t>
      </w:r>
    </w:p>
    <w:p w14:paraId="0D36D2E0" w14:textId="6205DF95" w:rsidR="00A36E55" w:rsidRPr="00A36E55" w:rsidRDefault="00A36E55" w:rsidP="00A36E55">
      <w:pPr>
        <w:pStyle w:val="NASLOV123"/>
        <w:tabs>
          <w:tab w:val="clear" w:pos="284"/>
          <w:tab w:val="left" w:pos="539"/>
        </w:tabs>
        <w:rPr>
          <w:b w:val="0"/>
          <w:lang w:val="sr-Latn-ME"/>
        </w:rPr>
      </w:pPr>
      <w:r w:rsidRPr="00A36E55">
        <w:rPr>
          <w:b w:val="0"/>
          <w:lang w:val="sr-Latn-ME"/>
        </w:rPr>
        <w:t>April, 2025. godine</w:t>
      </w:r>
    </w:p>
    <w:p w14:paraId="3AC9A78D" w14:textId="679C7A42" w:rsidR="00923865" w:rsidRPr="00D768EF" w:rsidRDefault="00923865" w:rsidP="00923865">
      <w:pPr>
        <w:rPr>
          <w:bCs/>
          <w:szCs w:val="22"/>
          <w:lang w:val="sr-Latn-ME"/>
        </w:rPr>
      </w:pPr>
    </w:p>
    <w:sectPr w:rsidR="00923865" w:rsidRPr="00D768EF" w:rsidSect="004A5B01">
      <w:headerReference w:type="even" r:id="rId12"/>
      <w:headerReference w:type="default" r:id="rId13"/>
      <w:footerReference w:type="even" r:id="rId14"/>
      <w:footerReference w:type="default" r:id="rId15"/>
      <w:pgSz w:w="11907" w:h="16840" w:code="9"/>
      <w:pgMar w:top="1134" w:right="1418" w:bottom="1134" w:left="1418" w:header="360" w:footer="80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D7F0E" w14:textId="77777777" w:rsidR="00083848" w:rsidRDefault="00083848">
      <w:r>
        <w:separator/>
      </w:r>
    </w:p>
    <w:p w14:paraId="4340078A" w14:textId="77777777" w:rsidR="00083848" w:rsidRDefault="00083848"/>
  </w:endnote>
  <w:endnote w:type="continuationSeparator" w:id="0">
    <w:p w14:paraId="3B5951F3" w14:textId="77777777" w:rsidR="00083848" w:rsidRDefault="00083848">
      <w:r>
        <w:continuationSeparator/>
      </w:r>
    </w:p>
    <w:p w14:paraId="6CA9AA4C" w14:textId="77777777" w:rsidR="00083848" w:rsidRDefault="00083848"/>
  </w:endnote>
  <w:endnote w:type="continuationNotice" w:id="1">
    <w:p w14:paraId="772E1F73" w14:textId="77777777" w:rsidR="00083848" w:rsidRDefault="00083848"/>
    <w:p w14:paraId="3F797E9B" w14:textId="77777777" w:rsidR="00083848" w:rsidRDefault="000838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algun Gothic Semilight"/>
    <w:panose1 w:val="00000000000000000000"/>
    <w:charset w:val="80"/>
    <w:family w:val="auto"/>
    <w:notTrueType/>
    <w:pitch w:val="default"/>
    <w:sig w:usb0="00000000" w:usb1="08070000" w:usb2="00000010" w:usb3="00000000" w:csb0="0002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PS">
    <w:altName w:val="Symbol"/>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D8D42" w14:textId="77777777" w:rsidR="00DA6A33" w:rsidRDefault="00DA6A33"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91104B" w14:textId="77777777" w:rsidR="00DA6A33" w:rsidRDefault="00DA6A33">
    <w:pPr>
      <w:pStyle w:val="Footer"/>
      <w:ind w:right="360"/>
    </w:pPr>
  </w:p>
  <w:p w14:paraId="03E409A9" w14:textId="77777777" w:rsidR="00DA6A33" w:rsidRDefault="00DA6A3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246CC" w14:textId="7CC1376F" w:rsidR="00DA6A33" w:rsidRDefault="00083848" w:rsidP="00816682">
    <w:pPr>
      <w:pStyle w:val="Footer"/>
      <w:tabs>
        <w:tab w:val="clear" w:pos="9072"/>
        <w:tab w:val="left" w:pos="5448"/>
        <w:tab w:val="right" w:pos="9639"/>
      </w:tabs>
      <w:spacing w:before="360"/>
    </w:pPr>
    <w:sdt>
      <w:sdtPr>
        <w:rPr>
          <w:sz w:val="18"/>
          <w:szCs w:val="18"/>
        </w:rPr>
        <w:id w:val="25862803"/>
        <w:docPartObj>
          <w:docPartGallery w:val="Page Numbers (Bottom of Page)"/>
          <w:docPartUnique/>
        </w:docPartObj>
      </w:sdtPr>
      <w:sdtEndPr>
        <w:rPr>
          <w:sz w:val="22"/>
          <w:szCs w:val="24"/>
        </w:rPr>
      </w:sdtEndPr>
      <w:sdtContent>
        <w:sdt>
          <w:sdtPr>
            <w:rPr>
              <w:sz w:val="18"/>
              <w:szCs w:val="18"/>
            </w:rPr>
            <w:id w:val="565050477"/>
            <w:docPartObj>
              <w:docPartGallery w:val="Page Numbers (Top of Page)"/>
              <w:docPartUnique/>
            </w:docPartObj>
          </w:sdtPr>
          <w:sdtEndPr>
            <w:rPr>
              <w:sz w:val="22"/>
              <w:szCs w:val="24"/>
            </w:rPr>
          </w:sdtEndPr>
          <w:sdtContent>
            <w:r w:rsidR="00DA6A33">
              <w:rPr>
                <w:sz w:val="18"/>
                <w:szCs w:val="18"/>
              </w:rPr>
              <w:tab/>
            </w:r>
            <w:r w:rsidR="00DA6A33" w:rsidRPr="004A5B01">
              <w:rPr>
                <w:szCs w:val="18"/>
              </w:rPr>
              <w:fldChar w:fldCharType="begin"/>
            </w:r>
            <w:r w:rsidR="00DA6A33" w:rsidRPr="004A5B01">
              <w:rPr>
                <w:szCs w:val="18"/>
              </w:rPr>
              <w:instrText xml:space="preserve"> PAGE </w:instrText>
            </w:r>
            <w:r w:rsidR="00DA6A33" w:rsidRPr="004A5B01">
              <w:rPr>
                <w:szCs w:val="18"/>
              </w:rPr>
              <w:fldChar w:fldCharType="separate"/>
            </w:r>
            <w:r w:rsidR="00A36E55">
              <w:rPr>
                <w:noProof/>
                <w:szCs w:val="18"/>
              </w:rPr>
              <w:t>40</w:t>
            </w:r>
            <w:r w:rsidR="00DA6A33" w:rsidRPr="004A5B01">
              <w:rPr>
                <w:szCs w:val="18"/>
              </w:rPr>
              <w:fldChar w:fldCharType="end"/>
            </w:r>
            <w:r w:rsidR="00DA6A33" w:rsidRPr="004A5B01">
              <w:rPr>
                <w:szCs w:val="18"/>
              </w:rPr>
              <w:t xml:space="preserve"> </w:t>
            </w:r>
            <w:r w:rsidR="00DA6A33">
              <w:rPr>
                <w:szCs w:val="18"/>
              </w:rPr>
              <w:t>/</w:t>
            </w:r>
            <w:r w:rsidR="00DA6A33" w:rsidRPr="004A5B01">
              <w:rPr>
                <w:szCs w:val="18"/>
              </w:rPr>
              <w:t xml:space="preserve"> </w:t>
            </w:r>
            <w:r w:rsidR="00DA6A33" w:rsidRPr="004A5B01">
              <w:rPr>
                <w:szCs w:val="18"/>
              </w:rPr>
              <w:fldChar w:fldCharType="begin"/>
            </w:r>
            <w:r w:rsidR="00DA6A33" w:rsidRPr="004A5B01">
              <w:rPr>
                <w:szCs w:val="18"/>
              </w:rPr>
              <w:instrText xml:space="preserve"> NUMPAGES  </w:instrText>
            </w:r>
            <w:r w:rsidR="00DA6A33" w:rsidRPr="004A5B01">
              <w:rPr>
                <w:szCs w:val="18"/>
              </w:rPr>
              <w:fldChar w:fldCharType="separate"/>
            </w:r>
            <w:r w:rsidR="00A36E55">
              <w:rPr>
                <w:noProof/>
                <w:szCs w:val="18"/>
              </w:rPr>
              <w:t>40</w:t>
            </w:r>
            <w:r w:rsidR="00DA6A33" w:rsidRPr="004A5B01">
              <w:rPr>
                <w:szCs w:val="18"/>
              </w:rPr>
              <w:fldChar w:fldCharType="end"/>
            </w:r>
          </w:sdtContent>
        </w:sdt>
      </w:sdtContent>
    </w:sdt>
  </w:p>
  <w:p w14:paraId="5072DA9F" w14:textId="77777777" w:rsidR="00DA6A33" w:rsidRPr="00C536C2" w:rsidRDefault="00DA6A33" w:rsidP="00C536C2">
    <w:pPr>
      <w:pStyle w:val="Footer"/>
    </w:pPr>
  </w:p>
  <w:p w14:paraId="56089FA3" w14:textId="77777777" w:rsidR="00DA6A33" w:rsidRDefault="00DA6A3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EE9C4" w14:textId="77777777" w:rsidR="00083848" w:rsidRDefault="00083848">
      <w:r>
        <w:separator/>
      </w:r>
    </w:p>
    <w:p w14:paraId="455AE11D" w14:textId="77777777" w:rsidR="00083848" w:rsidRDefault="00083848"/>
  </w:footnote>
  <w:footnote w:type="continuationSeparator" w:id="0">
    <w:p w14:paraId="6A96F807" w14:textId="77777777" w:rsidR="00083848" w:rsidRDefault="00083848">
      <w:r>
        <w:continuationSeparator/>
      </w:r>
    </w:p>
    <w:p w14:paraId="3CB60221" w14:textId="77777777" w:rsidR="00083848" w:rsidRDefault="00083848"/>
  </w:footnote>
  <w:footnote w:type="continuationNotice" w:id="1">
    <w:p w14:paraId="1C66505B" w14:textId="77777777" w:rsidR="00083848" w:rsidRDefault="00083848"/>
    <w:p w14:paraId="1C256DA8" w14:textId="77777777" w:rsidR="00083848" w:rsidRDefault="0008384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6CAB4" w14:textId="77777777" w:rsidR="00DA6A33" w:rsidRDefault="00DA6A33">
    <w:pPr>
      <w:pStyle w:val="Header"/>
    </w:pPr>
  </w:p>
  <w:p w14:paraId="46547D71" w14:textId="77777777" w:rsidR="00DA6A33" w:rsidRDefault="00DA6A3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664C5" w14:textId="77777777" w:rsidR="00DA6A33" w:rsidRDefault="00DA6A33">
    <w:pPr>
      <w:pStyle w:val="Header"/>
    </w:pPr>
  </w:p>
  <w:p w14:paraId="280B2D5B" w14:textId="77777777" w:rsidR="00DA6A33" w:rsidRDefault="00DA6A3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8141A"/>
    <w:multiLevelType w:val="hybridMultilevel"/>
    <w:tmpl w:val="9A88C4F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2" w15:restartNumberingAfterBreak="0">
    <w:nsid w:val="094C4A23"/>
    <w:multiLevelType w:val="hybridMultilevel"/>
    <w:tmpl w:val="D960B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6398E"/>
    <w:multiLevelType w:val="hybridMultilevel"/>
    <w:tmpl w:val="982C3C1C"/>
    <w:lvl w:ilvl="0" w:tplc="5858AB44">
      <w:start w:val="1"/>
      <w:numFmt w:val="bullet"/>
      <w:lvlText w:val=""/>
      <w:lvlJc w:val="left"/>
      <w:pPr>
        <w:tabs>
          <w:tab w:val="num" w:pos="720"/>
        </w:tabs>
        <w:ind w:left="720" w:hanging="360"/>
      </w:pPr>
      <w:rPr>
        <w:rFonts w:ascii="Symbol" w:hAnsi="Symbol" w:hint="default"/>
        <w:color w:val="auto"/>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2024E02"/>
    <w:multiLevelType w:val="hybridMultilevel"/>
    <w:tmpl w:val="CF0A4A0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2543472F"/>
    <w:multiLevelType w:val="hybridMultilevel"/>
    <w:tmpl w:val="C4C40752"/>
    <w:lvl w:ilvl="0" w:tplc="5858AB44">
      <w:start w:val="1"/>
      <w:numFmt w:val="bullet"/>
      <w:lvlText w:val=""/>
      <w:lvlJc w:val="left"/>
      <w:pPr>
        <w:tabs>
          <w:tab w:val="num" w:pos="1428"/>
        </w:tabs>
        <w:ind w:left="1428" w:hanging="360"/>
      </w:pPr>
      <w:rPr>
        <w:rFonts w:ascii="Symbol" w:hAnsi="Symbol" w:hint="default"/>
        <w:color w:val="auto"/>
      </w:rPr>
    </w:lvl>
    <w:lvl w:ilvl="1" w:tplc="081A0003" w:tentative="1">
      <w:start w:val="1"/>
      <w:numFmt w:val="bullet"/>
      <w:lvlText w:val="o"/>
      <w:lvlJc w:val="left"/>
      <w:pPr>
        <w:tabs>
          <w:tab w:val="num" w:pos="2148"/>
        </w:tabs>
        <w:ind w:left="2148" w:hanging="360"/>
      </w:pPr>
      <w:rPr>
        <w:rFonts w:ascii="Courier New" w:hAnsi="Courier New" w:cs="Courier New" w:hint="default"/>
      </w:rPr>
    </w:lvl>
    <w:lvl w:ilvl="2" w:tplc="081A0005" w:tentative="1">
      <w:start w:val="1"/>
      <w:numFmt w:val="bullet"/>
      <w:lvlText w:val=""/>
      <w:lvlJc w:val="left"/>
      <w:pPr>
        <w:tabs>
          <w:tab w:val="num" w:pos="2868"/>
        </w:tabs>
        <w:ind w:left="2868" w:hanging="360"/>
      </w:pPr>
      <w:rPr>
        <w:rFonts w:ascii="Wingdings" w:hAnsi="Wingdings" w:hint="default"/>
      </w:rPr>
    </w:lvl>
    <w:lvl w:ilvl="3" w:tplc="081A0001" w:tentative="1">
      <w:start w:val="1"/>
      <w:numFmt w:val="bullet"/>
      <w:lvlText w:val=""/>
      <w:lvlJc w:val="left"/>
      <w:pPr>
        <w:tabs>
          <w:tab w:val="num" w:pos="3588"/>
        </w:tabs>
        <w:ind w:left="3588" w:hanging="360"/>
      </w:pPr>
      <w:rPr>
        <w:rFonts w:ascii="Symbol" w:hAnsi="Symbol" w:hint="default"/>
      </w:rPr>
    </w:lvl>
    <w:lvl w:ilvl="4" w:tplc="081A0003" w:tentative="1">
      <w:start w:val="1"/>
      <w:numFmt w:val="bullet"/>
      <w:lvlText w:val="o"/>
      <w:lvlJc w:val="left"/>
      <w:pPr>
        <w:tabs>
          <w:tab w:val="num" w:pos="4308"/>
        </w:tabs>
        <w:ind w:left="4308" w:hanging="360"/>
      </w:pPr>
      <w:rPr>
        <w:rFonts w:ascii="Courier New" w:hAnsi="Courier New" w:cs="Courier New" w:hint="default"/>
      </w:rPr>
    </w:lvl>
    <w:lvl w:ilvl="5" w:tplc="081A0005" w:tentative="1">
      <w:start w:val="1"/>
      <w:numFmt w:val="bullet"/>
      <w:lvlText w:val=""/>
      <w:lvlJc w:val="left"/>
      <w:pPr>
        <w:tabs>
          <w:tab w:val="num" w:pos="5028"/>
        </w:tabs>
        <w:ind w:left="5028" w:hanging="360"/>
      </w:pPr>
      <w:rPr>
        <w:rFonts w:ascii="Wingdings" w:hAnsi="Wingdings" w:hint="default"/>
      </w:rPr>
    </w:lvl>
    <w:lvl w:ilvl="6" w:tplc="081A0001" w:tentative="1">
      <w:start w:val="1"/>
      <w:numFmt w:val="bullet"/>
      <w:lvlText w:val=""/>
      <w:lvlJc w:val="left"/>
      <w:pPr>
        <w:tabs>
          <w:tab w:val="num" w:pos="5748"/>
        </w:tabs>
        <w:ind w:left="5748" w:hanging="360"/>
      </w:pPr>
      <w:rPr>
        <w:rFonts w:ascii="Symbol" w:hAnsi="Symbol" w:hint="default"/>
      </w:rPr>
    </w:lvl>
    <w:lvl w:ilvl="7" w:tplc="081A0003" w:tentative="1">
      <w:start w:val="1"/>
      <w:numFmt w:val="bullet"/>
      <w:lvlText w:val="o"/>
      <w:lvlJc w:val="left"/>
      <w:pPr>
        <w:tabs>
          <w:tab w:val="num" w:pos="6468"/>
        </w:tabs>
        <w:ind w:left="6468" w:hanging="360"/>
      </w:pPr>
      <w:rPr>
        <w:rFonts w:ascii="Courier New" w:hAnsi="Courier New" w:cs="Courier New" w:hint="default"/>
      </w:rPr>
    </w:lvl>
    <w:lvl w:ilvl="8" w:tplc="081A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2AF53C67"/>
    <w:multiLevelType w:val="hybridMultilevel"/>
    <w:tmpl w:val="73D6767E"/>
    <w:lvl w:ilvl="0" w:tplc="0409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C30379"/>
    <w:multiLevelType w:val="hybridMultilevel"/>
    <w:tmpl w:val="C89EE9C2"/>
    <w:lvl w:ilvl="0" w:tplc="7A48B1E2">
      <w:numFmt w:val="bullet"/>
      <w:lvlText w:val=""/>
      <w:lvlJc w:val="left"/>
      <w:pPr>
        <w:ind w:left="720" w:hanging="360"/>
      </w:pPr>
      <w:rPr>
        <w:rFonts w:ascii="Times New Roman" w:eastAsia="Symbol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B30791"/>
    <w:multiLevelType w:val="singleLevel"/>
    <w:tmpl w:val="DC346690"/>
    <w:lvl w:ilvl="0">
      <w:start w:val="1"/>
      <w:numFmt w:val="bullet"/>
      <w:lvlText w:val=""/>
      <w:lvlJc w:val="left"/>
      <w:pPr>
        <w:tabs>
          <w:tab w:val="num" w:pos="360"/>
        </w:tabs>
        <w:ind w:left="360" w:hanging="360"/>
      </w:pPr>
      <w:rPr>
        <w:rFonts w:ascii="Symbol" w:hAnsi="Symbol" w:hint="default"/>
        <w:sz w:val="22"/>
      </w:rPr>
    </w:lvl>
  </w:abstractNum>
  <w:abstractNum w:abstractNumId="10" w15:restartNumberingAfterBreak="0">
    <w:nsid w:val="356C37ED"/>
    <w:multiLevelType w:val="hybridMultilevel"/>
    <w:tmpl w:val="FF7AAC22"/>
    <w:lvl w:ilvl="0" w:tplc="CE36891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D95185"/>
    <w:multiLevelType w:val="hybridMultilevel"/>
    <w:tmpl w:val="DCECE4E0"/>
    <w:lvl w:ilvl="0" w:tplc="2F54221C">
      <w:start w:val="5"/>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9D30B5"/>
    <w:multiLevelType w:val="hybridMultilevel"/>
    <w:tmpl w:val="CDA6F7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7043DC"/>
    <w:multiLevelType w:val="hybridMultilevel"/>
    <w:tmpl w:val="FE22F9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0732B1"/>
    <w:multiLevelType w:val="singleLevel"/>
    <w:tmpl w:val="DB527A50"/>
    <w:lvl w:ilvl="0">
      <w:start w:val="1"/>
      <w:numFmt w:val="decimal"/>
      <w:lvlText w:val="%1."/>
      <w:lvlJc w:val="left"/>
      <w:pPr>
        <w:tabs>
          <w:tab w:val="num" w:pos="570"/>
        </w:tabs>
        <w:ind w:left="570" w:hanging="570"/>
      </w:pPr>
      <w:rPr>
        <w:rFonts w:hint="default"/>
      </w:rPr>
    </w:lvl>
  </w:abstractNum>
  <w:abstractNum w:abstractNumId="15" w15:restartNumberingAfterBreak="0">
    <w:nsid w:val="541741F5"/>
    <w:multiLevelType w:val="singleLevel"/>
    <w:tmpl w:val="695C5A46"/>
    <w:lvl w:ilvl="0">
      <w:start w:val="1"/>
      <w:numFmt w:val="bullet"/>
      <w:lvlText w:val=""/>
      <w:lvlJc w:val="left"/>
      <w:pPr>
        <w:tabs>
          <w:tab w:val="num" w:pos="567"/>
        </w:tabs>
        <w:ind w:left="567" w:hanging="567"/>
      </w:pPr>
      <w:rPr>
        <w:rFonts w:ascii="Symbol" w:hAnsi="Symbol" w:hint="default"/>
      </w:rPr>
    </w:lvl>
  </w:abstractNum>
  <w:abstractNum w:abstractNumId="16" w15:restartNumberingAfterBreak="0">
    <w:nsid w:val="54690C88"/>
    <w:multiLevelType w:val="hybridMultilevel"/>
    <w:tmpl w:val="DB780A5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D55B89"/>
    <w:multiLevelType w:val="hybridMultilevel"/>
    <w:tmpl w:val="F8E8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465784"/>
    <w:multiLevelType w:val="hybridMultilevel"/>
    <w:tmpl w:val="425E6A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5A0470"/>
    <w:multiLevelType w:val="hybridMultilevel"/>
    <w:tmpl w:val="03D42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5461FA"/>
    <w:multiLevelType w:val="hybridMultilevel"/>
    <w:tmpl w:val="8B4ECFB4"/>
    <w:lvl w:ilvl="0" w:tplc="9B686336">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410A35"/>
    <w:multiLevelType w:val="hybridMultilevel"/>
    <w:tmpl w:val="59B28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B14739"/>
    <w:multiLevelType w:val="hybridMultilevel"/>
    <w:tmpl w:val="3D74EE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
  </w:num>
  <w:num w:numId="2">
    <w:abstractNumId w:val="1"/>
    <w:lvlOverride w:ilvl="0">
      <w:startOverride w:val="7"/>
    </w:lvlOverride>
  </w:num>
  <w:num w:numId="3">
    <w:abstractNumId w:val="23"/>
  </w:num>
  <w:num w:numId="4">
    <w:abstractNumId w:val="7"/>
  </w:num>
  <w:num w:numId="5">
    <w:abstractNumId w:val="15"/>
  </w:num>
  <w:num w:numId="6">
    <w:abstractNumId w:val="9"/>
  </w:num>
  <w:num w:numId="7">
    <w:abstractNumId w:val="13"/>
  </w:num>
  <w:num w:numId="8">
    <w:abstractNumId w:val="22"/>
  </w:num>
  <w:num w:numId="9">
    <w:abstractNumId w:val="3"/>
  </w:num>
  <w:num w:numId="10">
    <w:abstractNumId w:val="6"/>
  </w:num>
  <w:num w:numId="11">
    <w:abstractNumId w:val="10"/>
  </w:num>
  <w:num w:numId="12">
    <w:abstractNumId w:val="12"/>
  </w:num>
  <w:num w:numId="13">
    <w:abstractNumId w:val="18"/>
  </w:num>
  <w:num w:numId="14">
    <w:abstractNumId w:val="2"/>
  </w:num>
  <w:num w:numId="15">
    <w:abstractNumId w:val="8"/>
  </w:num>
  <w:num w:numId="16">
    <w:abstractNumId w:val="17"/>
  </w:num>
  <w:num w:numId="17">
    <w:abstractNumId w:val="11"/>
  </w:num>
  <w:num w:numId="18">
    <w:abstractNumId w:val="0"/>
  </w:num>
  <w:num w:numId="19">
    <w:abstractNumId w:val="5"/>
  </w:num>
  <w:num w:numId="20">
    <w:abstractNumId w:val="16"/>
  </w:num>
  <w:num w:numId="21">
    <w:abstractNumId w:val="20"/>
  </w:num>
  <w:num w:numId="22">
    <w:abstractNumId w:val="14"/>
  </w:num>
  <w:num w:numId="23">
    <w:abstractNumId w:val="19"/>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2C4C"/>
    <w:rsid w:val="00005A31"/>
    <w:rsid w:val="0000636B"/>
    <w:rsid w:val="000067A0"/>
    <w:rsid w:val="00010EFF"/>
    <w:rsid w:val="000112A1"/>
    <w:rsid w:val="000155D7"/>
    <w:rsid w:val="000176CA"/>
    <w:rsid w:val="00017801"/>
    <w:rsid w:val="00017DAD"/>
    <w:rsid w:val="0002376F"/>
    <w:rsid w:val="000266D1"/>
    <w:rsid w:val="00031F6A"/>
    <w:rsid w:val="00037381"/>
    <w:rsid w:val="00037422"/>
    <w:rsid w:val="00040BAD"/>
    <w:rsid w:val="000467B6"/>
    <w:rsid w:val="00051B20"/>
    <w:rsid w:val="0005798D"/>
    <w:rsid w:val="00057B48"/>
    <w:rsid w:val="00064273"/>
    <w:rsid w:val="000661F7"/>
    <w:rsid w:val="00083848"/>
    <w:rsid w:val="00083BE0"/>
    <w:rsid w:val="000860B3"/>
    <w:rsid w:val="00090A6E"/>
    <w:rsid w:val="00095FB6"/>
    <w:rsid w:val="00096CFF"/>
    <w:rsid w:val="0009758B"/>
    <w:rsid w:val="000A00F2"/>
    <w:rsid w:val="000A0F4A"/>
    <w:rsid w:val="000A5452"/>
    <w:rsid w:val="000A5E1A"/>
    <w:rsid w:val="000B2057"/>
    <w:rsid w:val="000C022A"/>
    <w:rsid w:val="000C14D8"/>
    <w:rsid w:val="000C223E"/>
    <w:rsid w:val="000C37DA"/>
    <w:rsid w:val="000C7523"/>
    <w:rsid w:val="000D0D5C"/>
    <w:rsid w:val="000D1EDD"/>
    <w:rsid w:val="000D2343"/>
    <w:rsid w:val="000D425A"/>
    <w:rsid w:val="000D5631"/>
    <w:rsid w:val="000D7213"/>
    <w:rsid w:val="000E0167"/>
    <w:rsid w:val="000E2084"/>
    <w:rsid w:val="000E4428"/>
    <w:rsid w:val="000E589A"/>
    <w:rsid w:val="000E6F55"/>
    <w:rsid w:val="000E71B2"/>
    <w:rsid w:val="000E75C0"/>
    <w:rsid w:val="000E78F3"/>
    <w:rsid w:val="000F48C1"/>
    <w:rsid w:val="000F7B82"/>
    <w:rsid w:val="001075DF"/>
    <w:rsid w:val="00112897"/>
    <w:rsid w:val="00113540"/>
    <w:rsid w:val="00113AFB"/>
    <w:rsid w:val="00115516"/>
    <w:rsid w:val="001225CF"/>
    <w:rsid w:val="00124A17"/>
    <w:rsid w:val="00126595"/>
    <w:rsid w:val="00131D02"/>
    <w:rsid w:val="0013638E"/>
    <w:rsid w:val="00136B4E"/>
    <w:rsid w:val="00141639"/>
    <w:rsid w:val="0014180A"/>
    <w:rsid w:val="0014274F"/>
    <w:rsid w:val="0014551F"/>
    <w:rsid w:val="0014766D"/>
    <w:rsid w:val="00153094"/>
    <w:rsid w:val="00153CCB"/>
    <w:rsid w:val="00154546"/>
    <w:rsid w:val="001605BA"/>
    <w:rsid w:val="00162CCC"/>
    <w:rsid w:val="00173D18"/>
    <w:rsid w:val="00175772"/>
    <w:rsid w:val="00175A7E"/>
    <w:rsid w:val="001812DE"/>
    <w:rsid w:val="00182B17"/>
    <w:rsid w:val="00185DF5"/>
    <w:rsid w:val="0018601D"/>
    <w:rsid w:val="00186F2A"/>
    <w:rsid w:val="0019272E"/>
    <w:rsid w:val="00196CAA"/>
    <w:rsid w:val="001A3FBA"/>
    <w:rsid w:val="001A5518"/>
    <w:rsid w:val="001B090E"/>
    <w:rsid w:val="001B0A77"/>
    <w:rsid w:val="001B706A"/>
    <w:rsid w:val="001C1263"/>
    <w:rsid w:val="001C690B"/>
    <w:rsid w:val="001C7EE4"/>
    <w:rsid w:val="001D10C9"/>
    <w:rsid w:val="001D19B7"/>
    <w:rsid w:val="001D2D40"/>
    <w:rsid w:val="001D412E"/>
    <w:rsid w:val="001D4BD4"/>
    <w:rsid w:val="001D6BB9"/>
    <w:rsid w:val="001E04B2"/>
    <w:rsid w:val="001E0A07"/>
    <w:rsid w:val="001E0EC1"/>
    <w:rsid w:val="001E17C3"/>
    <w:rsid w:val="001E3422"/>
    <w:rsid w:val="001E390B"/>
    <w:rsid w:val="001E4277"/>
    <w:rsid w:val="001E6145"/>
    <w:rsid w:val="001F06D2"/>
    <w:rsid w:val="001F2D4E"/>
    <w:rsid w:val="001F2E02"/>
    <w:rsid w:val="001F2E79"/>
    <w:rsid w:val="001F39B6"/>
    <w:rsid w:val="001F3D73"/>
    <w:rsid w:val="001F42FB"/>
    <w:rsid w:val="001F5408"/>
    <w:rsid w:val="001F719A"/>
    <w:rsid w:val="00204273"/>
    <w:rsid w:val="00205A34"/>
    <w:rsid w:val="00207127"/>
    <w:rsid w:val="00210F4D"/>
    <w:rsid w:val="00211913"/>
    <w:rsid w:val="002134E9"/>
    <w:rsid w:val="0021611E"/>
    <w:rsid w:val="0021709D"/>
    <w:rsid w:val="0022028C"/>
    <w:rsid w:val="00220982"/>
    <w:rsid w:val="0022218E"/>
    <w:rsid w:val="0022223A"/>
    <w:rsid w:val="002262DB"/>
    <w:rsid w:val="00226E18"/>
    <w:rsid w:val="00230E89"/>
    <w:rsid w:val="0024132F"/>
    <w:rsid w:val="0024222C"/>
    <w:rsid w:val="00242839"/>
    <w:rsid w:val="00242B87"/>
    <w:rsid w:val="00242DCD"/>
    <w:rsid w:val="00244FA4"/>
    <w:rsid w:val="0024736F"/>
    <w:rsid w:val="00247C5C"/>
    <w:rsid w:val="00252DC5"/>
    <w:rsid w:val="00254A0A"/>
    <w:rsid w:val="00260198"/>
    <w:rsid w:val="00263E18"/>
    <w:rsid w:val="00266046"/>
    <w:rsid w:val="00267711"/>
    <w:rsid w:val="00267936"/>
    <w:rsid w:val="00273BE0"/>
    <w:rsid w:val="00274985"/>
    <w:rsid w:val="00282A1E"/>
    <w:rsid w:val="002846DB"/>
    <w:rsid w:val="002869CE"/>
    <w:rsid w:val="00292348"/>
    <w:rsid w:val="002942DD"/>
    <w:rsid w:val="0029466A"/>
    <w:rsid w:val="002A00BC"/>
    <w:rsid w:val="002A70D4"/>
    <w:rsid w:val="002B515F"/>
    <w:rsid w:val="002B601A"/>
    <w:rsid w:val="002B695E"/>
    <w:rsid w:val="002B6F6A"/>
    <w:rsid w:val="002C0FBF"/>
    <w:rsid w:val="002C17C7"/>
    <w:rsid w:val="002C185F"/>
    <w:rsid w:val="002C1E29"/>
    <w:rsid w:val="002C2478"/>
    <w:rsid w:val="002C252A"/>
    <w:rsid w:val="002C301E"/>
    <w:rsid w:val="002C530A"/>
    <w:rsid w:val="002C53F3"/>
    <w:rsid w:val="002C6637"/>
    <w:rsid w:val="002D408F"/>
    <w:rsid w:val="002E37A5"/>
    <w:rsid w:val="002E3A05"/>
    <w:rsid w:val="002F09E6"/>
    <w:rsid w:val="002F3545"/>
    <w:rsid w:val="002F5E2F"/>
    <w:rsid w:val="002F6CF0"/>
    <w:rsid w:val="0030123C"/>
    <w:rsid w:val="00305384"/>
    <w:rsid w:val="00305A41"/>
    <w:rsid w:val="00307CC0"/>
    <w:rsid w:val="00307FEE"/>
    <w:rsid w:val="00316FC0"/>
    <w:rsid w:val="0032158B"/>
    <w:rsid w:val="0032370E"/>
    <w:rsid w:val="00324147"/>
    <w:rsid w:val="00326D05"/>
    <w:rsid w:val="00331938"/>
    <w:rsid w:val="003363B4"/>
    <w:rsid w:val="00340801"/>
    <w:rsid w:val="003410B6"/>
    <w:rsid w:val="00341748"/>
    <w:rsid w:val="003452C0"/>
    <w:rsid w:val="0034793F"/>
    <w:rsid w:val="00355B61"/>
    <w:rsid w:val="00355C47"/>
    <w:rsid w:val="00362686"/>
    <w:rsid w:val="003644A7"/>
    <w:rsid w:val="00371510"/>
    <w:rsid w:val="00372979"/>
    <w:rsid w:val="00374C66"/>
    <w:rsid w:val="003827D3"/>
    <w:rsid w:val="00383195"/>
    <w:rsid w:val="00386799"/>
    <w:rsid w:val="003879D5"/>
    <w:rsid w:val="00396449"/>
    <w:rsid w:val="00396DFD"/>
    <w:rsid w:val="00397DA8"/>
    <w:rsid w:val="003A2DF8"/>
    <w:rsid w:val="003A3A5E"/>
    <w:rsid w:val="003A6FFF"/>
    <w:rsid w:val="003B02B5"/>
    <w:rsid w:val="003B2082"/>
    <w:rsid w:val="003B6639"/>
    <w:rsid w:val="003B7149"/>
    <w:rsid w:val="003B7A36"/>
    <w:rsid w:val="003C18A4"/>
    <w:rsid w:val="003C7823"/>
    <w:rsid w:val="003D02C5"/>
    <w:rsid w:val="003D35EA"/>
    <w:rsid w:val="003D40B2"/>
    <w:rsid w:val="003D41E5"/>
    <w:rsid w:val="003D7E5E"/>
    <w:rsid w:val="003E0D58"/>
    <w:rsid w:val="003E1DCC"/>
    <w:rsid w:val="003E3EC7"/>
    <w:rsid w:val="003E55EF"/>
    <w:rsid w:val="003E65A1"/>
    <w:rsid w:val="003E7E56"/>
    <w:rsid w:val="003F6A59"/>
    <w:rsid w:val="003F7502"/>
    <w:rsid w:val="00402FD8"/>
    <w:rsid w:val="004065C8"/>
    <w:rsid w:val="0041055F"/>
    <w:rsid w:val="00411B4B"/>
    <w:rsid w:val="004123CD"/>
    <w:rsid w:val="00417A2C"/>
    <w:rsid w:val="00422823"/>
    <w:rsid w:val="004234ED"/>
    <w:rsid w:val="004252CF"/>
    <w:rsid w:val="00427D41"/>
    <w:rsid w:val="0043135C"/>
    <w:rsid w:val="004326A7"/>
    <w:rsid w:val="00436625"/>
    <w:rsid w:val="00436F42"/>
    <w:rsid w:val="00440125"/>
    <w:rsid w:val="00442FEC"/>
    <w:rsid w:val="004469B1"/>
    <w:rsid w:val="00446A67"/>
    <w:rsid w:val="00447653"/>
    <w:rsid w:val="00451314"/>
    <w:rsid w:val="004534C7"/>
    <w:rsid w:val="004544F7"/>
    <w:rsid w:val="00454924"/>
    <w:rsid w:val="00454E9F"/>
    <w:rsid w:val="00455940"/>
    <w:rsid w:val="00455C37"/>
    <w:rsid w:val="004601AC"/>
    <w:rsid w:val="00460EB0"/>
    <w:rsid w:val="00462C33"/>
    <w:rsid w:val="00473AE6"/>
    <w:rsid w:val="00480DC6"/>
    <w:rsid w:val="00480FB1"/>
    <w:rsid w:val="0048207C"/>
    <w:rsid w:val="00483083"/>
    <w:rsid w:val="00483928"/>
    <w:rsid w:val="004866AC"/>
    <w:rsid w:val="00492213"/>
    <w:rsid w:val="00492248"/>
    <w:rsid w:val="004922FA"/>
    <w:rsid w:val="0049241F"/>
    <w:rsid w:val="00493A33"/>
    <w:rsid w:val="00495EDB"/>
    <w:rsid w:val="00497648"/>
    <w:rsid w:val="004A5B01"/>
    <w:rsid w:val="004A7ED9"/>
    <w:rsid w:val="004B2855"/>
    <w:rsid w:val="004B4B4B"/>
    <w:rsid w:val="004B56BE"/>
    <w:rsid w:val="004B5A11"/>
    <w:rsid w:val="004B7A50"/>
    <w:rsid w:val="004C329D"/>
    <w:rsid w:val="004C6BDE"/>
    <w:rsid w:val="004D0605"/>
    <w:rsid w:val="004D230F"/>
    <w:rsid w:val="004D467A"/>
    <w:rsid w:val="004D502B"/>
    <w:rsid w:val="004D5BAB"/>
    <w:rsid w:val="004D5FA9"/>
    <w:rsid w:val="004D6103"/>
    <w:rsid w:val="004E07D4"/>
    <w:rsid w:val="004E3BCE"/>
    <w:rsid w:val="004F0E97"/>
    <w:rsid w:val="004F35D1"/>
    <w:rsid w:val="004F5281"/>
    <w:rsid w:val="004F5652"/>
    <w:rsid w:val="004F65CE"/>
    <w:rsid w:val="00500AB5"/>
    <w:rsid w:val="00503667"/>
    <w:rsid w:val="00503974"/>
    <w:rsid w:val="00503E9F"/>
    <w:rsid w:val="00505493"/>
    <w:rsid w:val="005073A3"/>
    <w:rsid w:val="00515C21"/>
    <w:rsid w:val="0052230B"/>
    <w:rsid w:val="005235A4"/>
    <w:rsid w:val="00524523"/>
    <w:rsid w:val="00524AC8"/>
    <w:rsid w:val="0052584B"/>
    <w:rsid w:val="00525A0A"/>
    <w:rsid w:val="00525A8A"/>
    <w:rsid w:val="00525B1B"/>
    <w:rsid w:val="0052663C"/>
    <w:rsid w:val="00526FB3"/>
    <w:rsid w:val="0052755E"/>
    <w:rsid w:val="005276F0"/>
    <w:rsid w:val="00530909"/>
    <w:rsid w:val="00530BD7"/>
    <w:rsid w:val="00534560"/>
    <w:rsid w:val="00545CD2"/>
    <w:rsid w:val="00553DF9"/>
    <w:rsid w:val="0055437E"/>
    <w:rsid w:val="005544F7"/>
    <w:rsid w:val="00554B47"/>
    <w:rsid w:val="00555C46"/>
    <w:rsid w:val="00563B79"/>
    <w:rsid w:val="00565091"/>
    <w:rsid w:val="005677C9"/>
    <w:rsid w:val="00567AF2"/>
    <w:rsid w:val="0057088C"/>
    <w:rsid w:val="00573562"/>
    <w:rsid w:val="00573E40"/>
    <w:rsid w:val="00576348"/>
    <w:rsid w:val="00577B7A"/>
    <w:rsid w:val="00582635"/>
    <w:rsid w:val="00583B64"/>
    <w:rsid w:val="00584BB5"/>
    <w:rsid w:val="0059023E"/>
    <w:rsid w:val="005913D4"/>
    <w:rsid w:val="005A0B2E"/>
    <w:rsid w:val="005A36CB"/>
    <w:rsid w:val="005B0625"/>
    <w:rsid w:val="005B2500"/>
    <w:rsid w:val="005B2B30"/>
    <w:rsid w:val="005B3388"/>
    <w:rsid w:val="005B49B8"/>
    <w:rsid w:val="005B4A77"/>
    <w:rsid w:val="005B6AF4"/>
    <w:rsid w:val="005C2CA0"/>
    <w:rsid w:val="005C3F73"/>
    <w:rsid w:val="005C61B5"/>
    <w:rsid w:val="005C7891"/>
    <w:rsid w:val="005D0BEE"/>
    <w:rsid w:val="005D32D9"/>
    <w:rsid w:val="005D5D8A"/>
    <w:rsid w:val="005D65BA"/>
    <w:rsid w:val="005E0AE4"/>
    <w:rsid w:val="005E13C2"/>
    <w:rsid w:val="005E2385"/>
    <w:rsid w:val="005E2E0B"/>
    <w:rsid w:val="005E4C44"/>
    <w:rsid w:val="005E7A7D"/>
    <w:rsid w:val="005F3C30"/>
    <w:rsid w:val="005F4063"/>
    <w:rsid w:val="005F5F99"/>
    <w:rsid w:val="005F7B9B"/>
    <w:rsid w:val="005F7C54"/>
    <w:rsid w:val="006018D5"/>
    <w:rsid w:val="00603302"/>
    <w:rsid w:val="0060427E"/>
    <w:rsid w:val="00604E4F"/>
    <w:rsid w:val="006054EE"/>
    <w:rsid w:val="00606130"/>
    <w:rsid w:val="00610DB5"/>
    <w:rsid w:val="006118B6"/>
    <w:rsid w:val="00611CD1"/>
    <w:rsid w:val="00617E0F"/>
    <w:rsid w:val="0062214A"/>
    <w:rsid w:val="00622285"/>
    <w:rsid w:val="00622889"/>
    <w:rsid w:val="0062320C"/>
    <w:rsid w:val="006270C0"/>
    <w:rsid w:val="00630195"/>
    <w:rsid w:val="0063055D"/>
    <w:rsid w:val="006318EB"/>
    <w:rsid w:val="006344DE"/>
    <w:rsid w:val="006364C0"/>
    <w:rsid w:val="00642787"/>
    <w:rsid w:val="00643A03"/>
    <w:rsid w:val="006538E7"/>
    <w:rsid w:val="006559AF"/>
    <w:rsid w:val="0065622B"/>
    <w:rsid w:val="00656C2C"/>
    <w:rsid w:val="00660ED5"/>
    <w:rsid w:val="00663549"/>
    <w:rsid w:val="00664633"/>
    <w:rsid w:val="00665483"/>
    <w:rsid w:val="0066565C"/>
    <w:rsid w:val="0067181C"/>
    <w:rsid w:val="00671EBD"/>
    <w:rsid w:val="00674BAF"/>
    <w:rsid w:val="006753CA"/>
    <w:rsid w:val="0068087F"/>
    <w:rsid w:val="00681F60"/>
    <w:rsid w:val="00683626"/>
    <w:rsid w:val="00690C92"/>
    <w:rsid w:val="00693634"/>
    <w:rsid w:val="00693874"/>
    <w:rsid w:val="00693A87"/>
    <w:rsid w:val="00693F46"/>
    <w:rsid w:val="0069434F"/>
    <w:rsid w:val="006945E1"/>
    <w:rsid w:val="006A1497"/>
    <w:rsid w:val="006A18A0"/>
    <w:rsid w:val="006A1B90"/>
    <w:rsid w:val="006A1D17"/>
    <w:rsid w:val="006A1E9C"/>
    <w:rsid w:val="006A6292"/>
    <w:rsid w:val="006B0BD1"/>
    <w:rsid w:val="006B2AFF"/>
    <w:rsid w:val="006B456A"/>
    <w:rsid w:val="006B555A"/>
    <w:rsid w:val="006C1260"/>
    <w:rsid w:val="006C6C86"/>
    <w:rsid w:val="006C7B4E"/>
    <w:rsid w:val="006D694B"/>
    <w:rsid w:val="006D6C9F"/>
    <w:rsid w:val="006E0658"/>
    <w:rsid w:val="006F0334"/>
    <w:rsid w:val="006F158F"/>
    <w:rsid w:val="006F2A29"/>
    <w:rsid w:val="006F4F3F"/>
    <w:rsid w:val="006F78BB"/>
    <w:rsid w:val="00700670"/>
    <w:rsid w:val="0070219E"/>
    <w:rsid w:val="0070388F"/>
    <w:rsid w:val="00703D61"/>
    <w:rsid w:val="00705DAC"/>
    <w:rsid w:val="00714127"/>
    <w:rsid w:val="00714403"/>
    <w:rsid w:val="00714FE9"/>
    <w:rsid w:val="0072020E"/>
    <w:rsid w:val="007235F5"/>
    <w:rsid w:val="007327EA"/>
    <w:rsid w:val="00733A1A"/>
    <w:rsid w:val="00742071"/>
    <w:rsid w:val="00743A44"/>
    <w:rsid w:val="00743D37"/>
    <w:rsid w:val="00744774"/>
    <w:rsid w:val="007501CD"/>
    <w:rsid w:val="00750D92"/>
    <w:rsid w:val="00757BB4"/>
    <w:rsid w:val="00764648"/>
    <w:rsid w:val="00767212"/>
    <w:rsid w:val="007672F3"/>
    <w:rsid w:val="00770C2F"/>
    <w:rsid w:val="007740B2"/>
    <w:rsid w:val="007768E6"/>
    <w:rsid w:val="00780BB3"/>
    <w:rsid w:val="007811F3"/>
    <w:rsid w:val="00786688"/>
    <w:rsid w:val="007954D5"/>
    <w:rsid w:val="007960DA"/>
    <w:rsid w:val="007A4844"/>
    <w:rsid w:val="007A5785"/>
    <w:rsid w:val="007B16C4"/>
    <w:rsid w:val="007B7E84"/>
    <w:rsid w:val="007C0F1A"/>
    <w:rsid w:val="007C2703"/>
    <w:rsid w:val="007C2D7E"/>
    <w:rsid w:val="007C530B"/>
    <w:rsid w:val="007C54D4"/>
    <w:rsid w:val="007C5E42"/>
    <w:rsid w:val="007C7140"/>
    <w:rsid w:val="007D1397"/>
    <w:rsid w:val="007D17FD"/>
    <w:rsid w:val="007D3881"/>
    <w:rsid w:val="007D48C5"/>
    <w:rsid w:val="007D533E"/>
    <w:rsid w:val="007D5777"/>
    <w:rsid w:val="007D5DF0"/>
    <w:rsid w:val="007D7392"/>
    <w:rsid w:val="007E06F0"/>
    <w:rsid w:val="007E53C8"/>
    <w:rsid w:val="007F5E3F"/>
    <w:rsid w:val="008029CC"/>
    <w:rsid w:val="00802DFC"/>
    <w:rsid w:val="00803264"/>
    <w:rsid w:val="008060FC"/>
    <w:rsid w:val="00814781"/>
    <w:rsid w:val="00816682"/>
    <w:rsid w:val="008205DB"/>
    <w:rsid w:val="008218D5"/>
    <w:rsid w:val="00824AB9"/>
    <w:rsid w:val="00830369"/>
    <w:rsid w:val="00830B21"/>
    <w:rsid w:val="00832063"/>
    <w:rsid w:val="00833505"/>
    <w:rsid w:val="00834DBB"/>
    <w:rsid w:val="00836B35"/>
    <w:rsid w:val="00841E8E"/>
    <w:rsid w:val="00842FFB"/>
    <w:rsid w:val="00843350"/>
    <w:rsid w:val="00844DFF"/>
    <w:rsid w:val="008468A8"/>
    <w:rsid w:val="00853D98"/>
    <w:rsid w:val="0086351A"/>
    <w:rsid w:val="008664C7"/>
    <w:rsid w:val="00872A2F"/>
    <w:rsid w:val="00872DB2"/>
    <w:rsid w:val="00874B61"/>
    <w:rsid w:val="00876267"/>
    <w:rsid w:val="00876293"/>
    <w:rsid w:val="00882498"/>
    <w:rsid w:val="00882C73"/>
    <w:rsid w:val="00882CA5"/>
    <w:rsid w:val="00883AFD"/>
    <w:rsid w:val="008878DE"/>
    <w:rsid w:val="00893593"/>
    <w:rsid w:val="0089484B"/>
    <w:rsid w:val="0089705C"/>
    <w:rsid w:val="008A0A5C"/>
    <w:rsid w:val="008A0B9B"/>
    <w:rsid w:val="008A43EA"/>
    <w:rsid w:val="008A48B7"/>
    <w:rsid w:val="008A507D"/>
    <w:rsid w:val="008A735F"/>
    <w:rsid w:val="008B2126"/>
    <w:rsid w:val="008B3160"/>
    <w:rsid w:val="008B3EB5"/>
    <w:rsid w:val="008B4E76"/>
    <w:rsid w:val="008B7A84"/>
    <w:rsid w:val="008C1A28"/>
    <w:rsid w:val="008C2E98"/>
    <w:rsid w:val="008C5809"/>
    <w:rsid w:val="008C75F7"/>
    <w:rsid w:val="008D2017"/>
    <w:rsid w:val="008D3AE4"/>
    <w:rsid w:val="008D6D92"/>
    <w:rsid w:val="008D78C9"/>
    <w:rsid w:val="008E0FC9"/>
    <w:rsid w:val="008E3782"/>
    <w:rsid w:val="008E49BD"/>
    <w:rsid w:val="008E4D87"/>
    <w:rsid w:val="008E53E9"/>
    <w:rsid w:val="008E5771"/>
    <w:rsid w:val="00910C6E"/>
    <w:rsid w:val="00913684"/>
    <w:rsid w:val="00913C90"/>
    <w:rsid w:val="009141A8"/>
    <w:rsid w:val="00914677"/>
    <w:rsid w:val="0091480A"/>
    <w:rsid w:val="00915830"/>
    <w:rsid w:val="009165E6"/>
    <w:rsid w:val="00917897"/>
    <w:rsid w:val="009215DF"/>
    <w:rsid w:val="00923865"/>
    <w:rsid w:val="0092739A"/>
    <w:rsid w:val="00927A6D"/>
    <w:rsid w:val="0093016E"/>
    <w:rsid w:val="0093325D"/>
    <w:rsid w:val="00934B4D"/>
    <w:rsid w:val="00944731"/>
    <w:rsid w:val="0094584B"/>
    <w:rsid w:val="00950278"/>
    <w:rsid w:val="00953C12"/>
    <w:rsid w:val="009545B6"/>
    <w:rsid w:val="00954F1F"/>
    <w:rsid w:val="00955C75"/>
    <w:rsid w:val="00955D16"/>
    <w:rsid w:val="00962FE0"/>
    <w:rsid w:val="00963CF0"/>
    <w:rsid w:val="00967039"/>
    <w:rsid w:val="009677DF"/>
    <w:rsid w:val="009748EE"/>
    <w:rsid w:val="009750F9"/>
    <w:rsid w:val="00975E3D"/>
    <w:rsid w:val="009775D9"/>
    <w:rsid w:val="009800C7"/>
    <w:rsid w:val="0098722C"/>
    <w:rsid w:val="0099025F"/>
    <w:rsid w:val="009946F8"/>
    <w:rsid w:val="00994895"/>
    <w:rsid w:val="00995755"/>
    <w:rsid w:val="00996E6B"/>
    <w:rsid w:val="009A1847"/>
    <w:rsid w:val="009A1D64"/>
    <w:rsid w:val="009A54F7"/>
    <w:rsid w:val="009B0011"/>
    <w:rsid w:val="009B0CF2"/>
    <w:rsid w:val="009B1292"/>
    <w:rsid w:val="009B14D5"/>
    <w:rsid w:val="009B2430"/>
    <w:rsid w:val="009B338B"/>
    <w:rsid w:val="009B4A17"/>
    <w:rsid w:val="009B58AD"/>
    <w:rsid w:val="009B74F0"/>
    <w:rsid w:val="009B7935"/>
    <w:rsid w:val="009C34EF"/>
    <w:rsid w:val="009C483E"/>
    <w:rsid w:val="009C4C4A"/>
    <w:rsid w:val="009C7BA2"/>
    <w:rsid w:val="009D1161"/>
    <w:rsid w:val="009D667B"/>
    <w:rsid w:val="009D6BE7"/>
    <w:rsid w:val="009E353A"/>
    <w:rsid w:val="009E4434"/>
    <w:rsid w:val="009E46CC"/>
    <w:rsid w:val="009E59DD"/>
    <w:rsid w:val="009E7C6F"/>
    <w:rsid w:val="009F0CDA"/>
    <w:rsid w:val="009F16C9"/>
    <w:rsid w:val="009F1793"/>
    <w:rsid w:val="009F3807"/>
    <w:rsid w:val="009F3A67"/>
    <w:rsid w:val="009F4449"/>
    <w:rsid w:val="009F6F95"/>
    <w:rsid w:val="00A00F6F"/>
    <w:rsid w:val="00A01A35"/>
    <w:rsid w:val="00A02252"/>
    <w:rsid w:val="00A02335"/>
    <w:rsid w:val="00A04472"/>
    <w:rsid w:val="00A04DB2"/>
    <w:rsid w:val="00A10E45"/>
    <w:rsid w:val="00A127F1"/>
    <w:rsid w:val="00A12C38"/>
    <w:rsid w:val="00A227EC"/>
    <w:rsid w:val="00A23AEE"/>
    <w:rsid w:val="00A27130"/>
    <w:rsid w:val="00A31075"/>
    <w:rsid w:val="00A32473"/>
    <w:rsid w:val="00A3302F"/>
    <w:rsid w:val="00A3492F"/>
    <w:rsid w:val="00A3536C"/>
    <w:rsid w:val="00A35FB4"/>
    <w:rsid w:val="00A36E55"/>
    <w:rsid w:val="00A44EEF"/>
    <w:rsid w:val="00A520FD"/>
    <w:rsid w:val="00A562CE"/>
    <w:rsid w:val="00A56E85"/>
    <w:rsid w:val="00A57359"/>
    <w:rsid w:val="00A61228"/>
    <w:rsid w:val="00A62B5D"/>
    <w:rsid w:val="00A67A51"/>
    <w:rsid w:val="00A704E7"/>
    <w:rsid w:val="00A7147C"/>
    <w:rsid w:val="00A758CF"/>
    <w:rsid w:val="00A75F88"/>
    <w:rsid w:val="00A7660B"/>
    <w:rsid w:val="00A82350"/>
    <w:rsid w:val="00A860DD"/>
    <w:rsid w:val="00A86897"/>
    <w:rsid w:val="00A90593"/>
    <w:rsid w:val="00A9377A"/>
    <w:rsid w:val="00A93D0B"/>
    <w:rsid w:val="00A94902"/>
    <w:rsid w:val="00A95733"/>
    <w:rsid w:val="00AA0CC3"/>
    <w:rsid w:val="00AA3CCB"/>
    <w:rsid w:val="00AA684E"/>
    <w:rsid w:val="00AA7347"/>
    <w:rsid w:val="00AB5465"/>
    <w:rsid w:val="00AB6C4F"/>
    <w:rsid w:val="00AC2AE7"/>
    <w:rsid w:val="00AC393E"/>
    <w:rsid w:val="00AC41A7"/>
    <w:rsid w:val="00AC53CE"/>
    <w:rsid w:val="00AD0167"/>
    <w:rsid w:val="00AD1500"/>
    <w:rsid w:val="00AD2193"/>
    <w:rsid w:val="00AE064D"/>
    <w:rsid w:val="00AE40D2"/>
    <w:rsid w:val="00AF0770"/>
    <w:rsid w:val="00AF2AC7"/>
    <w:rsid w:val="00AF3AEA"/>
    <w:rsid w:val="00AF5EBB"/>
    <w:rsid w:val="00B00208"/>
    <w:rsid w:val="00B0401A"/>
    <w:rsid w:val="00B05B3C"/>
    <w:rsid w:val="00B12531"/>
    <w:rsid w:val="00B13020"/>
    <w:rsid w:val="00B1637B"/>
    <w:rsid w:val="00B178D0"/>
    <w:rsid w:val="00B208DB"/>
    <w:rsid w:val="00B2193E"/>
    <w:rsid w:val="00B2394E"/>
    <w:rsid w:val="00B23F69"/>
    <w:rsid w:val="00B24638"/>
    <w:rsid w:val="00B250B3"/>
    <w:rsid w:val="00B264CD"/>
    <w:rsid w:val="00B26C17"/>
    <w:rsid w:val="00B26FAC"/>
    <w:rsid w:val="00B309A7"/>
    <w:rsid w:val="00B31AA2"/>
    <w:rsid w:val="00B35E3E"/>
    <w:rsid w:val="00B402A6"/>
    <w:rsid w:val="00B41FFE"/>
    <w:rsid w:val="00B4760F"/>
    <w:rsid w:val="00B5062F"/>
    <w:rsid w:val="00B51C05"/>
    <w:rsid w:val="00B520C5"/>
    <w:rsid w:val="00B53CC4"/>
    <w:rsid w:val="00B558FE"/>
    <w:rsid w:val="00B57286"/>
    <w:rsid w:val="00B60619"/>
    <w:rsid w:val="00B620DA"/>
    <w:rsid w:val="00B6422E"/>
    <w:rsid w:val="00B6707D"/>
    <w:rsid w:val="00B67366"/>
    <w:rsid w:val="00B6744F"/>
    <w:rsid w:val="00B74413"/>
    <w:rsid w:val="00B74C0B"/>
    <w:rsid w:val="00B750A5"/>
    <w:rsid w:val="00B76084"/>
    <w:rsid w:val="00B803AA"/>
    <w:rsid w:val="00B803D4"/>
    <w:rsid w:val="00B80EE1"/>
    <w:rsid w:val="00B837A9"/>
    <w:rsid w:val="00B8400D"/>
    <w:rsid w:val="00B8632C"/>
    <w:rsid w:val="00B90492"/>
    <w:rsid w:val="00B9113C"/>
    <w:rsid w:val="00B92E82"/>
    <w:rsid w:val="00B93A37"/>
    <w:rsid w:val="00B945CF"/>
    <w:rsid w:val="00B9557B"/>
    <w:rsid w:val="00B97B50"/>
    <w:rsid w:val="00BA00BD"/>
    <w:rsid w:val="00BA1819"/>
    <w:rsid w:val="00BA1E98"/>
    <w:rsid w:val="00BA5120"/>
    <w:rsid w:val="00BA5A22"/>
    <w:rsid w:val="00BB2629"/>
    <w:rsid w:val="00BB55E5"/>
    <w:rsid w:val="00BB5F87"/>
    <w:rsid w:val="00BB61E3"/>
    <w:rsid w:val="00BC577E"/>
    <w:rsid w:val="00BC640A"/>
    <w:rsid w:val="00BD194A"/>
    <w:rsid w:val="00BD725A"/>
    <w:rsid w:val="00BE0C80"/>
    <w:rsid w:val="00BE57EE"/>
    <w:rsid w:val="00BE7D97"/>
    <w:rsid w:val="00BF059A"/>
    <w:rsid w:val="00BF3750"/>
    <w:rsid w:val="00BF3AA6"/>
    <w:rsid w:val="00BF5543"/>
    <w:rsid w:val="00C04D34"/>
    <w:rsid w:val="00C06244"/>
    <w:rsid w:val="00C175E4"/>
    <w:rsid w:val="00C236F8"/>
    <w:rsid w:val="00C23D8D"/>
    <w:rsid w:val="00C31985"/>
    <w:rsid w:val="00C3214E"/>
    <w:rsid w:val="00C36AD6"/>
    <w:rsid w:val="00C37AA3"/>
    <w:rsid w:val="00C43419"/>
    <w:rsid w:val="00C44CF3"/>
    <w:rsid w:val="00C463C8"/>
    <w:rsid w:val="00C53340"/>
    <w:rsid w:val="00C536C2"/>
    <w:rsid w:val="00C55F47"/>
    <w:rsid w:val="00C56E2E"/>
    <w:rsid w:val="00C61EC2"/>
    <w:rsid w:val="00C63D05"/>
    <w:rsid w:val="00C64A31"/>
    <w:rsid w:val="00C67CCA"/>
    <w:rsid w:val="00C70B0E"/>
    <w:rsid w:val="00C75717"/>
    <w:rsid w:val="00C7760F"/>
    <w:rsid w:val="00C82E8B"/>
    <w:rsid w:val="00C83785"/>
    <w:rsid w:val="00C9288D"/>
    <w:rsid w:val="00C928DB"/>
    <w:rsid w:val="00C92CDA"/>
    <w:rsid w:val="00C93299"/>
    <w:rsid w:val="00C9389A"/>
    <w:rsid w:val="00C94C0D"/>
    <w:rsid w:val="00C955A7"/>
    <w:rsid w:val="00CA367A"/>
    <w:rsid w:val="00CA5F1D"/>
    <w:rsid w:val="00CA7199"/>
    <w:rsid w:val="00CA71A5"/>
    <w:rsid w:val="00CB2640"/>
    <w:rsid w:val="00CB6E54"/>
    <w:rsid w:val="00CC0FB5"/>
    <w:rsid w:val="00CC4C88"/>
    <w:rsid w:val="00CC679F"/>
    <w:rsid w:val="00CC6CDB"/>
    <w:rsid w:val="00CC7F05"/>
    <w:rsid w:val="00CD0B1F"/>
    <w:rsid w:val="00CD1083"/>
    <w:rsid w:val="00CD1894"/>
    <w:rsid w:val="00CD3F96"/>
    <w:rsid w:val="00CD4F85"/>
    <w:rsid w:val="00CD6F02"/>
    <w:rsid w:val="00CE09F3"/>
    <w:rsid w:val="00CE181C"/>
    <w:rsid w:val="00CE246D"/>
    <w:rsid w:val="00CE76DA"/>
    <w:rsid w:val="00CE7F69"/>
    <w:rsid w:val="00CF0C58"/>
    <w:rsid w:val="00CF1838"/>
    <w:rsid w:val="00CF3859"/>
    <w:rsid w:val="00CF3B69"/>
    <w:rsid w:val="00CF5D59"/>
    <w:rsid w:val="00CF66DE"/>
    <w:rsid w:val="00D0082A"/>
    <w:rsid w:val="00D11E94"/>
    <w:rsid w:val="00D147AF"/>
    <w:rsid w:val="00D2250B"/>
    <w:rsid w:val="00D233B3"/>
    <w:rsid w:val="00D23585"/>
    <w:rsid w:val="00D24C61"/>
    <w:rsid w:val="00D24CB8"/>
    <w:rsid w:val="00D26136"/>
    <w:rsid w:val="00D30389"/>
    <w:rsid w:val="00D31A51"/>
    <w:rsid w:val="00D326EE"/>
    <w:rsid w:val="00D32D14"/>
    <w:rsid w:val="00D337F6"/>
    <w:rsid w:val="00D36568"/>
    <w:rsid w:val="00D41F6B"/>
    <w:rsid w:val="00D52350"/>
    <w:rsid w:val="00D52AB2"/>
    <w:rsid w:val="00D52CDB"/>
    <w:rsid w:val="00D53708"/>
    <w:rsid w:val="00D559FF"/>
    <w:rsid w:val="00D57936"/>
    <w:rsid w:val="00D61710"/>
    <w:rsid w:val="00D63136"/>
    <w:rsid w:val="00D6611E"/>
    <w:rsid w:val="00D704FF"/>
    <w:rsid w:val="00D71DC5"/>
    <w:rsid w:val="00D74B8E"/>
    <w:rsid w:val="00D75020"/>
    <w:rsid w:val="00D759B5"/>
    <w:rsid w:val="00D768EF"/>
    <w:rsid w:val="00D77C15"/>
    <w:rsid w:val="00D81225"/>
    <w:rsid w:val="00D85F37"/>
    <w:rsid w:val="00D86A67"/>
    <w:rsid w:val="00D8713D"/>
    <w:rsid w:val="00D952D8"/>
    <w:rsid w:val="00DA1590"/>
    <w:rsid w:val="00DA2ED6"/>
    <w:rsid w:val="00DA3436"/>
    <w:rsid w:val="00DA3D40"/>
    <w:rsid w:val="00DA6A33"/>
    <w:rsid w:val="00DB4534"/>
    <w:rsid w:val="00DB501C"/>
    <w:rsid w:val="00DB76B8"/>
    <w:rsid w:val="00DC0A28"/>
    <w:rsid w:val="00DC0B69"/>
    <w:rsid w:val="00DC2EA1"/>
    <w:rsid w:val="00DC3549"/>
    <w:rsid w:val="00DD2A82"/>
    <w:rsid w:val="00DD341E"/>
    <w:rsid w:val="00DD3CC9"/>
    <w:rsid w:val="00DD3FA8"/>
    <w:rsid w:val="00DD545B"/>
    <w:rsid w:val="00DD6AAF"/>
    <w:rsid w:val="00DE2203"/>
    <w:rsid w:val="00DE3940"/>
    <w:rsid w:val="00DE3F5C"/>
    <w:rsid w:val="00DE51A1"/>
    <w:rsid w:val="00DF1D20"/>
    <w:rsid w:val="00DF323D"/>
    <w:rsid w:val="00DF371F"/>
    <w:rsid w:val="00DF3C01"/>
    <w:rsid w:val="00DF4274"/>
    <w:rsid w:val="00DF46E4"/>
    <w:rsid w:val="00DF5B17"/>
    <w:rsid w:val="00DF6CFE"/>
    <w:rsid w:val="00DF7B42"/>
    <w:rsid w:val="00E02006"/>
    <w:rsid w:val="00E0454E"/>
    <w:rsid w:val="00E04856"/>
    <w:rsid w:val="00E04952"/>
    <w:rsid w:val="00E10DF2"/>
    <w:rsid w:val="00E15B31"/>
    <w:rsid w:val="00E169B7"/>
    <w:rsid w:val="00E21A39"/>
    <w:rsid w:val="00E21F75"/>
    <w:rsid w:val="00E22CB0"/>
    <w:rsid w:val="00E246B9"/>
    <w:rsid w:val="00E25270"/>
    <w:rsid w:val="00E27CD8"/>
    <w:rsid w:val="00E34B5F"/>
    <w:rsid w:val="00E3606D"/>
    <w:rsid w:val="00E40AC8"/>
    <w:rsid w:val="00E40D3A"/>
    <w:rsid w:val="00E41FE8"/>
    <w:rsid w:val="00E45169"/>
    <w:rsid w:val="00E46C2D"/>
    <w:rsid w:val="00E47787"/>
    <w:rsid w:val="00E50CD3"/>
    <w:rsid w:val="00E51C30"/>
    <w:rsid w:val="00E56089"/>
    <w:rsid w:val="00E626DA"/>
    <w:rsid w:val="00E64180"/>
    <w:rsid w:val="00E64DFA"/>
    <w:rsid w:val="00E66B5E"/>
    <w:rsid w:val="00E66E49"/>
    <w:rsid w:val="00E7101F"/>
    <w:rsid w:val="00E72128"/>
    <w:rsid w:val="00E72ECA"/>
    <w:rsid w:val="00E74AEE"/>
    <w:rsid w:val="00E828C8"/>
    <w:rsid w:val="00E8413B"/>
    <w:rsid w:val="00E84404"/>
    <w:rsid w:val="00E868E5"/>
    <w:rsid w:val="00E87BE1"/>
    <w:rsid w:val="00E913E4"/>
    <w:rsid w:val="00E91915"/>
    <w:rsid w:val="00E9385E"/>
    <w:rsid w:val="00E939FA"/>
    <w:rsid w:val="00E94DF8"/>
    <w:rsid w:val="00E95E29"/>
    <w:rsid w:val="00E97FE0"/>
    <w:rsid w:val="00E97FEA"/>
    <w:rsid w:val="00EA020F"/>
    <w:rsid w:val="00EA1CFB"/>
    <w:rsid w:val="00EA1F85"/>
    <w:rsid w:val="00EA5399"/>
    <w:rsid w:val="00EA5CE5"/>
    <w:rsid w:val="00EA6737"/>
    <w:rsid w:val="00EB1607"/>
    <w:rsid w:val="00EB336B"/>
    <w:rsid w:val="00EB3683"/>
    <w:rsid w:val="00EB41AB"/>
    <w:rsid w:val="00EB7FCE"/>
    <w:rsid w:val="00EC2532"/>
    <w:rsid w:val="00ED3E19"/>
    <w:rsid w:val="00ED4585"/>
    <w:rsid w:val="00ED735F"/>
    <w:rsid w:val="00ED7812"/>
    <w:rsid w:val="00ED7EB9"/>
    <w:rsid w:val="00EE1711"/>
    <w:rsid w:val="00EE1866"/>
    <w:rsid w:val="00EE2CAE"/>
    <w:rsid w:val="00EE6F7B"/>
    <w:rsid w:val="00EF3041"/>
    <w:rsid w:val="00EF3321"/>
    <w:rsid w:val="00EF3756"/>
    <w:rsid w:val="00EF3B86"/>
    <w:rsid w:val="00EF4BB0"/>
    <w:rsid w:val="00F0201A"/>
    <w:rsid w:val="00F032F4"/>
    <w:rsid w:val="00F05C42"/>
    <w:rsid w:val="00F10567"/>
    <w:rsid w:val="00F2171D"/>
    <w:rsid w:val="00F32CE9"/>
    <w:rsid w:val="00F330DF"/>
    <w:rsid w:val="00F34554"/>
    <w:rsid w:val="00F42610"/>
    <w:rsid w:val="00F45C4C"/>
    <w:rsid w:val="00F45F77"/>
    <w:rsid w:val="00F5167F"/>
    <w:rsid w:val="00F51CBA"/>
    <w:rsid w:val="00F52258"/>
    <w:rsid w:val="00F54CB9"/>
    <w:rsid w:val="00F5775F"/>
    <w:rsid w:val="00F6165B"/>
    <w:rsid w:val="00F6169C"/>
    <w:rsid w:val="00F62DC6"/>
    <w:rsid w:val="00F63F24"/>
    <w:rsid w:val="00F74D00"/>
    <w:rsid w:val="00F76D02"/>
    <w:rsid w:val="00F80479"/>
    <w:rsid w:val="00F855F8"/>
    <w:rsid w:val="00F8570A"/>
    <w:rsid w:val="00F94348"/>
    <w:rsid w:val="00F95442"/>
    <w:rsid w:val="00FA0097"/>
    <w:rsid w:val="00FA075B"/>
    <w:rsid w:val="00FA283D"/>
    <w:rsid w:val="00FB11D6"/>
    <w:rsid w:val="00FD4E59"/>
    <w:rsid w:val="00FD794E"/>
    <w:rsid w:val="00FF0ABE"/>
    <w:rsid w:val="00FF0D13"/>
    <w:rsid w:val="00FF5F82"/>
    <w:rsid w:val="00FF63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5F8D76"/>
  <w15:docId w15:val="{A69E3F24-4E96-4DE4-83F5-3502615F8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aliases w:val="D70AR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paragraph" w:styleId="Heading5">
    <w:name w:val="heading 5"/>
    <w:basedOn w:val="Normal"/>
    <w:next w:val="Normal"/>
    <w:link w:val="Heading5Char"/>
    <w:semiHidden/>
    <w:unhideWhenUsed/>
    <w:qFormat/>
    <w:rsid w:val="008D2017"/>
    <w:pPr>
      <w:keepNext/>
      <w:keepLines/>
      <w:spacing w:before="40"/>
      <w:outlineLvl w:val="4"/>
    </w:pPr>
    <w:rPr>
      <w:rFonts w:asciiTheme="majorHAnsi" w:eastAsiaTheme="majorEastAsia" w:hAnsiTheme="majorHAnsi" w:cstheme="majorBidi"/>
      <w:color w:val="365F91" w:themeColor="accent1" w:themeShade="BF"/>
    </w:rPr>
  </w:style>
  <w:style w:type="paragraph" w:styleId="Heading8">
    <w:name w:val="heading 8"/>
    <w:basedOn w:val="Normal"/>
    <w:next w:val="Normal"/>
    <w:link w:val="Heading8Char"/>
    <w:qFormat/>
    <w:rsid w:val="00C175E4"/>
    <w:pPr>
      <w:spacing w:before="240" w:after="60"/>
      <w:outlineLvl w:val="7"/>
    </w:pPr>
    <w:rPr>
      <w:i/>
      <w:iCs/>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
    <w:basedOn w:val="Normal"/>
    <w:link w:val="HeaderChar"/>
    <w:uiPriority w:val="99"/>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link w:val="CommentTextChar"/>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paragraph" w:customStyle="1" w:styleId="Default">
    <w:name w:val="Default"/>
    <w:rsid w:val="00E41FE8"/>
    <w:pPr>
      <w:autoSpaceDE w:val="0"/>
      <w:autoSpaceDN w:val="0"/>
      <w:adjustRightInd w:val="0"/>
    </w:pPr>
    <w:rPr>
      <w:color w:val="000000"/>
      <w:sz w:val="24"/>
      <w:szCs w:val="24"/>
      <w:lang w:val="en-GB"/>
    </w:rPr>
  </w:style>
  <w:style w:type="paragraph" w:customStyle="1" w:styleId="TableParagraph">
    <w:name w:val="Table Paragraph"/>
    <w:basedOn w:val="Normal"/>
    <w:uiPriority w:val="1"/>
    <w:qFormat/>
    <w:rsid w:val="004F5281"/>
    <w:pPr>
      <w:tabs>
        <w:tab w:val="clear" w:pos="284"/>
      </w:tabs>
      <w:autoSpaceDE w:val="0"/>
      <w:autoSpaceDN w:val="0"/>
      <w:adjustRightInd w:val="0"/>
      <w:jc w:val="left"/>
    </w:pPr>
    <w:rPr>
      <w:sz w:val="24"/>
      <w:lang w:val="en-GB"/>
    </w:rPr>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link w:val="Header"/>
    <w:uiPriority w:val="99"/>
    <w:rsid w:val="004866AC"/>
    <w:rPr>
      <w:sz w:val="22"/>
      <w:szCs w:val="24"/>
    </w:rPr>
  </w:style>
  <w:style w:type="character" w:customStyle="1" w:styleId="Heading8Char">
    <w:name w:val="Heading 8 Char"/>
    <w:basedOn w:val="DefaultParagraphFont"/>
    <w:link w:val="Heading8"/>
    <w:rsid w:val="00C175E4"/>
    <w:rPr>
      <w:i/>
      <w:iCs/>
      <w:sz w:val="24"/>
      <w:szCs w:val="24"/>
      <w:lang w:val="x-none" w:eastAsia="x-none"/>
    </w:rPr>
  </w:style>
  <w:style w:type="character" w:customStyle="1" w:styleId="CommentTextChar">
    <w:name w:val="Comment Text Char"/>
    <w:link w:val="CommentText"/>
    <w:locked/>
    <w:rsid w:val="00C175E4"/>
  </w:style>
  <w:style w:type="character" w:styleId="Strong">
    <w:name w:val="Strong"/>
    <w:qFormat/>
    <w:rsid w:val="00C175E4"/>
    <w:rPr>
      <w:b/>
    </w:rPr>
  </w:style>
  <w:style w:type="character" w:styleId="Hyperlink">
    <w:name w:val="Hyperlink"/>
    <w:rsid w:val="00C175E4"/>
    <w:rPr>
      <w:color w:val="0000FF"/>
      <w:u w:val="single"/>
    </w:rPr>
  </w:style>
  <w:style w:type="paragraph" w:styleId="BodyText">
    <w:name w:val="Body Text"/>
    <w:basedOn w:val="Normal"/>
    <w:link w:val="BodyTextChar"/>
    <w:rsid w:val="00C175E4"/>
    <w:pPr>
      <w:tabs>
        <w:tab w:val="clear" w:pos="284"/>
      </w:tabs>
      <w:jc w:val="center"/>
    </w:pPr>
    <w:rPr>
      <w:b/>
      <w:szCs w:val="20"/>
      <w:lang w:val="en-GB" w:eastAsia="x-none"/>
    </w:rPr>
  </w:style>
  <w:style w:type="character" w:customStyle="1" w:styleId="BodyTextChar">
    <w:name w:val="Body Text Char"/>
    <w:basedOn w:val="DefaultParagraphFont"/>
    <w:link w:val="BodyText"/>
    <w:rsid w:val="00C175E4"/>
    <w:rPr>
      <w:b/>
      <w:sz w:val="22"/>
      <w:lang w:val="en-GB" w:eastAsia="x-none"/>
    </w:rPr>
  </w:style>
  <w:style w:type="paragraph" w:customStyle="1" w:styleId="Default1">
    <w:name w:val="Default1"/>
    <w:basedOn w:val="Default"/>
    <w:next w:val="Default"/>
    <w:rsid w:val="00C175E4"/>
    <w:rPr>
      <w:color w:val="auto"/>
      <w:lang w:val="en-US"/>
    </w:rPr>
  </w:style>
  <w:style w:type="table" w:styleId="TableGrid">
    <w:name w:val="Table Grid"/>
    <w:basedOn w:val="TableNormal"/>
    <w:rsid w:val="00C175E4"/>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175E4"/>
    <w:pPr>
      <w:tabs>
        <w:tab w:val="clear" w:pos="284"/>
      </w:tabs>
      <w:spacing w:before="100" w:beforeAutospacing="1" w:after="75"/>
      <w:jc w:val="left"/>
    </w:pPr>
    <w:rPr>
      <w:color w:val="000000"/>
      <w:sz w:val="24"/>
    </w:rPr>
  </w:style>
  <w:style w:type="paragraph" w:styleId="ListParagraph">
    <w:name w:val="List Paragraph"/>
    <w:basedOn w:val="Normal"/>
    <w:uiPriority w:val="34"/>
    <w:qFormat/>
    <w:rsid w:val="00C175E4"/>
    <w:pPr>
      <w:ind w:left="720"/>
    </w:pPr>
    <w:rPr>
      <w:rFonts w:ascii="Humanist777" w:hAnsi="Humanist777"/>
      <w:sz w:val="24"/>
    </w:rPr>
  </w:style>
  <w:style w:type="character" w:styleId="Emphasis">
    <w:name w:val="Emphasis"/>
    <w:qFormat/>
    <w:rsid w:val="00C175E4"/>
    <w:rPr>
      <w:i/>
      <w:iCs/>
    </w:rPr>
  </w:style>
  <w:style w:type="paragraph" w:customStyle="1" w:styleId="EMEAEnBodyText">
    <w:name w:val="EMEA En Body Text"/>
    <w:basedOn w:val="Normal"/>
    <w:rsid w:val="00C175E4"/>
    <w:pPr>
      <w:tabs>
        <w:tab w:val="clear" w:pos="284"/>
      </w:tabs>
      <w:spacing w:before="120" w:after="120"/>
    </w:pPr>
    <w:rPr>
      <w:szCs w:val="20"/>
    </w:rPr>
  </w:style>
  <w:style w:type="character" w:customStyle="1" w:styleId="RegularChar">
    <w:name w:val="Regular Char"/>
    <w:link w:val="Regular"/>
    <w:locked/>
    <w:rsid w:val="00C175E4"/>
    <w:rPr>
      <w:b/>
      <w:sz w:val="24"/>
      <w:szCs w:val="24"/>
      <w:lang w:val="sr-Latn-CS"/>
    </w:rPr>
  </w:style>
  <w:style w:type="paragraph" w:customStyle="1" w:styleId="Regular">
    <w:name w:val="Regular"/>
    <w:basedOn w:val="Normal"/>
    <w:link w:val="RegularChar"/>
    <w:rsid w:val="00C175E4"/>
    <w:pPr>
      <w:tabs>
        <w:tab w:val="clear" w:pos="284"/>
      </w:tabs>
    </w:pPr>
    <w:rPr>
      <w:b/>
      <w:sz w:val="24"/>
      <w:lang w:val="sr-Latn-CS"/>
    </w:rPr>
  </w:style>
  <w:style w:type="character" w:customStyle="1" w:styleId="CharChar">
    <w:name w:val="Char Char"/>
    <w:locked/>
    <w:rsid w:val="00C175E4"/>
    <w:rPr>
      <w:rFonts w:ascii="Humanist777" w:hAnsi="Humanist777"/>
      <w:sz w:val="24"/>
      <w:szCs w:val="24"/>
      <w:lang w:val="en-US" w:eastAsia="en-US" w:bidi="ar-SA"/>
    </w:rPr>
  </w:style>
  <w:style w:type="paragraph" w:styleId="Revision">
    <w:name w:val="Revision"/>
    <w:hidden/>
    <w:uiPriority w:val="99"/>
    <w:semiHidden/>
    <w:rsid w:val="00C175E4"/>
    <w:rPr>
      <w:rFonts w:ascii="Humanist777" w:hAnsi="Humanist777"/>
      <w:sz w:val="24"/>
      <w:szCs w:val="24"/>
    </w:rPr>
  </w:style>
  <w:style w:type="paragraph" w:styleId="NoSpacing">
    <w:name w:val="No Spacing"/>
    <w:uiPriority w:val="1"/>
    <w:qFormat/>
    <w:rsid w:val="00FA075B"/>
    <w:rPr>
      <w:sz w:val="24"/>
      <w:szCs w:val="24"/>
    </w:rPr>
  </w:style>
  <w:style w:type="character" w:customStyle="1" w:styleId="hps">
    <w:name w:val="hps"/>
  </w:style>
  <w:style w:type="character" w:customStyle="1" w:styleId="Heading5Char">
    <w:name w:val="Heading 5 Char"/>
    <w:basedOn w:val="DefaultParagraphFont"/>
    <w:link w:val="Heading5"/>
    <w:uiPriority w:val="9"/>
    <w:rsid w:val="008D2017"/>
    <w:rPr>
      <w:rFonts w:asciiTheme="majorHAnsi" w:eastAsiaTheme="majorEastAsia" w:hAnsiTheme="majorHAnsi" w:cstheme="majorBidi"/>
      <w:color w:val="365F91" w:themeColor="accent1" w:themeShade="BF"/>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97108">
      <w:bodyDiv w:val="1"/>
      <w:marLeft w:val="0"/>
      <w:marRight w:val="0"/>
      <w:marTop w:val="0"/>
      <w:marBottom w:val="0"/>
      <w:divBdr>
        <w:top w:val="none" w:sz="0" w:space="0" w:color="auto"/>
        <w:left w:val="none" w:sz="0" w:space="0" w:color="auto"/>
        <w:bottom w:val="none" w:sz="0" w:space="0" w:color="auto"/>
        <w:right w:val="none" w:sz="0" w:space="0" w:color="auto"/>
      </w:divBdr>
    </w:div>
    <w:div w:id="971137051">
      <w:bodyDiv w:val="1"/>
      <w:marLeft w:val="0"/>
      <w:marRight w:val="0"/>
      <w:marTop w:val="0"/>
      <w:marBottom w:val="0"/>
      <w:divBdr>
        <w:top w:val="none" w:sz="0" w:space="0" w:color="auto"/>
        <w:left w:val="none" w:sz="0" w:space="0" w:color="auto"/>
        <w:bottom w:val="none" w:sz="0" w:space="0" w:color="auto"/>
        <w:right w:val="none" w:sz="0" w:space="0" w:color="auto"/>
      </w:divBdr>
    </w:div>
    <w:div w:id="1287466678">
      <w:bodyDiv w:val="1"/>
      <w:marLeft w:val="0"/>
      <w:marRight w:val="0"/>
      <w:marTop w:val="0"/>
      <w:marBottom w:val="0"/>
      <w:divBdr>
        <w:top w:val="none" w:sz="0" w:space="0" w:color="auto"/>
        <w:left w:val="none" w:sz="0" w:space="0" w:color="auto"/>
        <w:bottom w:val="none" w:sz="0" w:space="0" w:color="auto"/>
        <w:right w:val="none" w:sz="0" w:space="0" w:color="auto"/>
      </w:divBdr>
    </w:div>
    <w:div w:id="1403407544">
      <w:bodyDiv w:val="1"/>
      <w:marLeft w:val="0"/>
      <w:marRight w:val="0"/>
      <w:marTop w:val="0"/>
      <w:marBottom w:val="0"/>
      <w:divBdr>
        <w:top w:val="none" w:sz="0" w:space="0" w:color="auto"/>
        <w:left w:val="none" w:sz="0" w:space="0" w:color="auto"/>
        <w:bottom w:val="none" w:sz="0" w:space="0" w:color="auto"/>
        <w:right w:val="none" w:sz="0" w:space="0" w:color="auto"/>
      </w:divBdr>
    </w:div>
    <w:div w:id="1467120792">
      <w:bodyDiv w:val="1"/>
      <w:marLeft w:val="30"/>
      <w:marRight w:val="30"/>
      <w:marTop w:val="0"/>
      <w:marBottom w:val="0"/>
      <w:divBdr>
        <w:top w:val="none" w:sz="0" w:space="0" w:color="auto"/>
        <w:left w:val="none" w:sz="0" w:space="0" w:color="auto"/>
        <w:bottom w:val="none" w:sz="0" w:space="0" w:color="auto"/>
        <w:right w:val="none" w:sz="0" w:space="0" w:color="auto"/>
      </w:divBdr>
      <w:divsChild>
        <w:div w:id="1346638685">
          <w:marLeft w:val="0"/>
          <w:marRight w:val="0"/>
          <w:marTop w:val="0"/>
          <w:marBottom w:val="0"/>
          <w:divBdr>
            <w:top w:val="none" w:sz="0" w:space="0" w:color="auto"/>
            <w:left w:val="none" w:sz="0" w:space="0" w:color="auto"/>
            <w:bottom w:val="none" w:sz="0" w:space="0" w:color="auto"/>
            <w:right w:val="none" w:sz="0" w:space="0" w:color="auto"/>
          </w:divBdr>
          <w:divsChild>
            <w:div w:id="25836687">
              <w:marLeft w:val="0"/>
              <w:marRight w:val="0"/>
              <w:marTop w:val="0"/>
              <w:marBottom w:val="0"/>
              <w:divBdr>
                <w:top w:val="none" w:sz="0" w:space="0" w:color="auto"/>
                <w:left w:val="none" w:sz="0" w:space="0" w:color="auto"/>
                <w:bottom w:val="none" w:sz="0" w:space="0" w:color="auto"/>
                <w:right w:val="none" w:sz="0" w:space="0" w:color="auto"/>
              </w:divBdr>
              <w:divsChild>
                <w:div w:id="1455365145">
                  <w:marLeft w:val="180"/>
                  <w:marRight w:val="0"/>
                  <w:marTop w:val="0"/>
                  <w:marBottom w:val="0"/>
                  <w:divBdr>
                    <w:top w:val="none" w:sz="0" w:space="0" w:color="auto"/>
                    <w:left w:val="none" w:sz="0" w:space="0" w:color="auto"/>
                    <w:bottom w:val="none" w:sz="0" w:space="0" w:color="auto"/>
                    <w:right w:val="none" w:sz="0" w:space="0" w:color="auto"/>
                  </w:divBdr>
                  <w:divsChild>
                    <w:div w:id="201853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35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62DD8-62C9-4348-A827-F04C2817D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40</Pages>
  <Words>19815</Words>
  <Characters>112946</Characters>
  <Application>Microsoft Office Word</Application>
  <DocSecurity>0</DocSecurity>
  <Lines>941</Lines>
  <Paragraphs>264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SAŽETAK KARAKTERISTIKA LEKA</vt:lpstr>
      <vt:lpstr>SAŽETAK KARAKTERISTIKA LEKA</vt:lpstr>
    </vt:vector>
  </TitlesOfParts>
  <Company/>
  <LinksUpToDate>false</LinksUpToDate>
  <CharactersWithSpaces>132497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Kamalakannan, Shankar</dc:creator>
  <cp:lastModifiedBy>Aleksandra Marijanović</cp:lastModifiedBy>
  <cp:revision>8</cp:revision>
  <cp:lastPrinted>2016-07-25T08:52:00Z</cp:lastPrinted>
  <dcterms:created xsi:type="dcterms:W3CDTF">2025-03-25T13:30:00Z</dcterms:created>
  <dcterms:modified xsi:type="dcterms:W3CDTF">2025-04-04T06:33:00Z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98da22f8-c169-4ff2-bd8c-c9797308d5a4_Enabled">
    <vt:lpwstr>true</vt:lpwstr>
  </property>
  <property fmtid="{D5CDD505-2E9C-101B-9397-08002B2CF9AE}" pid="4" name="MSIP_Label_98da22f8-c169-4ff2-bd8c-c9797308d5a4_SetDate">
    <vt:lpwstr>2022-12-12T22:56:52Z</vt:lpwstr>
  </property>
  <property fmtid="{D5CDD505-2E9C-101B-9397-08002B2CF9AE}" pid="5" name="MSIP_Label_98da22f8-c169-4ff2-bd8c-c9797308d5a4_Method">
    <vt:lpwstr>Privileged</vt:lpwstr>
  </property>
  <property fmtid="{D5CDD505-2E9C-101B-9397-08002B2CF9AE}" pid="6" name="MSIP_Label_98da22f8-c169-4ff2-bd8c-c9797308d5a4_Name">
    <vt:lpwstr>98da22f8-c169-4ff2-bd8c-c9797308d5a4</vt:lpwstr>
  </property>
  <property fmtid="{D5CDD505-2E9C-101B-9397-08002B2CF9AE}" pid="7" name="MSIP_Label_98da22f8-c169-4ff2-bd8c-c9797308d5a4_SiteId">
    <vt:lpwstr>7a916015-20ae-4ad1-9170-eefd915e9272</vt:lpwstr>
  </property>
  <property fmtid="{D5CDD505-2E9C-101B-9397-08002B2CF9AE}" pid="8" name="MSIP_Label_98da22f8-c169-4ff2-bd8c-c9797308d5a4_ActionId">
    <vt:lpwstr>56a638c6-f726-4be3-a828-bd7385872ac4</vt:lpwstr>
  </property>
  <property fmtid="{D5CDD505-2E9C-101B-9397-08002B2CF9AE}" pid="9" name="MSIP_Label_98da22f8-c169-4ff2-bd8c-c9797308d5a4_ContentBits">
    <vt:lpwstr>0</vt:lpwstr>
  </property>
</Properties>
</file>