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9204E" w14:textId="77777777" w:rsidR="001A5518" w:rsidRPr="00EF52A6" w:rsidRDefault="001A5518" w:rsidP="001A5518">
      <w:pPr>
        <w:rPr>
          <w:b/>
          <w:bCs/>
          <w:i/>
          <w:iCs/>
          <w:sz w:val="22"/>
          <w:szCs w:val="22"/>
          <w:u w:val="single"/>
          <w:lang w:val="sr-Latn-ME"/>
        </w:rPr>
      </w:pPr>
      <w:bookmarkStart w:id="0" w:name="_GoBack"/>
      <w:bookmarkEnd w:id="0"/>
    </w:p>
    <w:p w14:paraId="4009174B" w14:textId="77777777" w:rsidR="00F91C7B" w:rsidRPr="00EF52A6" w:rsidRDefault="00F91C7B" w:rsidP="001A5518">
      <w:pPr>
        <w:rPr>
          <w:b/>
          <w:bCs/>
          <w:i/>
          <w:iCs/>
          <w:sz w:val="22"/>
          <w:szCs w:val="22"/>
          <w:u w:val="single"/>
          <w:lang w:val="sr-Latn-ME"/>
        </w:rPr>
      </w:pPr>
    </w:p>
    <w:p w14:paraId="37CF729C" w14:textId="77777777" w:rsidR="002510A5" w:rsidRPr="00EF52A6" w:rsidRDefault="002510A5" w:rsidP="002510A5">
      <w:pPr>
        <w:jc w:val="center"/>
        <w:rPr>
          <w:b/>
          <w:bCs/>
          <w:iCs/>
          <w:sz w:val="22"/>
          <w:szCs w:val="22"/>
          <w:u w:val="single"/>
          <w:lang w:val="sr-Latn-ME"/>
        </w:rPr>
      </w:pPr>
      <w:r w:rsidRPr="00EF52A6">
        <w:rPr>
          <w:b/>
          <w:bCs/>
          <w:iCs/>
          <w:sz w:val="22"/>
          <w:szCs w:val="22"/>
          <w:u w:val="single"/>
          <w:lang w:val="sr-Latn-ME"/>
        </w:rPr>
        <w:t>SAŽETAK KARAKTERISTIKA LIJEKA</w:t>
      </w:r>
    </w:p>
    <w:p w14:paraId="2C6CA6C3" w14:textId="77777777" w:rsidR="002510A5" w:rsidRPr="00EF52A6" w:rsidRDefault="002510A5" w:rsidP="002510A5">
      <w:pPr>
        <w:rPr>
          <w:b/>
          <w:bCs/>
          <w:i/>
          <w:iCs/>
          <w:sz w:val="22"/>
          <w:szCs w:val="22"/>
          <w:u w:val="single"/>
          <w:lang w:val="sr-Latn-ME"/>
        </w:rPr>
      </w:pPr>
    </w:p>
    <w:p w14:paraId="5F464361" w14:textId="77777777" w:rsidR="003C17AB" w:rsidRPr="00EF52A6" w:rsidRDefault="003C17AB" w:rsidP="00CA1FEB">
      <w:pPr>
        <w:rPr>
          <w:sz w:val="22"/>
          <w:szCs w:val="22"/>
          <w:lang w:val="sr-Latn-ME"/>
        </w:rPr>
      </w:pPr>
    </w:p>
    <w:p w14:paraId="2593D773" w14:textId="169C2CE8" w:rsidR="00C37FD7" w:rsidRPr="00EF52A6" w:rsidRDefault="005C5EF4" w:rsidP="00C05DF8">
      <w:pPr>
        <w:tabs>
          <w:tab w:val="left" w:pos="540"/>
          <w:tab w:val="left" w:pos="569"/>
        </w:tabs>
        <w:jc w:val="both"/>
        <w:rPr>
          <w:bCs/>
          <w:i/>
          <w:sz w:val="22"/>
          <w:szCs w:val="22"/>
          <w:lang w:val="sr-Latn-ME"/>
        </w:rPr>
      </w:pPr>
      <w:r w:rsidRPr="00EF52A6">
        <w:rPr>
          <w:noProof/>
          <w:sz w:val="22"/>
          <w:szCs w:val="22"/>
        </w:rPr>
        <w:drawing>
          <wp:inline distT="0" distB="0" distL="0" distR="0" wp14:anchorId="79142923" wp14:editId="1A47199C">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EF52A6">
        <w:rPr>
          <w:sz w:val="22"/>
          <w:szCs w:val="22"/>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vidjeti </w:t>
      </w:r>
      <w:r w:rsidR="007A3ECB" w:rsidRPr="00EF52A6">
        <w:rPr>
          <w:sz w:val="22"/>
          <w:szCs w:val="22"/>
          <w:lang w:val="sr-Latn-ME"/>
        </w:rPr>
        <w:t xml:space="preserve">dio </w:t>
      </w:r>
      <w:r w:rsidR="003C17AB" w:rsidRPr="00EF52A6">
        <w:rPr>
          <w:sz w:val="22"/>
          <w:szCs w:val="22"/>
          <w:lang w:val="sr-Latn-ME"/>
        </w:rPr>
        <w:t>4.8.</w:t>
      </w:r>
    </w:p>
    <w:p w14:paraId="33BD303E" w14:textId="77777777" w:rsidR="003C17AB" w:rsidRPr="00EF52A6" w:rsidRDefault="003C17AB" w:rsidP="00F5167F">
      <w:pPr>
        <w:tabs>
          <w:tab w:val="left" w:pos="540"/>
          <w:tab w:val="left" w:pos="569"/>
        </w:tabs>
        <w:rPr>
          <w:sz w:val="22"/>
          <w:szCs w:val="22"/>
          <w:lang w:val="sr-Latn-ME"/>
        </w:rPr>
      </w:pPr>
    </w:p>
    <w:p w14:paraId="7BF08FB7" w14:textId="77777777" w:rsidR="00C37FD7" w:rsidRPr="00EF52A6" w:rsidRDefault="00C37FD7" w:rsidP="00F5167F">
      <w:pPr>
        <w:tabs>
          <w:tab w:val="left" w:pos="540"/>
          <w:tab w:val="left" w:pos="569"/>
        </w:tabs>
        <w:rPr>
          <w:bCs/>
          <w:sz w:val="22"/>
          <w:szCs w:val="22"/>
          <w:lang w:val="sr-Latn-ME"/>
        </w:rPr>
      </w:pPr>
    </w:p>
    <w:p w14:paraId="56C64D79" w14:textId="77777777" w:rsidR="00411B4B" w:rsidRPr="00EF52A6" w:rsidRDefault="00411B4B" w:rsidP="00F5167F">
      <w:pPr>
        <w:tabs>
          <w:tab w:val="left" w:pos="540"/>
          <w:tab w:val="left" w:pos="569"/>
        </w:tabs>
        <w:rPr>
          <w:b/>
          <w:bCs/>
          <w:sz w:val="22"/>
          <w:szCs w:val="22"/>
          <w:lang w:val="sr-Latn-ME"/>
        </w:rPr>
      </w:pPr>
      <w:r w:rsidRPr="00EF52A6">
        <w:rPr>
          <w:b/>
          <w:bCs/>
          <w:sz w:val="22"/>
          <w:szCs w:val="22"/>
          <w:lang w:val="sr-Latn-ME"/>
        </w:rPr>
        <w:t>1.</w:t>
      </w:r>
      <w:r w:rsidR="00F5167F" w:rsidRPr="00EF52A6">
        <w:rPr>
          <w:b/>
          <w:bCs/>
          <w:sz w:val="22"/>
          <w:szCs w:val="22"/>
          <w:lang w:val="sr-Latn-ME"/>
        </w:rPr>
        <w:tab/>
      </w:r>
      <w:r w:rsidR="002846DB" w:rsidRPr="00EF52A6">
        <w:rPr>
          <w:b/>
          <w:bCs/>
          <w:sz w:val="22"/>
          <w:szCs w:val="22"/>
          <w:lang w:val="sr-Latn-ME"/>
        </w:rPr>
        <w:t xml:space="preserve">NAZIV </w:t>
      </w:r>
      <w:r w:rsidRPr="00EF52A6">
        <w:rPr>
          <w:b/>
          <w:bCs/>
          <w:sz w:val="22"/>
          <w:szCs w:val="22"/>
          <w:lang w:val="sr-Latn-ME"/>
        </w:rPr>
        <w:t>LIJEKA</w:t>
      </w:r>
    </w:p>
    <w:p w14:paraId="10970DAD" w14:textId="77777777" w:rsidR="00EC2532" w:rsidRPr="00EF52A6" w:rsidRDefault="00EC2532">
      <w:pPr>
        <w:rPr>
          <w:sz w:val="22"/>
          <w:szCs w:val="22"/>
          <w:lang w:val="sr-Latn-ME"/>
        </w:rPr>
      </w:pPr>
    </w:p>
    <w:p w14:paraId="69C2CAA6" w14:textId="020B86BB" w:rsidR="00FF69F8" w:rsidRPr="00EF52A6" w:rsidRDefault="00FF69F8">
      <w:pPr>
        <w:rPr>
          <w:sz w:val="22"/>
          <w:szCs w:val="22"/>
          <w:lang w:val="sr-Latn-ME"/>
        </w:rPr>
      </w:pPr>
      <w:r w:rsidRPr="00EF52A6">
        <w:rPr>
          <w:sz w:val="22"/>
          <w:szCs w:val="22"/>
          <w:lang w:val="sr-Latn-ME"/>
        </w:rPr>
        <w:t xml:space="preserve">Koselugo, 10 mg, </w:t>
      </w:r>
      <w:r w:rsidR="00814C7F" w:rsidRPr="00EF52A6">
        <w:rPr>
          <w:sz w:val="22"/>
          <w:szCs w:val="22"/>
          <w:lang w:val="sr-Latn-ME"/>
        </w:rPr>
        <w:t>kapsul</w:t>
      </w:r>
      <w:r w:rsidR="000E7401" w:rsidRPr="00EF52A6">
        <w:rPr>
          <w:sz w:val="22"/>
          <w:szCs w:val="22"/>
          <w:lang w:val="sr-Latn-ME"/>
        </w:rPr>
        <w:t>a</w:t>
      </w:r>
      <w:r w:rsidR="00814C7F" w:rsidRPr="00EF52A6">
        <w:rPr>
          <w:sz w:val="22"/>
          <w:szCs w:val="22"/>
          <w:lang w:val="sr-Latn-ME"/>
        </w:rPr>
        <w:t xml:space="preserve">, </w:t>
      </w:r>
      <w:r w:rsidRPr="00EF52A6">
        <w:rPr>
          <w:sz w:val="22"/>
          <w:szCs w:val="22"/>
          <w:lang w:val="sr-Latn-ME"/>
        </w:rPr>
        <w:t>tvrd</w:t>
      </w:r>
      <w:r w:rsidR="000E7401" w:rsidRPr="00EF52A6">
        <w:rPr>
          <w:sz w:val="22"/>
          <w:szCs w:val="22"/>
          <w:lang w:val="sr-Latn-ME"/>
        </w:rPr>
        <w:t>a</w:t>
      </w:r>
      <w:r w:rsidRPr="00EF52A6">
        <w:rPr>
          <w:sz w:val="22"/>
          <w:szCs w:val="22"/>
          <w:lang w:val="sr-Latn-ME"/>
        </w:rPr>
        <w:t xml:space="preserve"> </w:t>
      </w:r>
    </w:p>
    <w:p w14:paraId="0DF45CD9" w14:textId="18C8964F" w:rsidR="00107BF7" w:rsidRPr="00EF52A6" w:rsidRDefault="00FF69F8">
      <w:pPr>
        <w:rPr>
          <w:sz w:val="22"/>
          <w:szCs w:val="22"/>
          <w:lang w:val="sr-Latn-ME"/>
        </w:rPr>
      </w:pPr>
      <w:r w:rsidRPr="00EF52A6">
        <w:rPr>
          <w:sz w:val="22"/>
          <w:szCs w:val="22"/>
          <w:lang w:val="sr-Latn-ME"/>
        </w:rPr>
        <w:t xml:space="preserve">Koselugo, 25 mg, </w:t>
      </w:r>
      <w:r w:rsidR="00814C7F" w:rsidRPr="00EF52A6">
        <w:rPr>
          <w:sz w:val="22"/>
          <w:szCs w:val="22"/>
          <w:lang w:val="sr-Latn-ME"/>
        </w:rPr>
        <w:t>kapsul</w:t>
      </w:r>
      <w:r w:rsidR="000E7401" w:rsidRPr="00EF52A6">
        <w:rPr>
          <w:sz w:val="22"/>
          <w:szCs w:val="22"/>
          <w:lang w:val="sr-Latn-ME"/>
        </w:rPr>
        <w:t>a</w:t>
      </w:r>
      <w:r w:rsidR="00814C7F" w:rsidRPr="00EF52A6">
        <w:rPr>
          <w:sz w:val="22"/>
          <w:szCs w:val="22"/>
          <w:lang w:val="sr-Latn-ME"/>
        </w:rPr>
        <w:t>, tvrd</w:t>
      </w:r>
      <w:r w:rsidR="000E7401" w:rsidRPr="00EF52A6">
        <w:rPr>
          <w:sz w:val="22"/>
          <w:szCs w:val="22"/>
          <w:lang w:val="sr-Latn-ME"/>
        </w:rPr>
        <w:t>a</w:t>
      </w:r>
    </w:p>
    <w:p w14:paraId="729AB0BE" w14:textId="77777777" w:rsidR="000D425A" w:rsidRPr="00EF52A6" w:rsidRDefault="000D425A">
      <w:pPr>
        <w:rPr>
          <w:bCs/>
          <w:sz w:val="22"/>
          <w:szCs w:val="22"/>
          <w:lang w:val="sr-Latn-ME"/>
        </w:rPr>
      </w:pPr>
    </w:p>
    <w:p w14:paraId="337B66E7" w14:textId="07305B6A" w:rsidR="006D20A5" w:rsidRPr="00EF52A6" w:rsidRDefault="006D20A5" w:rsidP="006D20A5">
      <w:pPr>
        <w:rPr>
          <w:sz w:val="22"/>
          <w:szCs w:val="22"/>
          <w:lang w:val="sr-Latn-ME"/>
        </w:rPr>
      </w:pPr>
      <w:r w:rsidRPr="00EF52A6">
        <w:rPr>
          <w:sz w:val="22"/>
          <w:szCs w:val="22"/>
          <w:lang w:val="sr-Latn-ME"/>
        </w:rPr>
        <w:t>INN:</w:t>
      </w:r>
      <w:r w:rsidR="006C5792" w:rsidRPr="00EF52A6">
        <w:rPr>
          <w:sz w:val="22"/>
          <w:szCs w:val="22"/>
          <w:lang w:val="sr-Latn-ME"/>
        </w:rPr>
        <w:t xml:space="preserve"> selumetinib</w:t>
      </w:r>
    </w:p>
    <w:p w14:paraId="28292ACE" w14:textId="329A0BFC" w:rsidR="00530BD7" w:rsidRPr="00EF52A6" w:rsidRDefault="00530BD7">
      <w:pPr>
        <w:rPr>
          <w:bCs/>
          <w:sz w:val="22"/>
          <w:szCs w:val="22"/>
          <w:lang w:val="sr-Latn-ME"/>
        </w:rPr>
      </w:pPr>
    </w:p>
    <w:p w14:paraId="5ACA9C9C" w14:textId="77777777" w:rsidR="00076F76" w:rsidRPr="00EF52A6" w:rsidRDefault="00076F76">
      <w:pPr>
        <w:rPr>
          <w:bCs/>
          <w:sz w:val="22"/>
          <w:szCs w:val="22"/>
          <w:lang w:val="sr-Latn-ME"/>
        </w:rPr>
      </w:pPr>
    </w:p>
    <w:p w14:paraId="4E5BE372" w14:textId="77777777" w:rsidR="00411B4B" w:rsidRPr="00EF52A6" w:rsidRDefault="00411B4B" w:rsidP="00F5167F">
      <w:pPr>
        <w:tabs>
          <w:tab w:val="left" w:pos="540"/>
          <w:tab w:val="left" w:pos="569"/>
        </w:tabs>
        <w:rPr>
          <w:b/>
          <w:bCs/>
          <w:sz w:val="22"/>
          <w:szCs w:val="22"/>
          <w:lang w:val="sr-Latn-ME"/>
        </w:rPr>
      </w:pPr>
      <w:r w:rsidRPr="00EF52A6">
        <w:rPr>
          <w:b/>
          <w:bCs/>
          <w:sz w:val="22"/>
          <w:szCs w:val="22"/>
          <w:lang w:val="sr-Latn-ME"/>
        </w:rPr>
        <w:t xml:space="preserve">2. </w:t>
      </w:r>
      <w:r w:rsidR="00F5167F" w:rsidRPr="00EF52A6">
        <w:rPr>
          <w:b/>
          <w:bCs/>
          <w:sz w:val="22"/>
          <w:szCs w:val="22"/>
          <w:lang w:val="sr-Latn-ME"/>
        </w:rPr>
        <w:tab/>
      </w:r>
      <w:r w:rsidRPr="00EF52A6">
        <w:rPr>
          <w:b/>
          <w:bCs/>
          <w:sz w:val="22"/>
          <w:szCs w:val="22"/>
          <w:lang w:val="sr-Latn-ME"/>
        </w:rPr>
        <w:t>KVALITATIVNI I KVANTITATIVNI SASTAV</w:t>
      </w:r>
    </w:p>
    <w:p w14:paraId="3631789D" w14:textId="77777777" w:rsidR="005A0B2E" w:rsidRPr="00EF52A6" w:rsidRDefault="005A0B2E">
      <w:pPr>
        <w:rPr>
          <w:sz w:val="22"/>
          <w:szCs w:val="22"/>
          <w:lang w:val="sr-Latn-ME"/>
        </w:rPr>
      </w:pPr>
    </w:p>
    <w:p w14:paraId="1F105BFE" w14:textId="72E61B04" w:rsidR="00FF69F8" w:rsidRPr="00EF52A6" w:rsidRDefault="00FF69F8" w:rsidP="00FF69F8">
      <w:pPr>
        <w:rPr>
          <w:sz w:val="22"/>
          <w:szCs w:val="22"/>
          <w:lang w:val="sr-Latn-ME"/>
        </w:rPr>
      </w:pPr>
      <w:r w:rsidRPr="00EF52A6">
        <w:rPr>
          <w:sz w:val="22"/>
          <w:szCs w:val="22"/>
          <w:u w:val="single"/>
          <w:lang w:val="sr-Latn-ME"/>
        </w:rPr>
        <w:t>Koselugo</w:t>
      </w:r>
      <w:r w:rsidR="00407E86" w:rsidRPr="00EF52A6">
        <w:rPr>
          <w:sz w:val="22"/>
          <w:szCs w:val="22"/>
          <w:u w:val="single"/>
          <w:lang w:val="sr-Latn-ME"/>
        </w:rPr>
        <w:t>,</w:t>
      </w:r>
      <w:r w:rsidRPr="00EF52A6">
        <w:rPr>
          <w:sz w:val="22"/>
          <w:szCs w:val="22"/>
          <w:u w:val="single"/>
          <w:lang w:val="sr-Latn-ME"/>
        </w:rPr>
        <w:t xml:space="preserve"> 10 mg</w:t>
      </w:r>
      <w:r w:rsidR="00407E86" w:rsidRPr="00EF52A6">
        <w:rPr>
          <w:sz w:val="22"/>
          <w:szCs w:val="22"/>
          <w:u w:val="single"/>
          <w:lang w:val="sr-Latn-ME"/>
        </w:rPr>
        <w:t>,</w:t>
      </w:r>
      <w:r w:rsidRPr="00EF52A6">
        <w:rPr>
          <w:sz w:val="22"/>
          <w:szCs w:val="22"/>
          <w:u w:val="single"/>
          <w:lang w:val="sr-Latn-ME"/>
        </w:rPr>
        <w:t xml:space="preserve"> </w:t>
      </w:r>
      <w:r w:rsidR="00814C7F" w:rsidRPr="00EF52A6">
        <w:rPr>
          <w:sz w:val="22"/>
          <w:szCs w:val="22"/>
          <w:u w:val="single"/>
          <w:lang w:val="sr-Latn-ME"/>
        </w:rPr>
        <w:t>kapsule, tvrde</w:t>
      </w:r>
    </w:p>
    <w:p w14:paraId="51A5D572" w14:textId="41D4FACC" w:rsidR="00FF69F8" w:rsidRPr="00EF52A6" w:rsidRDefault="00FF69F8" w:rsidP="00FF69F8">
      <w:pPr>
        <w:rPr>
          <w:sz w:val="22"/>
          <w:szCs w:val="22"/>
          <w:lang w:val="sr-Latn-ME"/>
        </w:rPr>
      </w:pPr>
      <w:r w:rsidRPr="00EF52A6">
        <w:rPr>
          <w:sz w:val="22"/>
          <w:szCs w:val="22"/>
          <w:lang w:val="sr-Latn-ME"/>
        </w:rPr>
        <w:t>Svaka kapsula</w:t>
      </w:r>
      <w:r w:rsidR="00E15EC4" w:rsidRPr="00EF52A6">
        <w:rPr>
          <w:sz w:val="22"/>
          <w:szCs w:val="22"/>
          <w:lang w:val="sr-Latn-ME"/>
        </w:rPr>
        <w:t>, tvrda</w:t>
      </w:r>
      <w:r w:rsidRPr="00EF52A6">
        <w:rPr>
          <w:sz w:val="22"/>
          <w:szCs w:val="22"/>
          <w:lang w:val="sr-Latn-ME"/>
        </w:rPr>
        <w:t xml:space="preserve"> sadrži 10 mg selumetiniba (</w:t>
      </w:r>
      <w:r w:rsidR="00933DAC" w:rsidRPr="00EF52A6">
        <w:rPr>
          <w:sz w:val="22"/>
          <w:szCs w:val="22"/>
          <w:lang w:val="sr-Latn-ME"/>
        </w:rPr>
        <w:t>u obliku</w:t>
      </w:r>
      <w:r w:rsidRPr="00EF52A6">
        <w:rPr>
          <w:sz w:val="22"/>
          <w:szCs w:val="22"/>
          <w:lang w:val="sr-Latn-ME"/>
        </w:rPr>
        <w:t xml:space="preserve"> </w:t>
      </w:r>
      <w:r w:rsidR="003A4D40" w:rsidRPr="00EF52A6">
        <w:rPr>
          <w:sz w:val="22"/>
          <w:szCs w:val="22"/>
          <w:lang w:val="sr-Latn-ME"/>
        </w:rPr>
        <w:t>hidrogen</w:t>
      </w:r>
      <w:r w:rsidRPr="00EF52A6">
        <w:rPr>
          <w:sz w:val="22"/>
          <w:szCs w:val="22"/>
          <w:lang w:val="sr-Latn-ME"/>
        </w:rPr>
        <w:t xml:space="preserve"> sulfat</w:t>
      </w:r>
      <w:r w:rsidR="00933DAC" w:rsidRPr="00EF52A6">
        <w:rPr>
          <w:sz w:val="22"/>
          <w:szCs w:val="22"/>
          <w:lang w:val="sr-Latn-ME"/>
        </w:rPr>
        <w:t>a</w:t>
      </w:r>
      <w:r w:rsidRPr="00EF52A6">
        <w:rPr>
          <w:sz w:val="22"/>
          <w:szCs w:val="22"/>
          <w:lang w:val="sr-Latn-ME"/>
        </w:rPr>
        <w:t>).</w:t>
      </w:r>
    </w:p>
    <w:p w14:paraId="61FA5CC4" w14:textId="77777777" w:rsidR="00FF69F8" w:rsidRPr="00EF52A6" w:rsidRDefault="00FF69F8" w:rsidP="00FF69F8">
      <w:pPr>
        <w:rPr>
          <w:sz w:val="22"/>
          <w:szCs w:val="22"/>
          <w:lang w:val="sr-Latn-ME"/>
        </w:rPr>
      </w:pPr>
    </w:p>
    <w:p w14:paraId="5CC5A9B0" w14:textId="30C5CE06" w:rsidR="00FF69F8" w:rsidRPr="00EF52A6" w:rsidRDefault="00FF69F8" w:rsidP="00FF69F8">
      <w:pPr>
        <w:rPr>
          <w:sz w:val="22"/>
          <w:szCs w:val="22"/>
          <w:lang w:val="sr-Latn-ME"/>
        </w:rPr>
      </w:pPr>
      <w:r w:rsidRPr="00EF52A6">
        <w:rPr>
          <w:sz w:val="22"/>
          <w:szCs w:val="22"/>
          <w:u w:val="single"/>
          <w:lang w:val="sr-Latn-ME"/>
        </w:rPr>
        <w:t>Koselugo</w:t>
      </w:r>
      <w:r w:rsidR="00407E86" w:rsidRPr="00EF52A6">
        <w:rPr>
          <w:sz w:val="22"/>
          <w:szCs w:val="22"/>
          <w:u w:val="single"/>
          <w:lang w:val="sr-Latn-ME"/>
        </w:rPr>
        <w:t>,</w:t>
      </w:r>
      <w:r w:rsidRPr="00EF52A6">
        <w:rPr>
          <w:sz w:val="22"/>
          <w:szCs w:val="22"/>
          <w:u w:val="single"/>
          <w:lang w:val="sr-Latn-ME"/>
        </w:rPr>
        <w:t xml:space="preserve"> 25 mg</w:t>
      </w:r>
      <w:r w:rsidR="00407E86" w:rsidRPr="00EF52A6">
        <w:rPr>
          <w:sz w:val="22"/>
          <w:szCs w:val="22"/>
          <w:u w:val="single"/>
          <w:lang w:val="sr-Latn-ME"/>
        </w:rPr>
        <w:t>,</w:t>
      </w:r>
      <w:r w:rsidRPr="00EF52A6">
        <w:rPr>
          <w:sz w:val="22"/>
          <w:szCs w:val="22"/>
          <w:u w:val="single"/>
          <w:lang w:val="sr-Latn-ME"/>
        </w:rPr>
        <w:t xml:space="preserve"> </w:t>
      </w:r>
      <w:r w:rsidR="00814C7F" w:rsidRPr="00EF52A6">
        <w:rPr>
          <w:sz w:val="22"/>
          <w:szCs w:val="22"/>
          <w:u w:val="single"/>
          <w:lang w:val="sr-Latn-ME"/>
        </w:rPr>
        <w:t>kapsule, tvrde</w:t>
      </w:r>
    </w:p>
    <w:p w14:paraId="786CD7EC" w14:textId="77E056AA" w:rsidR="00FF69F8" w:rsidRPr="00EF52A6" w:rsidRDefault="00FF69F8" w:rsidP="00FF69F8">
      <w:pPr>
        <w:rPr>
          <w:sz w:val="22"/>
          <w:szCs w:val="22"/>
          <w:lang w:val="sr-Latn-ME"/>
        </w:rPr>
      </w:pPr>
      <w:r w:rsidRPr="00EF52A6">
        <w:rPr>
          <w:sz w:val="22"/>
          <w:szCs w:val="22"/>
          <w:lang w:val="sr-Latn-ME"/>
        </w:rPr>
        <w:t>Svaka kapsula</w:t>
      </w:r>
      <w:r w:rsidR="00E15EC4" w:rsidRPr="00EF52A6">
        <w:rPr>
          <w:sz w:val="22"/>
          <w:szCs w:val="22"/>
          <w:lang w:val="sr-Latn-ME"/>
        </w:rPr>
        <w:t>, tvrd</w:t>
      </w:r>
      <w:r w:rsidR="00CE622B" w:rsidRPr="00EF52A6">
        <w:rPr>
          <w:sz w:val="22"/>
          <w:szCs w:val="22"/>
          <w:lang w:val="sr-Latn-ME"/>
        </w:rPr>
        <w:t>a</w:t>
      </w:r>
      <w:r w:rsidRPr="00EF52A6">
        <w:rPr>
          <w:sz w:val="22"/>
          <w:szCs w:val="22"/>
          <w:lang w:val="sr-Latn-ME"/>
        </w:rPr>
        <w:t xml:space="preserve"> sadrži 25 mg selumetiniba (</w:t>
      </w:r>
      <w:r w:rsidR="00933DAC" w:rsidRPr="00EF52A6">
        <w:rPr>
          <w:sz w:val="22"/>
          <w:szCs w:val="22"/>
          <w:lang w:val="sr-Latn-ME"/>
        </w:rPr>
        <w:t>u obliku</w:t>
      </w:r>
      <w:r w:rsidRPr="00EF52A6">
        <w:rPr>
          <w:sz w:val="22"/>
          <w:szCs w:val="22"/>
          <w:lang w:val="sr-Latn-ME"/>
        </w:rPr>
        <w:t xml:space="preserve"> </w:t>
      </w:r>
      <w:r w:rsidR="003A4D40" w:rsidRPr="00EF52A6">
        <w:rPr>
          <w:sz w:val="22"/>
          <w:szCs w:val="22"/>
          <w:lang w:val="sr-Latn-ME"/>
        </w:rPr>
        <w:t>hidrogen</w:t>
      </w:r>
      <w:r w:rsidRPr="00EF52A6">
        <w:rPr>
          <w:sz w:val="22"/>
          <w:szCs w:val="22"/>
          <w:lang w:val="sr-Latn-ME"/>
        </w:rPr>
        <w:t xml:space="preserve"> sulfat</w:t>
      </w:r>
      <w:r w:rsidR="00933DAC" w:rsidRPr="00EF52A6">
        <w:rPr>
          <w:sz w:val="22"/>
          <w:szCs w:val="22"/>
          <w:lang w:val="sr-Latn-ME"/>
        </w:rPr>
        <w:t>a</w:t>
      </w:r>
      <w:r w:rsidRPr="00EF52A6">
        <w:rPr>
          <w:sz w:val="22"/>
          <w:szCs w:val="22"/>
          <w:lang w:val="sr-Latn-ME"/>
        </w:rPr>
        <w:t>).</w:t>
      </w:r>
    </w:p>
    <w:p w14:paraId="78A9B8FC" w14:textId="77777777" w:rsidR="00FF69F8" w:rsidRPr="00EF52A6" w:rsidRDefault="00FF69F8">
      <w:pPr>
        <w:rPr>
          <w:sz w:val="22"/>
          <w:szCs w:val="22"/>
          <w:lang w:val="sr-Latn-ME"/>
        </w:rPr>
      </w:pPr>
    </w:p>
    <w:p w14:paraId="22ECDD9A" w14:textId="02A46B01" w:rsidR="0003793F" w:rsidRPr="00EF52A6" w:rsidRDefault="0003793F">
      <w:pPr>
        <w:rPr>
          <w:sz w:val="22"/>
          <w:szCs w:val="22"/>
          <w:lang w:val="sr-Latn-ME"/>
        </w:rPr>
      </w:pPr>
      <w:r w:rsidRPr="00EF52A6">
        <w:rPr>
          <w:sz w:val="22"/>
          <w:szCs w:val="22"/>
          <w:lang w:val="sr-Latn-ME"/>
        </w:rPr>
        <w:t>Za spisak svih ekscipijenasa, pogledati dio 6.1.</w:t>
      </w:r>
    </w:p>
    <w:p w14:paraId="78A2C48B" w14:textId="0DE04639" w:rsidR="00C37FD7" w:rsidRPr="00EF52A6" w:rsidRDefault="00C37FD7">
      <w:pPr>
        <w:rPr>
          <w:sz w:val="22"/>
          <w:szCs w:val="22"/>
          <w:lang w:val="sr-Latn-ME"/>
        </w:rPr>
      </w:pPr>
    </w:p>
    <w:p w14:paraId="6FF2A9B5" w14:textId="77777777" w:rsidR="00EF7810" w:rsidRPr="00EF52A6" w:rsidRDefault="00EF7810">
      <w:pPr>
        <w:rPr>
          <w:sz w:val="22"/>
          <w:szCs w:val="22"/>
          <w:lang w:val="sr-Latn-ME"/>
        </w:rPr>
      </w:pPr>
    </w:p>
    <w:p w14:paraId="175B0E3F" w14:textId="77777777" w:rsidR="00411B4B" w:rsidRPr="00EF52A6" w:rsidRDefault="00411B4B" w:rsidP="00F5167F">
      <w:pPr>
        <w:tabs>
          <w:tab w:val="left" w:pos="540"/>
          <w:tab w:val="left" w:pos="569"/>
        </w:tabs>
        <w:rPr>
          <w:b/>
          <w:bCs/>
          <w:sz w:val="22"/>
          <w:szCs w:val="22"/>
          <w:lang w:val="sr-Latn-ME"/>
        </w:rPr>
      </w:pPr>
      <w:r w:rsidRPr="00EF52A6">
        <w:rPr>
          <w:b/>
          <w:bCs/>
          <w:sz w:val="22"/>
          <w:szCs w:val="22"/>
          <w:lang w:val="sr-Latn-ME"/>
        </w:rPr>
        <w:t xml:space="preserve">3. </w:t>
      </w:r>
      <w:r w:rsidR="00F5167F" w:rsidRPr="00EF52A6">
        <w:rPr>
          <w:b/>
          <w:bCs/>
          <w:sz w:val="22"/>
          <w:szCs w:val="22"/>
          <w:lang w:val="sr-Latn-ME"/>
        </w:rPr>
        <w:tab/>
      </w:r>
      <w:r w:rsidRPr="00EF52A6">
        <w:rPr>
          <w:b/>
          <w:bCs/>
          <w:sz w:val="22"/>
          <w:szCs w:val="22"/>
          <w:lang w:val="sr-Latn-ME"/>
        </w:rPr>
        <w:t>FARMACEUTSKI OBLIK</w:t>
      </w:r>
      <w:r w:rsidR="009F2D23" w:rsidRPr="00EF52A6">
        <w:rPr>
          <w:b/>
          <w:bCs/>
          <w:sz w:val="22"/>
          <w:szCs w:val="22"/>
          <w:lang w:val="sr-Latn-ME"/>
        </w:rPr>
        <w:t xml:space="preserve"> </w:t>
      </w:r>
    </w:p>
    <w:p w14:paraId="1B3E4335" w14:textId="77777777" w:rsidR="00411B4B" w:rsidRPr="00EF52A6" w:rsidRDefault="00411B4B">
      <w:pPr>
        <w:rPr>
          <w:bCs/>
          <w:sz w:val="22"/>
          <w:szCs w:val="22"/>
          <w:lang w:val="sr-Latn-ME"/>
        </w:rPr>
      </w:pPr>
    </w:p>
    <w:p w14:paraId="0DAE174A" w14:textId="32E7D5AC" w:rsidR="00FF69F8" w:rsidRPr="00EF52A6" w:rsidRDefault="00814C7F" w:rsidP="00FF69F8">
      <w:pPr>
        <w:rPr>
          <w:bCs/>
          <w:sz w:val="22"/>
          <w:szCs w:val="22"/>
          <w:lang w:val="sr-Latn-ME"/>
        </w:rPr>
      </w:pPr>
      <w:r w:rsidRPr="00EF52A6">
        <w:rPr>
          <w:bCs/>
          <w:sz w:val="22"/>
          <w:szCs w:val="22"/>
          <w:lang w:val="sr-Latn-ME"/>
        </w:rPr>
        <w:t>Kapsula, t</w:t>
      </w:r>
      <w:r w:rsidR="00FF69F8" w:rsidRPr="00EF52A6">
        <w:rPr>
          <w:bCs/>
          <w:sz w:val="22"/>
          <w:szCs w:val="22"/>
          <w:lang w:val="sr-Latn-ME"/>
        </w:rPr>
        <w:t>vrda</w:t>
      </w:r>
      <w:r w:rsidR="000E7401" w:rsidRPr="00EF52A6">
        <w:rPr>
          <w:bCs/>
          <w:sz w:val="22"/>
          <w:szCs w:val="22"/>
          <w:lang w:val="sr-Latn-ME"/>
        </w:rPr>
        <w:t>.</w:t>
      </w:r>
      <w:r w:rsidR="00FF69F8" w:rsidRPr="00EF52A6">
        <w:rPr>
          <w:bCs/>
          <w:sz w:val="22"/>
          <w:szCs w:val="22"/>
          <w:lang w:val="sr-Latn-ME"/>
        </w:rPr>
        <w:t xml:space="preserve"> </w:t>
      </w:r>
    </w:p>
    <w:p w14:paraId="6AC02F06" w14:textId="77777777" w:rsidR="00FF69F8" w:rsidRPr="00EF52A6" w:rsidRDefault="00FF69F8" w:rsidP="00FF69F8">
      <w:pPr>
        <w:rPr>
          <w:bCs/>
          <w:sz w:val="22"/>
          <w:szCs w:val="22"/>
          <w:lang w:val="sr-Latn-ME"/>
        </w:rPr>
      </w:pPr>
    </w:p>
    <w:p w14:paraId="69D8DB69" w14:textId="7B4270EA" w:rsidR="00FF69F8" w:rsidRPr="00EF52A6" w:rsidRDefault="00FF69F8" w:rsidP="00FF69F8">
      <w:pPr>
        <w:rPr>
          <w:bCs/>
          <w:sz w:val="22"/>
          <w:szCs w:val="22"/>
          <w:lang w:val="sr-Latn-ME"/>
        </w:rPr>
      </w:pPr>
      <w:r w:rsidRPr="00EF52A6">
        <w:rPr>
          <w:bCs/>
          <w:sz w:val="22"/>
          <w:szCs w:val="22"/>
          <w:u w:val="single"/>
          <w:lang w:val="sr-Latn-ME"/>
        </w:rPr>
        <w:t>Koselugo</w:t>
      </w:r>
      <w:r w:rsidR="00407E86" w:rsidRPr="00EF52A6">
        <w:rPr>
          <w:bCs/>
          <w:sz w:val="22"/>
          <w:szCs w:val="22"/>
          <w:u w:val="single"/>
          <w:lang w:val="sr-Latn-ME"/>
        </w:rPr>
        <w:t>,</w:t>
      </w:r>
      <w:r w:rsidRPr="00EF52A6">
        <w:rPr>
          <w:bCs/>
          <w:sz w:val="22"/>
          <w:szCs w:val="22"/>
          <w:u w:val="single"/>
          <w:lang w:val="sr-Latn-ME"/>
        </w:rPr>
        <w:t xml:space="preserve"> 10 mg</w:t>
      </w:r>
      <w:r w:rsidR="00407E86" w:rsidRPr="00EF52A6">
        <w:rPr>
          <w:bCs/>
          <w:sz w:val="22"/>
          <w:szCs w:val="22"/>
          <w:u w:val="single"/>
          <w:lang w:val="sr-Latn-ME"/>
        </w:rPr>
        <w:t>,</w:t>
      </w:r>
      <w:r w:rsidRPr="00EF52A6">
        <w:rPr>
          <w:bCs/>
          <w:sz w:val="22"/>
          <w:szCs w:val="22"/>
          <w:u w:val="single"/>
          <w:lang w:val="sr-Latn-ME"/>
        </w:rPr>
        <w:t xml:space="preserve"> </w:t>
      </w:r>
      <w:r w:rsidR="00814C7F" w:rsidRPr="00EF52A6">
        <w:rPr>
          <w:bCs/>
          <w:sz w:val="22"/>
          <w:szCs w:val="22"/>
          <w:u w:val="single"/>
          <w:lang w:val="sr-Latn-ME"/>
        </w:rPr>
        <w:t>kapsule, tvrde</w:t>
      </w:r>
    </w:p>
    <w:p w14:paraId="3F662A01" w14:textId="51A49F7D" w:rsidR="00FF69F8" w:rsidRPr="00EF52A6" w:rsidRDefault="00FF69F8" w:rsidP="00FF69F8">
      <w:pPr>
        <w:rPr>
          <w:bCs/>
          <w:sz w:val="22"/>
          <w:szCs w:val="22"/>
          <w:lang w:val="sr-Latn-ME"/>
        </w:rPr>
      </w:pPr>
      <w:r w:rsidRPr="00EF52A6">
        <w:rPr>
          <w:bCs/>
          <w:sz w:val="22"/>
          <w:szCs w:val="22"/>
          <w:lang w:val="sr-Latn-ME"/>
        </w:rPr>
        <w:t>B</w:t>
      </w:r>
      <w:r w:rsidR="00407E86" w:rsidRPr="00EF52A6">
        <w:rPr>
          <w:bCs/>
          <w:sz w:val="22"/>
          <w:szCs w:val="22"/>
          <w:lang w:val="sr-Latn-ME"/>
        </w:rPr>
        <w:t>ij</w:t>
      </w:r>
      <w:r w:rsidRPr="00EF52A6">
        <w:rPr>
          <w:bCs/>
          <w:sz w:val="22"/>
          <w:szCs w:val="22"/>
          <w:lang w:val="sr-Latn-ME"/>
        </w:rPr>
        <w:t>ela do gotovo b</w:t>
      </w:r>
      <w:r w:rsidR="00407E86" w:rsidRPr="00EF52A6">
        <w:rPr>
          <w:bCs/>
          <w:sz w:val="22"/>
          <w:szCs w:val="22"/>
          <w:lang w:val="sr-Latn-ME"/>
        </w:rPr>
        <w:t>ij</w:t>
      </w:r>
      <w:r w:rsidRPr="00EF52A6">
        <w:rPr>
          <w:bCs/>
          <w:sz w:val="22"/>
          <w:szCs w:val="22"/>
          <w:lang w:val="sr-Latn-ME"/>
        </w:rPr>
        <w:t>ela, neprozirna, tvrda kapsula veličine 4 (približno 14 mm x 5 mm) koja ima središnju traku i oznaku „SEL 10” ispisanu crnim mastilom.</w:t>
      </w:r>
    </w:p>
    <w:p w14:paraId="4D66408E" w14:textId="77777777" w:rsidR="00FF69F8" w:rsidRPr="00EF52A6" w:rsidRDefault="00FF69F8" w:rsidP="00FF69F8">
      <w:pPr>
        <w:rPr>
          <w:bCs/>
          <w:sz w:val="22"/>
          <w:szCs w:val="22"/>
          <w:lang w:val="sr-Latn-ME"/>
        </w:rPr>
      </w:pPr>
    </w:p>
    <w:p w14:paraId="66C75968" w14:textId="02DDEB67" w:rsidR="00FF69F8" w:rsidRPr="00EF52A6" w:rsidRDefault="00FF69F8" w:rsidP="00FF69F8">
      <w:pPr>
        <w:rPr>
          <w:bCs/>
          <w:sz w:val="22"/>
          <w:szCs w:val="22"/>
          <w:lang w:val="sr-Latn-ME"/>
        </w:rPr>
      </w:pPr>
      <w:r w:rsidRPr="00EF52A6">
        <w:rPr>
          <w:bCs/>
          <w:sz w:val="22"/>
          <w:szCs w:val="22"/>
          <w:u w:val="single"/>
          <w:lang w:val="sr-Latn-ME"/>
        </w:rPr>
        <w:t>Koselugo</w:t>
      </w:r>
      <w:r w:rsidR="00407E86" w:rsidRPr="00EF52A6">
        <w:rPr>
          <w:bCs/>
          <w:sz w:val="22"/>
          <w:szCs w:val="22"/>
          <w:u w:val="single"/>
          <w:lang w:val="sr-Latn-ME"/>
        </w:rPr>
        <w:t>,</w:t>
      </w:r>
      <w:r w:rsidRPr="00EF52A6">
        <w:rPr>
          <w:bCs/>
          <w:sz w:val="22"/>
          <w:szCs w:val="22"/>
          <w:u w:val="single"/>
          <w:lang w:val="sr-Latn-ME"/>
        </w:rPr>
        <w:t xml:space="preserve"> 25 mg</w:t>
      </w:r>
      <w:r w:rsidR="00407E86" w:rsidRPr="00EF52A6">
        <w:rPr>
          <w:bCs/>
          <w:sz w:val="22"/>
          <w:szCs w:val="22"/>
          <w:u w:val="single"/>
          <w:lang w:val="sr-Latn-ME"/>
        </w:rPr>
        <w:t>,</w:t>
      </w:r>
      <w:r w:rsidRPr="00EF52A6">
        <w:rPr>
          <w:bCs/>
          <w:sz w:val="22"/>
          <w:szCs w:val="22"/>
          <w:u w:val="single"/>
          <w:lang w:val="sr-Latn-ME"/>
        </w:rPr>
        <w:t xml:space="preserve"> </w:t>
      </w:r>
      <w:r w:rsidR="00814C7F" w:rsidRPr="00EF52A6">
        <w:rPr>
          <w:bCs/>
          <w:sz w:val="22"/>
          <w:szCs w:val="22"/>
          <w:u w:val="single"/>
          <w:lang w:val="sr-Latn-ME"/>
        </w:rPr>
        <w:t>kapsule, tvrde</w:t>
      </w:r>
    </w:p>
    <w:p w14:paraId="0E8B3648" w14:textId="15A0E2B0" w:rsidR="00FF69F8" w:rsidRPr="00EF52A6" w:rsidRDefault="00FF69F8">
      <w:pPr>
        <w:rPr>
          <w:bCs/>
          <w:sz w:val="22"/>
          <w:szCs w:val="22"/>
          <w:lang w:val="sr-Latn-ME"/>
        </w:rPr>
      </w:pPr>
      <w:r w:rsidRPr="00EF52A6">
        <w:rPr>
          <w:bCs/>
          <w:sz w:val="22"/>
          <w:szCs w:val="22"/>
          <w:lang w:val="sr-Latn-ME"/>
        </w:rPr>
        <w:t>Plava, neprozirna, tvrda kapsula veličine 4 (približno 14 mm x 5 mm) koja ima središnju traku i oznaku „SEL 25” ispisanu crnim mastilom.</w:t>
      </w:r>
    </w:p>
    <w:p w14:paraId="3EA50432" w14:textId="4439A71D" w:rsidR="00EC2532" w:rsidRPr="00EF52A6" w:rsidRDefault="00EC2532">
      <w:pPr>
        <w:rPr>
          <w:bCs/>
          <w:sz w:val="22"/>
          <w:szCs w:val="22"/>
          <w:lang w:val="sr-Latn-ME"/>
        </w:rPr>
      </w:pPr>
    </w:p>
    <w:p w14:paraId="72CCEEC1" w14:textId="77777777" w:rsidR="00EF7810" w:rsidRPr="00EF52A6" w:rsidRDefault="00EF7810">
      <w:pPr>
        <w:rPr>
          <w:bCs/>
          <w:sz w:val="22"/>
          <w:szCs w:val="22"/>
          <w:lang w:val="sr-Latn-ME"/>
        </w:rPr>
      </w:pPr>
    </w:p>
    <w:p w14:paraId="5B9ED7FE" w14:textId="77777777" w:rsidR="00411B4B" w:rsidRPr="00EF52A6" w:rsidRDefault="00411B4B" w:rsidP="00F5167F">
      <w:pPr>
        <w:tabs>
          <w:tab w:val="left" w:pos="540"/>
          <w:tab w:val="left" w:pos="569"/>
        </w:tabs>
        <w:rPr>
          <w:b/>
          <w:bCs/>
          <w:sz w:val="22"/>
          <w:szCs w:val="22"/>
          <w:lang w:val="sr-Latn-ME"/>
        </w:rPr>
      </w:pPr>
      <w:r w:rsidRPr="00EF52A6">
        <w:rPr>
          <w:b/>
          <w:bCs/>
          <w:sz w:val="22"/>
          <w:szCs w:val="22"/>
          <w:lang w:val="sr-Latn-ME"/>
        </w:rPr>
        <w:t xml:space="preserve">4. </w:t>
      </w:r>
      <w:r w:rsidR="00480FB1" w:rsidRPr="00EF52A6">
        <w:rPr>
          <w:b/>
          <w:bCs/>
          <w:sz w:val="22"/>
          <w:szCs w:val="22"/>
          <w:lang w:val="sr-Latn-ME"/>
        </w:rPr>
        <w:tab/>
      </w:r>
      <w:r w:rsidRPr="00EF52A6">
        <w:rPr>
          <w:b/>
          <w:bCs/>
          <w:sz w:val="22"/>
          <w:szCs w:val="22"/>
          <w:lang w:val="sr-Latn-ME"/>
        </w:rPr>
        <w:t>KLINIČKI PODACI</w:t>
      </w:r>
    </w:p>
    <w:p w14:paraId="77D0FF57" w14:textId="77777777" w:rsidR="00CD6F02" w:rsidRPr="00EF52A6" w:rsidRDefault="00CD6F02" w:rsidP="00480FB1">
      <w:pPr>
        <w:tabs>
          <w:tab w:val="left" w:pos="540"/>
          <w:tab w:val="left" w:pos="569"/>
        </w:tabs>
        <w:rPr>
          <w:bCs/>
          <w:sz w:val="22"/>
          <w:szCs w:val="22"/>
          <w:lang w:val="sr-Latn-ME"/>
        </w:rPr>
      </w:pPr>
    </w:p>
    <w:p w14:paraId="27E0A52B" w14:textId="77777777" w:rsidR="00411B4B" w:rsidRPr="00EF52A6" w:rsidRDefault="00411B4B" w:rsidP="00480FB1">
      <w:pPr>
        <w:tabs>
          <w:tab w:val="left" w:pos="540"/>
          <w:tab w:val="left" w:pos="569"/>
        </w:tabs>
        <w:rPr>
          <w:b/>
          <w:bCs/>
          <w:sz w:val="22"/>
          <w:szCs w:val="22"/>
          <w:lang w:val="sr-Latn-ME"/>
        </w:rPr>
      </w:pPr>
      <w:r w:rsidRPr="00EF52A6">
        <w:rPr>
          <w:b/>
          <w:bCs/>
          <w:sz w:val="22"/>
          <w:szCs w:val="22"/>
          <w:lang w:val="sr-Latn-ME"/>
        </w:rPr>
        <w:t xml:space="preserve">4.1. </w:t>
      </w:r>
      <w:r w:rsidR="00480FB1" w:rsidRPr="00EF52A6">
        <w:rPr>
          <w:b/>
          <w:bCs/>
          <w:sz w:val="22"/>
          <w:szCs w:val="22"/>
          <w:lang w:val="sr-Latn-ME"/>
        </w:rPr>
        <w:tab/>
      </w:r>
      <w:r w:rsidRPr="00EF52A6">
        <w:rPr>
          <w:b/>
          <w:bCs/>
          <w:sz w:val="22"/>
          <w:szCs w:val="22"/>
          <w:lang w:val="sr-Latn-ME"/>
        </w:rPr>
        <w:t>Terapijske indikacije</w:t>
      </w:r>
    </w:p>
    <w:p w14:paraId="702D2022" w14:textId="77777777" w:rsidR="00411B4B" w:rsidRPr="00EF52A6" w:rsidRDefault="00411B4B" w:rsidP="00480FB1">
      <w:pPr>
        <w:tabs>
          <w:tab w:val="left" w:pos="540"/>
          <w:tab w:val="left" w:pos="569"/>
        </w:tabs>
        <w:rPr>
          <w:bCs/>
          <w:sz w:val="22"/>
          <w:szCs w:val="22"/>
          <w:lang w:val="sr-Latn-ME"/>
        </w:rPr>
      </w:pPr>
    </w:p>
    <w:p w14:paraId="7F8E4514" w14:textId="76B29490"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L</w:t>
      </w:r>
      <w:r w:rsidR="00407E86" w:rsidRPr="00EF52A6">
        <w:rPr>
          <w:bCs/>
          <w:sz w:val="22"/>
          <w:szCs w:val="22"/>
          <w:lang w:val="sr-Latn-ME"/>
        </w:rPr>
        <w:t>ij</w:t>
      </w:r>
      <w:r w:rsidRPr="00EF52A6">
        <w:rPr>
          <w:bCs/>
          <w:sz w:val="22"/>
          <w:szCs w:val="22"/>
          <w:lang w:val="sr-Latn-ME"/>
        </w:rPr>
        <w:t xml:space="preserve">ek Koselugo </w:t>
      </w:r>
      <w:r w:rsidR="00A22F1C" w:rsidRPr="00EF52A6">
        <w:rPr>
          <w:bCs/>
          <w:sz w:val="22"/>
          <w:szCs w:val="22"/>
          <w:lang w:val="sr-Latn-ME"/>
        </w:rPr>
        <w:t xml:space="preserve">je </w:t>
      </w:r>
      <w:r w:rsidRPr="00EF52A6">
        <w:rPr>
          <w:bCs/>
          <w:sz w:val="22"/>
          <w:szCs w:val="22"/>
          <w:lang w:val="sr-Latn-ME"/>
        </w:rPr>
        <w:t>kao monoterapija indikovan za l</w:t>
      </w:r>
      <w:r w:rsidR="00407E86" w:rsidRPr="00EF52A6">
        <w:rPr>
          <w:bCs/>
          <w:sz w:val="22"/>
          <w:szCs w:val="22"/>
          <w:lang w:val="sr-Latn-ME"/>
        </w:rPr>
        <w:t>ij</w:t>
      </w:r>
      <w:r w:rsidRPr="00EF52A6">
        <w:rPr>
          <w:bCs/>
          <w:sz w:val="22"/>
          <w:szCs w:val="22"/>
          <w:lang w:val="sr-Latn-ME"/>
        </w:rPr>
        <w:t>ečenje simptomatskih, inoperabilnih pleksiformnih neurofibroma (PN) kod pedijatrijskih pacijenata sa neurofibromatozom tipa 1 (NF1) uzrasta 3 godine i starijih.</w:t>
      </w:r>
    </w:p>
    <w:p w14:paraId="7A569E5F" w14:textId="77777777" w:rsidR="00FF69F8" w:rsidRPr="00EF52A6" w:rsidRDefault="00FF69F8" w:rsidP="00480FB1">
      <w:pPr>
        <w:tabs>
          <w:tab w:val="left" w:pos="540"/>
          <w:tab w:val="left" w:pos="569"/>
        </w:tabs>
        <w:rPr>
          <w:bCs/>
          <w:sz w:val="22"/>
          <w:szCs w:val="22"/>
          <w:lang w:val="sr-Latn-ME"/>
        </w:rPr>
      </w:pPr>
    </w:p>
    <w:p w14:paraId="0E36BD6D" w14:textId="77777777" w:rsidR="00411B4B" w:rsidRPr="00EF52A6" w:rsidRDefault="00411B4B" w:rsidP="00480FB1">
      <w:pPr>
        <w:tabs>
          <w:tab w:val="left" w:pos="540"/>
          <w:tab w:val="left" w:pos="569"/>
        </w:tabs>
        <w:rPr>
          <w:b/>
          <w:bCs/>
          <w:sz w:val="22"/>
          <w:szCs w:val="22"/>
          <w:lang w:val="sr-Latn-ME"/>
        </w:rPr>
      </w:pPr>
      <w:r w:rsidRPr="00EF52A6">
        <w:rPr>
          <w:b/>
          <w:bCs/>
          <w:sz w:val="22"/>
          <w:szCs w:val="22"/>
          <w:lang w:val="sr-Latn-ME"/>
        </w:rPr>
        <w:t xml:space="preserve">4.2. </w:t>
      </w:r>
      <w:r w:rsidR="00480FB1" w:rsidRPr="00EF52A6">
        <w:rPr>
          <w:b/>
          <w:bCs/>
          <w:sz w:val="22"/>
          <w:szCs w:val="22"/>
          <w:lang w:val="sr-Latn-ME"/>
        </w:rPr>
        <w:tab/>
      </w:r>
      <w:r w:rsidRPr="00EF52A6">
        <w:rPr>
          <w:b/>
          <w:bCs/>
          <w:sz w:val="22"/>
          <w:szCs w:val="22"/>
          <w:lang w:val="sr-Latn-ME"/>
        </w:rPr>
        <w:t>Doziranje i način primjene</w:t>
      </w:r>
    </w:p>
    <w:p w14:paraId="5C67B90B" w14:textId="77777777" w:rsidR="00FF69F8" w:rsidRPr="00EF52A6" w:rsidRDefault="00FF69F8" w:rsidP="00480FB1">
      <w:pPr>
        <w:tabs>
          <w:tab w:val="left" w:pos="540"/>
          <w:tab w:val="left" w:pos="569"/>
        </w:tabs>
        <w:rPr>
          <w:bCs/>
          <w:sz w:val="22"/>
          <w:szCs w:val="22"/>
          <w:u w:val="single"/>
          <w:lang w:val="sr-Latn-ME"/>
        </w:rPr>
      </w:pPr>
    </w:p>
    <w:p w14:paraId="6A22646A" w14:textId="054BC8E5"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L</w:t>
      </w:r>
      <w:r w:rsidR="00407E86" w:rsidRPr="00EF52A6">
        <w:rPr>
          <w:bCs/>
          <w:sz w:val="22"/>
          <w:szCs w:val="22"/>
          <w:lang w:val="sr-Latn-ME"/>
        </w:rPr>
        <w:t>ij</w:t>
      </w:r>
      <w:r w:rsidRPr="00EF52A6">
        <w:rPr>
          <w:bCs/>
          <w:sz w:val="22"/>
          <w:szCs w:val="22"/>
          <w:lang w:val="sr-Latn-ME"/>
        </w:rPr>
        <w:t>ečenje l</w:t>
      </w:r>
      <w:r w:rsidR="00407E86" w:rsidRPr="00EF52A6">
        <w:rPr>
          <w:bCs/>
          <w:sz w:val="22"/>
          <w:szCs w:val="22"/>
          <w:lang w:val="sr-Latn-ME"/>
        </w:rPr>
        <w:t>ij</w:t>
      </w:r>
      <w:r w:rsidRPr="00EF52A6">
        <w:rPr>
          <w:bCs/>
          <w:sz w:val="22"/>
          <w:szCs w:val="22"/>
          <w:lang w:val="sr-Latn-ME"/>
        </w:rPr>
        <w:t>ekom Koselugo mora da započne l</w:t>
      </w:r>
      <w:r w:rsidR="00407E86" w:rsidRPr="00EF52A6">
        <w:rPr>
          <w:bCs/>
          <w:sz w:val="22"/>
          <w:szCs w:val="22"/>
          <w:lang w:val="sr-Latn-ME"/>
        </w:rPr>
        <w:t>j</w:t>
      </w:r>
      <w:r w:rsidRPr="00EF52A6">
        <w:rPr>
          <w:bCs/>
          <w:sz w:val="22"/>
          <w:szCs w:val="22"/>
          <w:lang w:val="sr-Latn-ME"/>
        </w:rPr>
        <w:t>ekar sa iskustvom u postavljanju dijagnoze i l</w:t>
      </w:r>
      <w:r w:rsidR="00407E86" w:rsidRPr="00EF52A6">
        <w:rPr>
          <w:bCs/>
          <w:sz w:val="22"/>
          <w:szCs w:val="22"/>
          <w:lang w:val="sr-Latn-ME"/>
        </w:rPr>
        <w:t>ij</w:t>
      </w:r>
      <w:r w:rsidRPr="00EF52A6">
        <w:rPr>
          <w:bCs/>
          <w:sz w:val="22"/>
          <w:szCs w:val="22"/>
          <w:lang w:val="sr-Latn-ME"/>
        </w:rPr>
        <w:t>ečenju pacijenata sa tumorima povezanim sa NF1.</w:t>
      </w:r>
    </w:p>
    <w:p w14:paraId="44731CEF" w14:textId="2BFC9EF4" w:rsidR="00FF69F8" w:rsidRPr="00EF52A6" w:rsidRDefault="00FF69F8" w:rsidP="00FF69F8">
      <w:pPr>
        <w:tabs>
          <w:tab w:val="left" w:pos="540"/>
          <w:tab w:val="left" w:pos="569"/>
        </w:tabs>
        <w:rPr>
          <w:bCs/>
          <w:sz w:val="22"/>
          <w:szCs w:val="22"/>
          <w:lang w:val="sr-Latn-ME"/>
        </w:rPr>
      </w:pPr>
    </w:p>
    <w:p w14:paraId="156ACED6" w14:textId="77777777" w:rsidR="0036564D" w:rsidRPr="00EF52A6" w:rsidRDefault="0036564D" w:rsidP="00DF11F1">
      <w:pPr>
        <w:tabs>
          <w:tab w:val="left" w:pos="540"/>
          <w:tab w:val="left" w:pos="569"/>
        </w:tabs>
        <w:jc w:val="center"/>
        <w:rPr>
          <w:bCs/>
          <w:sz w:val="22"/>
          <w:szCs w:val="22"/>
          <w:lang w:val="sr-Latn-ME"/>
        </w:rPr>
      </w:pPr>
    </w:p>
    <w:p w14:paraId="0F29E248"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lastRenderedPageBreak/>
        <w:t>Doziranje</w:t>
      </w:r>
    </w:p>
    <w:p w14:paraId="54DA9562" w14:textId="2649F885"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Preporučena doza l</w:t>
      </w:r>
      <w:r w:rsidR="00407E86" w:rsidRPr="00EF52A6">
        <w:rPr>
          <w:bCs/>
          <w:sz w:val="22"/>
          <w:szCs w:val="22"/>
          <w:lang w:val="sr-Latn-ME"/>
        </w:rPr>
        <w:t>ij</w:t>
      </w:r>
      <w:r w:rsidRPr="00EF52A6">
        <w:rPr>
          <w:bCs/>
          <w:sz w:val="22"/>
          <w:szCs w:val="22"/>
          <w:lang w:val="sr-Latn-ME"/>
        </w:rPr>
        <w:t>eka Koselugo iznosi 25 mg/m</w:t>
      </w:r>
      <w:r w:rsidRPr="00EF52A6">
        <w:rPr>
          <w:bCs/>
          <w:sz w:val="22"/>
          <w:szCs w:val="22"/>
          <w:vertAlign w:val="superscript"/>
          <w:lang w:val="sr-Latn-ME"/>
        </w:rPr>
        <w:t>2</w:t>
      </w:r>
      <w:r w:rsidRPr="00EF52A6">
        <w:rPr>
          <w:bCs/>
          <w:sz w:val="22"/>
          <w:szCs w:val="22"/>
          <w:lang w:val="sr-Latn-ME"/>
        </w:rPr>
        <w:t xml:space="preserve"> t</w:t>
      </w:r>
      <w:r w:rsidR="00407E86" w:rsidRPr="00EF52A6">
        <w:rPr>
          <w:bCs/>
          <w:sz w:val="22"/>
          <w:szCs w:val="22"/>
          <w:lang w:val="sr-Latn-ME"/>
        </w:rPr>
        <w:t>j</w:t>
      </w:r>
      <w:r w:rsidRPr="00EF52A6">
        <w:rPr>
          <w:bCs/>
          <w:sz w:val="22"/>
          <w:szCs w:val="22"/>
          <w:lang w:val="sr-Latn-ME"/>
        </w:rPr>
        <w:t>elesne površine (</w:t>
      </w:r>
      <w:r w:rsidR="00ED5DA7" w:rsidRPr="00EF52A6">
        <w:rPr>
          <w:bCs/>
          <w:sz w:val="22"/>
          <w:szCs w:val="22"/>
          <w:lang w:val="sr-Latn-ME"/>
        </w:rPr>
        <w:t xml:space="preserve">engl. </w:t>
      </w:r>
      <w:r w:rsidR="00ED5DA7" w:rsidRPr="00EF52A6">
        <w:rPr>
          <w:bCs/>
          <w:i/>
          <w:sz w:val="22"/>
          <w:szCs w:val="22"/>
          <w:lang w:val="sr-Latn-ME"/>
        </w:rPr>
        <w:t>body surface area</w:t>
      </w:r>
      <w:r w:rsidR="00ED5DA7" w:rsidRPr="00EF52A6">
        <w:rPr>
          <w:bCs/>
          <w:sz w:val="22"/>
          <w:szCs w:val="22"/>
          <w:lang w:val="sr-Latn-ME"/>
        </w:rPr>
        <w:t xml:space="preserve">, </w:t>
      </w:r>
      <w:r w:rsidRPr="00EF52A6">
        <w:rPr>
          <w:bCs/>
          <w:sz w:val="22"/>
          <w:szCs w:val="22"/>
          <w:lang w:val="sr-Latn-ME"/>
        </w:rPr>
        <w:t>BSA), a uzima se peroralno dva puta dnevno (otprilike svakih 12 sati).</w:t>
      </w:r>
    </w:p>
    <w:p w14:paraId="60A1B767" w14:textId="77777777" w:rsidR="00FF69F8" w:rsidRPr="00EF52A6" w:rsidRDefault="00FF69F8" w:rsidP="00DF11F1">
      <w:pPr>
        <w:tabs>
          <w:tab w:val="left" w:pos="540"/>
          <w:tab w:val="left" w:pos="569"/>
        </w:tabs>
        <w:jc w:val="both"/>
        <w:rPr>
          <w:bCs/>
          <w:sz w:val="22"/>
          <w:szCs w:val="22"/>
          <w:lang w:val="sr-Latn-ME"/>
        </w:rPr>
      </w:pPr>
    </w:p>
    <w:p w14:paraId="3705CC5A" w14:textId="158A20DA"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Doziranje je individualizovano na osnovu BSA (mg/m</w:t>
      </w:r>
      <w:r w:rsidRPr="00EF52A6">
        <w:rPr>
          <w:bCs/>
          <w:sz w:val="22"/>
          <w:szCs w:val="22"/>
          <w:vertAlign w:val="superscript"/>
          <w:lang w:val="sr-Latn-ME"/>
        </w:rPr>
        <w:t>2</w:t>
      </w:r>
      <w:r w:rsidRPr="00EF52A6">
        <w:rPr>
          <w:bCs/>
          <w:sz w:val="22"/>
          <w:szCs w:val="22"/>
          <w:lang w:val="sr-Latn-ME"/>
        </w:rPr>
        <w:t>) i zaokruženo na najbližu dozu koju je moguće dostići od 5 mg ili 10 mg (do maksimalne jedne doze od 50 mg). Različite jačine kapsula l</w:t>
      </w:r>
      <w:r w:rsidR="00407E86" w:rsidRPr="00EF52A6">
        <w:rPr>
          <w:bCs/>
          <w:sz w:val="22"/>
          <w:szCs w:val="22"/>
          <w:lang w:val="sr-Latn-ME"/>
        </w:rPr>
        <w:t>ij</w:t>
      </w:r>
      <w:r w:rsidRPr="00EF52A6">
        <w:rPr>
          <w:bCs/>
          <w:sz w:val="22"/>
          <w:szCs w:val="22"/>
          <w:lang w:val="sr-Latn-ME"/>
        </w:rPr>
        <w:t>eka Koselugo mogu se kombinovati kako bi se dobila željena doza (tabela 1).</w:t>
      </w:r>
    </w:p>
    <w:p w14:paraId="69AF3C14" w14:textId="77777777" w:rsidR="00FF69F8" w:rsidRPr="00EF52A6" w:rsidRDefault="00FF69F8" w:rsidP="00FF69F8">
      <w:pPr>
        <w:tabs>
          <w:tab w:val="left" w:pos="540"/>
          <w:tab w:val="left" w:pos="569"/>
        </w:tabs>
        <w:rPr>
          <w:bCs/>
          <w:sz w:val="22"/>
          <w:szCs w:val="22"/>
          <w:lang w:val="sr-Latn-ME"/>
        </w:rPr>
      </w:pPr>
    </w:p>
    <w:p w14:paraId="08330AE4" w14:textId="6F1B0BDB"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Tabela 1. Preporučena doza na osnovu t</w:t>
      </w:r>
      <w:r w:rsidR="00407E86" w:rsidRPr="00EF52A6">
        <w:rPr>
          <w:b/>
          <w:bCs/>
          <w:sz w:val="22"/>
          <w:szCs w:val="22"/>
          <w:lang w:val="sr-Latn-ME"/>
        </w:rPr>
        <w:t>j</w:t>
      </w:r>
      <w:r w:rsidRPr="00EF52A6">
        <w:rPr>
          <w:b/>
          <w:bCs/>
          <w:sz w:val="22"/>
          <w:szCs w:val="22"/>
          <w:lang w:val="sr-Latn-ME"/>
        </w:rPr>
        <w:t>elesne površine</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69"/>
        <w:gridCol w:w="4729"/>
      </w:tblGrid>
      <w:tr w:rsidR="00FF69F8" w:rsidRPr="00EF52A6" w14:paraId="2A19C1E5" w14:textId="77777777" w:rsidTr="00DF11F1">
        <w:trPr>
          <w:trHeight w:val="263"/>
        </w:trPr>
        <w:tc>
          <w:tcPr>
            <w:tcW w:w="4769" w:type="dxa"/>
          </w:tcPr>
          <w:p w14:paraId="293576DD" w14:textId="23DD1854" w:rsidR="00FF69F8" w:rsidRPr="00EF52A6" w:rsidRDefault="002B151A" w:rsidP="00FF69F8">
            <w:pPr>
              <w:tabs>
                <w:tab w:val="left" w:pos="540"/>
                <w:tab w:val="left" w:pos="569"/>
              </w:tabs>
              <w:rPr>
                <w:b/>
                <w:bCs/>
                <w:sz w:val="22"/>
                <w:szCs w:val="22"/>
                <w:lang w:val="sr-Latn-ME"/>
              </w:rPr>
            </w:pPr>
            <w:r w:rsidRPr="00EF52A6">
              <w:rPr>
                <w:b/>
                <w:bCs/>
                <w:sz w:val="22"/>
                <w:szCs w:val="22"/>
                <w:lang w:val="sr-Latn-ME"/>
              </w:rPr>
              <w:t>Tjelesna p</w:t>
            </w:r>
            <w:r w:rsidR="00FF69F8" w:rsidRPr="00EF52A6">
              <w:rPr>
                <w:b/>
                <w:bCs/>
                <w:sz w:val="22"/>
                <w:szCs w:val="22"/>
                <w:lang w:val="sr-Latn-ME"/>
              </w:rPr>
              <w:t xml:space="preserve">ovršina (BSA) </w:t>
            </w:r>
            <w:r w:rsidR="00FF69F8" w:rsidRPr="00EF52A6">
              <w:rPr>
                <w:b/>
                <w:bCs/>
                <w:sz w:val="22"/>
                <w:szCs w:val="22"/>
                <w:vertAlign w:val="superscript"/>
                <w:lang w:val="sr-Latn-ME"/>
              </w:rPr>
              <w:t>a</w:t>
            </w:r>
          </w:p>
        </w:tc>
        <w:tc>
          <w:tcPr>
            <w:tcW w:w="4729" w:type="dxa"/>
          </w:tcPr>
          <w:p w14:paraId="031DD24F"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Preporučena doza</w:t>
            </w:r>
          </w:p>
        </w:tc>
      </w:tr>
      <w:tr w:rsidR="00FF69F8" w:rsidRPr="00EF52A6" w14:paraId="323E8F4D" w14:textId="77777777" w:rsidTr="00DF11F1">
        <w:trPr>
          <w:trHeight w:val="369"/>
        </w:trPr>
        <w:tc>
          <w:tcPr>
            <w:tcW w:w="4769" w:type="dxa"/>
          </w:tcPr>
          <w:p w14:paraId="39303394"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0,55 – 0,69 m</w:t>
            </w:r>
            <w:r w:rsidRPr="00EF52A6">
              <w:rPr>
                <w:bCs/>
                <w:sz w:val="22"/>
                <w:szCs w:val="22"/>
                <w:vertAlign w:val="superscript"/>
                <w:lang w:val="sr-Latn-ME"/>
              </w:rPr>
              <w:t>2</w:t>
            </w:r>
          </w:p>
        </w:tc>
        <w:tc>
          <w:tcPr>
            <w:tcW w:w="4729" w:type="dxa"/>
          </w:tcPr>
          <w:p w14:paraId="093786E4"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 mg ujutru i 10 mg uveče</w:t>
            </w:r>
          </w:p>
        </w:tc>
      </w:tr>
      <w:tr w:rsidR="00FF69F8" w:rsidRPr="00EF52A6" w14:paraId="7F39713B" w14:textId="77777777" w:rsidTr="00DF11F1">
        <w:trPr>
          <w:trHeight w:val="369"/>
        </w:trPr>
        <w:tc>
          <w:tcPr>
            <w:tcW w:w="4769" w:type="dxa"/>
          </w:tcPr>
          <w:p w14:paraId="250C58D6"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0,70 – 0,89 m</w:t>
            </w:r>
            <w:r w:rsidRPr="00EF52A6">
              <w:rPr>
                <w:bCs/>
                <w:sz w:val="22"/>
                <w:szCs w:val="22"/>
                <w:vertAlign w:val="superscript"/>
                <w:lang w:val="sr-Latn-ME"/>
              </w:rPr>
              <w:t>2</w:t>
            </w:r>
          </w:p>
        </w:tc>
        <w:tc>
          <w:tcPr>
            <w:tcW w:w="4729" w:type="dxa"/>
          </w:tcPr>
          <w:p w14:paraId="65B8D7BE"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 mg dva puta dnevno</w:t>
            </w:r>
          </w:p>
        </w:tc>
      </w:tr>
      <w:tr w:rsidR="00FF69F8" w:rsidRPr="00EF52A6" w14:paraId="2DB501EA" w14:textId="77777777" w:rsidTr="00DF11F1">
        <w:trPr>
          <w:trHeight w:val="374"/>
        </w:trPr>
        <w:tc>
          <w:tcPr>
            <w:tcW w:w="4769" w:type="dxa"/>
          </w:tcPr>
          <w:p w14:paraId="59B9E32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0,90 – 1,09 m</w:t>
            </w:r>
            <w:r w:rsidRPr="00EF52A6">
              <w:rPr>
                <w:bCs/>
                <w:sz w:val="22"/>
                <w:szCs w:val="22"/>
                <w:vertAlign w:val="superscript"/>
                <w:lang w:val="sr-Latn-ME"/>
              </w:rPr>
              <w:t>2</w:t>
            </w:r>
          </w:p>
        </w:tc>
        <w:tc>
          <w:tcPr>
            <w:tcW w:w="4729" w:type="dxa"/>
          </w:tcPr>
          <w:p w14:paraId="4B4B958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 mg dva puta dnevno</w:t>
            </w:r>
          </w:p>
        </w:tc>
      </w:tr>
      <w:tr w:rsidR="00FF69F8" w:rsidRPr="00EF52A6" w14:paraId="1AC9F126" w14:textId="77777777" w:rsidTr="00DF11F1">
        <w:trPr>
          <w:trHeight w:val="369"/>
        </w:trPr>
        <w:tc>
          <w:tcPr>
            <w:tcW w:w="4769" w:type="dxa"/>
          </w:tcPr>
          <w:p w14:paraId="1417309F"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1,10 – 1,29 m</w:t>
            </w:r>
            <w:r w:rsidRPr="00EF52A6">
              <w:rPr>
                <w:bCs/>
                <w:sz w:val="22"/>
                <w:szCs w:val="22"/>
                <w:vertAlign w:val="superscript"/>
                <w:lang w:val="sr-Latn-ME"/>
              </w:rPr>
              <w:t>2</w:t>
            </w:r>
          </w:p>
        </w:tc>
        <w:tc>
          <w:tcPr>
            <w:tcW w:w="4729" w:type="dxa"/>
          </w:tcPr>
          <w:p w14:paraId="58B10998"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 mg dva puta dnevno</w:t>
            </w:r>
          </w:p>
        </w:tc>
      </w:tr>
      <w:tr w:rsidR="00FF69F8" w:rsidRPr="00EF52A6" w14:paraId="5255CFE7" w14:textId="77777777" w:rsidTr="00DF11F1">
        <w:trPr>
          <w:trHeight w:val="369"/>
        </w:trPr>
        <w:tc>
          <w:tcPr>
            <w:tcW w:w="4769" w:type="dxa"/>
          </w:tcPr>
          <w:p w14:paraId="50350BF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1,30 – 1,49 m</w:t>
            </w:r>
            <w:r w:rsidRPr="00EF52A6">
              <w:rPr>
                <w:bCs/>
                <w:sz w:val="22"/>
                <w:szCs w:val="22"/>
                <w:vertAlign w:val="superscript"/>
                <w:lang w:val="sr-Latn-ME"/>
              </w:rPr>
              <w:t>2</w:t>
            </w:r>
          </w:p>
        </w:tc>
        <w:tc>
          <w:tcPr>
            <w:tcW w:w="4729" w:type="dxa"/>
          </w:tcPr>
          <w:p w14:paraId="1E19797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 mg dva puta dnevno</w:t>
            </w:r>
          </w:p>
        </w:tc>
      </w:tr>
      <w:tr w:rsidR="00FF69F8" w:rsidRPr="00EF52A6" w14:paraId="7640C691" w14:textId="77777777" w:rsidTr="00DF11F1">
        <w:trPr>
          <w:trHeight w:val="374"/>
        </w:trPr>
        <w:tc>
          <w:tcPr>
            <w:tcW w:w="4769" w:type="dxa"/>
          </w:tcPr>
          <w:p w14:paraId="4115AC8E"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1,50 – 1,69 m</w:t>
            </w:r>
            <w:r w:rsidRPr="00EF52A6">
              <w:rPr>
                <w:bCs/>
                <w:sz w:val="22"/>
                <w:szCs w:val="22"/>
                <w:vertAlign w:val="superscript"/>
                <w:lang w:val="sr-Latn-ME"/>
              </w:rPr>
              <w:t>2</w:t>
            </w:r>
          </w:p>
        </w:tc>
        <w:tc>
          <w:tcPr>
            <w:tcW w:w="4729" w:type="dxa"/>
          </w:tcPr>
          <w:p w14:paraId="7789A30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40 mg dva puta dnevno</w:t>
            </w:r>
          </w:p>
        </w:tc>
      </w:tr>
      <w:tr w:rsidR="00FF69F8" w:rsidRPr="00EF52A6" w14:paraId="118D1220" w14:textId="77777777" w:rsidTr="00DF11F1">
        <w:trPr>
          <w:trHeight w:val="369"/>
        </w:trPr>
        <w:tc>
          <w:tcPr>
            <w:tcW w:w="4769" w:type="dxa"/>
          </w:tcPr>
          <w:p w14:paraId="2E0EA655"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1,70 – 1,89 m</w:t>
            </w:r>
            <w:r w:rsidRPr="00EF52A6">
              <w:rPr>
                <w:bCs/>
                <w:sz w:val="22"/>
                <w:szCs w:val="22"/>
                <w:vertAlign w:val="superscript"/>
                <w:lang w:val="sr-Latn-ME"/>
              </w:rPr>
              <w:t>2</w:t>
            </w:r>
          </w:p>
        </w:tc>
        <w:tc>
          <w:tcPr>
            <w:tcW w:w="4729" w:type="dxa"/>
          </w:tcPr>
          <w:p w14:paraId="030FD5E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45 mg dva puta dnevno</w:t>
            </w:r>
          </w:p>
        </w:tc>
      </w:tr>
      <w:tr w:rsidR="00FF69F8" w:rsidRPr="00EF52A6" w14:paraId="1B5FF63B" w14:textId="77777777" w:rsidTr="00DF11F1">
        <w:trPr>
          <w:trHeight w:val="369"/>
        </w:trPr>
        <w:tc>
          <w:tcPr>
            <w:tcW w:w="4769" w:type="dxa"/>
          </w:tcPr>
          <w:p w14:paraId="6BFD12FE"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 1,90 m</w:t>
            </w:r>
            <w:r w:rsidRPr="00EF52A6">
              <w:rPr>
                <w:bCs/>
                <w:sz w:val="22"/>
                <w:szCs w:val="22"/>
                <w:vertAlign w:val="superscript"/>
                <w:lang w:val="sr-Latn-ME"/>
              </w:rPr>
              <w:t>2</w:t>
            </w:r>
          </w:p>
        </w:tc>
        <w:tc>
          <w:tcPr>
            <w:tcW w:w="4729" w:type="dxa"/>
          </w:tcPr>
          <w:p w14:paraId="66CE820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50 mg dva puta dnevno</w:t>
            </w:r>
          </w:p>
        </w:tc>
      </w:tr>
    </w:tbl>
    <w:p w14:paraId="4B75F02D" w14:textId="77777777" w:rsidR="00FF69F8" w:rsidRPr="00EF52A6" w:rsidRDefault="00FF69F8" w:rsidP="00FF69F8">
      <w:pPr>
        <w:tabs>
          <w:tab w:val="left" w:pos="540"/>
          <w:tab w:val="left" w:pos="569"/>
        </w:tabs>
        <w:rPr>
          <w:bCs/>
          <w:sz w:val="22"/>
          <w:szCs w:val="22"/>
          <w:lang w:val="sr-Latn-ME"/>
        </w:rPr>
      </w:pPr>
      <w:r w:rsidRPr="00EF52A6">
        <w:rPr>
          <w:bCs/>
          <w:sz w:val="22"/>
          <w:szCs w:val="22"/>
          <w:vertAlign w:val="superscript"/>
          <w:lang w:val="sr-Latn-ME"/>
        </w:rPr>
        <w:t>a</w:t>
      </w:r>
      <w:r w:rsidRPr="00EF52A6">
        <w:rPr>
          <w:bCs/>
          <w:sz w:val="22"/>
          <w:szCs w:val="22"/>
          <w:lang w:val="sr-Latn-ME"/>
        </w:rPr>
        <w:t xml:space="preserve"> Preporučena doza za pacijente sa BSA manjom od 0,55 m</w:t>
      </w:r>
      <w:r w:rsidRPr="00EF52A6">
        <w:rPr>
          <w:bCs/>
          <w:sz w:val="22"/>
          <w:szCs w:val="22"/>
          <w:vertAlign w:val="superscript"/>
          <w:lang w:val="sr-Latn-ME"/>
        </w:rPr>
        <w:t>2</w:t>
      </w:r>
      <w:r w:rsidRPr="00EF52A6">
        <w:rPr>
          <w:bCs/>
          <w:sz w:val="22"/>
          <w:szCs w:val="22"/>
          <w:lang w:val="sr-Latn-ME"/>
        </w:rPr>
        <w:t xml:space="preserve"> nije utvrđena.</w:t>
      </w:r>
    </w:p>
    <w:p w14:paraId="068BD7C7" w14:textId="77777777" w:rsidR="00FF69F8" w:rsidRPr="00EF52A6" w:rsidRDefault="00FF69F8" w:rsidP="00FF69F8">
      <w:pPr>
        <w:tabs>
          <w:tab w:val="left" w:pos="540"/>
          <w:tab w:val="left" w:pos="569"/>
        </w:tabs>
        <w:rPr>
          <w:bCs/>
          <w:sz w:val="22"/>
          <w:szCs w:val="22"/>
          <w:lang w:val="sr-Latn-ME"/>
        </w:rPr>
      </w:pPr>
    </w:p>
    <w:p w14:paraId="116633D3" w14:textId="033154CA"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L</w:t>
      </w:r>
      <w:r w:rsidR="00407E86" w:rsidRPr="00EF52A6">
        <w:rPr>
          <w:bCs/>
          <w:sz w:val="22"/>
          <w:szCs w:val="22"/>
          <w:lang w:val="sr-Latn-ME"/>
        </w:rPr>
        <w:t>ij</w:t>
      </w:r>
      <w:r w:rsidRPr="00EF52A6">
        <w:rPr>
          <w:bCs/>
          <w:sz w:val="22"/>
          <w:szCs w:val="22"/>
          <w:lang w:val="sr-Latn-ME"/>
        </w:rPr>
        <w:t>ečenje l</w:t>
      </w:r>
      <w:r w:rsidR="00407E86" w:rsidRPr="00EF52A6">
        <w:rPr>
          <w:bCs/>
          <w:sz w:val="22"/>
          <w:szCs w:val="22"/>
          <w:lang w:val="sr-Latn-ME"/>
        </w:rPr>
        <w:t>ij</w:t>
      </w:r>
      <w:r w:rsidRPr="00EF52A6">
        <w:rPr>
          <w:bCs/>
          <w:sz w:val="22"/>
          <w:szCs w:val="22"/>
          <w:lang w:val="sr-Latn-ME"/>
        </w:rPr>
        <w:t>ekom Koselugo treba nastaviti sve dok se prim</w:t>
      </w:r>
      <w:r w:rsidR="00407E86" w:rsidRPr="00EF52A6">
        <w:rPr>
          <w:bCs/>
          <w:sz w:val="22"/>
          <w:szCs w:val="22"/>
          <w:lang w:val="sr-Latn-ME"/>
        </w:rPr>
        <w:t>j</w:t>
      </w:r>
      <w:r w:rsidRPr="00EF52A6">
        <w:rPr>
          <w:bCs/>
          <w:sz w:val="22"/>
          <w:szCs w:val="22"/>
          <w:lang w:val="sr-Latn-ME"/>
        </w:rPr>
        <w:t>ećuje klinička korist, ili do progresije PN ili razvoja neprihvatljive toksičnosti. Podaci za pacijente starije od 18 godina su ograničeni, stoga nastavak l</w:t>
      </w:r>
      <w:r w:rsidR="00407E86" w:rsidRPr="00EF52A6">
        <w:rPr>
          <w:bCs/>
          <w:sz w:val="22"/>
          <w:szCs w:val="22"/>
          <w:lang w:val="sr-Latn-ME"/>
        </w:rPr>
        <w:t>ij</w:t>
      </w:r>
      <w:r w:rsidRPr="00EF52A6">
        <w:rPr>
          <w:bCs/>
          <w:sz w:val="22"/>
          <w:szCs w:val="22"/>
          <w:lang w:val="sr-Latn-ME"/>
        </w:rPr>
        <w:t>ečenja u odraslom dobu treba zasnivati na prednostima i rizicima za</w:t>
      </w:r>
      <w:r w:rsidR="00407E86" w:rsidRPr="00EF52A6">
        <w:rPr>
          <w:bCs/>
          <w:sz w:val="22"/>
          <w:szCs w:val="22"/>
          <w:lang w:val="sr-Latn-ME"/>
        </w:rPr>
        <w:t xml:space="preserve"> </w:t>
      </w:r>
      <w:r w:rsidRPr="00EF52A6">
        <w:rPr>
          <w:bCs/>
          <w:sz w:val="22"/>
          <w:szCs w:val="22"/>
          <w:lang w:val="sr-Latn-ME"/>
        </w:rPr>
        <w:t>pojedinačnog pacijenta na osnovu proc</w:t>
      </w:r>
      <w:r w:rsidR="00407E86" w:rsidRPr="00EF52A6">
        <w:rPr>
          <w:bCs/>
          <w:sz w:val="22"/>
          <w:szCs w:val="22"/>
          <w:lang w:val="sr-Latn-ME"/>
        </w:rPr>
        <w:t>j</w:t>
      </w:r>
      <w:r w:rsidRPr="00EF52A6">
        <w:rPr>
          <w:bCs/>
          <w:sz w:val="22"/>
          <w:szCs w:val="22"/>
          <w:lang w:val="sr-Latn-ME"/>
        </w:rPr>
        <w:t>ene l</w:t>
      </w:r>
      <w:r w:rsidR="00407E86" w:rsidRPr="00EF52A6">
        <w:rPr>
          <w:bCs/>
          <w:sz w:val="22"/>
          <w:szCs w:val="22"/>
          <w:lang w:val="sr-Latn-ME"/>
        </w:rPr>
        <w:t>j</w:t>
      </w:r>
      <w:r w:rsidRPr="00EF52A6">
        <w:rPr>
          <w:bCs/>
          <w:sz w:val="22"/>
          <w:szCs w:val="22"/>
          <w:lang w:val="sr-Latn-ME"/>
        </w:rPr>
        <w:t xml:space="preserve">ekara. Ipak, </w:t>
      </w:r>
      <w:r w:rsidR="002B151A" w:rsidRPr="00EF52A6">
        <w:rPr>
          <w:bCs/>
          <w:sz w:val="22"/>
          <w:szCs w:val="22"/>
          <w:lang w:val="sr-Latn-ME"/>
        </w:rPr>
        <w:t xml:space="preserve">uvođenje </w:t>
      </w:r>
      <w:r w:rsidRPr="00EF52A6">
        <w:rPr>
          <w:bCs/>
          <w:sz w:val="22"/>
          <w:szCs w:val="22"/>
          <w:lang w:val="sr-Latn-ME"/>
        </w:rPr>
        <w:t>l</w:t>
      </w:r>
      <w:r w:rsidR="00407E86" w:rsidRPr="00EF52A6">
        <w:rPr>
          <w:bCs/>
          <w:sz w:val="22"/>
          <w:szCs w:val="22"/>
          <w:lang w:val="sr-Latn-ME"/>
        </w:rPr>
        <w:t>ij</w:t>
      </w:r>
      <w:r w:rsidRPr="00EF52A6">
        <w:rPr>
          <w:bCs/>
          <w:sz w:val="22"/>
          <w:szCs w:val="22"/>
          <w:lang w:val="sr-Latn-ME"/>
        </w:rPr>
        <w:t>ečenja l</w:t>
      </w:r>
      <w:r w:rsidR="00407E86" w:rsidRPr="00EF52A6">
        <w:rPr>
          <w:bCs/>
          <w:sz w:val="22"/>
          <w:szCs w:val="22"/>
          <w:lang w:val="sr-Latn-ME"/>
        </w:rPr>
        <w:t>ij</w:t>
      </w:r>
      <w:r w:rsidRPr="00EF52A6">
        <w:rPr>
          <w:bCs/>
          <w:sz w:val="22"/>
          <w:szCs w:val="22"/>
          <w:lang w:val="sr-Latn-ME"/>
        </w:rPr>
        <w:t>ekom Koselugo kod odraslih nije priklad</w:t>
      </w:r>
      <w:r w:rsidR="002B151A" w:rsidRPr="00EF52A6">
        <w:rPr>
          <w:bCs/>
          <w:sz w:val="22"/>
          <w:szCs w:val="22"/>
          <w:lang w:val="sr-Latn-ME"/>
        </w:rPr>
        <w:t>no</w:t>
      </w:r>
      <w:r w:rsidRPr="00EF52A6">
        <w:rPr>
          <w:bCs/>
          <w:sz w:val="22"/>
          <w:szCs w:val="22"/>
          <w:lang w:val="sr-Latn-ME"/>
        </w:rPr>
        <w:t>.</w:t>
      </w:r>
    </w:p>
    <w:p w14:paraId="18DECEB7" w14:textId="77777777" w:rsidR="00FF69F8" w:rsidRPr="00EF52A6" w:rsidRDefault="00FF69F8" w:rsidP="00DF11F1">
      <w:pPr>
        <w:tabs>
          <w:tab w:val="left" w:pos="540"/>
          <w:tab w:val="left" w:pos="569"/>
        </w:tabs>
        <w:jc w:val="both"/>
        <w:rPr>
          <w:bCs/>
          <w:sz w:val="22"/>
          <w:szCs w:val="22"/>
          <w:lang w:val="sr-Latn-ME"/>
        </w:rPr>
      </w:pPr>
    </w:p>
    <w:p w14:paraId="36AD0AA3"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Propuštena doza</w:t>
      </w:r>
    </w:p>
    <w:p w14:paraId="277DE5FC" w14:textId="5E16BCDE"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Ako pacijent propusti dozu l</w:t>
      </w:r>
      <w:r w:rsidR="00407E86" w:rsidRPr="00EF52A6">
        <w:rPr>
          <w:bCs/>
          <w:sz w:val="22"/>
          <w:szCs w:val="22"/>
          <w:lang w:val="sr-Latn-ME"/>
        </w:rPr>
        <w:t>ij</w:t>
      </w:r>
      <w:r w:rsidRPr="00EF52A6">
        <w:rPr>
          <w:bCs/>
          <w:sz w:val="22"/>
          <w:szCs w:val="22"/>
          <w:lang w:val="sr-Latn-ME"/>
        </w:rPr>
        <w:t>eka Koselugo, treba je uzeti samo ako je do sl</w:t>
      </w:r>
      <w:r w:rsidR="00407E86" w:rsidRPr="00EF52A6">
        <w:rPr>
          <w:bCs/>
          <w:sz w:val="22"/>
          <w:szCs w:val="22"/>
          <w:lang w:val="sr-Latn-ME"/>
        </w:rPr>
        <w:t>j</w:t>
      </w:r>
      <w:r w:rsidRPr="00EF52A6">
        <w:rPr>
          <w:bCs/>
          <w:sz w:val="22"/>
          <w:szCs w:val="22"/>
          <w:lang w:val="sr-Latn-ME"/>
        </w:rPr>
        <w:t>edeće predviđene doze preostalo više od 6 sati.</w:t>
      </w:r>
    </w:p>
    <w:p w14:paraId="23ECB510" w14:textId="77777777" w:rsidR="00FF69F8" w:rsidRPr="00EF52A6" w:rsidRDefault="00FF69F8" w:rsidP="00DF11F1">
      <w:pPr>
        <w:tabs>
          <w:tab w:val="left" w:pos="540"/>
          <w:tab w:val="left" w:pos="569"/>
        </w:tabs>
        <w:jc w:val="both"/>
        <w:rPr>
          <w:bCs/>
          <w:sz w:val="22"/>
          <w:szCs w:val="22"/>
          <w:lang w:val="sr-Latn-ME"/>
        </w:rPr>
      </w:pPr>
    </w:p>
    <w:p w14:paraId="4AEAE959"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Povraćanje</w:t>
      </w:r>
    </w:p>
    <w:p w14:paraId="3106E090" w14:textId="73661009"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Ako pacijent povrati nakon prim</w:t>
      </w:r>
      <w:r w:rsidR="00407E86" w:rsidRPr="00EF52A6">
        <w:rPr>
          <w:bCs/>
          <w:sz w:val="22"/>
          <w:szCs w:val="22"/>
          <w:lang w:val="sr-Latn-ME"/>
        </w:rPr>
        <w:t>j</w:t>
      </w:r>
      <w:r w:rsidRPr="00EF52A6">
        <w:rPr>
          <w:bCs/>
          <w:sz w:val="22"/>
          <w:szCs w:val="22"/>
          <w:lang w:val="sr-Latn-ME"/>
        </w:rPr>
        <w:t>ene l</w:t>
      </w:r>
      <w:r w:rsidR="00407E86" w:rsidRPr="00EF52A6">
        <w:rPr>
          <w:bCs/>
          <w:sz w:val="22"/>
          <w:szCs w:val="22"/>
          <w:lang w:val="sr-Latn-ME"/>
        </w:rPr>
        <w:t>ij</w:t>
      </w:r>
      <w:r w:rsidRPr="00EF52A6">
        <w:rPr>
          <w:bCs/>
          <w:sz w:val="22"/>
          <w:szCs w:val="22"/>
          <w:lang w:val="sr-Latn-ME"/>
        </w:rPr>
        <w:t>eka Koselugo, ne sm</w:t>
      </w:r>
      <w:r w:rsidR="00407E86" w:rsidRPr="00EF52A6">
        <w:rPr>
          <w:bCs/>
          <w:sz w:val="22"/>
          <w:szCs w:val="22"/>
          <w:lang w:val="sr-Latn-ME"/>
        </w:rPr>
        <w:t>ij</w:t>
      </w:r>
      <w:r w:rsidRPr="00EF52A6">
        <w:rPr>
          <w:bCs/>
          <w:sz w:val="22"/>
          <w:szCs w:val="22"/>
          <w:lang w:val="sr-Latn-ME"/>
        </w:rPr>
        <w:t>e uzeti dodatnu dozu. Sl</w:t>
      </w:r>
      <w:r w:rsidR="00407E86" w:rsidRPr="00EF52A6">
        <w:rPr>
          <w:bCs/>
          <w:sz w:val="22"/>
          <w:szCs w:val="22"/>
          <w:lang w:val="sr-Latn-ME"/>
        </w:rPr>
        <w:t>j</w:t>
      </w:r>
      <w:r w:rsidRPr="00EF52A6">
        <w:rPr>
          <w:bCs/>
          <w:sz w:val="22"/>
          <w:szCs w:val="22"/>
          <w:lang w:val="sr-Latn-ME"/>
        </w:rPr>
        <w:t>edeću dozu treba uzeti prema uobičajenom rasporedu.</w:t>
      </w:r>
    </w:p>
    <w:p w14:paraId="6FE1B6FF" w14:textId="77777777" w:rsidR="00FF69F8" w:rsidRPr="00EF52A6" w:rsidRDefault="00FF69F8" w:rsidP="00DF11F1">
      <w:pPr>
        <w:tabs>
          <w:tab w:val="left" w:pos="540"/>
          <w:tab w:val="left" w:pos="569"/>
        </w:tabs>
        <w:jc w:val="both"/>
        <w:rPr>
          <w:bCs/>
          <w:sz w:val="22"/>
          <w:szCs w:val="22"/>
          <w:lang w:val="sr-Latn-ME"/>
        </w:rPr>
      </w:pPr>
    </w:p>
    <w:p w14:paraId="413647CD"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Podešavanja doze</w:t>
      </w:r>
    </w:p>
    <w:p w14:paraId="690D216B" w14:textId="732AD7AA"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Zavisno od bezb</w:t>
      </w:r>
      <w:r w:rsidR="00407E86" w:rsidRPr="00EF52A6">
        <w:rPr>
          <w:bCs/>
          <w:sz w:val="22"/>
          <w:szCs w:val="22"/>
          <w:lang w:val="sr-Latn-ME"/>
        </w:rPr>
        <w:t>j</w:t>
      </w:r>
      <w:r w:rsidRPr="00EF52A6">
        <w:rPr>
          <w:bCs/>
          <w:sz w:val="22"/>
          <w:szCs w:val="22"/>
          <w:lang w:val="sr-Latn-ME"/>
        </w:rPr>
        <w:t>ednosti i podnošljivosti l</w:t>
      </w:r>
      <w:r w:rsidR="00407E86" w:rsidRPr="00EF52A6">
        <w:rPr>
          <w:bCs/>
          <w:sz w:val="22"/>
          <w:szCs w:val="22"/>
          <w:lang w:val="sr-Latn-ME"/>
        </w:rPr>
        <w:t>ij</w:t>
      </w:r>
      <w:r w:rsidRPr="00EF52A6">
        <w:rPr>
          <w:bCs/>
          <w:sz w:val="22"/>
          <w:szCs w:val="22"/>
          <w:lang w:val="sr-Latn-ME"/>
        </w:rPr>
        <w:t>eka kod pacijenata pojedinačno, možda će biti potrebno privremeno prekinuti prim</w:t>
      </w:r>
      <w:r w:rsidR="00407E86" w:rsidRPr="00EF52A6">
        <w:rPr>
          <w:bCs/>
          <w:sz w:val="22"/>
          <w:szCs w:val="22"/>
          <w:lang w:val="sr-Latn-ME"/>
        </w:rPr>
        <w:t>j</w:t>
      </w:r>
      <w:r w:rsidRPr="00EF52A6">
        <w:rPr>
          <w:bCs/>
          <w:sz w:val="22"/>
          <w:szCs w:val="22"/>
          <w:lang w:val="sr-Latn-ME"/>
        </w:rPr>
        <w:t>enu i/ili smanjiti dozu ili trajno prekinuti l</w:t>
      </w:r>
      <w:r w:rsidR="00407E86" w:rsidRPr="00EF52A6">
        <w:rPr>
          <w:bCs/>
          <w:sz w:val="22"/>
          <w:szCs w:val="22"/>
          <w:lang w:val="sr-Latn-ME"/>
        </w:rPr>
        <w:t>ij</w:t>
      </w:r>
      <w:r w:rsidRPr="00EF52A6">
        <w:rPr>
          <w:bCs/>
          <w:sz w:val="22"/>
          <w:szCs w:val="22"/>
          <w:lang w:val="sr-Latn-ME"/>
        </w:rPr>
        <w:t>ečenje selumetinibom (vid</w:t>
      </w:r>
      <w:r w:rsidR="00407E86" w:rsidRPr="00EF52A6">
        <w:rPr>
          <w:bCs/>
          <w:sz w:val="22"/>
          <w:szCs w:val="22"/>
          <w:lang w:val="sr-Latn-ME"/>
        </w:rPr>
        <w:t>j</w:t>
      </w:r>
      <w:r w:rsidRPr="00EF52A6">
        <w:rPr>
          <w:bCs/>
          <w:sz w:val="22"/>
          <w:szCs w:val="22"/>
          <w:lang w:val="sr-Latn-ME"/>
        </w:rPr>
        <w:t xml:space="preserve">eti </w:t>
      </w:r>
      <w:r w:rsidR="00407E86" w:rsidRPr="00EF52A6">
        <w:rPr>
          <w:bCs/>
          <w:sz w:val="22"/>
          <w:szCs w:val="22"/>
          <w:lang w:val="sr-Latn-ME"/>
        </w:rPr>
        <w:t>djelove</w:t>
      </w:r>
      <w:r w:rsidRPr="00EF52A6">
        <w:rPr>
          <w:bCs/>
          <w:sz w:val="22"/>
          <w:szCs w:val="22"/>
          <w:lang w:val="sr-Latn-ME"/>
        </w:rPr>
        <w:t xml:space="preserve"> 4.4</w:t>
      </w:r>
      <w:r w:rsidR="002B151A" w:rsidRPr="00EF52A6">
        <w:rPr>
          <w:bCs/>
          <w:sz w:val="22"/>
          <w:szCs w:val="22"/>
          <w:lang w:val="sr-Latn-ME"/>
        </w:rPr>
        <w:t>.</w:t>
      </w:r>
      <w:r w:rsidRPr="00EF52A6">
        <w:rPr>
          <w:bCs/>
          <w:sz w:val="22"/>
          <w:szCs w:val="22"/>
          <w:lang w:val="sr-Latn-ME"/>
        </w:rPr>
        <w:t xml:space="preserve"> i 4.8). U tabeli 2 navedene su preporuke za smanjenje doze prema kojima će možda biti neophodno pod</w:t>
      </w:r>
      <w:r w:rsidR="00407E86" w:rsidRPr="00EF52A6">
        <w:rPr>
          <w:bCs/>
          <w:sz w:val="22"/>
          <w:szCs w:val="22"/>
          <w:lang w:val="sr-Latn-ME"/>
        </w:rPr>
        <w:t>ij</w:t>
      </w:r>
      <w:r w:rsidRPr="00EF52A6">
        <w:rPr>
          <w:bCs/>
          <w:sz w:val="22"/>
          <w:szCs w:val="22"/>
          <w:lang w:val="sr-Latn-ME"/>
        </w:rPr>
        <w:t>eliti dnevnu dozu u dv</w:t>
      </w:r>
      <w:r w:rsidR="00407E86" w:rsidRPr="00EF52A6">
        <w:rPr>
          <w:bCs/>
          <w:sz w:val="22"/>
          <w:szCs w:val="22"/>
          <w:lang w:val="sr-Latn-ME"/>
        </w:rPr>
        <w:t>ij</w:t>
      </w:r>
      <w:r w:rsidRPr="00EF52A6">
        <w:rPr>
          <w:bCs/>
          <w:sz w:val="22"/>
          <w:szCs w:val="22"/>
          <w:lang w:val="sr-Latn-ME"/>
        </w:rPr>
        <w:t xml:space="preserve">e doze različitih jačina ili </w:t>
      </w:r>
      <w:r w:rsidR="003542FB" w:rsidRPr="00EF52A6">
        <w:rPr>
          <w:bCs/>
          <w:sz w:val="22"/>
          <w:szCs w:val="22"/>
          <w:lang w:val="sr-Latn-ME"/>
        </w:rPr>
        <w:t xml:space="preserve">da se lijek </w:t>
      </w:r>
      <w:r w:rsidRPr="00EF52A6">
        <w:rPr>
          <w:bCs/>
          <w:sz w:val="22"/>
          <w:szCs w:val="22"/>
          <w:lang w:val="sr-Latn-ME"/>
        </w:rPr>
        <w:t>prim</w:t>
      </w:r>
      <w:r w:rsidR="00407E86" w:rsidRPr="00EF52A6">
        <w:rPr>
          <w:bCs/>
          <w:sz w:val="22"/>
          <w:szCs w:val="22"/>
          <w:lang w:val="sr-Latn-ME"/>
        </w:rPr>
        <w:t>ij</w:t>
      </w:r>
      <w:r w:rsidRPr="00EF52A6">
        <w:rPr>
          <w:bCs/>
          <w:sz w:val="22"/>
          <w:szCs w:val="22"/>
          <w:lang w:val="sr-Latn-ME"/>
        </w:rPr>
        <w:t>eni u obliku jedne dnevne doze.</w:t>
      </w:r>
    </w:p>
    <w:p w14:paraId="02C09C96" w14:textId="77777777" w:rsidR="00407E86" w:rsidRPr="00EF52A6" w:rsidRDefault="00407E86" w:rsidP="00DF11F1">
      <w:pPr>
        <w:tabs>
          <w:tab w:val="left" w:pos="540"/>
          <w:tab w:val="left" w:pos="569"/>
        </w:tabs>
        <w:jc w:val="both"/>
        <w:rPr>
          <w:b/>
          <w:bCs/>
          <w:sz w:val="22"/>
          <w:szCs w:val="22"/>
          <w:lang w:val="sr-Latn-ME"/>
        </w:rPr>
      </w:pPr>
    </w:p>
    <w:p w14:paraId="31AFCB94" w14:textId="4DA07A5C"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 xml:space="preserve">Tabela 2. Preporučena smanjenja doze u slučaju neželjenih </w:t>
      </w:r>
      <w:r w:rsidR="00662861" w:rsidRPr="00EF52A6">
        <w:rPr>
          <w:b/>
          <w:bCs/>
          <w:sz w:val="22"/>
          <w:szCs w:val="22"/>
          <w:lang w:val="sr-Latn-ME"/>
        </w:rPr>
        <w:t>dejstava</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119"/>
        <w:gridCol w:w="1134"/>
        <w:gridCol w:w="1134"/>
        <w:gridCol w:w="1144"/>
        <w:gridCol w:w="1124"/>
      </w:tblGrid>
      <w:tr w:rsidR="00FF69F8" w:rsidRPr="00EF52A6" w14:paraId="0C7603BE" w14:textId="77777777" w:rsidTr="00DF11F1">
        <w:trPr>
          <w:trHeight w:val="503"/>
        </w:trPr>
        <w:tc>
          <w:tcPr>
            <w:tcW w:w="1843" w:type="dxa"/>
            <w:vMerge w:val="restart"/>
          </w:tcPr>
          <w:p w14:paraId="4021C269" w14:textId="3243E7FB"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T</w:t>
            </w:r>
            <w:r w:rsidR="00407E86" w:rsidRPr="00EF52A6">
              <w:rPr>
                <w:b/>
                <w:bCs/>
                <w:sz w:val="22"/>
                <w:szCs w:val="22"/>
                <w:lang w:val="sr-Latn-ME"/>
              </w:rPr>
              <w:t>j</w:t>
            </w:r>
            <w:r w:rsidRPr="00EF52A6">
              <w:rPr>
                <w:b/>
                <w:bCs/>
                <w:sz w:val="22"/>
                <w:szCs w:val="22"/>
                <w:lang w:val="sr-Latn-ME"/>
              </w:rPr>
              <w:t>elesna površina (BSA)</w:t>
            </w:r>
          </w:p>
        </w:tc>
        <w:tc>
          <w:tcPr>
            <w:tcW w:w="3119" w:type="dxa"/>
            <w:vMerge w:val="restart"/>
          </w:tcPr>
          <w:p w14:paraId="6A2C0138" w14:textId="6A7E3926"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Inicijalna doza l</w:t>
            </w:r>
            <w:r w:rsidR="00407E86" w:rsidRPr="00EF52A6">
              <w:rPr>
                <w:b/>
                <w:bCs/>
                <w:sz w:val="22"/>
                <w:szCs w:val="22"/>
                <w:lang w:val="sr-Latn-ME"/>
              </w:rPr>
              <w:t>ij</w:t>
            </w:r>
            <w:r w:rsidRPr="00EF52A6">
              <w:rPr>
                <w:b/>
                <w:bCs/>
                <w:sz w:val="22"/>
                <w:szCs w:val="22"/>
                <w:lang w:val="sr-Latn-ME"/>
              </w:rPr>
              <w:t>eka Koselugo</w:t>
            </w:r>
            <w:r w:rsidRPr="00EF52A6">
              <w:rPr>
                <w:b/>
                <w:bCs/>
                <w:sz w:val="22"/>
                <w:szCs w:val="22"/>
                <w:vertAlign w:val="superscript"/>
                <w:lang w:val="sr-Latn-ME"/>
              </w:rPr>
              <w:t>a</w:t>
            </w:r>
          </w:p>
          <w:p w14:paraId="3537C1B2"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(mg/dva puta dnevno)</w:t>
            </w:r>
          </w:p>
        </w:tc>
        <w:tc>
          <w:tcPr>
            <w:tcW w:w="2268" w:type="dxa"/>
            <w:gridSpan w:val="2"/>
          </w:tcPr>
          <w:p w14:paraId="370EA946"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Prvo smanjenje doze (mg/doza)</w:t>
            </w:r>
          </w:p>
        </w:tc>
        <w:tc>
          <w:tcPr>
            <w:tcW w:w="2268" w:type="dxa"/>
            <w:gridSpan w:val="2"/>
          </w:tcPr>
          <w:p w14:paraId="4880B394"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Drugo smanjenje doze (mg/doza)</w:t>
            </w:r>
            <w:r w:rsidRPr="00EF52A6">
              <w:rPr>
                <w:b/>
                <w:bCs/>
                <w:sz w:val="22"/>
                <w:szCs w:val="22"/>
                <w:vertAlign w:val="superscript"/>
                <w:lang w:val="sr-Latn-ME"/>
              </w:rPr>
              <w:t>b</w:t>
            </w:r>
          </w:p>
        </w:tc>
      </w:tr>
      <w:tr w:rsidR="00FF69F8" w:rsidRPr="00EF52A6" w14:paraId="6AC04345" w14:textId="77777777" w:rsidTr="00DF11F1">
        <w:trPr>
          <w:trHeight w:val="316"/>
        </w:trPr>
        <w:tc>
          <w:tcPr>
            <w:tcW w:w="1843" w:type="dxa"/>
            <w:vMerge/>
            <w:tcBorders>
              <w:top w:val="nil"/>
            </w:tcBorders>
          </w:tcPr>
          <w:p w14:paraId="267A54BC" w14:textId="77777777" w:rsidR="00FF69F8" w:rsidRPr="00EF52A6" w:rsidRDefault="00FF69F8" w:rsidP="00FF69F8">
            <w:pPr>
              <w:tabs>
                <w:tab w:val="left" w:pos="540"/>
                <w:tab w:val="left" w:pos="569"/>
              </w:tabs>
              <w:rPr>
                <w:bCs/>
                <w:sz w:val="22"/>
                <w:szCs w:val="22"/>
                <w:lang w:val="sr-Latn-ME"/>
              </w:rPr>
            </w:pPr>
          </w:p>
        </w:tc>
        <w:tc>
          <w:tcPr>
            <w:tcW w:w="3119" w:type="dxa"/>
            <w:vMerge/>
            <w:tcBorders>
              <w:top w:val="nil"/>
            </w:tcBorders>
          </w:tcPr>
          <w:p w14:paraId="3E11796D" w14:textId="77777777" w:rsidR="00FF69F8" w:rsidRPr="00EF52A6" w:rsidRDefault="00FF69F8" w:rsidP="00FF69F8">
            <w:pPr>
              <w:tabs>
                <w:tab w:val="left" w:pos="540"/>
                <w:tab w:val="left" w:pos="569"/>
              </w:tabs>
              <w:rPr>
                <w:bCs/>
                <w:sz w:val="22"/>
                <w:szCs w:val="22"/>
                <w:lang w:val="sr-Latn-ME"/>
              </w:rPr>
            </w:pPr>
          </w:p>
        </w:tc>
        <w:tc>
          <w:tcPr>
            <w:tcW w:w="1134" w:type="dxa"/>
          </w:tcPr>
          <w:p w14:paraId="3F6C2F3A"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Ujutru</w:t>
            </w:r>
          </w:p>
        </w:tc>
        <w:tc>
          <w:tcPr>
            <w:tcW w:w="1134" w:type="dxa"/>
          </w:tcPr>
          <w:p w14:paraId="345C9BBD"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Uveče</w:t>
            </w:r>
          </w:p>
        </w:tc>
        <w:tc>
          <w:tcPr>
            <w:tcW w:w="1144" w:type="dxa"/>
          </w:tcPr>
          <w:p w14:paraId="5FCF6911"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Ujutru</w:t>
            </w:r>
          </w:p>
        </w:tc>
        <w:tc>
          <w:tcPr>
            <w:tcW w:w="1124" w:type="dxa"/>
          </w:tcPr>
          <w:p w14:paraId="32FE8EFD"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Uveče</w:t>
            </w:r>
          </w:p>
        </w:tc>
      </w:tr>
      <w:tr w:rsidR="00FF69F8" w:rsidRPr="00EF52A6" w14:paraId="263D910A" w14:textId="77777777" w:rsidTr="00DF11F1">
        <w:trPr>
          <w:trHeight w:val="949"/>
        </w:trPr>
        <w:tc>
          <w:tcPr>
            <w:tcW w:w="1843" w:type="dxa"/>
          </w:tcPr>
          <w:p w14:paraId="6CE19338" w14:textId="77777777" w:rsidR="00FF69F8" w:rsidRPr="00EF52A6" w:rsidRDefault="00FF69F8" w:rsidP="00FF69F8">
            <w:pPr>
              <w:tabs>
                <w:tab w:val="left" w:pos="540"/>
                <w:tab w:val="left" w:pos="569"/>
              </w:tabs>
              <w:rPr>
                <w:b/>
                <w:bCs/>
                <w:sz w:val="22"/>
                <w:szCs w:val="22"/>
                <w:lang w:val="sr-Latn-ME"/>
              </w:rPr>
            </w:pPr>
          </w:p>
          <w:p w14:paraId="24D9AD6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0,55 – 0,69 m</w:t>
            </w:r>
            <w:r w:rsidRPr="00EF52A6">
              <w:rPr>
                <w:bCs/>
                <w:sz w:val="22"/>
                <w:szCs w:val="22"/>
                <w:vertAlign w:val="superscript"/>
                <w:lang w:val="sr-Latn-ME"/>
              </w:rPr>
              <w:t>2</w:t>
            </w:r>
          </w:p>
        </w:tc>
        <w:tc>
          <w:tcPr>
            <w:tcW w:w="3119" w:type="dxa"/>
          </w:tcPr>
          <w:p w14:paraId="4DDEFF98"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 mg ujutru i 10 mg uveče</w:t>
            </w:r>
          </w:p>
        </w:tc>
        <w:tc>
          <w:tcPr>
            <w:tcW w:w="1134" w:type="dxa"/>
          </w:tcPr>
          <w:p w14:paraId="7F00519E" w14:textId="77777777" w:rsidR="00FF69F8" w:rsidRPr="00EF52A6" w:rsidRDefault="00FF69F8" w:rsidP="00FF69F8">
            <w:pPr>
              <w:tabs>
                <w:tab w:val="left" w:pos="540"/>
                <w:tab w:val="left" w:pos="569"/>
              </w:tabs>
              <w:rPr>
                <w:b/>
                <w:bCs/>
                <w:sz w:val="22"/>
                <w:szCs w:val="22"/>
                <w:lang w:val="sr-Latn-ME"/>
              </w:rPr>
            </w:pPr>
          </w:p>
          <w:p w14:paraId="4A480DB6"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134" w:type="dxa"/>
          </w:tcPr>
          <w:p w14:paraId="4942EDF0" w14:textId="77777777" w:rsidR="00FF69F8" w:rsidRPr="00EF52A6" w:rsidRDefault="00FF69F8" w:rsidP="00FF69F8">
            <w:pPr>
              <w:tabs>
                <w:tab w:val="left" w:pos="540"/>
                <w:tab w:val="left" w:pos="569"/>
              </w:tabs>
              <w:rPr>
                <w:b/>
                <w:bCs/>
                <w:sz w:val="22"/>
                <w:szCs w:val="22"/>
                <w:lang w:val="sr-Latn-ME"/>
              </w:rPr>
            </w:pPr>
          </w:p>
          <w:p w14:paraId="27AEDC77"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2268" w:type="dxa"/>
            <w:gridSpan w:val="2"/>
          </w:tcPr>
          <w:p w14:paraId="7A4C979F" w14:textId="77777777" w:rsidR="00FF69F8" w:rsidRPr="00EF52A6" w:rsidRDefault="00FF69F8" w:rsidP="00FF69F8">
            <w:pPr>
              <w:tabs>
                <w:tab w:val="left" w:pos="540"/>
                <w:tab w:val="left" w:pos="569"/>
              </w:tabs>
              <w:rPr>
                <w:b/>
                <w:bCs/>
                <w:sz w:val="22"/>
                <w:szCs w:val="22"/>
                <w:lang w:val="sr-Latn-ME"/>
              </w:rPr>
            </w:pPr>
          </w:p>
          <w:p w14:paraId="67619928"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 mg jednom dnevno</w:t>
            </w:r>
          </w:p>
        </w:tc>
      </w:tr>
      <w:tr w:rsidR="00FF69F8" w:rsidRPr="00EF52A6" w14:paraId="695FFEAB" w14:textId="77777777" w:rsidTr="00DF11F1">
        <w:trPr>
          <w:trHeight w:val="374"/>
        </w:trPr>
        <w:tc>
          <w:tcPr>
            <w:tcW w:w="1843" w:type="dxa"/>
          </w:tcPr>
          <w:p w14:paraId="22F1E9A0"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0,70 – 0,89 m</w:t>
            </w:r>
            <w:r w:rsidRPr="00EF52A6">
              <w:rPr>
                <w:bCs/>
                <w:sz w:val="22"/>
                <w:szCs w:val="22"/>
                <w:vertAlign w:val="superscript"/>
                <w:lang w:val="sr-Latn-ME"/>
              </w:rPr>
              <w:t>2</w:t>
            </w:r>
          </w:p>
        </w:tc>
        <w:tc>
          <w:tcPr>
            <w:tcW w:w="3119" w:type="dxa"/>
          </w:tcPr>
          <w:p w14:paraId="359C736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134" w:type="dxa"/>
          </w:tcPr>
          <w:p w14:paraId="4E04B6F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134" w:type="dxa"/>
          </w:tcPr>
          <w:p w14:paraId="25EC45E6"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144" w:type="dxa"/>
          </w:tcPr>
          <w:p w14:paraId="7442616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124" w:type="dxa"/>
          </w:tcPr>
          <w:p w14:paraId="31A0300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r>
      <w:tr w:rsidR="00FF69F8" w:rsidRPr="00EF52A6" w14:paraId="58F1A2BC" w14:textId="77777777" w:rsidTr="00DF11F1">
        <w:trPr>
          <w:trHeight w:val="369"/>
        </w:trPr>
        <w:tc>
          <w:tcPr>
            <w:tcW w:w="1843" w:type="dxa"/>
          </w:tcPr>
          <w:p w14:paraId="22B9DCCF"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0,90 – 1,09 m</w:t>
            </w:r>
            <w:r w:rsidRPr="00EF52A6">
              <w:rPr>
                <w:bCs/>
                <w:sz w:val="22"/>
                <w:szCs w:val="22"/>
                <w:vertAlign w:val="superscript"/>
                <w:lang w:val="sr-Latn-ME"/>
              </w:rPr>
              <w:t>2</w:t>
            </w:r>
          </w:p>
        </w:tc>
        <w:tc>
          <w:tcPr>
            <w:tcW w:w="3119" w:type="dxa"/>
          </w:tcPr>
          <w:p w14:paraId="4F58C03F"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34" w:type="dxa"/>
          </w:tcPr>
          <w:p w14:paraId="1AD422EE"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34" w:type="dxa"/>
          </w:tcPr>
          <w:p w14:paraId="574CC978"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144" w:type="dxa"/>
          </w:tcPr>
          <w:p w14:paraId="37D9E59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124" w:type="dxa"/>
          </w:tcPr>
          <w:p w14:paraId="3D49F2BA"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r>
      <w:tr w:rsidR="00FF69F8" w:rsidRPr="00EF52A6" w14:paraId="1922E7B7" w14:textId="77777777" w:rsidTr="00DF11F1">
        <w:trPr>
          <w:trHeight w:val="369"/>
        </w:trPr>
        <w:tc>
          <w:tcPr>
            <w:tcW w:w="1843" w:type="dxa"/>
          </w:tcPr>
          <w:p w14:paraId="48FCE5F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1,10 – 1,29 m</w:t>
            </w:r>
            <w:r w:rsidRPr="00EF52A6">
              <w:rPr>
                <w:bCs/>
                <w:sz w:val="22"/>
                <w:szCs w:val="22"/>
                <w:vertAlign w:val="superscript"/>
                <w:lang w:val="sr-Latn-ME"/>
              </w:rPr>
              <w:t>2</w:t>
            </w:r>
          </w:p>
        </w:tc>
        <w:tc>
          <w:tcPr>
            <w:tcW w:w="3119" w:type="dxa"/>
          </w:tcPr>
          <w:p w14:paraId="290FA64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134" w:type="dxa"/>
          </w:tcPr>
          <w:p w14:paraId="586BA2D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34" w:type="dxa"/>
          </w:tcPr>
          <w:p w14:paraId="3452641A"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144" w:type="dxa"/>
          </w:tcPr>
          <w:p w14:paraId="57D6FF0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124" w:type="dxa"/>
          </w:tcPr>
          <w:p w14:paraId="6E038C1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r>
      <w:tr w:rsidR="00FF69F8" w:rsidRPr="00EF52A6" w14:paraId="07FDDDDB" w14:textId="77777777" w:rsidTr="00DF11F1">
        <w:trPr>
          <w:trHeight w:val="373"/>
        </w:trPr>
        <w:tc>
          <w:tcPr>
            <w:tcW w:w="1843" w:type="dxa"/>
          </w:tcPr>
          <w:p w14:paraId="6B200D5A"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lastRenderedPageBreak/>
              <w:t>1,30 – 1,49 m</w:t>
            </w:r>
            <w:r w:rsidRPr="00EF52A6">
              <w:rPr>
                <w:bCs/>
                <w:sz w:val="22"/>
                <w:szCs w:val="22"/>
                <w:vertAlign w:val="superscript"/>
                <w:lang w:val="sr-Latn-ME"/>
              </w:rPr>
              <w:t>2</w:t>
            </w:r>
          </w:p>
        </w:tc>
        <w:tc>
          <w:tcPr>
            <w:tcW w:w="3119" w:type="dxa"/>
          </w:tcPr>
          <w:p w14:paraId="47AD268A"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w:t>
            </w:r>
          </w:p>
        </w:tc>
        <w:tc>
          <w:tcPr>
            <w:tcW w:w="1134" w:type="dxa"/>
          </w:tcPr>
          <w:p w14:paraId="58AC44E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34" w:type="dxa"/>
          </w:tcPr>
          <w:p w14:paraId="63DBA09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44" w:type="dxa"/>
          </w:tcPr>
          <w:p w14:paraId="7BAD934E"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24" w:type="dxa"/>
          </w:tcPr>
          <w:p w14:paraId="4CF9033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r>
      <w:tr w:rsidR="00FF69F8" w:rsidRPr="00EF52A6" w14:paraId="1D377ED2" w14:textId="77777777" w:rsidTr="00DF11F1">
        <w:trPr>
          <w:trHeight w:val="369"/>
        </w:trPr>
        <w:tc>
          <w:tcPr>
            <w:tcW w:w="1843" w:type="dxa"/>
          </w:tcPr>
          <w:p w14:paraId="3134D1D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1,50 – 1,69 m</w:t>
            </w:r>
            <w:r w:rsidRPr="00EF52A6">
              <w:rPr>
                <w:bCs/>
                <w:sz w:val="22"/>
                <w:szCs w:val="22"/>
                <w:vertAlign w:val="superscript"/>
                <w:lang w:val="sr-Latn-ME"/>
              </w:rPr>
              <w:t>2</w:t>
            </w:r>
          </w:p>
        </w:tc>
        <w:tc>
          <w:tcPr>
            <w:tcW w:w="3119" w:type="dxa"/>
          </w:tcPr>
          <w:p w14:paraId="52639A58"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40</w:t>
            </w:r>
          </w:p>
        </w:tc>
        <w:tc>
          <w:tcPr>
            <w:tcW w:w="1134" w:type="dxa"/>
          </w:tcPr>
          <w:p w14:paraId="52250F5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134" w:type="dxa"/>
          </w:tcPr>
          <w:p w14:paraId="72CB441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144" w:type="dxa"/>
          </w:tcPr>
          <w:p w14:paraId="7B010AD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24" w:type="dxa"/>
          </w:tcPr>
          <w:p w14:paraId="720AA3B6"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r>
      <w:tr w:rsidR="00FF69F8" w:rsidRPr="00EF52A6" w14:paraId="130604B1" w14:textId="77777777" w:rsidTr="00DF11F1">
        <w:trPr>
          <w:trHeight w:val="369"/>
        </w:trPr>
        <w:tc>
          <w:tcPr>
            <w:tcW w:w="1843" w:type="dxa"/>
          </w:tcPr>
          <w:p w14:paraId="750901F2"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1,70 – 1,89 m</w:t>
            </w:r>
            <w:r w:rsidRPr="00EF52A6">
              <w:rPr>
                <w:bCs/>
                <w:sz w:val="22"/>
                <w:szCs w:val="22"/>
                <w:vertAlign w:val="superscript"/>
                <w:lang w:val="sr-Latn-ME"/>
              </w:rPr>
              <w:t>2</w:t>
            </w:r>
          </w:p>
        </w:tc>
        <w:tc>
          <w:tcPr>
            <w:tcW w:w="3119" w:type="dxa"/>
          </w:tcPr>
          <w:p w14:paraId="759CA1F0"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45</w:t>
            </w:r>
          </w:p>
        </w:tc>
        <w:tc>
          <w:tcPr>
            <w:tcW w:w="1134" w:type="dxa"/>
          </w:tcPr>
          <w:p w14:paraId="14FD6C4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w:t>
            </w:r>
          </w:p>
        </w:tc>
        <w:tc>
          <w:tcPr>
            <w:tcW w:w="1134" w:type="dxa"/>
          </w:tcPr>
          <w:p w14:paraId="5930800A"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144" w:type="dxa"/>
          </w:tcPr>
          <w:p w14:paraId="34ACF712"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24" w:type="dxa"/>
          </w:tcPr>
          <w:p w14:paraId="6A8F358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r>
      <w:tr w:rsidR="00FF69F8" w:rsidRPr="00EF52A6" w14:paraId="3FBBDCB2" w14:textId="77777777" w:rsidTr="00DF11F1">
        <w:trPr>
          <w:trHeight w:val="373"/>
        </w:trPr>
        <w:tc>
          <w:tcPr>
            <w:tcW w:w="1843" w:type="dxa"/>
          </w:tcPr>
          <w:p w14:paraId="68EEC30E"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 1,90 m</w:t>
            </w:r>
            <w:r w:rsidRPr="00EF52A6">
              <w:rPr>
                <w:bCs/>
                <w:sz w:val="22"/>
                <w:szCs w:val="22"/>
                <w:vertAlign w:val="superscript"/>
                <w:lang w:val="sr-Latn-ME"/>
              </w:rPr>
              <w:t>2</w:t>
            </w:r>
          </w:p>
        </w:tc>
        <w:tc>
          <w:tcPr>
            <w:tcW w:w="3119" w:type="dxa"/>
          </w:tcPr>
          <w:p w14:paraId="2ABDD83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50</w:t>
            </w:r>
          </w:p>
        </w:tc>
        <w:tc>
          <w:tcPr>
            <w:tcW w:w="1134" w:type="dxa"/>
          </w:tcPr>
          <w:p w14:paraId="501D6211"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w:t>
            </w:r>
          </w:p>
        </w:tc>
        <w:tc>
          <w:tcPr>
            <w:tcW w:w="1134" w:type="dxa"/>
          </w:tcPr>
          <w:p w14:paraId="1248121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w:t>
            </w:r>
          </w:p>
        </w:tc>
        <w:tc>
          <w:tcPr>
            <w:tcW w:w="1144" w:type="dxa"/>
          </w:tcPr>
          <w:p w14:paraId="71EA2BF4"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124" w:type="dxa"/>
          </w:tcPr>
          <w:p w14:paraId="3FA533AA"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r>
    </w:tbl>
    <w:p w14:paraId="250E6DA2" w14:textId="77777777" w:rsidR="00FF69F8" w:rsidRPr="00EF52A6" w:rsidRDefault="00FF69F8" w:rsidP="00FF69F8">
      <w:pPr>
        <w:tabs>
          <w:tab w:val="left" w:pos="540"/>
          <w:tab w:val="left" w:pos="569"/>
        </w:tabs>
        <w:rPr>
          <w:bCs/>
          <w:sz w:val="22"/>
          <w:szCs w:val="22"/>
          <w:lang w:val="sr-Latn-ME"/>
        </w:rPr>
      </w:pPr>
      <w:r w:rsidRPr="00EF52A6">
        <w:rPr>
          <w:bCs/>
          <w:sz w:val="22"/>
          <w:szCs w:val="22"/>
          <w:vertAlign w:val="superscript"/>
          <w:lang w:val="sr-Latn-ME"/>
        </w:rPr>
        <w:t>a</w:t>
      </w:r>
      <w:r w:rsidRPr="00EF52A6">
        <w:rPr>
          <w:bCs/>
          <w:sz w:val="22"/>
          <w:szCs w:val="22"/>
          <w:lang w:val="sr-Latn-ME"/>
        </w:rPr>
        <w:t xml:space="preserve"> Na osnovu BSA kako je prikazano u tabeli 1.</w:t>
      </w:r>
    </w:p>
    <w:p w14:paraId="3590B8F1" w14:textId="71BBC4D4" w:rsidR="00FF69F8" w:rsidRPr="00EF52A6" w:rsidRDefault="00FF69F8" w:rsidP="00FF69F8">
      <w:pPr>
        <w:tabs>
          <w:tab w:val="left" w:pos="540"/>
          <w:tab w:val="left" w:pos="569"/>
        </w:tabs>
        <w:rPr>
          <w:bCs/>
          <w:sz w:val="22"/>
          <w:szCs w:val="22"/>
          <w:lang w:val="sr-Latn-ME"/>
        </w:rPr>
      </w:pPr>
      <w:r w:rsidRPr="00EF52A6">
        <w:rPr>
          <w:bCs/>
          <w:sz w:val="22"/>
          <w:szCs w:val="22"/>
          <w:vertAlign w:val="superscript"/>
          <w:lang w:val="sr-Latn-ME"/>
        </w:rPr>
        <w:t>b</w:t>
      </w:r>
      <w:r w:rsidRPr="00EF52A6">
        <w:rPr>
          <w:bCs/>
          <w:sz w:val="22"/>
          <w:szCs w:val="22"/>
          <w:lang w:val="sr-Latn-ME"/>
        </w:rPr>
        <w:t xml:space="preserve"> Trajno prekinuti l</w:t>
      </w:r>
      <w:r w:rsidR="00407E86" w:rsidRPr="00EF52A6">
        <w:rPr>
          <w:bCs/>
          <w:sz w:val="22"/>
          <w:szCs w:val="22"/>
          <w:lang w:val="sr-Latn-ME"/>
        </w:rPr>
        <w:t>ij</w:t>
      </w:r>
      <w:r w:rsidRPr="00EF52A6">
        <w:rPr>
          <w:bCs/>
          <w:sz w:val="22"/>
          <w:szCs w:val="22"/>
          <w:lang w:val="sr-Latn-ME"/>
        </w:rPr>
        <w:t>ečenje pacijenata koji ne mogu da podnose l</w:t>
      </w:r>
      <w:r w:rsidR="00407E86" w:rsidRPr="00EF52A6">
        <w:rPr>
          <w:bCs/>
          <w:sz w:val="22"/>
          <w:szCs w:val="22"/>
          <w:lang w:val="sr-Latn-ME"/>
        </w:rPr>
        <w:t>ij</w:t>
      </w:r>
      <w:r w:rsidRPr="00EF52A6">
        <w:rPr>
          <w:bCs/>
          <w:sz w:val="22"/>
          <w:szCs w:val="22"/>
          <w:lang w:val="sr-Latn-ME"/>
        </w:rPr>
        <w:t>ek Koselugo nakon dva smanjenja doze.</w:t>
      </w:r>
    </w:p>
    <w:p w14:paraId="41B0674E" w14:textId="77777777" w:rsidR="00FF69F8" w:rsidRPr="00EF52A6" w:rsidRDefault="00FF69F8" w:rsidP="00FF69F8">
      <w:pPr>
        <w:tabs>
          <w:tab w:val="left" w:pos="540"/>
          <w:tab w:val="left" w:pos="569"/>
        </w:tabs>
        <w:rPr>
          <w:bCs/>
          <w:sz w:val="22"/>
          <w:szCs w:val="22"/>
          <w:lang w:val="sr-Latn-ME"/>
        </w:rPr>
      </w:pPr>
    </w:p>
    <w:p w14:paraId="6EDCE2F0" w14:textId="208300F4"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Modifikacije doza u cilju r</w:t>
      </w:r>
      <w:r w:rsidR="00407E86" w:rsidRPr="00EF52A6">
        <w:rPr>
          <w:bCs/>
          <w:sz w:val="22"/>
          <w:szCs w:val="22"/>
          <w:lang w:val="sr-Latn-ME"/>
        </w:rPr>
        <w:t>j</w:t>
      </w:r>
      <w:r w:rsidRPr="00EF52A6">
        <w:rPr>
          <w:bCs/>
          <w:sz w:val="22"/>
          <w:szCs w:val="22"/>
          <w:lang w:val="sr-Latn-ME"/>
        </w:rPr>
        <w:t xml:space="preserve">ešavanja neželjenih </w:t>
      </w:r>
      <w:r w:rsidR="00662861" w:rsidRPr="00EF52A6">
        <w:rPr>
          <w:bCs/>
          <w:sz w:val="22"/>
          <w:szCs w:val="22"/>
          <w:lang w:val="sr-Latn-ME"/>
        </w:rPr>
        <w:t xml:space="preserve">dejstava </w:t>
      </w:r>
      <w:r w:rsidRPr="00EF52A6">
        <w:rPr>
          <w:bCs/>
          <w:sz w:val="22"/>
          <w:szCs w:val="22"/>
          <w:lang w:val="sr-Latn-ME"/>
        </w:rPr>
        <w:t>povezanih sa ovim l</w:t>
      </w:r>
      <w:r w:rsidR="00407E86" w:rsidRPr="00EF52A6">
        <w:rPr>
          <w:bCs/>
          <w:sz w:val="22"/>
          <w:szCs w:val="22"/>
          <w:lang w:val="sr-Latn-ME"/>
        </w:rPr>
        <w:t>ij</w:t>
      </w:r>
      <w:r w:rsidRPr="00EF52A6">
        <w:rPr>
          <w:bCs/>
          <w:sz w:val="22"/>
          <w:szCs w:val="22"/>
          <w:lang w:val="sr-Latn-ME"/>
        </w:rPr>
        <w:t>ekom predstavljene su u tabeli 3.</w:t>
      </w:r>
    </w:p>
    <w:p w14:paraId="2AFB0208" w14:textId="77777777" w:rsidR="00FF69F8" w:rsidRPr="00EF52A6" w:rsidRDefault="00FF69F8" w:rsidP="00FF69F8">
      <w:pPr>
        <w:tabs>
          <w:tab w:val="left" w:pos="540"/>
          <w:tab w:val="left" w:pos="569"/>
        </w:tabs>
        <w:rPr>
          <w:bCs/>
          <w:sz w:val="22"/>
          <w:szCs w:val="22"/>
          <w:lang w:val="sr-Latn-ME"/>
        </w:rPr>
      </w:pPr>
    </w:p>
    <w:p w14:paraId="7A89B5A9" w14:textId="5CC848D6"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 xml:space="preserve">Tabela 3. Modifikacije doze u slučaju neželjenih </w:t>
      </w:r>
      <w:r w:rsidR="00662861" w:rsidRPr="00EF52A6">
        <w:rPr>
          <w:b/>
          <w:bCs/>
          <w:sz w:val="22"/>
          <w:szCs w:val="22"/>
          <w:lang w:val="sr-Latn-ME"/>
        </w:rPr>
        <w:t>dejstava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6867"/>
      </w:tblGrid>
      <w:tr w:rsidR="00FF69F8" w:rsidRPr="00EF52A6" w14:paraId="319EA6D8" w14:textId="77777777" w:rsidTr="00DF11F1">
        <w:trPr>
          <w:trHeight w:val="258"/>
        </w:trPr>
        <w:tc>
          <w:tcPr>
            <w:tcW w:w="2631" w:type="dxa"/>
          </w:tcPr>
          <w:p w14:paraId="100AFC8C"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Gradus CTCAE*</w:t>
            </w:r>
          </w:p>
        </w:tc>
        <w:tc>
          <w:tcPr>
            <w:tcW w:w="6867" w:type="dxa"/>
          </w:tcPr>
          <w:p w14:paraId="10874CEC"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Preporučena modifikacija doze</w:t>
            </w:r>
          </w:p>
        </w:tc>
      </w:tr>
      <w:tr w:rsidR="00FF69F8" w:rsidRPr="00EF52A6" w14:paraId="18E8EF6C" w14:textId="77777777" w:rsidTr="00DF11F1">
        <w:trPr>
          <w:trHeight w:val="877"/>
        </w:trPr>
        <w:tc>
          <w:tcPr>
            <w:tcW w:w="2631" w:type="dxa"/>
          </w:tcPr>
          <w:p w14:paraId="740774A4" w14:textId="77777777" w:rsidR="00662861" w:rsidRPr="00EF52A6" w:rsidRDefault="00FF69F8" w:rsidP="00FF69F8">
            <w:pPr>
              <w:tabs>
                <w:tab w:val="left" w:pos="540"/>
                <w:tab w:val="left" w:pos="569"/>
              </w:tabs>
              <w:rPr>
                <w:bCs/>
                <w:sz w:val="22"/>
                <w:szCs w:val="22"/>
                <w:lang w:val="sr-Latn-ME"/>
              </w:rPr>
            </w:pPr>
            <w:r w:rsidRPr="00EF52A6">
              <w:rPr>
                <w:b/>
                <w:bCs/>
                <w:sz w:val="22"/>
                <w:szCs w:val="22"/>
                <w:lang w:val="sr-Latn-ME"/>
              </w:rPr>
              <w:t>1. ili 2. gradus</w:t>
            </w:r>
          </w:p>
          <w:p w14:paraId="1D344191" w14:textId="15123D8B" w:rsidR="00FF69F8" w:rsidRPr="00EF52A6" w:rsidRDefault="00FF69F8">
            <w:pPr>
              <w:tabs>
                <w:tab w:val="left" w:pos="540"/>
                <w:tab w:val="left" w:pos="569"/>
              </w:tabs>
              <w:rPr>
                <w:bCs/>
                <w:sz w:val="22"/>
                <w:szCs w:val="22"/>
                <w:lang w:val="sr-Latn-ME"/>
              </w:rPr>
            </w:pPr>
            <w:r w:rsidRPr="00EF52A6">
              <w:rPr>
                <w:bCs/>
                <w:sz w:val="22"/>
                <w:szCs w:val="22"/>
                <w:lang w:val="sr-Latn-ME"/>
              </w:rPr>
              <w:t>(podnošljivo</w:t>
            </w:r>
            <w:r w:rsidR="00662861" w:rsidRPr="00EF52A6">
              <w:rPr>
                <w:bCs/>
                <w:sz w:val="22"/>
                <w:szCs w:val="22"/>
                <w:lang w:val="sr-Latn-ME"/>
              </w:rPr>
              <w:t xml:space="preserve"> </w:t>
            </w:r>
            <w:r w:rsidRPr="00EF52A6">
              <w:rPr>
                <w:bCs/>
                <w:sz w:val="22"/>
                <w:szCs w:val="22"/>
                <w:lang w:val="sr-Latn-ME"/>
              </w:rPr>
              <w:t>– može se zbrinuti suportivnim l</w:t>
            </w:r>
            <w:r w:rsidR="00407E86" w:rsidRPr="00EF52A6">
              <w:rPr>
                <w:bCs/>
                <w:sz w:val="22"/>
                <w:szCs w:val="22"/>
                <w:lang w:val="sr-Latn-ME"/>
              </w:rPr>
              <w:t>ij</w:t>
            </w:r>
            <w:r w:rsidRPr="00EF52A6">
              <w:rPr>
                <w:bCs/>
                <w:sz w:val="22"/>
                <w:szCs w:val="22"/>
                <w:lang w:val="sr-Latn-ME"/>
              </w:rPr>
              <w:t>ečenjem)</w:t>
            </w:r>
          </w:p>
        </w:tc>
        <w:tc>
          <w:tcPr>
            <w:tcW w:w="6867" w:type="dxa"/>
          </w:tcPr>
          <w:p w14:paraId="78C42C6B" w14:textId="5F5FCE79" w:rsidR="00FF69F8" w:rsidRPr="00EF52A6" w:rsidRDefault="00FF69F8" w:rsidP="00FF69F8">
            <w:pPr>
              <w:tabs>
                <w:tab w:val="left" w:pos="540"/>
                <w:tab w:val="left" w:pos="569"/>
              </w:tabs>
              <w:rPr>
                <w:bCs/>
                <w:sz w:val="22"/>
                <w:szCs w:val="22"/>
                <w:lang w:val="sr-Latn-ME"/>
              </w:rPr>
            </w:pPr>
            <w:r w:rsidRPr="00EF52A6">
              <w:rPr>
                <w:bCs/>
                <w:sz w:val="22"/>
                <w:szCs w:val="22"/>
                <w:lang w:val="sr-Latn-ME"/>
              </w:rPr>
              <w:t>Nastaviti l</w:t>
            </w:r>
            <w:r w:rsidR="00407E86" w:rsidRPr="00EF52A6">
              <w:rPr>
                <w:bCs/>
                <w:sz w:val="22"/>
                <w:szCs w:val="22"/>
                <w:lang w:val="sr-Latn-ME"/>
              </w:rPr>
              <w:t>ij</w:t>
            </w:r>
            <w:r w:rsidRPr="00EF52A6">
              <w:rPr>
                <w:bCs/>
                <w:sz w:val="22"/>
                <w:szCs w:val="22"/>
                <w:lang w:val="sr-Latn-ME"/>
              </w:rPr>
              <w:t>ečenje i pratiti prema kliničkoj indikaciji</w:t>
            </w:r>
          </w:p>
        </w:tc>
      </w:tr>
      <w:tr w:rsidR="00FF69F8" w:rsidRPr="00EF52A6" w14:paraId="14C07628" w14:textId="77777777" w:rsidTr="00DF11F1">
        <w:trPr>
          <w:trHeight w:val="1132"/>
        </w:trPr>
        <w:tc>
          <w:tcPr>
            <w:tcW w:w="2631" w:type="dxa"/>
          </w:tcPr>
          <w:p w14:paraId="422BC489" w14:textId="77777777" w:rsidR="00662861" w:rsidRPr="00EF52A6" w:rsidRDefault="00FF69F8" w:rsidP="00FF69F8">
            <w:pPr>
              <w:tabs>
                <w:tab w:val="left" w:pos="540"/>
                <w:tab w:val="left" w:pos="569"/>
              </w:tabs>
              <w:rPr>
                <w:b/>
                <w:bCs/>
                <w:sz w:val="22"/>
                <w:szCs w:val="22"/>
                <w:lang w:val="sr-Latn-ME"/>
              </w:rPr>
            </w:pPr>
            <w:r w:rsidRPr="00EF52A6">
              <w:rPr>
                <w:b/>
                <w:bCs/>
                <w:sz w:val="22"/>
                <w:szCs w:val="22"/>
                <w:lang w:val="sr-Latn-ME"/>
              </w:rPr>
              <w:t>2. gradus</w:t>
            </w:r>
          </w:p>
          <w:p w14:paraId="4B87BADD" w14:textId="77CFBCF5" w:rsidR="00662861" w:rsidRPr="00EF52A6" w:rsidRDefault="00FF69F8" w:rsidP="00FF69F8">
            <w:pPr>
              <w:tabs>
                <w:tab w:val="left" w:pos="540"/>
                <w:tab w:val="left" w:pos="569"/>
              </w:tabs>
              <w:rPr>
                <w:bCs/>
                <w:sz w:val="22"/>
                <w:szCs w:val="22"/>
                <w:lang w:val="sr-Latn-ME"/>
              </w:rPr>
            </w:pPr>
            <w:r w:rsidRPr="00EF52A6">
              <w:rPr>
                <w:bCs/>
                <w:sz w:val="22"/>
                <w:szCs w:val="22"/>
                <w:lang w:val="sr-Latn-ME"/>
              </w:rPr>
              <w:t>(nepodnošljivo – ne može se zbrinuti suportivnim l</w:t>
            </w:r>
            <w:r w:rsidR="00407E86" w:rsidRPr="00EF52A6">
              <w:rPr>
                <w:bCs/>
                <w:sz w:val="22"/>
                <w:szCs w:val="22"/>
                <w:lang w:val="sr-Latn-ME"/>
              </w:rPr>
              <w:t>ij</w:t>
            </w:r>
            <w:r w:rsidRPr="00EF52A6">
              <w:rPr>
                <w:bCs/>
                <w:sz w:val="22"/>
                <w:szCs w:val="22"/>
                <w:lang w:val="sr-Latn-ME"/>
              </w:rPr>
              <w:t>ečenjem)</w:t>
            </w:r>
          </w:p>
          <w:p w14:paraId="3B35C11A" w14:textId="7790FD6F" w:rsidR="00FF69F8" w:rsidRPr="00EF52A6" w:rsidRDefault="00FF69F8" w:rsidP="00FF69F8">
            <w:pPr>
              <w:tabs>
                <w:tab w:val="left" w:pos="540"/>
                <w:tab w:val="left" w:pos="569"/>
              </w:tabs>
              <w:rPr>
                <w:b/>
                <w:bCs/>
                <w:sz w:val="22"/>
                <w:szCs w:val="22"/>
                <w:lang w:val="sr-Latn-ME"/>
              </w:rPr>
            </w:pPr>
            <w:r w:rsidRPr="00EF52A6">
              <w:rPr>
                <w:bCs/>
                <w:sz w:val="22"/>
                <w:szCs w:val="22"/>
                <w:lang w:val="sr-Latn-ME"/>
              </w:rPr>
              <w:t xml:space="preserve">ili </w:t>
            </w:r>
            <w:r w:rsidRPr="00EF52A6">
              <w:rPr>
                <w:b/>
                <w:bCs/>
                <w:sz w:val="22"/>
                <w:szCs w:val="22"/>
                <w:lang w:val="sr-Latn-ME"/>
              </w:rPr>
              <w:t>3. gradus</w:t>
            </w:r>
          </w:p>
        </w:tc>
        <w:tc>
          <w:tcPr>
            <w:tcW w:w="6867" w:type="dxa"/>
          </w:tcPr>
          <w:p w14:paraId="183DC522" w14:textId="1D15F21A" w:rsidR="00FF69F8" w:rsidRPr="00EF52A6" w:rsidRDefault="00FF69F8" w:rsidP="00FF69F8">
            <w:pPr>
              <w:tabs>
                <w:tab w:val="left" w:pos="540"/>
                <w:tab w:val="left" w:pos="569"/>
              </w:tabs>
              <w:rPr>
                <w:bCs/>
                <w:sz w:val="22"/>
                <w:szCs w:val="22"/>
                <w:lang w:val="sr-Latn-ME"/>
              </w:rPr>
            </w:pPr>
            <w:r w:rsidRPr="00EF52A6">
              <w:rPr>
                <w:bCs/>
                <w:sz w:val="22"/>
                <w:szCs w:val="22"/>
                <w:lang w:val="sr-Latn-ME"/>
              </w:rPr>
              <w:t>Privremeno prekinuti l</w:t>
            </w:r>
            <w:r w:rsidR="00407E86" w:rsidRPr="00EF52A6">
              <w:rPr>
                <w:bCs/>
                <w:sz w:val="22"/>
                <w:szCs w:val="22"/>
                <w:lang w:val="sr-Latn-ME"/>
              </w:rPr>
              <w:t>ij</w:t>
            </w:r>
            <w:r w:rsidRPr="00EF52A6">
              <w:rPr>
                <w:bCs/>
                <w:sz w:val="22"/>
                <w:szCs w:val="22"/>
                <w:lang w:val="sr-Latn-ME"/>
              </w:rPr>
              <w:t>ečenje dok se toksičnost ne ublaži do 0. ili 1. gradusa, a zatim nastaviti l</w:t>
            </w:r>
            <w:r w:rsidR="00407E86" w:rsidRPr="00EF52A6">
              <w:rPr>
                <w:bCs/>
                <w:sz w:val="22"/>
                <w:szCs w:val="22"/>
                <w:lang w:val="sr-Latn-ME"/>
              </w:rPr>
              <w:t>ij</w:t>
            </w:r>
            <w:r w:rsidRPr="00EF52A6">
              <w:rPr>
                <w:bCs/>
                <w:sz w:val="22"/>
                <w:szCs w:val="22"/>
                <w:lang w:val="sr-Latn-ME"/>
              </w:rPr>
              <w:t>ečenje dozom smanjenom za jedan nivo (vid</w:t>
            </w:r>
            <w:r w:rsidR="00407E86" w:rsidRPr="00EF52A6">
              <w:rPr>
                <w:bCs/>
                <w:sz w:val="22"/>
                <w:szCs w:val="22"/>
                <w:lang w:val="sr-Latn-ME"/>
              </w:rPr>
              <w:t>j</w:t>
            </w:r>
            <w:r w:rsidRPr="00EF52A6">
              <w:rPr>
                <w:bCs/>
                <w:sz w:val="22"/>
                <w:szCs w:val="22"/>
                <w:lang w:val="sr-Latn-ME"/>
              </w:rPr>
              <w:t>eti tabelu 2)</w:t>
            </w:r>
          </w:p>
        </w:tc>
      </w:tr>
      <w:tr w:rsidR="00FF69F8" w:rsidRPr="00EF52A6" w14:paraId="53F29046" w14:textId="77777777" w:rsidTr="00DF11F1">
        <w:trPr>
          <w:trHeight w:val="628"/>
        </w:trPr>
        <w:tc>
          <w:tcPr>
            <w:tcW w:w="2631" w:type="dxa"/>
          </w:tcPr>
          <w:p w14:paraId="368196FA"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4. gradus</w:t>
            </w:r>
          </w:p>
        </w:tc>
        <w:tc>
          <w:tcPr>
            <w:tcW w:w="6867" w:type="dxa"/>
          </w:tcPr>
          <w:p w14:paraId="2489C260" w14:textId="6BE1F0FE" w:rsidR="00FF69F8" w:rsidRPr="00EF52A6" w:rsidRDefault="00FF69F8" w:rsidP="00FF69F8">
            <w:pPr>
              <w:tabs>
                <w:tab w:val="left" w:pos="540"/>
                <w:tab w:val="left" w:pos="569"/>
              </w:tabs>
              <w:rPr>
                <w:bCs/>
                <w:sz w:val="22"/>
                <w:szCs w:val="22"/>
                <w:lang w:val="sr-Latn-ME"/>
              </w:rPr>
            </w:pPr>
            <w:r w:rsidRPr="00EF52A6">
              <w:rPr>
                <w:bCs/>
                <w:sz w:val="22"/>
                <w:szCs w:val="22"/>
                <w:lang w:val="sr-Latn-ME"/>
              </w:rPr>
              <w:t>Privremeno prekinuti l</w:t>
            </w:r>
            <w:r w:rsidR="00407E86" w:rsidRPr="00EF52A6">
              <w:rPr>
                <w:bCs/>
                <w:sz w:val="22"/>
                <w:szCs w:val="22"/>
                <w:lang w:val="sr-Latn-ME"/>
              </w:rPr>
              <w:t>ij</w:t>
            </w:r>
            <w:r w:rsidRPr="00EF52A6">
              <w:rPr>
                <w:bCs/>
                <w:sz w:val="22"/>
                <w:szCs w:val="22"/>
                <w:lang w:val="sr-Latn-ME"/>
              </w:rPr>
              <w:t>ečenje dok se toksičnost ne ublaži do 0. ili 1. gradusa, a zatim nastaviti l</w:t>
            </w:r>
            <w:r w:rsidR="00407E86" w:rsidRPr="00EF52A6">
              <w:rPr>
                <w:bCs/>
                <w:sz w:val="22"/>
                <w:szCs w:val="22"/>
                <w:lang w:val="sr-Latn-ME"/>
              </w:rPr>
              <w:t>ij</w:t>
            </w:r>
            <w:r w:rsidRPr="00EF52A6">
              <w:rPr>
                <w:bCs/>
                <w:sz w:val="22"/>
                <w:szCs w:val="22"/>
                <w:lang w:val="sr-Latn-ME"/>
              </w:rPr>
              <w:t>ečenje dozom smanjenom za jedan nivo (vid</w:t>
            </w:r>
            <w:r w:rsidR="00407E86" w:rsidRPr="00EF52A6">
              <w:rPr>
                <w:bCs/>
                <w:sz w:val="22"/>
                <w:szCs w:val="22"/>
                <w:lang w:val="sr-Latn-ME"/>
              </w:rPr>
              <w:t>j</w:t>
            </w:r>
            <w:r w:rsidRPr="00EF52A6">
              <w:rPr>
                <w:bCs/>
                <w:sz w:val="22"/>
                <w:szCs w:val="22"/>
                <w:lang w:val="sr-Latn-ME"/>
              </w:rPr>
              <w:t>eti tabelu 2). Razmotriti trajan prekid prim</w:t>
            </w:r>
            <w:r w:rsidR="00407E86" w:rsidRPr="00EF52A6">
              <w:rPr>
                <w:bCs/>
                <w:sz w:val="22"/>
                <w:szCs w:val="22"/>
                <w:lang w:val="sr-Latn-ME"/>
              </w:rPr>
              <w:t>j</w:t>
            </w:r>
            <w:r w:rsidRPr="00EF52A6">
              <w:rPr>
                <w:bCs/>
                <w:sz w:val="22"/>
                <w:szCs w:val="22"/>
                <w:lang w:val="sr-Latn-ME"/>
              </w:rPr>
              <w:t>ene</w:t>
            </w:r>
            <w:r w:rsidR="00662861" w:rsidRPr="00EF52A6">
              <w:rPr>
                <w:bCs/>
                <w:sz w:val="22"/>
                <w:szCs w:val="22"/>
                <w:lang w:val="sr-Latn-ME"/>
              </w:rPr>
              <w:t>.</w:t>
            </w:r>
          </w:p>
        </w:tc>
      </w:tr>
    </w:tbl>
    <w:p w14:paraId="1B95BE80" w14:textId="10578409" w:rsidR="00FF69F8" w:rsidRPr="00EF52A6" w:rsidRDefault="00FF69F8" w:rsidP="00FF69F8">
      <w:pPr>
        <w:tabs>
          <w:tab w:val="left" w:pos="540"/>
          <w:tab w:val="left" w:pos="569"/>
        </w:tabs>
        <w:rPr>
          <w:bCs/>
          <w:sz w:val="22"/>
          <w:szCs w:val="22"/>
          <w:lang w:val="sr-Latn-ME"/>
        </w:rPr>
      </w:pPr>
      <w:r w:rsidRPr="00EF52A6">
        <w:rPr>
          <w:bCs/>
          <w:sz w:val="22"/>
          <w:szCs w:val="22"/>
          <w:lang w:val="sr-Latn-ME"/>
        </w:rPr>
        <w:t xml:space="preserve">* </w:t>
      </w:r>
      <w:r w:rsidR="003542FB" w:rsidRPr="00EF52A6">
        <w:rPr>
          <w:bCs/>
          <w:sz w:val="22"/>
          <w:szCs w:val="22"/>
          <w:lang w:val="sr-Latn-ME"/>
        </w:rPr>
        <w:t xml:space="preserve">Zajednički </w:t>
      </w:r>
      <w:r w:rsidRPr="00EF52A6">
        <w:rPr>
          <w:bCs/>
          <w:sz w:val="22"/>
          <w:szCs w:val="22"/>
          <w:lang w:val="sr-Latn-ME"/>
        </w:rPr>
        <w:t>terminološki kriterijumi za neželjene događaje (</w:t>
      </w:r>
      <w:r w:rsidR="00662861" w:rsidRPr="00EF52A6">
        <w:rPr>
          <w:bCs/>
          <w:sz w:val="22"/>
          <w:szCs w:val="22"/>
          <w:lang w:val="sr-Latn-ME"/>
        </w:rPr>
        <w:t xml:space="preserve">engl. </w:t>
      </w:r>
      <w:r w:rsidR="00662861" w:rsidRPr="00EF52A6">
        <w:rPr>
          <w:bCs/>
          <w:i/>
          <w:sz w:val="22"/>
          <w:szCs w:val="22"/>
          <w:lang w:val="sr-Latn-ME"/>
        </w:rPr>
        <w:t>Common Terminology Criteria for Adverse Events</w:t>
      </w:r>
      <w:r w:rsidR="00662861" w:rsidRPr="00EF52A6">
        <w:rPr>
          <w:bCs/>
          <w:sz w:val="22"/>
          <w:szCs w:val="22"/>
          <w:lang w:val="sr-Latn-ME"/>
        </w:rPr>
        <w:t xml:space="preserve">, </w:t>
      </w:r>
      <w:r w:rsidRPr="00EF52A6">
        <w:rPr>
          <w:bCs/>
          <w:sz w:val="22"/>
          <w:szCs w:val="22"/>
          <w:lang w:val="sr-Latn-ME"/>
        </w:rPr>
        <w:t>CTCAE)</w:t>
      </w:r>
    </w:p>
    <w:p w14:paraId="5AB9EBA5" w14:textId="77777777" w:rsidR="00FF69F8" w:rsidRPr="00EF52A6" w:rsidRDefault="00FF69F8" w:rsidP="00FF69F8">
      <w:pPr>
        <w:tabs>
          <w:tab w:val="left" w:pos="540"/>
          <w:tab w:val="left" w:pos="569"/>
        </w:tabs>
        <w:rPr>
          <w:bCs/>
          <w:sz w:val="22"/>
          <w:szCs w:val="22"/>
          <w:lang w:val="sr-Latn-ME"/>
        </w:rPr>
      </w:pPr>
    </w:p>
    <w:p w14:paraId="29920D28" w14:textId="7F3C243C" w:rsidR="00FF69F8" w:rsidRPr="00EF52A6" w:rsidRDefault="00FF69F8" w:rsidP="00DF11F1">
      <w:pPr>
        <w:tabs>
          <w:tab w:val="left" w:pos="540"/>
          <w:tab w:val="left" w:pos="569"/>
        </w:tabs>
        <w:jc w:val="both"/>
        <w:rPr>
          <w:bCs/>
          <w:i/>
          <w:sz w:val="22"/>
          <w:szCs w:val="22"/>
          <w:lang w:val="sr-Latn-ME"/>
        </w:rPr>
      </w:pPr>
      <w:r w:rsidRPr="00EF52A6">
        <w:rPr>
          <w:bCs/>
          <w:i/>
          <w:iCs/>
          <w:sz w:val="22"/>
          <w:szCs w:val="22"/>
          <w:lang w:val="sr-Latn-ME"/>
        </w:rPr>
        <w:t>Preporuke za modifikaciju doze u slučaju smanjene ejekcione frakcije l</w:t>
      </w:r>
      <w:r w:rsidR="00407E86" w:rsidRPr="00EF52A6">
        <w:rPr>
          <w:bCs/>
          <w:i/>
          <w:iCs/>
          <w:sz w:val="22"/>
          <w:szCs w:val="22"/>
          <w:lang w:val="sr-Latn-ME"/>
        </w:rPr>
        <w:t>ij</w:t>
      </w:r>
      <w:r w:rsidRPr="00EF52A6">
        <w:rPr>
          <w:bCs/>
          <w:i/>
          <w:iCs/>
          <w:sz w:val="22"/>
          <w:szCs w:val="22"/>
          <w:lang w:val="sr-Latn-ME"/>
        </w:rPr>
        <w:t>eve komore (LVEF)</w:t>
      </w:r>
    </w:p>
    <w:p w14:paraId="630F86CE" w14:textId="0FC59978"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U slučaju asimptomatskog smanjenja LVEF za ≥ 10 procentualnih poena u odnosu na početnu vr</w:t>
      </w:r>
      <w:r w:rsidR="00407E86" w:rsidRPr="00EF52A6">
        <w:rPr>
          <w:bCs/>
          <w:sz w:val="22"/>
          <w:szCs w:val="22"/>
          <w:lang w:val="sr-Latn-ME"/>
        </w:rPr>
        <w:t>ij</w:t>
      </w:r>
      <w:r w:rsidRPr="00EF52A6">
        <w:rPr>
          <w:bCs/>
          <w:sz w:val="22"/>
          <w:szCs w:val="22"/>
          <w:lang w:val="sr-Latn-ME"/>
        </w:rPr>
        <w:t>ednost i pada ispod donje granice normale (LLN) koju propisuje ustanova, l</w:t>
      </w:r>
      <w:r w:rsidR="00407E86" w:rsidRPr="00EF52A6">
        <w:rPr>
          <w:bCs/>
          <w:sz w:val="22"/>
          <w:szCs w:val="22"/>
          <w:lang w:val="sr-Latn-ME"/>
        </w:rPr>
        <w:t>ij</w:t>
      </w:r>
      <w:r w:rsidRPr="00EF52A6">
        <w:rPr>
          <w:bCs/>
          <w:sz w:val="22"/>
          <w:szCs w:val="22"/>
          <w:lang w:val="sr-Latn-ME"/>
        </w:rPr>
        <w:t>ečenje selumetinibom treba privremeno prekinuti do povlačenja neželjenog dejstva. Nakon povlačenja neželjenog dejstva</w:t>
      </w:r>
      <w:r w:rsidR="00662861" w:rsidRPr="00EF52A6">
        <w:rPr>
          <w:bCs/>
          <w:sz w:val="22"/>
          <w:szCs w:val="22"/>
          <w:lang w:val="sr-Latn-ME"/>
        </w:rPr>
        <w:t>,</w:t>
      </w:r>
      <w:r w:rsidRPr="00EF52A6">
        <w:rPr>
          <w:bCs/>
          <w:sz w:val="22"/>
          <w:szCs w:val="22"/>
          <w:lang w:val="sr-Latn-ME"/>
        </w:rPr>
        <w:t xml:space="preserve"> l</w:t>
      </w:r>
      <w:r w:rsidR="00407E86" w:rsidRPr="00EF52A6">
        <w:rPr>
          <w:bCs/>
          <w:sz w:val="22"/>
          <w:szCs w:val="22"/>
          <w:lang w:val="sr-Latn-ME"/>
        </w:rPr>
        <w:t>ij</w:t>
      </w:r>
      <w:r w:rsidRPr="00EF52A6">
        <w:rPr>
          <w:bCs/>
          <w:sz w:val="22"/>
          <w:szCs w:val="22"/>
          <w:lang w:val="sr-Latn-ME"/>
        </w:rPr>
        <w:t>ečenje selumetinibom treba nastaviti u dozi smanjenoj za jedan nivo (vid</w:t>
      </w:r>
      <w:r w:rsidR="00407E86" w:rsidRPr="00EF52A6">
        <w:rPr>
          <w:bCs/>
          <w:sz w:val="22"/>
          <w:szCs w:val="22"/>
          <w:lang w:val="sr-Latn-ME"/>
        </w:rPr>
        <w:t>j</w:t>
      </w:r>
      <w:r w:rsidRPr="00EF52A6">
        <w:rPr>
          <w:bCs/>
          <w:sz w:val="22"/>
          <w:szCs w:val="22"/>
          <w:lang w:val="sr-Latn-ME"/>
        </w:rPr>
        <w:t>eti tabelu 2).</w:t>
      </w:r>
    </w:p>
    <w:p w14:paraId="65B36D6B" w14:textId="77777777" w:rsidR="00FF69F8" w:rsidRPr="00EF52A6" w:rsidRDefault="00FF69F8" w:rsidP="00DF11F1">
      <w:pPr>
        <w:tabs>
          <w:tab w:val="left" w:pos="540"/>
          <w:tab w:val="left" w:pos="569"/>
        </w:tabs>
        <w:jc w:val="both"/>
        <w:rPr>
          <w:bCs/>
          <w:sz w:val="22"/>
          <w:szCs w:val="22"/>
          <w:lang w:val="sr-Latn-ME"/>
        </w:rPr>
      </w:pPr>
    </w:p>
    <w:p w14:paraId="2F7980E2" w14:textId="527F484C"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Kod pacijenata kod kojih se razvije simptomatsko smanjenje LVEF ili smanjenje LVEF 3. ili 4. gradusa</w:t>
      </w:r>
      <w:r w:rsidR="00662861" w:rsidRPr="00EF52A6">
        <w:rPr>
          <w:bCs/>
          <w:sz w:val="22"/>
          <w:szCs w:val="22"/>
          <w:lang w:val="sr-Latn-ME"/>
        </w:rPr>
        <w:t>,</w:t>
      </w:r>
      <w:r w:rsidRPr="00EF52A6">
        <w:rPr>
          <w:bCs/>
          <w:sz w:val="22"/>
          <w:szCs w:val="22"/>
          <w:lang w:val="sr-Latn-ME"/>
        </w:rPr>
        <w:t xml:space="preserve"> l</w:t>
      </w:r>
      <w:r w:rsidR="00407E86" w:rsidRPr="00EF52A6">
        <w:rPr>
          <w:bCs/>
          <w:sz w:val="22"/>
          <w:szCs w:val="22"/>
          <w:lang w:val="sr-Latn-ME"/>
        </w:rPr>
        <w:t>ij</w:t>
      </w:r>
      <w:r w:rsidRPr="00EF52A6">
        <w:rPr>
          <w:bCs/>
          <w:sz w:val="22"/>
          <w:szCs w:val="22"/>
          <w:lang w:val="sr-Latn-ME"/>
        </w:rPr>
        <w:t>ečenje selumetinibom treba trajno prekinuti, a pacijenta odmah uputiti kardiologu (vid</w:t>
      </w:r>
      <w:r w:rsidR="00407E86" w:rsidRPr="00EF52A6">
        <w:rPr>
          <w:bCs/>
          <w:sz w:val="22"/>
          <w:szCs w:val="22"/>
          <w:lang w:val="sr-Latn-ME"/>
        </w:rPr>
        <w:t>j</w:t>
      </w:r>
      <w:r w:rsidRPr="00EF52A6">
        <w:rPr>
          <w:bCs/>
          <w:sz w:val="22"/>
          <w:szCs w:val="22"/>
          <w:lang w:val="sr-Latn-ME"/>
        </w:rPr>
        <w:t xml:space="preserve">eti </w:t>
      </w:r>
      <w:r w:rsidR="00407E86" w:rsidRPr="00EF52A6">
        <w:rPr>
          <w:bCs/>
          <w:sz w:val="22"/>
          <w:szCs w:val="22"/>
          <w:lang w:val="sr-Latn-ME"/>
        </w:rPr>
        <w:t>dio</w:t>
      </w:r>
      <w:r w:rsidRPr="00EF52A6">
        <w:rPr>
          <w:bCs/>
          <w:sz w:val="22"/>
          <w:szCs w:val="22"/>
          <w:lang w:val="sr-Latn-ME"/>
        </w:rPr>
        <w:t xml:space="preserve"> 4.4).</w:t>
      </w:r>
    </w:p>
    <w:p w14:paraId="63521DDD" w14:textId="77777777" w:rsidR="00FF69F8" w:rsidRPr="00EF52A6" w:rsidRDefault="00FF69F8" w:rsidP="00DF11F1">
      <w:pPr>
        <w:tabs>
          <w:tab w:val="left" w:pos="540"/>
          <w:tab w:val="left" w:pos="569"/>
        </w:tabs>
        <w:jc w:val="both"/>
        <w:rPr>
          <w:bCs/>
          <w:sz w:val="22"/>
          <w:szCs w:val="22"/>
          <w:lang w:val="sr-Latn-ME"/>
        </w:rPr>
      </w:pPr>
    </w:p>
    <w:p w14:paraId="6050973A"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lang w:val="sr-Latn-ME"/>
        </w:rPr>
        <w:t>Preporuke za modifikaciju doze u slučaju okularnih toksičnosti</w:t>
      </w:r>
    </w:p>
    <w:p w14:paraId="6E6294BE" w14:textId="4F2CDE01"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Kod pacijenata kojima se dijagnostikuju odvajanje pigmentnog epitela retine (</w:t>
      </w:r>
      <w:r w:rsidR="00567B88" w:rsidRPr="00EF52A6">
        <w:rPr>
          <w:bCs/>
          <w:sz w:val="22"/>
          <w:szCs w:val="22"/>
          <w:lang w:val="sr-Latn-ME"/>
        </w:rPr>
        <w:t xml:space="preserve">engl. </w:t>
      </w:r>
      <w:r w:rsidR="00567B88" w:rsidRPr="00EF52A6">
        <w:rPr>
          <w:bCs/>
          <w:i/>
          <w:sz w:val="22"/>
          <w:szCs w:val="22"/>
          <w:lang w:val="sr-Latn-ME"/>
        </w:rPr>
        <w:t>retinal pigment epithelial detachment</w:t>
      </w:r>
      <w:r w:rsidR="00567B88" w:rsidRPr="00EF52A6">
        <w:rPr>
          <w:bCs/>
          <w:sz w:val="22"/>
          <w:szCs w:val="22"/>
          <w:lang w:val="sr-Latn-ME"/>
        </w:rPr>
        <w:t xml:space="preserve">, </w:t>
      </w:r>
      <w:r w:rsidRPr="00EF52A6">
        <w:rPr>
          <w:bCs/>
          <w:sz w:val="22"/>
          <w:szCs w:val="22"/>
          <w:lang w:val="sr-Latn-ME"/>
        </w:rPr>
        <w:t>RPED) ili centralna serozna retinopatija (CSR) uz smanjenu oštrinu vida, prim</w:t>
      </w:r>
      <w:r w:rsidR="00407E86" w:rsidRPr="00EF52A6">
        <w:rPr>
          <w:bCs/>
          <w:sz w:val="22"/>
          <w:szCs w:val="22"/>
          <w:lang w:val="sr-Latn-ME"/>
        </w:rPr>
        <w:t>j</w:t>
      </w:r>
      <w:r w:rsidRPr="00EF52A6">
        <w:rPr>
          <w:bCs/>
          <w:sz w:val="22"/>
          <w:szCs w:val="22"/>
          <w:lang w:val="sr-Latn-ME"/>
        </w:rPr>
        <w:t>enu selumetiniba treba privremeno prekinuti sve do povlačenja neželjenog dejstva; pri nastavku l</w:t>
      </w:r>
      <w:r w:rsidR="00407E86" w:rsidRPr="00EF52A6">
        <w:rPr>
          <w:bCs/>
          <w:sz w:val="22"/>
          <w:szCs w:val="22"/>
          <w:lang w:val="sr-Latn-ME"/>
        </w:rPr>
        <w:t>ij</w:t>
      </w:r>
      <w:r w:rsidRPr="00EF52A6">
        <w:rPr>
          <w:bCs/>
          <w:sz w:val="22"/>
          <w:szCs w:val="22"/>
          <w:lang w:val="sr-Latn-ME"/>
        </w:rPr>
        <w:t>ečenja dozu selumetiniba treba smanjiti za jedan nivo (vid</w:t>
      </w:r>
      <w:r w:rsidR="00407E86" w:rsidRPr="00EF52A6">
        <w:rPr>
          <w:bCs/>
          <w:sz w:val="22"/>
          <w:szCs w:val="22"/>
          <w:lang w:val="sr-Latn-ME"/>
        </w:rPr>
        <w:t>j</w:t>
      </w:r>
      <w:r w:rsidRPr="00EF52A6">
        <w:rPr>
          <w:bCs/>
          <w:sz w:val="22"/>
          <w:szCs w:val="22"/>
          <w:lang w:val="sr-Latn-ME"/>
        </w:rPr>
        <w:t>eti tabelu 2). Kod pacijenata kojima se dijagnostikuju RPED ili CSR bez smanjene oštrine vida treba sprovoditi oftalmološku oc</w:t>
      </w:r>
      <w:r w:rsidR="00407E86" w:rsidRPr="00EF52A6">
        <w:rPr>
          <w:bCs/>
          <w:sz w:val="22"/>
          <w:szCs w:val="22"/>
          <w:lang w:val="sr-Latn-ME"/>
        </w:rPr>
        <w:t>j</w:t>
      </w:r>
      <w:r w:rsidRPr="00EF52A6">
        <w:rPr>
          <w:bCs/>
          <w:sz w:val="22"/>
          <w:szCs w:val="22"/>
          <w:lang w:val="sr-Latn-ME"/>
        </w:rPr>
        <w:t>enu svake</w:t>
      </w:r>
      <w:r w:rsidR="00407E86" w:rsidRPr="00EF52A6">
        <w:rPr>
          <w:bCs/>
          <w:sz w:val="22"/>
          <w:szCs w:val="22"/>
          <w:lang w:val="sr-Latn-ME"/>
        </w:rPr>
        <w:t xml:space="preserve"> </w:t>
      </w:r>
      <w:r w:rsidRPr="00EF52A6">
        <w:rPr>
          <w:bCs/>
          <w:sz w:val="22"/>
          <w:szCs w:val="22"/>
          <w:lang w:val="sr-Latn-ME"/>
        </w:rPr>
        <w:t>3 ned</w:t>
      </w:r>
      <w:r w:rsidR="00407E86" w:rsidRPr="00EF52A6">
        <w:rPr>
          <w:bCs/>
          <w:sz w:val="22"/>
          <w:szCs w:val="22"/>
          <w:lang w:val="sr-Latn-ME"/>
        </w:rPr>
        <w:t>j</w:t>
      </w:r>
      <w:r w:rsidRPr="00EF52A6">
        <w:rPr>
          <w:bCs/>
          <w:sz w:val="22"/>
          <w:szCs w:val="22"/>
          <w:lang w:val="sr-Latn-ME"/>
        </w:rPr>
        <w:t>elje do povlačenja neželjenog dejstva. Kod pacijenata kojima se dijagnostikuje okluzija retinalne vene (</w:t>
      </w:r>
      <w:r w:rsidR="00567B88" w:rsidRPr="00EF52A6">
        <w:rPr>
          <w:bCs/>
          <w:sz w:val="22"/>
          <w:szCs w:val="22"/>
          <w:lang w:val="sr-Latn-ME"/>
        </w:rPr>
        <w:t xml:space="preserve">engl. </w:t>
      </w:r>
      <w:r w:rsidR="00567B88" w:rsidRPr="00EF52A6">
        <w:rPr>
          <w:bCs/>
          <w:i/>
          <w:sz w:val="22"/>
          <w:szCs w:val="22"/>
          <w:lang w:val="sr-Latn-ME"/>
        </w:rPr>
        <w:t>retinal vein occlusion</w:t>
      </w:r>
      <w:r w:rsidR="00567B88" w:rsidRPr="00EF52A6">
        <w:rPr>
          <w:bCs/>
          <w:sz w:val="22"/>
          <w:szCs w:val="22"/>
          <w:lang w:val="sr-Latn-ME"/>
        </w:rPr>
        <w:t xml:space="preserve">, </w:t>
      </w:r>
      <w:r w:rsidRPr="00EF52A6">
        <w:rPr>
          <w:bCs/>
          <w:sz w:val="22"/>
          <w:szCs w:val="22"/>
          <w:lang w:val="sr-Latn-ME"/>
        </w:rPr>
        <w:t>RVO) l</w:t>
      </w:r>
      <w:r w:rsidR="00407E86" w:rsidRPr="00EF52A6">
        <w:rPr>
          <w:bCs/>
          <w:sz w:val="22"/>
          <w:szCs w:val="22"/>
          <w:lang w:val="sr-Latn-ME"/>
        </w:rPr>
        <w:t>ij</w:t>
      </w:r>
      <w:r w:rsidRPr="00EF52A6">
        <w:rPr>
          <w:bCs/>
          <w:sz w:val="22"/>
          <w:szCs w:val="22"/>
          <w:lang w:val="sr-Latn-ME"/>
        </w:rPr>
        <w:t>ečenje selumetinibom treba trajno prekinuti (vid</w:t>
      </w:r>
      <w:r w:rsidR="00407E86" w:rsidRPr="00EF52A6">
        <w:rPr>
          <w:bCs/>
          <w:sz w:val="22"/>
          <w:szCs w:val="22"/>
          <w:lang w:val="sr-Latn-ME"/>
        </w:rPr>
        <w:t>j</w:t>
      </w:r>
      <w:r w:rsidRPr="00EF52A6">
        <w:rPr>
          <w:bCs/>
          <w:sz w:val="22"/>
          <w:szCs w:val="22"/>
          <w:lang w:val="sr-Latn-ME"/>
        </w:rPr>
        <w:t xml:space="preserve">eti </w:t>
      </w:r>
      <w:r w:rsidR="00407E86" w:rsidRPr="00EF52A6">
        <w:rPr>
          <w:bCs/>
          <w:sz w:val="22"/>
          <w:szCs w:val="22"/>
          <w:lang w:val="sr-Latn-ME"/>
        </w:rPr>
        <w:t>dio</w:t>
      </w:r>
      <w:r w:rsidRPr="00EF52A6">
        <w:rPr>
          <w:bCs/>
          <w:sz w:val="22"/>
          <w:szCs w:val="22"/>
          <w:lang w:val="sr-Latn-ME"/>
        </w:rPr>
        <w:t xml:space="preserve"> 4.4).</w:t>
      </w:r>
    </w:p>
    <w:p w14:paraId="56F12D0A" w14:textId="77777777" w:rsidR="00FF69F8" w:rsidRPr="00EF52A6" w:rsidRDefault="00FF69F8" w:rsidP="00DF11F1">
      <w:pPr>
        <w:tabs>
          <w:tab w:val="left" w:pos="540"/>
          <w:tab w:val="left" w:pos="569"/>
        </w:tabs>
        <w:jc w:val="both"/>
        <w:rPr>
          <w:bCs/>
          <w:sz w:val="22"/>
          <w:szCs w:val="22"/>
          <w:lang w:val="sr-Latn-ME"/>
        </w:rPr>
      </w:pPr>
    </w:p>
    <w:p w14:paraId="7D59C7C0" w14:textId="12274B7A" w:rsidR="00FF69F8" w:rsidRPr="00EF52A6" w:rsidRDefault="00FF69F8" w:rsidP="00DF11F1">
      <w:pPr>
        <w:tabs>
          <w:tab w:val="left" w:pos="540"/>
          <w:tab w:val="left" w:pos="569"/>
        </w:tabs>
        <w:jc w:val="both"/>
        <w:rPr>
          <w:bCs/>
          <w:i/>
          <w:sz w:val="22"/>
          <w:szCs w:val="22"/>
          <w:lang w:val="sr-Latn-ME"/>
        </w:rPr>
      </w:pPr>
      <w:r w:rsidRPr="00EF52A6">
        <w:rPr>
          <w:bCs/>
          <w:i/>
          <w:iCs/>
          <w:sz w:val="22"/>
          <w:szCs w:val="22"/>
          <w:lang w:val="sr-Latn-ME"/>
        </w:rPr>
        <w:t>Podešavanje doze za istovremenu prim</w:t>
      </w:r>
      <w:r w:rsidR="00407E86" w:rsidRPr="00EF52A6">
        <w:rPr>
          <w:bCs/>
          <w:i/>
          <w:iCs/>
          <w:sz w:val="22"/>
          <w:szCs w:val="22"/>
          <w:lang w:val="sr-Latn-ME"/>
        </w:rPr>
        <w:t>j</w:t>
      </w:r>
      <w:r w:rsidRPr="00EF52A6">
        <w:rPr>
          <w:bCs/>
          <w:i/>
          <w:iCs/>
          <w:sz w:val="22"/>
          <w:szCs w:val="22"/>
          <w:lang w:val="sr-Latn-ME"/>
        </w:rPr>
        <w:t>enu sa inhibitorima CYP3A4 ili CYP2C19</w:t>
      </w:r>
    </w:p>
    <w:p w14:paraId="7850F8E6" w14:textId="5E0B0617"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Ne preporučuje se istovremena prim</w:t>
      </w:r>
      <w:r w:rsidR="00407E86" w:rsidRPr="00EF52A6">
        <w:rPr>
          <w:bCs/>
          <w:sz w:val="22"/>
          <w:szCs w:val="22"/>
          <w:lang w:val="sr-Latn-ME"/>
        </w:rPr>
        <w:t>j</w:t>
      </w:r>
      <w:r w:rsidRPr="00EF52A6">
        <w:rPr>
          <w:bCs/>
          <w:sz w:val="22"/>
          <w:szCs w:val="22"/>
          <w:lang w:val="sr-Latn-ME"/>
        </w:rPr>
        <w:t>ena jakih ili um</w:t>
      </w:r>
      <w:r w:rsidR="00407E86" w:rsidRPr="00EF52A6">
        <w:rPr>
          <w:bCs/>
          <w:sz w:val="22"/>
          <w:szCs w:val="22"/>
          <w:lang w:val="sr-Latn-ME"/>
        </w:rPr>
        <w:t>j</w:t>
      </w:r>
      <w:r w:rsidRPr="00EF52A6">
        <w:rPr>
          <w:bCs/>
          <w:sz w:val="22"/>
          <w:szCs w:val="22"/>
          <w:lang w:val="sr-Latn-ME"/>
        </w:rPr>
        <w:t>erenih inhibitora CYP3A4 ili CYP2C19 i treba razmotriti alternativne agense. Ukoliko se mora istovremeno prim</w:t>
      </w:r>
      <w:r w:rsidR="00407E86" w:rsidRPr="00EF52A6">
        <w:rPr>
          <w:bCs/>
          <w:sz w:val="22"/>
          <w:szCs w:val="22"/>
          <w:lang w:val="sr-Latn-ME"/>
        </w:rPr>
        <w:t>ij</w:t>
      </w:r>
      <w:r w:rsidRPr="00EF52A6">
        <w:rPr>
          <w:bCs/>
          <w:sz w:val="22"/>
          <w:szCs w:val="22"/>
          <w:lang w:val="sr-Latn-ME"/>
        </w:rPr>
        <w:t xml:space="preserve">eniti </w:t>
      </w:r>
      <w:r w:rsidR="009F3583" w:rsidRPr="00EF52A6">
        <w:rPr>
          <w:bCs/>
          <w:sz w:val="22"/>
          <w:szCs w:val="22"/>
          <w:lang w:val="sr-Latn-ME"/>
        </w:rPr>
        <w:t xml:space="preserve">jaki ili </w:t>
      </w:r>
      <w:r w:rsidRPr="00EF52A6">
        <w:rPr>
          <w:bCs/>
          <w:sz w:val="22"/>
          <w:szCs w:val="22"/>
          <w:lang w:val="sr-Latn-ME"/>
        </w:rPr>
        <w:t>um</w:t>
      </w:r>
      <w:r w:rsidR="00407E86" w:rsidRPr="00EF52A6">
        <w:rPr>
          <w:bCs/>
          <w:sz w:val="22"/>
          <w:szCs w:val="22"/>
          <w:lang w:val="sr-Latn-ME"/>
        </w:rPr>
        <w:t>j</w:t>
      </w:r>
      <w:r w:rsidRPr="00EF52A6">
        <w:rPr>
          <w:bCs/>
          <w:sz w:val="22"/>
          <w:szCs w:val="22"/>
          <w:lang w:val="sr-Latn-ME"/>
        </w:rPr>
        <w:t>eren</w:t>
      </w:r>
      <w:r w:rsidR="009F3583" w:rsidRPr="00EF52A6">
        <w:rPr>
          <w:bCs/>
          <w:sz w:val="22"/>
          <w:szCs w:val="22"/>
          <w:lang w:val="sr-Latn-ME"/>
        </w:rPr>
        <w:t>i</w:t>
      </w:r>
      <w:r w:rsidRPr="00EF52A6">
        <w:rPr>
          <w:bCs/>
          <w:sz w:val="22"/>
          <w:szCs w:val="22"/>
          <w:lang w:val="sr-Latn-ME"/>
        </w:rPr>
        <w:t xml:space="preserve"> inhibitor CYP3A4 ili CYP2C19, preporučeno smanjenje doze l</w:t>
      </w:r>
      <w:r w:rsidR="00407E86" w:rsidRPr="00EF52A6">
        <w:rPr>
          <w:bCs/>
          <w:sz w:val="22"/>
          <w:szCs w:val="22"/>
          <w:lang w:val="sr-Latn-ME"/>
        </w:rPr>
        <w:t>ij</w:t>
      </w:r>
      <w:r w:rsidRPr="00EF52A6">
        <w:rPr>
          <w:bCs/>
          <w:sz w:val="22"/>
          <w:szCs w:val="22"/>
          <w:lang w:val="sr-Latn-ME"/>
        </w:rPr>
        <w:t>eka Koselugo je sl</w:t>
      </w:r>
      <w:r w:rsidR="00407E86" w:rsidRPr="00EF52A6">
        <w:rPr>
          <w:bCs/>
          <w:sz w:val="22"/>
          <w:szCs w:val="22"/>
          <w:lang w:val="sr-Latn-ME"/>
        </w:rPr>
        <w:t>j</w:t>
      </w:r>
      <w:r w:rsidRPr="00EF52A6">
        <w:rPr>
          <w:bCs/>
          <w:sz w:val="22"/>
          <w:szCs w:val="22"/>
          <w:lang w:val="sr-Latn-ME"/>
        </w:rPr>
        <w:t>edeće:</w:t>
      </w:r>
    </w:p>
    <w:p w14:paraId="55697BFA" w14:textId="77777777" w:rsidR="00FF69F8" w:rsidRPr="00EF52A6" w:rsidRDefault="00FF69F8" w:rsidP="00DF11F1">
      <w:pPr>
        <w:numPr>
          <w:ilvl w:val="0"/>
          <w:numId w:val="12"/>
        </w:numPr>
        <w:tabs>
          <w:tab w:val="left" w:pos="540"/>
          <w:tab w:val="left" w:pos="569"/>
        </w:tabs>
        <w:jc w:val="both"/>
        <w:rPr>
          <w:bCs/>
          <w:sz w:val="22"/>
          <w:szCs w:val="22"/>
          <w:lang w:val="sr-Latn-ME"/>
        </w:rPr>
      </w:pPr>
      <w:r w:rsidRPr="00EF52A6">
        <w:rPr>
          <w:bCs/>
          <w:sz w:val="22"/>
          <w:szCs w:val="22"/>
          <w:lang w:val="sr-Latn-ME"/>
        </w:rPr>
        <w:t>Ako pacijent trenutno uzima 25 mg/m</w:t>
      </w:r>
      <w:r w:rsidRPr="00EF52A6">
        <w:rPr>
          <w:bCs/>
          <w:sz w:val="22"/>
          <w:szCs w:val="22"/>
          <w:vertAlign w:val="superscript"/>
          <w:lang w:val="sr-Latn-ME"/>
        </w:rPr>
        <w:t>2</w:t>
      </w:r>
      <w:r w:rsidRPr="00EF52A6">
        <w:rPr>
          <w:bCs/>
          <w:sz w:val="22"/>
          <w:szCs w:val="22"/>
          <w:lang w:val="sr-Latn-ME"/>
        </w:rPr>
        <w:t xml:space="preserve"> dva puta dnevno, treba smanjiti dozu na 20 mg/m</w:t>
      </w:r>
      <w:r w:rsidRPr="00EF52A6">
        <w:rPr>
          <w:bCs/>
          <w:sz w:val="22"/>
          <w:szCs w:val="22"/>
          <w:vertAlign w:val="superscript"/>
          <w:lang w:val="sr-Latn-ME"/>
        </w:rPr>
        <w:t>2</w:t>
      </w:r>
      <w:r w:rsidRPr="00EF52A6">
        <w:rPr>
          <w:bCs/>
          <w:sz w:val="22"/>
          <w:szCs w:val="22"/>
          <w:lang w:val="sr-Latn-ME"/>
        </w:rPr>
        <w:t xml:space="preserve"> dva puta dnevno.</w:t>
      </w:r>
    </w:p>
    <w:p w14:paraId="4AC5F95D" w14:textId="11CA511C" w:rsidR="00FF69F8" w:rsidRPr="00EF52A6" w:rsidRDefault="00FF69F8" w:rsidP="00DF11F1">
      <w:pPr>
        <w:numPr>
          <w:ilvl w:val="0"/>
          <w:numId w:val="12"/>
        </w:numPr>
        <w:tabs>
          <w:tab w:val="left" w:pos="540"/>
          <w:tab w:val="left" w:pos="569"/>
        </w:tabs>
        <w:jc w:val="both"/>
        <w:rPr>
          <w:bCs/>
          <w:sz w:val="22"/>
          <w:szCs w:val="22"/>
          <w:lang w:val="sr-Latn-ME"/>
        </w:rPr>
      </w:pPr>
      <w:r w:rsidRPr="00EF52A6">
        <w:rPr>
          <w:bCs/>
          <w:sz w:val="22"/>
          <w:szCs w:val="22"/>
          <w:lang w:val="sr-Latn-ME"/>
        </w:rPr>
        <w:t>Ako pacijent trenutno uzima 20 mg/m</w:t>
      </w:r>
      <w:r w:rsidRPr="00EF52A6">
        <w:rPr>
          <w:bCs/>
          <w:sz w:val="22"/>
          <w:szCs w:val="22"/>
          <w:vertAlign w:val="superscript"/>
          <w:lang w:val="sr-Latn-ME"/>
        </w:rPr>
        <w:t>2</w:t>
      </w:r>
      <w:r w:rsidRPr="00EF52A6">
        <w:rPr>
          <w:bCs/>
          <w:sz w:val="22"/>
          <w:szCs w:val="22"/>
          <w:lang w:val="sr-Latn-ME"/>
        </w:rPr>
        <w:t xml:space="preserve"> dva puta dnevno, treba smanjiti dozu na 15 mg/m</w:t>
      </w:r>
      <w:r w:rsidRPr="00EF52A6">
        <w:rPr>
          <w:bCs/>
          <w:sz w:val="22"/>
          <w:szCs w:val="22"/>
          <w:vertAlign w:val="superscript"/>
          <w:lang w:val="sr-Latn-ME"/>
        </w:rPr>
        <w:t>2</w:t>
      </w:r>
      <w:r w:rsidRPr="00EF52A6">
        <w:rPr>
          <w:bCs/>
          <w:sz w:val="22"/>
          <w:szCs w:val="22"/>
          <w:lang w:val="sr-Latn-ME"/>
        </w:rPr>
        <w:t xml:space="preserve"> dva puta dnevno (vid</w:t>
      </w:r>
      <w:r w:rsidR="00407E86" w:rsidRPr="00EF52A6">
        <w:rPr>
          <w:bCs/>
          <w:sz w:val="22"/>
          <w:szCs w:val="22"/>
          <w:lang w:val="sr-Latn-ME"/>
        </w:rPr>
        <w:t>j</w:t>
      </w:r>
      <w:r w:rsidRPr="00EF52A6">
        <w:rPr>
          <w:bCs/>
          <w:sz w:val="22"/>
          <w:szCs w:val="22"/>
          <w:lang w:val="sr-Latn-ME"/>
        </w:rPr>
        <w:t xml:space="preserve">eti tabelu 4 i </w:t>
      </w:r>
      <w:r w:rsidR="00407E86" w:rsidRPr="00EF52A6">
        <w:rPr>
          <w:bCs/>
          <w:sz w:val="22"/>
          <w:szCs w:val="22"/>
          <w:lang w:val="sr-Latn-ME"/>
        </w:rPr>
        <w:t>dio</w:t>
      </w:r>
      <w:r w:rsidRPr="00EF52A6">
        <w:rPr>
          <w:bCs/>
          <w:sz w:val="22"/>
          <w:szCs w:val="22"/>
          <w:lang w:val="sr-Latn-ME"/>
        </w:rPr>
        <w:t xml:space="preserve"> 4.5).</w:t>
      </w:r>
    </w:p>
    <w:p w14:paraId="27FC52EE" w14:textId="77777777" w:rsidR="00FF69F8" w:rsidRPr="00EF52A6" w:rsidRDefault="00FF69F8" w:rsidP="00FF69F8">
      <w:pPr>
        <w:tabs>
          <w:tab w:val="left" w:pos="540"/>
          <w:tab w:val="left" w:pos="569"/>
        </w:tabs>
        <w:rPr>
          <w:bCs/>
          <w:sz w:val="22"/>
          <w:szCs w:val="22"/>
          <w:lang w:val="sr-Latn-ME"/>
        </w:rPr>
        <w:sectPr w:rsidR="00FF69F8" w:rsidRPr="00EF52A6" w:rsidSect="00DF11F1">
          <w:footerReference w:type="default" r:id="rId9"/>
          <w:pgSz w:w="11910" w:h="16840"/>
          <w:pgMar w:top="1320" w:right="1200" w:bottom="1180" w:left="1200" w:header="737" w:footer="737" w:gutter="0"/>
          <w:cols w:space="720"/>
          <w:docGrid w:linePitch="326"/>
        </w:sectPr>
      </w:pPr>
    </w:p>
    <w:p w14:paraId="16064EC1"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lastRenderedPageBreak/>
        <w:t>Tabela 4. Preporučena doza za postizanje nivoa doze 20 mg/m</w:t>
      </w:r>
      <w:r w:rsidRPr="00EF52A6">
        <w:rPr>
          <w:b/>
          <w:bCs/>
          <w:sz w:val="22"/>
          <w:szCs w:val="22"/>
          <w:vertAlign w:val="superscript"/>
          <w:lang w:val="sr-Latn-ME"/>
        </w:rPr>
        <w:t>2</w:t>
      </w:r>
      <w:r w:rsidRPr="00EF52A6">
        <w:rPr>
          <w:b/>
          <w:bCs/>
          <w:sz w:val="22"/>
          <w:szCs w:val="22"/>
          <w:lang w:val="sr-Latn-ME"/>
        </w:rPr>
        <w:t xml:space="preserve"> ili 15 mg/m</w:t>
      </w:r>
      <w:r w:rsidRPr="00EF52A6">
        <w:rPr>
          <w:b/>
          <w:bCs/>
          <w:sz w:val="22"/>
          <w:szCs w:val="22"/>
          <w:vertAlign w:val="superscript"/>
          <w:lang w:val="sr-Latn-ME"/>
        </w:rPr>
        <w:t>2</w:t>
      </w:r>
      <w:r w:rsidRPr="00EF52A6">
        <w:rPr>
          <w:b/>
          <w:bCs/>
          <w:sz w:val="22"/>
          <w:szCs w:val="22"/>
          <w:lang w:val="sr-Latn-ME"/>
        </w:rPr>
        <w:t xml:space="preserve"> dva puta dnevno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842"/>
        <w:gridCol w:w="1843"/>
        <w:gridCol w:w="1843"/>
        <w:gridCol w:w="1843"/>
      </w:tblGrid>
      <w:tr w:rsidR="00FF69F8" w:rsidRPr="00EF52A6" w14:paraId="74E042C6" w14:textId="77777777" w:rsidTr="00DF11F1">
        <w:trPr>
          <w:trHeight w:val="316"/>
        </w:trPr>
        <w:tc>
          <w:tcPr>
            <w:tcW w:w="2127" w:type="dxa"/>
            <w:vMerge w:val="restart"/>
          </w:tcPr>
          <w:p w14:paraId="0B07F0DF" w14:textId="1996659B"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T</w:t>
            </w:r>
            <w:r w:rsidR="00407E86" w:rsidRPr="00EF52A6">
              <w:rPr>
                <w:b/>
                <w:bCs/>
                <w:sz w:val="22"/>
                <w:szCs w:val="22"/>
                <w:lang w:val="sr-Latn-ME"/>
              </w:rPr>
              <w:t>j</w:t>
            </w:r>
            <w:r w:rsidRPr="00EF52A6">
              <w:rPr>
                <w:b/>
                <w:bCs/>
                <w:sz w:val="22"/>
                <w:szCs w:val="22"/>
                <w:lang w:val="sr-Latn-ME"/>
              </w:rPr>
              <w:t>elesna površina</w:t>
            </w:r>
          </w:p>
        </w:tc>
        <w:tc>
          <w:tcPr>
            <w:tcW w:w="3685" w:type="dxa"/>
            <w:gridSpan w:val="2"/>
          </w:tcPr>
          <w:p w14:paraId="4AB05BAD"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20 mg/m</w:t>
            </w:r>
            <w:r w:rsidRPr="00EF52A6">
              <w:rPr>
                <w:b/>
                <w:bCs/>
                <w:sz w:val="22"/>
                <w:szCs w:val="22"/>
                <w:vertAlign w:val="superscript"/>
                <w:lang w:val="sr-Latn-ME"/>
              </w:rPr>
              <w:t>2</w:t>
            </w:r>
            <w:r w:rsidRPr="00EF52A6">
              <w:rPr>
                <w:b/>
                <w:bCs/>
                <w:sz w:val="22"/>
                <w:szCs w:val="22"/>
                <w:lang w:val="sr-Latn-ME"/>
              </w:rPr>
              <w:t xml:space="preserve"> dva puta dnevno (mg/doza)</w:t>
            </w:r>
          </w:p>
        </w:tc>
        <w:tc>
          <w:tcPr>
            <w:tcW w:w="3686" w:type="dxa"/>
            <w:gridSpan w:val="2"/>
          </w:tcPr>
          <w:p w14:paraId="6AB9CC52"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15 mg/m</w:t>
            </w:r>
            <w:r w:rsidRPr="00EF52A6">
              <w:rPr>
                <w:b/>
                <w:bCs/>
                <w:sz w:val="22"/>
                <w:szCs w:val="22"/>
                <w:vertAlign w:val="superscript"/>
                <w:lang w:val="sr-Latn-ME"/>
              </w:rPr>
              <w:t>2</w:t>
            </w:r>
            <w:r w:rsidRPr="00EF52A6">
              <w:rPr>
                <w:b/>
                <w:bCs/>
                <w:sz w:val="22"/>
                <w:szCs w:val="22"/>
                <w:lang w:val="sr-Latn-ME"/>
              </w:rPr>
              <w:t xml:space="preserve"> dva puta dnevno (mg/doza)</w:t>
            </w:r>
          </w:p>
        </w:tc>
      </w:tr>
      <w:tr w:rsidR="00FF69F8" w:rsidRPr="00EF52A6" w14:paraId="55789574" w14:textId="77777777" w:rsidTr="00DF11F1">
        <w:trPr>
          <w:trHeight w:val="311"/>
        </w:trPr>
        <w:tc>
          <w:tcPr>
            <w:tcW w:w="2127" w:type="dxa"/>
            <w:vMerge/>
            <w:tcBorders>
              <w:top w:val="nil"/>
            </w:tcBorders>
          </w:tcPr>
          <w:p w14:paraId="5A6E8FBA" w14:textId="77777777" w:rsidR="00FF69F8" w:rsidRPr="00EF52A6" w:rsidRDefault="00FF69F8" w:rsidP="00FF69F8">
            <w:pPr>
              <w:tabs>
                <w:tab w:val="left" w:pos="540"/>
                <w:tab w:val="left" w:pos="569"/>
              </w:tabs>
              <w:rPr>
                <w:bCs/>
                <w:sz w:val="22"/>
                <w:szCs w:val="22"/>
                <w:lang w:val="sr-Latn-ME"/>
              </w:rPr>
            </w:pPr>
          </w:p>
        </w:tc>
        <w:tc>
          <w:tcPr>
            <w:tcW w:w="1842" w:type="dxa"/>
          </w:tcPr>
          <w:p w14:paraId="5E8CBEB1"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Ujutru</w:t>
            </w:r>
          </w:p>
        </w:tc>
        <w:tc>
          <w:tcPr>
            <w:tcW w:w="1843" w:type="dxa"/>
          </w:tcPr>
          <w:p w14:paraId="587C6A42"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Uveče</w:t>
            </w:r>
          </w:p>
        </w:tc>
        <w:tc>
          <w:tcPr>
            <w:tcW w:w="1843" w:type="dxa"/>
          </w:tcPr>
          <w:p w14:paraId="38055DA3"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Ujutru</w:t>
            </w:r>
          </w:p>
        </w:tc>
        <w:tc>
          <w:tcPr>
            <w:tcW w:w="1843" w:type="dxa"/>
          </w:tcPr>
          <w:p w14:paraId="40E61320" w14:textId="77777777" w:rsidR="00FF69F8" w:rsidRPr="00EF52A6" w:rsidRDefault="00FF69F8" w:rsidP="00FF69F8">
            <w:pPr>
              <w:tabs>
                <w:tab w:val="left" w:pos="540"/>
                <w:tab w:val="left" w:pos="569"/>
              </w:tabs>
              <w:rPr>
                <w:b/>
                <w:bCs/>
                <w:sz w:val="22"/>
                <w:szCs w:val="22"/>
                <w:lang w:val="sr-Latn-ME"/>
              </w:rPr>
            </w:pPr>
            <w:r w:rsidRPr="00EF52A6">
              <w:rPr>
                <w:b/>
                <w:bCs/>
                <w:sz w:val="22"/>
                <w:szCs w:val="22"/>
                <w:lang w:val="sr-Latn-ME"/>
              </w:rPr>
              <w:t>Uveče</w:t>
            </w:r>
          </w:p>
        </w:tc>
      </w:tr>
      <w:tr w:rsidR="00FF69F8" w:rsidRPr="00EF52A6" w14:paraId="24EEBFF3" w14:textId="77777777" w:rsidTr="00DF11F1">
        <w:trPr>
          <w:trHeight w:val="369"/>
        </w:trPr>
        <w:tc>
          <w:tcPr>
            <w:tcW w:w="2127" w:type="dxa"/>
          </w:tcPr>
          <w:p w14:paraId="0E0A736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0,55 – 0,69 m</w:t>
            </w:r>
            <w:r w:rsidRPr="00EF52A6">
              <w:rPr>
                <w:bCs/>
                <w:sz w:val="22"/>
                <w:szCs w:val="22"/>
                <w:vertAlign w:val="superscript"/>
                <w:lang w:val="sr-Latn-ME"/>
              </w:rPr>
              <w:t>2</w:t>
            </w:r>
          </w:p>
        </w:tc>
        <w:tc>
          <w:tcPr>
            <w:tcW w:w="1842" w:type="dxa"/>
          </w:tcPr>
          <w:p w14:paraId="41F95430"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843" w:type="dxa"/>
          </w:tcPr>
          <w:p w14:paraId="151F8A42"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3686" w:type="dxa"/>
            <w:gridSpan w:val="2"/>
          </w:tcPr>
          <w:p w14:paraId="7607D120"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 mg jednom dnevno</w:t>
            </w:r>
          </w:p>
        </w:tc>
      </w:tr>
      <w:tr w:rsidR="00FF69F8" w:rsidRPr="00EF52A6" w14:paraId="77918994" w14:textId="77777777" w:rsidTr="00DF11F1">
        <w:trPr>
          <w:trHeight w:val="374"/>
        </w:trPr>
        <w:tc>
          <w:tcPr>
            <w:tcW w:w="2127" w:type="dxa"/>
          </w:tcPr>
          <w:p w14:paraId="7646828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0,70 – 0,89 m</w:t>
            </w:r>
            <w:r w:rsidRPr="00EF52A6">
              <w:rPr>
                <w:bCs/>
                <w:sz w:val="22"/>
                <w:szCs w:val="22"/>
                <w:vertAlign w:val="superscript"/>
                <w:lang w:val="sr-Latn-ME"/>
              </w:rPr>
              <w:t>2</w:t>
            </w:r>
          </w:p>
        </w:tc>
        <w:tc>
          <w:tcPr>
            <w:tcW w:w="1842" w:type="dxa"/>
          </w:tcPr>
          <w:p w14:paraId="0A0B3AAF"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843" w:type="dxa"/>
          </w:tcPr>
          <w:p w14:paraId="6BD70EEF"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843" w:type="dxa"/>
          </w:tcPr>
          <w:p w14:paraId="3464CBFA"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c>
          <w:tcPr>
            <w:tcW w:w="1843" w:type="dxa"/>
          </w:tcPr>
          <w:p w14:paraId="19F2180E"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r>
      <w:tr w:rsidR="00FF69F8" w:rsidRPr="00EF52A6" w14:paraId="709D1C06" w14:textId="77777777" w:rsidTr="00DF11F1">
        <w:trPr>
          <w:trHeight w:val="369"/>
        </w:trPr>
        <w:tc>
          <w:tcPr>
            <w:tcW w:w="2127" w:type="dxa"/>
          </w:tcPr>
          <w:p w14:paraId="2557F152"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0,90 – 1,09 m</w:t>
            </w:r>
            <w:r w:rsidRPr="00EF52A6">
              <w:rPr>
                <w:bCs/>
                <w:sz w:val="22"/>
                <w:szCs w:val="22"/>
                <w:vertAlign w:val="superscript"/>
                <w:lang w:val="sr-Latn-ME"/>
              </w:rPr>
              <w:t>2</w:t>
            </w:r>
          </w:p>
        </w:tc>
        <w:tc>
          <w:tcPr>
            <w:tcW w:w="1842" w:type="dxa"/>
          </w:tcPr>
          <w:p w14:paraId="39D1A8B0"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843" w:type="dxa"/>
          </w:tcPr>
          <w:p w14:paraId="3B412FDF"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843" w:type="dxa"/>
          </w:tcPr>
          <w:p w14:paraId="4ED63FE0"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c>
          <w:tcPr>
            <w:tcW w:w="1843" w:type="dxa"/>
          </w:tcPr>
          <w:p w14:paraId="0C5D4141"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r>
      <w:tr w:rsidR="00FF69F8" w:rsidRPr="00EF52A6" w14:paraId="59A2B538" w14:textId="77777777" w:rsidTr="00DF11F1">
        <w:trPr>
          <w:trHeight w:val="369"/>
        </w:trPr>
        <w:tc>
          <w:tcPr>
            <w:tcW w:w="2127" w:type="dxa"/>
          </w:tcPr>
          <w:p w14:paraId="564901F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1,10 – 1,29 m</w:t>
            </w:r>
            <w:r w:rsidRPr="00EF52A6">
              <w:rPr>
                <w:bCs/>
                <w:sz w:val="22"/>
                <w:szCs w:val="22"/>
                <w:vertAlign w:val="superscript"/>
                <w:lang w:val="sr-Latn-ME"/>
              </w:rPr>
              <w:t>2</w:t>
            </w:r>
          </w:p>
        </w:tc>
        <w:tc>
          <w:tcPr>
            <w:tcW w:w="1842" w:type="dxa"/>
          </w:tcPr>
          <w:p w14:paraId="49DD8798"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843" w:type="dxa"/>
          </w:tcPr>
          <w:p w14:paraId="52A7BFC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843" w:type="dxa"/>
          </w:tcPr>
          <w:p w14:paraId="08748B1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843" w:type="dxa"/>
          </w:tcPr>
          <w:p w14:paraId="7A0980E4"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10</w:t>
            </w:r>
          </w:p>
        </w:tc>
      </w:tr>
      <w:tr w:rsidR="00FF69F8" w:rsidRPr="00EF52A6" w14:paraId="7E409403" w14:textId="77777777" w:rsidTr="00DF11F1">
        <w:trPr>
          <w:trHeight w:val="374"/>
        </w:trPr>
        <w:tc>
          <w:tcPr>
            <w:tcW w:w="2127" w:type="dxa"/>
          </w:tcPr>
          <w:p w14:paraId="520F1210"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1,30 – 1,49 m</w:t>
            </w:r>
            <w:r w:rsidRPr="00EF52A6">
              <w:rPr>
                <w:bCs/>
                <w:sz w:val="22"/>
                <w:szCs w:val="22"/>
                <w:vertAlign w:val="superscript"/>
                <w:lang w:val="sr-Latn-ME"/>
              </w:rPr>
              <w:t>2</w:t>
            </w:r>
          </w:p>
        </w:tc>
        <w:tc>
          <w:tcPr>
            <w:tcW w:w="1842" w:type="dxa"/>
          </w:tcPr>
          <w:p w14:paraId="2734DF28"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843" w:type="dxa"/>
          </w:tcPr>
          <w:p w14:paraId="3261D83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843" w:type="dxa"/>
          </w:tcPr>
          <w:p w14:paraId="6EB0E29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843" w:type="dxa"/>
          </w:tcPr>
          <w:p w14:paraId="12F28E0F"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20</w:t>
            </w:r>
          </w:p>
        </w:tc>
      </w:tr>
      <w:tr w:rsidR="00FF69F8" w:rsidRPr="00EF52A6" w14:paraId="23C2BCFD" w14:textId="77777777" w:rsidTr="00DF11F1">
        <w:trPr>
          <w:trHeight w:val="369"/>
        </w:trPr>
        <w:tc>
          <w:tcPr>
            <w:tcW w:w="2127" w:type="dxa"/>
          </w:tcPr>
          <w:p w14:paraId="0E7B2AA2"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1,50 – 1,69 m</w:t>
            </w:r>
            <w:r w:rsidRPr="00EF52A6">
              <w:rPr>
                <w:bCs/>
                <w:sz w:val="22"/>
                <w:szCs w:val="22"/>
                <w:vertAlign w:val="superscript"/>
                <w:lang w:val="sr-Latn-ME"/>
              </w:rPr>
              <w:t>2</w:t>
            </w:r>
          </w:p>
        </w:tc>
        <w:tc>
          <w:tcPr>
            <w:tcW w:w="1842" w:type="dxa"/>
          </w:tcPr>
          <w:p w14:paraId="261F3FE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w:t>
            </w:r>
          </w:p>
        </w:tc>
        <w:tc>
          <w:tcPr>
            <w:tcW w:w="1843" w:type="dxa"/>
          </w:tcPr>
          <w:p w14:paraId="17E42DF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843" w:type="dxa"/>
          </w:tcPr>
          <w:p w14:paraId="27C4C995"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c>
          <w:tcPr>
            <w:tcW w:w="1843" w:type="dxa"/>
          </w:tcPr>
          <w:p w14:paraId="437612F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r>
      <w:tr w:rsidR="00FF69F8" w:rsidRPr="00EF52A6" w14:paraId="7C7163E2" w14:textId="77777777" w:rsidTr="00DF11F1">
        <w:trPr>
          <w:trHeight w:val="374"/>
        </w:trPr>
        <w:tc>
          <w:tcPr>
            <w:tcW w:w="2127" w:type="dxa"/>
          </w:tcPr>
          <w:p w14:paraId="00D90A4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1,70 – 1,89 m</w:t>
            </w:r>
            <w:r w:rsidRPr="00EF52A6">
              <w:rPr>
                <w:bCs/>
                <w:sz w:val="22"/>
                <w:szCs w:val="22"/>
                <w:vertAlign w:val="superscript"/>
                <w:lang w:val="sr-Latn-ME"/>
              </w:rPr>
              <w:t>2</w:t>
            </w:r>
          </w:p>
        </w:tc>
        <w:tc>
          <w:tcPr>
            <w:tcW w:w="1842" w:type="dxa"/>
          </w:tcPr>
          <w:p w14:paraId="216C33DD"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w:t>
            </w:r>
          </w:p>
        </w:tc>
        <w:tc>
          <w:tcPr>
            <w:tcW w:w="1843" w:type="dxa"/>
          </w:tcPr>
          <w:p w14:paraId="4F0E789B"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35</w:t>
            </w:r>
          </w:p>
        </w:tc>
        <w:tc>
          <w:tcPr>
            <w:tcW w:w="1843" w:type="dxa"/>
          </w:tcPr>
          <w:p w14:paraId="7935B70C"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843" w:type="dxa"/>
          </w:tcPr>
          <w:p w14:paraId="1CBC3CB3"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25</w:t>
            </w:r>
          </w:p>
        </w:tc>
      </w:tr>
      <w:tr w:rsidR="00FF69F8" w:rsidRPr="00EF52A6" w14:paraId="2701B96B" w14:textId="77777777" w:rsidTr="00DF11F1">
        <w:trPr>
          <w:trHeight w:val="369"/>
        </w:trPr>
        <w:tc>
          <w:tcPr>
            <w:tcW w:w="2127" w:type="dxa"/>
          </w:tcPr>
          <w:p w14:paraId="2511D289"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 1,90 m</w:t>
            </w:r>
            <w:r w:rsidRPr="00EF52A6">
              <w:rPr>
                <w:bCs/>
                <w:sz w:val="22"/>
                <w:szCs w:val="22"/>
                <w:vertAlign w:val="superscript"/>
                <w:lang w:val="sr-Latn-ME"/>
              </w:rPr>
              <w:t>2</w:t>
            </w:r>
          </w:p>
        </w:tc>
        <w:tc>
          <w:tcPr>
            <w:tcW w:w="1842" w:type="dxa"/>
          </w:tcPr>
          <w:p w14:paraId="37C687F2"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40</w:t>
            </w:r>
          </w:p>
        </w:tc>
        <w:tc>
          <w:tcPr>
            <w:tcW w:w="1843" w:type="dxa"/>
          </w:tcPr>
          <w:p w14:paraId="565A0EE7"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40</w:t>
            </w:r>
          </w:p>
        </w:tc>
        <w:tc>
          <w:tcPr>
            <w:tcW w:w="1843" w:type="dxa"/>
          </w:tcPr>
          <w:p w14:paraId="57FA9267"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c>
          <w:tcPr>
            <w:tcW w:w="1843" w:type="dxa"/>
          </w:tcPr>
          <w:p w14:paraId="42CF5521" w14:textId="77777777" w:rsidR="00FF69F8" w:rsidRPr="00EF52A6" w:rsidRDefault="00FF69F8" w:rsidP="00FF69F8">
            <w:pPr>
              <w:tabs>
                <w:tab w:val="left" w:pos="540"/>
                <w:tab w:val="left" w:pos="569"/>
              </w:tabs>
              <w:rPr>
                <w:bCs/>
                <w:sz w:val="22"/>
                <w:szCs w:val="22"/>
                <w:lang w:val="sr-Latn-ME"/>
              </w:rPr>
            </w:pPr>
            <w:r w:rsidRPr="00EF52A6">
              <w:rPr>
                <w:bCs/>
                <w:sz w:val="22"/>
                <w:szCs w:val="22"/>
                <w:lang w:val="sr-Latn-ME"/>
              </w:rPr>
              <w:t>30</w:t>
            </w:r>
          </w:p>
        </w:tc>
      </w:tr>
    </w:tbl>
    <w:p w14:paraId="0832FCF7" w14:textId="77777777" w:rsidR="00FF69F8" w:rsidRPr="00EF52A6" w:rsidRDefault="00FF69F8" w:rsidP="00FF69F8">
      <w:pPr>
        <w:tabs>
          <w:tab w:val="left" w:pos="540"/>
          <w:tab w:val="left" w:pos="569"/>
        </w:tabs>
        <w:rPr>
          <w:b/>
          <w:bCs/>
          <w:sz w:val="22"/>
          <w:szCs w:val="22"/>
          <w:lang w:val="sr-Latn-ME"/>
        </w:rPr>
      </w:pPr>
    </w:p>
    <w:p w14:paraId="271F40F6"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Posebne populacije</w:t>
      </w:r>
    </w:p>
    <w:p w14:paraId="750BDDCD"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Oštećenje funkcije bubrega</w:t>
      </w:r>
    </w:p>
    <w:p w14:paraId="634909C4" w14:textId="087118BA"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Na osnovu kliničkih ispitivanja, ne preporučuje se podešavanje doze za pacijente sa blagim, um</w:t>
      </w:r>
      <w:r w:rsidR="00407E86" w:rsidRPr="00EF52A6">
        <w:rPr>
          <w:bCs/>
          <w:sz w:val="22"/>
          <w:szCs w:val="22"/>
          <w:lang w:val="sr-Latn-ME"/>
        </w:rPr>
        <w:t>j</w:t>
      </w:r>
      <w:r w:rsidRPr="00EF52A6">
        <w:rPr>
          <w:bCs/>
          <w:sz w:val="22"/>
          <w:szCs w:val="22"/>
          <w:lang w:val="sr-Latn-ME"/>
        </w:rPr>
        <w:t>erenim</w:t>
      </w:r>
      <w:r w:rsidR="009F3583" w:rsidRPr="00EF52A6">
        <w:rPr>
          <w:bCs/>
          <w:sz w:val="22"/>
          <w:szCs w:val="22"/>
          <w:lang w:val="sr-Latn-ME"/>
        </w:rPr>
        <w:t xml:space="preserve"> ili</w:t>
      </w:r>
      <w:r w:rsidRPr="00EF52A6">
        <w:rPr>
          <w:bCs/>
          <w:sz w:val="22"/>
          <w:szCs w:val="22"/>
          <w:lang w:val="sr-Latn-ME"/>
        </w:rPr>
        <w:t xml:space="preserve"> teškim oštećenjem funkcije bubrega</w:t>
      </w:r>
      <w:r w:rsidR="009F3583" w:rsidRPr="00EF52A6">
        <w:rPr>
          <w:bCs/>
          <w:sz w:val="22"/>
          <w:szCs w:val="22"/>
          <w:lang w:val="sr-Latn-ME"/>
        </w:rPr>
        <w:t>,</w:t>
      </w:r>
      <w:r w:rsidRPr="00EF52A6">
        <w:rPr>
          <w:bCs/>
          <w:sz w:val="22"/>
          <w:szCs w:val="22"/>
          <w:lang w:val="sr-Latn-ME"/>
        </w:rPr>
        <w:t xml:space="preserve"> ili one sa bolešću bubrega u krajnjem stadijumu (</w:t>
      </w:r>
      <w:r w:rsidR="009F3583" w:rsidRPr="00EF52A6">
        <w:rPr>
          <w:bCs/>
          <w:sz w:val="22"/>
          <w:szCs w:val="22"/>
          <w:lang w:val="sr-Latn-ME"/>
        </w:rPr>
        <w:t xml:space="preserve">engl. </w:t>
      </w:r>
      <w:r w:rsidR="009F3583" w:rsidRPr="00EF52A6">
        <w:rPr>
          <w:bCs/>
          <w:i/>
          <w:sz w:val="22"/>
          <w:szCs w:val="22"/>
          <w:lang w:val="sr-Latn-ME"/>
        </w:rPr>
        <w:t>end stage renal disease</w:t>
      </w:r>
      <w:r w:rsidR="009F3583" w:rsidRPr="00EF52A6">
        <w:rPr>
          <w:bCs/>
          <w:sz w:val="22"/>
          <w:szCs w:val="22"/>
          <w:lang w:val="sr-Latn-ME"/>
        </w:rPr>
        <w:t xml:space="preserve">, </w:t>
      </w:r>
      <w:r w:rsidRPr="00EF52A6">
        <w:rPr>
          <w:bCs/>
          <w:sz w:val="22"/>
          <w:szCs w:val="22"/>
          <w:lang w:val="sr-Latn-ME"/>
        </w:rPr>
        <w:t>ESRD) (vid</w:t>
      </w:r>
      <w:r w:rsidR="00407E86" w:rsidRPr="00EF52A6">
        <w:rPr>
          <w:bCs/>
          <w:sz w:val="22"/>
          <w:szCs w:val="22"/>
          <w:lang w:val="sr-Latn-ME"/>
        </w:rPr>
        <w:t>j</w:t>
      </w:r>
      <w:r w:rsidRPr="00EF52A6">
        <w:rPr>
          <w:bCs/>
          <w:sz w:val="22"/>
          <w:szCs w:val="22"/>
          <w:lang w:val="sr-Latn-ME"/>
        </w:rPr>
        <w:t xml:space="preserve">eti </w:t>
      </w:r>
      <w:r w:rsidR="00407E86" w:rsidRPr="00EF52A6">
        <w:rPr>
          <w:bCs/>
          <w:sz w:val="22"/>
          <w:szCs w:val="22"/>
          <w:lang w:val="sr-Latn-ME"/>
        </w:rPr>
        <w:t>dio</w:t>
      </w:r>
      <w:r w:rsidRPr="00EF52A6">
        <w:rPr>
          <w:bCs/>
          <w:sz w:val="22"/>
          <w:szCs w:val="22"/>
          <w:lang w:val="sr-Latn-ME"/>
        </w:rPr>
        <w:t xml:space="preserve"> 5.2).</w:t>
      </w:r>
    </w:p>
    <w:p w14:paraId="04088DA2" w14:textId="77777777" w:rsidR="00FF69F8" w:rsidRPr="00EF52A6" w:rsidRDefault="00FF69F8" w:rsidP="00DF11F1">
      <w:pPr>
        <w:tabs>
          <w:tab w:val="left" w:pos="540"/>
          <w:tab w:val="left" w:pos="569"/>
        </w:tabs>
        <w:jc w:val="both"/>
        <w:rPr>
          <w:bCs/>
          <w:sz w:val="22"/>
          <w:szCs w:val="22"/>
          <w:lang w:val="sr-Latn-ME"/>
        </w:rPr>
      </w:pPr>
    </w:p>
    <w:p w14:paraId="572E22C4"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Oštećenje funkcije jetre</w:t>
      </w:r>
    </w:p>
    <w:p w14:paraId="1FF8ABC5" w14:textId="474B00E2"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Na osnovu kliničkih ispitivanja, ne preporučuje se podešavanje doze za pacijente sa blagim oštećenjem funkcije jetre. Kod pacijenata sa um</w:t>
      </w:r>
      <w:r w:rsidR="00407E86" w:rsidRPr="00EF52A6">
        <w:rPr>
          <w:bCs/>
          <w:sz w:val="22"/>
          <w:szCs w:val="22"/>
          <w:lang w:val="sr-Latn-ME"/>
        </w:rPr>
        <w:t>j</w:t>
      </w:r>
      <w:r w:rsidRPr="00EF52A6">
        <w:rPr>
          <w:bCs/>
          <w:sz w:val="22"/>
          <w:szCs w:val="22"/>
          <w:lang w:val="sr-Latn-ME"/>
        </w:rPr>
        <w:t>erenim oštećenjem funkcije jetre početnu dozu treba smanjiti na 20 mg/m</w:t>
      </w:r>
      <w:r w:rsidRPr="00EF52A6">
        <w:rPr>
          <w:bCs/>
          <w:sz w:val="22"/>
          <w:szCs w:val="22"/>
          <w:vertAlign w:val="superscript"/>
          <w:lang w:val="sr-Latn-ME"/>
        </w:rPr>
        <w:t>2</w:t>
      </w:r>
      <w:r w:rsidRPr="00EF52A6">
        <w:rPr>
          <w:bCs/>
          <w:sz w:val="22"/>
          <w:szCs w:val="22"/>
          <w:lang w:val="sr-Latn-ME"/>
        </w:rPr>
        <w:t xml:space="preserve"> t</w:t>
      </w:r>
      <w:r w:rsidR="00407E86" w:rsidRPr="00EF52A6">
        <w:rPr>
          <w:bCs/>
          <w:sz w:val="22"/>
          <w:szCs w:val="22"/>
          <w:lang w:val="sr-Latn-ME"/>
        </w:rPr>
        <w:t>j</w:t>
      </w:r>
      <w:r w:rsidRPr="00EF52A6">
        <w:rPr>
          <w:bCs/>
          <w:sz w:val="22"/>
          <w:szCs w:val="22"/>
          <w:lang w:val="sr-Latn-ME"/>
        </w:rPr>
        <w:t>elesne površine dva puta dnevno (vid</w:t>
      </w:r>
      <w:r w:rsidR="00407E86" w:rsidRPr="00EF52A6">
        <w:rPr>
          <w:bCs/>
          <w:sz w:val="22"/>
          <w:szCs w:val="22"/>
          <w:lang w:val="sr-Latn-ME"/>
        </w:rPr>
        <w:t>j</w:t>
      </w:r>
      <w:r w:rsidRPr="00EF52A6">
        <w:rPr>
          <w:bCs/>
          <w:sz w:val="22"/>
          <w:szCs w:val="22"/>
          <w:lang w:val="sr-Latn-ME"/>
        </w:rPr>
        <w:t>eti tabelu 4). Prim</w:t>
      </w:r>
      <w:r w:rsidR="00407E86" w:rsidRPr="00EF52A6">
        <w:rPr>
          <w:bCs/>
          <w:sz w:val="22"/>
          <w:szCs w:val="22"/>
          <w:lang w:val="sr-Latn-ME"/>
        </w:rPr>
        <w:t>j</w:t>
      </w:r>
      <w:r w:rsidRPr="00EF52A6">
        <w:rPr>
          <w:bCs/>
          <w:sz w:val="22"/>
          <w:szCs w:val="22"/>
          <w:lang w:val="sr-Latn-ME"/>
        </w:rPr>
        <w:t>ena l</w:t>
      </w:r>
      <w:r w:rsidR="00407E86" w:rsidRPr="00EF52A6">
        <w:rPr>
          <w:bCs/>
          <w:sz w:val="22"/>
          <w:szCs w:val="22"/>
          <w:lang w:val="sr-Latn-ME"/>
        </w:rPr>
        <w:t>ij</w:t>
      </w:r>
      <w:r w:rsidRPr="00EF52A6">
        <w:rPr>
          <w:bCs/>
          <w:sz w:val="22"/>
          <w:szCs w:val="22"/>
          <w:lang w:val="sr-Latn-ME"/>
        </w:rPr>
        <w:t>eka Koselugo kontraindikovana je kod pacijenata sa teškim oštećenjem funkcije jetre (vid</w:t>
      </w:r>
      <w:r w:rsidR="00407E86" w:rsidRPr="00EF52A6">
        <w:rPr>
          <w:bCs/>
          <w:sz w:val="22"/>
          <w:szCs w:val="22"/>
          <w:lang w:val="sr-Latn-ME"/>
        </w:rPr>
        <w:t>j</w:t>
      </w:r>
      <w:r w:rsidRPr="00EF52A6">
        <w:rPr>
          <w:bCs/>
          <w:sz w:val="22"/>
          <w:szCs w:val="22"/>
          <w:lang w:val="sr-Latn-ME"/>
        </w:rPr>
        <w:t xml:space="preserve">eti </w:t>
      </w:r>
      <w:r w:rsidR="00407E86" w:rsidRPr="00EF52A6">
        <w:rPr>
          <w:bCs/>
          <w:sz w:val="22"/>
          <w:szCs w:val="22"/>
          <w:lang w:val="sr-Latn-ME"/>
        </w:rPr>
        <w:t>djelove</w:t>
      </w:r>
      <w:r w:rsidRPr="00EF52A6">
        <w:rPr>
          <w:bCs/>
          <w:sz w:val="22"/>
          <w:szCs w:val="22"/>
          <w:lang w:val="sr-Latn-ME"/>
        </w:rPr>
        <w:t xml:space="preserve"> 4.3</w:t>
      </w:r>
      <w:r w:rsidR="009F3583" w:rsidRPr="00EF52A6">
        <w:rPr>
          <w:bCs/>
          <w:sz w:val="22"/>
          <w:szCs w:val="22"/>
          <w:lang w:val="sr-Latn-ME"/>
        </w:rPr>
        <w:t>.</w:t>
      </w:r>
      <w:r w:rsidRPr="00EF52A6">
        <w:rPr>
          <w:bCs/>
          <w:sz w:val="22"/>
          <w:szCs w:val="22"/>
          <w:lang w:val="sr-Latn-ME"/>
        </w:rPr>
        <w:t xml:space="preserve"> i 5.2).</w:t>
      </w:r>
    </w:p>
    <w:p w14:paraId="21E273FE" w14:textId="77777777" w:rsidR="00FF69F8" w:rsidRPr="00EF52A6" w:rsidRDefault="00FF69F8" w:rsidP="00DF11F1">
      <w:pPr>
        <w:tabs>
          <w:tab w:val="left" w:pos="540"/>
          <w:tab w:val="left" w:pos="569"/>
        </w:tabs>
        <w:jc w:val="both"/>
        <w:rPr>
          <w:bCs/>
          <w:sz w:val="22"/>
          <w:szCs w:val="22"/>
          <w:lang w:val="sr-Latn-ME"/>
        </w:rPr>
      </w:pPr>
    </w:p>
    <w:p w14:paraId="07889F6F" w14:textId="36617BB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Etničko por</w:t>
      </w:r>
      <w:r w:rsidR="009F3583" w:rsidRPr="00EF52A6">
        <w:rPr>
          <w:bCs/>
          <w:i/>
          <w:iCs/>
          <w:sz w:val="22"/>
          <w:szCs w:val="22"/>
          <w:u w:val="single"/>
          <w:lang w:val="sr-Latn-ME"/>
        </w:rPr>
        <w:t>ij</w:t>
      </w:r>
      <w:r w:rsidRPr="00EF52A6">
        <w:rPr>
          <w:bCs/>
          <w:i/>
          <w:iCs/>
          <w:sz w:val="22"/>
          <w:szCs w:val="22"/>
          <w:u w:val="single"/>
          <w:lang w:val="sr-Latn-ME"/>
        </w:rPr>
        <w:t>eklo</w:t>
      </w:r>
    </w:p>
    <w:p w14:paraId="1F5915BB" w14:textId="6C205322"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Kod odraslih ispitanika azijskog por</w:t>
      </w:r>
      <w:r w:rsidR="009F3583" w:rsidRPr="00EF52A6">
        <w:rPr>
          <w:bCs/>
          <w:sz w:val="22"/>
          <w:szCs w:val="22"/>
          <w:lang w:val="sr-Latn-ME"/>
        </w:rPr>
        <w:t>ij</w:t>
      </w:r>
      <w:r w:rsidRPr="00EF52A6">
        <w:rPr>
          <w:bCs/>
          <w:sz w:val="22"/>
          <w:szCs w:val="22"/>
          <w:lang w:val="sr-Latn-ME"/>
        </w:rPr>
        <w:t>ekla zab</w:t>
      </w:r>
      <w:r w:rsidR="00407E86" w:rsidRPr="00EF52A6">
        <w:rPr>
          <w:bCs/>
          <w:sz w:val="22"/>
          <w:szCs w:val="22"/>
          <w:lang w:val="sr-Latn-ME"/>
        </w:rPr>
        <w:t>ilj</w:t>
      </w:r>
      <w:r w:rsidRPr="00EF52A6">
        <w:rPr>
          <w:bCs/>
          <w:sz w:val="22"/>
          <w:szCs w:val="22"/>
          <w:lang w:val="sr-Latn-ME"/>
        </w:rPr>
        <w:t>ežena je povećana sistemska izloženost, iako postoji značajna podudarnost sa ispitanicima iz zapadnih zemalja nakon korekcije za t</w:t>
      </w:r>
      <w:r w:rsidR="00407E86" w:rsidRPr="00EF52A6">
        <w:rPr>
          <w:bCs/>
          <w:sz w:val="22"/>
          <w:szCs w:val="22"/>
          <w:lang w:val="sr-Latn-ME"/>
        </w:rPr>
        <w:t>j</w:t>
      </w:r>
      <w:r w:rsidRPr="00EF52A6">
        <w:rPr>
          <w:bCs/>
          <w:sz w:val="22"/>
          <w:szCs w:val="22"/>
          <w:lang w:val="sr-Latn-ME"/>
        </w:rPr>
        <w:t>elesnu masu. Ne preporučuju se posebna podešavanja početne doze kod pedijatrijskih pacijenata azijskog por</w:t>
      </w:r>
      <w:r w:rsidR="009F3583" w:rsidRPr="00EF52A6">
        <w:rPr>
          <w:bCs/>
          <w:sz w:val="22"/>
          <w:szCs w:val="22"/>
          <w:lang w:val="sr-Latn-ME"/>
        </w:rPr>
        <w:t>ij</w:t>
      </w:r>
      <w:r w:rsidRPr="00EF52A6">
        <w:rPr>
          <w:bCs/>
          <w:sz w:val="22"/>
          <w:szCs w:val="22"/>
          <w:lang w:val="sr-Latn-ME"/>
        </w:rPr>
        <w:t>ekla, ali te pacijente treba pažljivo nadzirati zbog mogućih neželjenih dejstava (vid</w:t>
      </w:r>
      <w:r w:rsidR="00407E86" w:rsidRPr="00EF52A6">
        <w:rPr>
          <w:bCs/>
          <w:sz w:val="22"/>
          <w:szCs w:val="22"/>
          <w:lang w:val="sr-Latn-ME"/>
        </w:rPr>
        <w:t>j</w:t>
      </w:r>
      <w:r w:rsidRPr="00EF52A6">
        <w:rPr>
          <w:bCs/>
          <w:sz w:val="22"/>
          <w:szCs w:val="22"/>
          <w:lang w:val="sr-Latn-ME"/>
        </w:rPr>
        <w:t xml:space="preserve">eti </w:t>
      </w:r>
      <w:r w:rsidR="00407E86" w:rsidRPr="00EF52A6">
        <w:rPr>
          <w:bCs/>
          <w:sz w:val="22"/>
          <w:szCs w:val="22"/>
          <w:lang w:val="sr-Latn-ME"/>
        </w:rPr>
        <w:t>dio</w:t>
      </w:r>
      <w:r w:rsidRPr="00EF52A6">
        <w:rPr>
          <w:bCs/>
          <w:sz w:val="22"/>
          <w:szCs w:val="22"/>
          <w:lang w:val="sr-Latn-ME"/>
        </w:rPr>
        <w:t xml:space="preserve"> 5.2).</w:t>
      </w:r>
    </w:p>
    <w:p w14:paraId="37A36773" w14:textId="77777777" w:rsidR="00FF69F8" w:rsidRPr="00EF52A6" w:rsidRDefault="00FF69F8" w:rsidP="00DF11F1">
      <w:pPr>
        <w:tabs>
          <w:tab w:val="left" w:pos="540"/>
          <w:tab w:val="left" w:pos="569"/>
        </w:tabs>
        <w:jc w:val="both"/>
        <w:rPr>
          <w:bCs/>
          <w:sz w:val="22"/>
          <w:szCs w:val="22"/>
          <w:lang w:val="sr-Latn-ME"/>
        </w:rPr>
      </w:pPr>
    </w:p>
    <w:p w14:paraId="12C46951"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Pedijatrijska populacija</w:t>
      </w:r>
    </w:p>
    <w:p w14:paraId="1409074B" w14:textId="4ADE87DE"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Bezb</w:t>
      </w:r>
      <w:r w:rsidR="00407E86" w:rsidRPr="00EF52A6">
        <w:rPr>
          <w:bCs/>
          <w:sz w:val="22"/>
          <w:szCs w:val="22"/>
          <w:lang w:val="sr-Latn-ME"/>
        </w:rPr>
        <w:t>j</w:t>
      </w:r>
      <w:r w:rsidRPr="00EF52A6">
        <w:rPr>
          <w:bCs/>
          <w:sz w:val="22"/>
          <w:szCs w:val="22"/>
          <w:lang w:val="sr-Latn-ME"/>
        </w:rPr>
        <w:t>ednost i efikasnost l</w:t>
      </w:r>
      <w:r w:rsidR="00407E86" w:rsidRPr="00EF52A6">
        <w:rPr>
          <w:bCs/>
          <w:sz w:val="22"/>
          <w:szCs w:val="22"/>
          <w:lang w:val="sr-Latn-ME"/>
        </w:rPr>
        <w:t>ij</w:t>
      </w:r>
      <w:r w:rsidRPr="00EF52A6">
        <w:rPr>
          <w:bCs/>
          <w:sz w:val="22"/>
          <w:szCs w:val="22"/>
          <w:lang w:val="sr-Latn-ME"/>
        </w:rPr>
        <w:t>eka Koselugo kod d</w:t>
      </w:r>
      <w:r w:rsidR="00407E86" w:rsidRPr="00EF52A6">
        <w:rPr>
          <w:bCs/>
          <w:sz w:val="22"/>
          <w:szCs w:val="22"/>
          <w:lang w:val="sr-Latn-ME"/>
        </w:rPr>
        <w:t>j</w:t>
      </w:r>
      <w:r w:rsidRPr="00EF52A6">
        <w:rPr>
          <w:bCs/>
          <w:sz w:val="22"/>
          <w:szCs w:val="22"/>
          <w:lang w:val="sr-Latn-ME"/>
        </w:rPr>
        <w:t>ece mlađe od 3 godine ni</w:t>
      </w:r>
      <w:r w:rsidR="00407E86" w:rsidRPr="00EF52A6">
        <w:rPr>
          <w:bCs/>
          <w:sz w:val="22"/>
          <w:szCs w:val="22"/>
          <w:lang w:val="sr-Latn-ME"/>
        </w:rPr>
        <w:t>je</w:t>
      </w:r>
      <w:r w:rsidRPr="00EF52A6">
        <w:rPr>
          <w:bCs/>
          <w:sz w:val="22"/>
          <w:szCs w:val="22"/>
          <w:lang w:val="sr-Latn-ME"/>
        </w:rPr>
        <w:t>su utvrđene. Nema dostupnih podataka.</w:t>
      </w:r>
    </w:p>
    <w:p w14:paraId="78D8238D" w14:textId="77777777" w:rsidR="00452E9D" w:rsidRPr="00EF52A6" w:rsidRDefault="00452E9D" w:rsidP="00DF11F1">
      <w:pPr>
        <w:tabs>
          <w:tab w:val="left" w:pos="540"/>
          <w:tab w:val="left" w:pos="569"/>
        </w:tabs>
        <w:jc w:val="both"/>
        <w:rPr>
          <w:bCs/>
          <w:sz w:val="22"/>
          <w:szCs w:val="22"/>
          <w:u w:val="single"/>
          <w:lang w:val="sr-Latn-ME"/>
        </w:rPr>
      </w:pPr>
    </w:p>
    <w:p w14:paraId="16D8CB9D" w14:textId="77777777" w:rsidR="00452E9D" w:rsidRPr="00EF52A6" w:rsidRDefault="00452E9D" w:rsidP="00DF11F1">
      <w:pPr>
        <w:tabs>
          <w:tab w:val="left" w:pos="540"/>
          <w:tab w:val="left" w:pos="569"/>
        </w:tabs>
        <w:jc w:val="both"/>
        <w:rPr>
          <w:bCs/>
          <w:sz w:val="22"/>
          <w:szCs w:val="22"/>
          <w:u w:val="single"/>
          <w:lang w:val="sr-Latn-ME"/>
        </w:rPr>
      </w:pPr>
      <w:r w:rsidRPr="00EF52A6">
        <w:rPr>
          <w:bCs/>
          <w:sz w:val="22"/>
          <w:szCs w:val="22"/>
          <w:u w:val="single"/>
          <w:lang w:val="sr-Latn-ME"/>
        </w:rPr>
        <w:t>Način primjene</w:t>
      </w:r>
    </w:p>
    <w:p w14:paraId="2B5E1696" w14:textId="7FF76037"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L</w:t>
      </w:r>
      <w:r w:rsidR="00407E86" w:rsidRPr="00EF52A6">
        <w:rPr>
          <w:bCs/>
          <w:sz w:val="22"/>
          <w:szCs w:val="22"/>
          <w:lang w:val="sr-Latn-ME"/>
        </w:rPr>
        <w:t>ij</w:t>
      </w:r>
      <w:r w:rsidRPr="00EF52A6">
        <w:rPr>
          <w:bCs/>
          <w:sz w:val="22"/>
          <w:szCs w:val="22"/>
          <w:lang w:val="sr-Latn-ME"/>
        </w:rPr>
        <w:t>ek Koselugo nam</w:t>
      </w:r>
      <w:r w:rsidR="00407E86" w:rsidRPr="00EF52A6">
        <w:rPr>
          <w:bCs/>
          <w:sz w:val="22"/>
          <w:szCs w:val="22"/>
          <w:lang w:val="sr-Latn-ME"/>
        </w:rPr>
        <w:t>ij</w:t>
      </w:r>
      <w:r w:rsidRPr="00EF52A6">
        <w:rPr>
          <w:bCs/>
          <w:sz w:val="22"/>
          <w:szCs w:val="22"/>
          <w:lang w:val="sr-Latn-ME"/>
        </w:rPr>
        <w:t>enjen je za oralnu prim</w:t>
      </w:r>
      <w:r w:rsidR="00407E86" w:rsidRPr="00EF52A6">
        <w:rPr>
          <w:bCs/>
          <w:sz w:val="22"/>
          <w:szCs w:val="22"/>
          <w:lang w:val="sr-Latn-ME"/>
        </w:rPr>
        <w:t>j</w:t>
      </w:r>
      <w:r w:rsidRPr="00EF52A6">
        <w:rPr>
          <w:bCs/>
          <w:sz w:val="22"/>
          <w:szCs w:val="22"/>
          <w:lang w:val="sr-Latn-ME"/>
        </w:rPr>
        <w:t>enu. Može se uzimati sa hranom ili bez hrane</w:t>
      </w:r>
      <w:r w:rsidRPr="00EF52A6">
        <w:rPr>
          <w:bCs/>
          <w:sz w:val="22"/>
          <w:szCs w:val="22"/>
          <w:vertAlign w:val="superscript"/>
          <w:lang w:val="sr-Latn-ME"/>
        </w:rPr>
        <w:t xml:space="preserve"> </w:t>
      </w:r>
      <w:r w:rsidRPr="00EF52A6">
        <w:rPr>
          <w:bCs/>
          <w:sz w:val="22"/>
          <w:szCs w:val="22"/>
          <w:lang w:val="sr-Latn-ME"/>
        </w:rPr>
        <w:t>(vid</w:t>
      </w:r>
      <w:r w:rsidR="00407E86" w:rsidRPr="00EF52A6">
        <w:rPr>
          <w:bCs/>
          <w:sz w:val="22"/>
          <w:szCs w:val="22"/>
          <w:lang w:val="sr-Latn-ME"/>
        </w:rPr>
        <w:t>j</w:t>
      </w:r>
      <w:r w:rsidRPr="00EF52A6">
        <w:rPr>
          <w:bCs/>
          <w:sz w:val="22"/>
          <w:szCs w:val="22"/>
          <w:lang w:val="sr-Latn-ME"/>
        </w:rPr>
        <w:t xml:space="preserve">eti </w:t>
      </w:r>
      <w:r w:rsidR="00407E86" w:rsidRPr="00EF52A6">
        <w:rPr>
          <w:bCs/>
          <w:sz w:val="22"/>
          <w:szCs w:val="22"/>
          <w:lang w:val="sr-Latn-ME"/>
        </w:rPr>
        <w:t>dio</w:t>
      </w:r>
      <w:r w:rsidRPr="00EF52A6">
        <w:rPr>
          <w:bCs/>
          <w:sz w:val="22"/>
          <w:szCs w:val="22"/>
          <w:lang w:val="sr-Latn-ME"/>
        </w:rPr>
        <w:t xml:space="preserve"> 5.2).</w:t>
      </w:r>
    </w:p>
    <w:p w14:paraId="53954D4F" w14:textId="77777777" w:rsidR="00FF69F8" w:rsidRPr="00EF52A6" w:rsidRDefault="00FF69F8" w:rsidP="00DF11F1">
      <w:pPr>
        <w:tabs>
          <w:tab w:val="left" w:pos="540"/>
          <w:tab w:val="left" w:pos="569"/>
        </w:tabs>
        <w:jc w:val="both"/>
        <w:rPr>
          <w:bCs/>
          <w:sz w:val="22"/>
          <w:szCs w:val="22"/>
          <w:lang w:val="sr-Latn-ME"/>
        </w:rPr>
      </w:pPr>
    </w:p>
    <w:p w14:paraId="21C3C138" w14:textId="75CE47AC"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Kapsule treba progutati c</w:t>
      </w:r>
      <w:r w:rsidR="00407E86" w:rsidRPr="00EF52A6">
        <w:rPr>
          <w:bCs/>
          <w:sz w:val="22"/>
          <w:szCs w:val="22"/>
          <w:lang w:val="sr-Latn-ME"/>
        </w:rPr>
        <w:t>ij</w:t>
      </w:r>
      <w:r w:rsidRPr="00EF52A6">
        <w:rPr>
          <w:bCs/>
          <w:sz w:val="22"/>
          <w:szCs w:val="22"/>
          <w:lang w:val="sr-Latn-ME"/>
        </w:rPr>
        <w:t>ele sa vodom. Kapsule se ne sm</w:t>
      </w:r>
      <w:r w:rsidR="00407E86" w:rsidRPr="00EF52A6">
        <w:rPr>
          <w:bCs/>
          <w:sz w:val="22"/>
          <w:szCs w:val="22"/>
          <w:lang w:val="sr-Latn-ME"/>
        </w:rPr>
        <w:t>i</w:t>
      </w:r>
      <w:r w:rsidRPr="00EF52A6">
        <w:rPr>
          <w:bCs/>
          <w:sz w:val="22"/>
          <w:szCs w:val="22"/>
          <w:lang w:val="sr-Latn-ME"/>
        </w:rPr>
        <w:t>ju žvakati, rastvarati niti otvarati jer to može uticati na oslobađanje l</w:t>
      </w:r>
      <w:r w:rsidR="00407E86" w:rsidRPr="00EF52A6">
        <w:rPr>
          <w:bCs/>
          <w:sz w:val="22"/>
          <w:szCs w:val="22"/>
          <w:lang w:val="sr-Latn-ME"/>
        </w:rPr>
        <w:t>ij</w:t>
      </w:r>
      <w:r w:rsidRPr="00EF52A6">
        <w:rPr>
          <w:bCs/>
          <w:sz w:val="22"/>
          <w:szCs w:val="22"/>
          <w:lang w:val="sr-Latn-ME"/>
        </w:rPr>
        <w:t>eka i na resorpciju selumetiniba.</w:t>
      </w:r>
    </w:p>
    <w:p w14:paraId="6DD83BEF" w14:textId="77777777" w:rsidR="00FF69F8" w:rsidRPr="00EF52A6" w:rsidRDefault="00FF69F8" w:rsidP="00DF11F1">
      <w:pPr>
        <w:tabs>
          <w:tab w:val="left" w:pos="540"/>
          <w:tab w:val="left" w:pos="569"/>
        </w:tabs>
        <w:jc w:val="both"/>
        <w:rPr>
          <w:bCs/>
          <w:sz w:val="22"/>
          <w:szCs w:val="22"/>
          <w:lang w:val="sr-Latn-ME"/>
        </w:rPr>
      </w:pPr>
    </w:p>
    <w:p w14:paraId="1B8041AD" w14:textId="44CAECEE"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Koselugo se ne sm</w:t>
      </w:r>
      <w:r w:rsidR="00407E86" w:rsidRPr="00EF52A6">
        <w:rPr>
          <w:bCs/>
          <w:sz w:val="22"/>
          <w:szCs w:val="22"/>
          <w:lang w:val="sr-Latn-ME"/>
        </w:rPr>
        <w:t>ij</w:t>
      </w:r>
      <w:r w:rsidRPr="00EF52A6">
        <w:rPr>
          <w:bCs/>
          <w:sz w:val="22"/>
          <w:szCs w:val="22"/>
          <w:lang w:val="sr-Latn-ME"/>
        </w:rPr>
        <w:t>e prim</w:t>
      </w:r>
      <w:r w:rsidR="00407E86" w:rsidRPr="00EF52A6">
        <w:rPr>
          <w:bCs/>
          <w:sz w:val="22"/>
          <w:szCs w:val="22"/>
          <w:lang w:val="sr-Latn-ME"/>
        </w:rPr>
        <w:t>j</w:t>
      </w:r>
      <w:r w:rsidRPr="00EF52A6">
        <w:rPr>
          <w:bCs/>
          <w:sz w:val="22"/>
          <w:szCs w:val="22"/>
          <w:lang w:val="sr-Latn-ME"/>
        </w:rPr>
        <w:t>enjivati kod pacijenata koji ne mogu ili ne žele da progutaju c</w:t>
      </w:r>
      <w:r w:rsidR="00407E86" w:rsidRPr="00EF52A6">
        <w:rPr>
          <w:bCs/>
          <w:sz w:val="22"/>
          <w:szCs w:val="22"/>
          <w:lang w:val="sr-Latn-ME"/>
        </w:rPr>
        <w:t>ij</w:t>
      </w:r>
      <w:r w:rsidRPr="00EF52A6">
        <w:rPr>
          <w:bCs/>
          <w:sz w:val="22"/>
          <w:szCs w:val="22"/>
          <w:lang w:val="sr-Latn-ME"/>
        </w:rPr>
        <w:t>elu kapsulu. Pr</w:t>
      </w:r>
      <w:r w:rsidR="00407E86" w:rsidRPr="00EF52A6">
        <w:rPr>
          <w:bCs/>
          <w:sz w:val="22"/>
          <w:szCs w:val="22"/>
          <w:lang w:val="sr-Latn-ME"/>
        </w:rPr>
        <w:t>ij</w:t>
      </w:r>
      <w:r w:rsidRPr="00EF52A6">
        <w:rPr>
          <w:bCs/>
          <w:sz w:val="22"/>
          <w:szCs w:val="22"/>
          <w:lang w:val="sr-Latn-ME"/>
        </w:rPr>
        <w:t>e početka l</w:t>
      </w:r>
      <w:r w:rsidR="00407E86" w:rsidRPr="00EF52A6">
        <w:rPr>
          <w:bCs/>
          <w:sz w:val="22"/>
          <w:szCs w:val="22"/>
          <w:lang w:val="sr-Latn-ME"/>
        </w:rPr>
        <w:t>ij</w:t>
      </w:r>
      <w:r w:rsidRPr="00EF52A6">
        <w:rPr>
          <w:bCs/>
          <w:sz w:val="22"/>
          <w:szCs w:val="22"/>
          <w:lang w:val="sr-Latn-ME"/>
        </w:rPr>
        <w:t>ečenja treba proc</w:t>
      </w:r>
      <w:r w:rsidR="00407E86" w:rsidRPr="00EF52A6">
        <w:rPr>
          <w:bCs/>
          <w:sz w:val="22"/>
          <w:szCs w:val="22"/>
          <w:lang w:val="sr-Latn-ME"/>
        </w:rPr>
        <w:t>ij</w:t>
      </w:r>
      <w:r w:rsidRPr="00EF52A6">
        <w:rPr>
          <w:bCs/>
          <w:sz w:val="22"/>
          <w:szCs w:val="22"/>
          <w:lang w:val="sr-Latn-ME"/>
        </w:rPr>
        <w:t>eniti pacijentovu sposobnost gutanja kapsule.</w:t>
      </w:r>
    </w:p>
    <w:p w14:paraId="22645B72" w14:textId="5A8E8D68"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Očekuje se da će za gutanje kapsula selumetiniba biti dovoljne standardne tehnike gutanja l</w:t>
      </w:r>
      <w:r w:rsidR="00407E86" w:rsidRPr="00EF52A6">
        <w:rPr>
          <w:bCs/>
          <w:sz w:val="22"/>
          <w:szCs w:val="22"/>
          <w:lang w:val="sr-Latn-ME"/>
        </w:rPr>
        <w:t>j</w:t>
      </w:r>
      <w:r w:rsidRPr="00EF52A6">
        <w:rPr>
          <w:bCs/>
          <w:sz w:val="22"/>
          <w:szCs w:val="22"/>
          <w:lang w:val="sr-Latn-ME"/>
        </w:rPr>
        <w:t>ekova. Kod pacijenata koji imaju poteškoća sa gutanjem kapsule može se razmotriti upućivanje odgovarajućem zdravstvenom radniku, poput logopeda, kako bi se pronašle prikladne metode koje se mogu prilagoditi određenom pacijentu.</w:t>
      </w:r>
    </w:p>
    <w:p w14:paraId="16081563" w14:textId="77777777" w:rsidR="00452E9D" w:rsidRPr="00EF52A6" w:rsidRDefault="00452E9D" w:rsidP="00480FB1">
      <w:pPr>
        <w:tabs>
          <w:tab w:val="left" w:pos="540"/>
          <w:tab w:val="left" w:pos="569"/>
        </w:tabs>
        <w:rPr>
          <w:bCs/>
          <w:sz w:val="22"/>
          <w:szCs w:val="22"/>
          <w:lang w:val="sr-Latn-ME"/>
        </w:rPr>
      </w:pPr>
    </w:p>
    <w:p w14:paraId="4F293827" w14:textId="77777777" w:rsidR="00411B4B" w:rsidRPr="00EF52A6" w:rsidRDefault="00411B4B" w:rsidP="00480FB1">
      <w:pPr>
        <w:tabs>
          <w:tab w:val="left" w:pos="540"/>
          <w:tab w:val="left" w:pos="569"/>
        </w:tabs>
        <w:rPr>
          <w:b/>
          <w:bCs/>
          <w:sz w:val="22"/>
          <w:szCs w:val="22"/>
          <w:lang w:val="sr-Latn-ME"/>
        </w:rPr>
      </w:pPr>
      <w:r w:rsidRPr="00EF52A6">
        <w:rPr>
          <w:b/>
          <w:bCs/>
          <w:sz w:val="22"/>
          <w:szCs w:val="22"/>
          <w:lang w:val="sr-Latn-ME"/>
        </w:rPr>
        <w:t xml:space="preserve">4.3. </w:t>
      </w:r>
      <w:r w:rsidR="00480FB1" w:rsidRPr="00EF52A6">
        <w:rPr>
          <w:b/>
          <w:bCs/>
          <w:sz w:val="22"/>
          <w:szCs w:val="22"/>
          <w:lang w:val="sr-Latn-ME"/>
        </w:rPr>
        <w:tab/>
      </w:r>
      <w:r w:rsidRPr="00EF52A6">
        <w:rPr>
          <w:b/>
          <w:bCs/>
          <w:sz w:val="22"/>
          <w:szCs w:val="22"/>
          <w:lang w:val="sr-Latn-ME"/>
        </w:rPr>
        <w:t>Kontraindikacije</w:t>
      </w:r>
    </w:p>
    <w:p w14:paraId="7B5C0B0D" w14:textId="77777777" w:rsidR="0072020E" w:rsidRPr="00EF52A6" w:rsidRDefault="0072020E" w:rsidP="00480FB1">
      <w:pPr>
        <w:tabs>
          <w:tab w:val="left" w:pos="540"/>
          <w:tab w:val="left" w:pos="569"/>
        </w:tabs>
        <w:rPr>
          <w:bCs/>
          <w:sz w:val="22"/>
          <w:szCs w:val="22"/>
          <w:lang w:val="sr-Latn-ME"/>
        </w:rPr>
      </w:pPr>
    </w:p>
    <w:p w14:paraId="0D4BD6AB" w14:textId="5C7D31B5" w:rsidR="00FF69F8" w:rsidRPr="00EF52A6" w:rsidRDefault="00FF69F8" w:rsidP="00FF69F8">
      <w:pPr>
        <w:tabs>
          <w:tab w:val="left" w:pos="540"/>
          <w:tab w:val="left" w:pos="569"/>
        </w:tabs>
        <w:rPr>
          <w:bCs/>
          <w:sz w:val="22"/>
          <w:szCs w:val="22"/>
          <w:lang w:val="sr-Latn-ME"/>
        </w:rPr>
      </w:pPr>
      <w:r w:rsidRPr="00EF52A6">
        <w:rPr>
          <w:bCs/>
          <w:sz w:val="22"/>
          <w:szCs w:val="22"/>
          <w:lang w:val="sr-Latn-ME"/>
        </w:rPr>
        <w:t>Preos</w:t>
      </w:r>
      <w:r w:rsidR="00407E86" w:rsidRPr="00EF52A6">
        <w:rPr>
          <w:bCs/>
          <w:sz w:val="22"/>
          <w:szCs w:val="22"/>
          <w:lang w:val="sr-Latn-ME"/>
        </w:rPr>
        <w:t>j</w:t>
      </w:r>
      <w:r w:rsidRPr="00EF52A6">
        <w:rPr>
          <w:bCs/>
          <w:sz w:val="22"/>
          <w:szCs w:val="22"/>
          <w:lang w:val="sr-Latn-ME"/>
        </w:rPr>
        <w:t xml:space="preserve">etljivost na aktivnu supstancu ili bilo koju od pomoćnih supstanci navedenih u </w:t>
      </w:r>
      <w:r w:rsidR="00407E86" w:rsidRPr="00EF52A6">
        <w:rPr>
          <w:bCs/>
          <w:sz w:val="22"/>
          <w:szCs w:val="22"/>
          <w:lang w:val="sr-Latn-ME"/>
        </w:rPr>
        <w:t>dijelu</w:t>
      </w:r>
      <w:r w:rsidRPr="00EF52A6">
        <w:rPr>
          <w:bCs/>
          <w:sz w:val="22"/>
          <w:szCs w:val="22"/>
          <w:lang w:val="sr-Latn-ME"/>
        </w:rPr>
        <w:t xml:space="preserve"> 6.1. Teško oštećenje </w:t>
      </w:r>
      <w:r w:rsidR="009F3583" w:rsidRPr="00EF52A6">
        <w:rPr>
          <w:bCs/>
          <w:sz w:val="22"/>
          <w:szCs w:val="22"/>
          <w:lang w:val="sr-Latn-ME"/>
        </w:rPr>
        <w:t xml:space="preserve">funkcije </w:t>
      </w:r>
      <w:r w:rsidRPr="00EF52A6">
        <w:rPr>
          <w:bCs/>
          <w:sz w:val="22"/>
          <w:szCs w:val="22"/>
          <w:lang w:val="sr-Latn-ME"/>
        </w:rPr>
        <w:t xml:space="preserve">jetre (pogledati </w:t>
      </w:r>
      <w:r w:rsidR="00407E86" w:rsidRPr="00EF52A6">
        <w:rPr>
          <w:bCs/>
          <w:sz w:val="22"/>
          <w:szCs w:val="22"/>
          <w:lang w:val="sr-Latn-ME"/>
        </w:rPr>
        <w:t>djelove</w:t>
      </w:r>
      <w:r w:rsidRPr="00EF52A6">
        <w:rPr>
          <w:bCs/>
          <w:sz w:val="22"/>
          <w:szCs w:val="22"/>
          <w:lang w:val="sr-Latn-ME"/>
        </w:rPr>
        <w:t xml:space="preserve"> 4.2</w:t>
      </w:r>
      <w:r w:rsidR="009F3583" w:rsidRPr="00EF52A6">
        <w:rPr>
          <w:bCs/>
          <w:sz w:val="22"/>
          <w:szCs w:val="22"/>
          <w:lang w:val="sr-Latn-ME"/>
        </w:rPr>
        <w:t>.</w:t>
      </w:r>
      <w:r w:rsidRPr="00EF52A6">
        <w:rPr>
          <w:bCs/>
          <w:sz w:val="22"/>
          <w:szCs w:val="22"/>
          <w:lang w:val="sr-Latn-ME"/>
        </w:rPr>
        <w:t xml:space="preserve"> i 5.2).</w:t>
      </w:r>
    </w:p>
    <w:p w14:paraId="6F4A37CE" w14:textId="77777777" w:rsidR="00FF69F8" w:rsidRPr="00EF52A6" w:rsidRDefault="00FF69F8" w:rsidP="00480FB1">
      <w:pPr>
        <w:tabs>
          <w:tab w:val="left" w:pos="540"/>
          <w:tab w:val="left" w:pos="569"/>
        </w:tabs>
        <w:rPr>
          <w:bCs/>
          <w:sz w:val="22"/>
          <w:szCs w:val="22"/>
          <w:lang w:val="sr-Latn-ME"/>
        </w:rPr>
      </w:pPr>
    </w:p>
    <w:p w14:paraId="1520FE97" w14:textId="77777777" w:rsidR="00411B4B" w:rsidRPr="00EF52A6" w:rsidRDefault="00411B4B" w:rsidP="00480FB1">
      <w:pPr>
        <w:tabs>
          <w:tab w:val="left" w:pos="540"/>
          <w:tab w:val="left" w:pos="569"/>
        </w:tabs>
        <w:rPr>
          <w:b/>
          <w:bCs/>
          <w:sz w:val="22"/>
          <w:szCs w:val="22"/>
          <w:lang w:val="sr-Latn-ME"/>
        </w:rPr>
      </w:pPr>
      <w:r w:rsidRPr="00EF52A6">
        <w:rPr>
          <w:b/>
          <w:bCs/>
          <w:sz w:val="22"/>
          <w:szCs w:val="22"/>
          <w:lang w:val="sr-Latn-ME"/>
        </w:rPr>
        <w:lastRenderedPageBreak/>
        <w:t xml:space="preserve">4.4. </w:t>
      </w:r>
      <w:r w:rsidR="00480FB1" w:rsidRPr="00EF52A6">
        <w:rPr>
          <w:b/>
          <w:bCs/>
          <w:sz w:val="22"/>
          <w:szCs w:val="22"/>
          <w:lang w:val="sr-Latn-ME"/>
        </w:rPr>
        <w:tab/>
      </w:r>
      <w:r w:rsidRPr="00EF52A6">
        <w:rPr>
          <w:b/>
          <w:bCs/>
          <w:sz w:val="22"/>
          <w:szCs w:val="22"/>
          <w:lang w:val="sr-Latn-ME"/>
        </w:rPr>
        <w:t>Posebna upozorenja i mjere opreza pri upotrebi lijeka</w:t>
      </w:r>
    </w:p>
    <w:p w14:paraId="2DD3ACEA" w14:textId="77777777" w:rsidR="0072020E" w:rsidRPr="00EF52A6" w:rsidRDefault="0072020E" w:rsidP="00480FB1">
      <w:pPr>
        <w:tabs>
          <w:tab w:val="left" w:pos="540"/>
          <w:tab w:val="left" w:pos="569"/>
        </w:tabs>
        <w:rPr>
          <w:bCs/>
          <w:sz w:val="22"/>
          <w:szCs w:val="22"/>
          <w:lang w:val="sr-Latn-ME"/>
        </w:rPr>
      </w:pPr>
    </w:p>
    <w:p w14:paraId="305CB306" w14:textId="0B8E013D"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Smanjena ejekciona frakcija l</w:t>
      </w:r>
      <w:r w:rsidR="00D74534" w:rsidRPr="00EF52A6">
        <w:rPr>
          <w:bCs/>
          <w:sz w:val="22"/>
          <w:szCs w:val="22"/>
          <w:u w:val="single"/>
          <w:lang w:val="sr-Latn-ME"/>
        </w:rPr>
        <w:t>ij</w:t>
      </w:r>
      <w:r w:rsidRPr="00EF52A6">
        <w:rPr>
          <w:bCs/>
          <w:sz w:val="22"/>
          <w:szCs w:val="22"/>
          <w:u w:val="single"/>
          <w:lang w:val="sr-Latn-ME"/>
        </w:rPr>
        <w:t>eve komore (LVEF)</w:t>
      </w:r>
    </w:p>
    <w:p w14:paraId="6F4CB076" w14:textId="67B98ADD"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U pivotalnom kliničkom ispitivanju asimptomatsko smanjenje ejekcione frakcije je prijavljeno kod 26% pedijatrijskih pacijenata. Medijana vremena do prve pojave tog neželjenog dejstva iznosila je 232 dana. Mali broj ozbiljnih slučajeva smanjenja LVEF povezanog sa selumetinibom prijavljen je kod pedijatrijskih pacijenata koji su učestvovali u programu proširenog pristupa l</w:t>
      </w:r>
      <w:r w:rsidR="00D74534" w:rsidRPr="00EF52A6">
        <w:rPr>
          <w:bCs/>
          <w:sz w:val="22"/>
          <w:szCs w:val="22"/>
          <w:lang w:val="sr-Latn-ME"/>
        </w:rPr>
        <w:t>ij</w:t>
      </w:r>
      <w:r w:rsidRPr="00EF52A6">
        <w:rPr>
          <w:bCs/>
          <w:sz w:val="22"/>
          <w:szCs w:val="22"/>
          <w:lang w:val="sr-Latn-ME"/>
        </w:rPr>
        <w:t>eku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4.8).</w:t>
      </w:r>
    </w:p>
    <w:p w14:paraId="6C1AA36A" w14:textId="77777777" w:rsidR="00FF69F8" w:rsidRPr="00EF52A6" w:rsidRDefault="00FF69F8" w:rsidP="00DF11F1">
      <w:pPr>
        <w:tabs>
          <w:tab w:val="left" w:pos="540"/>
          <w:tab w:val="left" w:pos="569"/>
        </w:tabs>
        <w:jc w:val="both"/>
        <w:rPr>
          <w:bCs/>
          <w:sz w:val="22"/>
          <w:szCs w:val="22"/>
          <w:lang w:val="sr-Latn-ME"/>
        </w:rPr>
      </w:pPr>
    </w:p>
    <w:p w14:paraId="54FBFFC9" w14:textId="6811B129"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U ispitivanjima ni</w:t>
      </w:r>
      <w:r w:rsidR="00D74534" w:rsidRPr="00EF52A6">
        <w:rPr>
          <w:bCs/>
          <w:sz w:val="22"/>
          <w:szCs w:val="22"/>
          <w:lang w:val="sr-Latn-ME"/>
        </w:rPr>
        <w:t>je</w:t>
      </w:r>
      <w:r w:rsidRPr="00EF52A6">
        <w:rPr>
          <w:bCs/>
          <w:sz w:val="22"/>
          <w:szCs w:val="22"/>
          <w:lang w:val="sr-Latn-ME"/>
        </w:rPr>
        <w:t>su učestvovali pedijatrijski pacijenti sa narušenom funkcijom l</w:t>
      </w:r>
      <w:r w:rsidR="00D74534" w:rsidRPr="00EF52A6">
        <w:rPr>
          <w:bCs/>
          <w:sz w:val="22"/>
          <w:szCs w:val="22"/>
          <w:lang w:val="sr-Latn-ME"/>
        </w:rPr>
        <w:t>ij</w:t>
      </w:r>
      <w:r w:rsidRPr="00EF52A6">
        <w:rPr>
          <w:bCs/>
          <w:sz w:val="22"/>
          <w:szCs w:val="22"/>
          <w:lang w:val="sr-Latn-ME"/>
        </w:rPr>
        <w:t>eve komore u anamnezi, kao ni oni kojima je početni LVEF bio ispod donje granice normale koju propisuje ustanova. LVEF treba oc</w:t>
      </w:r>
      <w:r w:rsidR="00D74534" w:rsidRPr="00EF52A6">
        <w:rPr>
          <w:bCs/>
          <w:sz w:val="22"/>
          <w:szCs w:val="22"/>
          <w:lang w:val="sr-Latn-ME"/>
        </w:rPr>
        <w:t>ij</w:t>
      </w:r>
      <w:r w:rsidRPr="00EF52A6">
        <w:rPr>
          <w:bCs/>
          <w:sz w:val="22"/>
          <w:szCs w:val="22"/>
          <w:lang w:val="sr-Latn-ME"/>
        </w:rPr>
        <w:t>eniti ehokardiogramom pr</w:t>
      </w:r>
      <w:r w:rsidR="00D74534" w:rsidRPr="00EF52A6">
        <w:rPr>
          <w:bCs/>
          <w:sz w:val="22"/>
          <w:szCs w:val="22"/>
          <w:lang w:val="sr-Latn-ME"/>
        </w:rPr>
        <w:t>ij</w:t>
      </w:r>
      <w:r w:rsidRPr="00EF52A6">
        <w:rPr>
          <w:bCs/>
          <w:sz w:val="22"/>
          <w:szCs w:val="22"/>
          <w:lang w:val="sr-Latn-ME"/>
        </w:rPr>
        <w:t>e početka l</w:t>
      </w:r>
      <w:r w:rsidR="00D74534" w:rsidRPr="00EF52A6">
        <w:rPr>
          <w:bCs/>
          <w:sz w:val="22"/>
          <w:szCs w:val="22"/>
          <w:lang w:val="sr-Latn-ME"/>
        </w:rPr>
        <w:t>ij</w:t>
      </w:r>
      <w:r w:rsidRPr="00EF52A6">
        <w:rPr>
          <w:bCs/>
          <w:sz w:val="22"/>
          <w:szCs w:val="22"/>
          <w:lang w:val="sr-Latn-ME"/>
        </w:rPr>
        <w:t>ečenja da bi se utvrdile početne vr</w:t>
      </w:r>
      <w:r w:rsidR="00D74534" w:rsidRPr="00EF52A6">
        <w:rPr>
          <w:bCs/>
          <w:sz w:val="22"/>
          <w:szCs w:val="22"/>
          <w:lang w:val="sr-Latn-ME"/>
        </w:rPr>
        <w:t>ij</w:t>
      </w:r>
      <w:r w:rsidRPr="00EF52A6">
        <w:rPr>
          <w:bCs/>
          <w:sz w:val="22"/>
          <w:szCs w:val="22"/>
          <w:lang w:val="sr-Latn-ME"/>
        </w:rPr>
        <w:t>ednosti. Pr</w:t>
      </w:r>
      <w:r w:rsidR="00D74534" w:rsidRPr="00EF52A6">
        <w:rPr>
          <w:bCs/>
          <w:sz w:val="22"/>
          <w:szCs w:val="22"/>
          <w:lang w:val="sr-Latn-ME"/>
        </w:rPr>
        <w:t>ij</w:t>
      </w:r>
      <w:r w:rsidRPr="00EF52A6">
        <w:rPr>
          <w:bCs/>
          <w:sz w:val="22"/>
          <w:szCs w:val="22"/>
          <w:lang w:val="sr-Latn-ME"/>
        </w:rPr>
        <w:t>e uvođenja l</w:t>
      </w:r>
      <w:r w:rsidR="00D74534" w:rsidRPr="00EF52A6">
        <w:rPr>
          <w:bCs/>
          <w:sz w:val="22"/>
          <w:szCs w:val="22"/>
          <w:lang w:val="sr-Latn-ME"/>
        </w:rPr>
        <w:t>ij</w:t>
      </w:r>
      <w:r w:rsidRPr="00EF52A6">
        <w:rPr>
          <w:bCs/>
          <w:sz w:val="22"/>
          <w:szCs w:val="22"/>
          <w:lang w:val="sr-Latn-ME"/>
        </w:rPr>
        <w:t>ečenja selumetinibom pacijenti moraju da imaju ejekcionu frakciju iznad donje granice normale koju propisuje ustanova.</w:t>
      </w:r>
    </w:p>
    <w:p w14:paraId="6290999C" w14:textId="77777777" w:rsidR="00FF69F8" w:rsidRPr="00EF52A6" w:rsidRDefault="00FF69F8" w:rsidP="00DF11F1">
      <w:pPr>
        <w:tabs>
          <w:tab w:val="left" w:pos="540"/>
          <w:tab w:val="left" w:pos="569"/>
        </w:tabs>
        <w:jc w:val="both"/>
        <w:rPr>
          <w:bCs/>
          <w:sz w:val="22"/>
          <w:szCs w:val="22"/>
          <w:lang w:val="sr-Latn-ME"/>
        </w:rPr>
      </w:pPr>
    </w:p>
    <w:p w14:paraId="6061DC79" w14:textId="05A082DB"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Tokom l</w:t>
      </w:r>
      <w:r w:rsidR="00D74534" w:rsidRPr="00EF52A6">
        <w:rPr>
          <w:bCs/>
          <w:sz w:val="22"/>
          <w:szCs w:val="22"/>
          <w:lang w:val="sr-Latn-ME"/>
        </w:rPr>
        <w:t>ij</w:t>
      </w:r>
      <w:r w:rsidRPr="00EF52A6">
        <w:rPr>
          <w:bCs/>
          <w:sz w:val="22"/>
          <w:szCs w:val="22"/>
          <w:lang w:val="sr-Latn-ME"/>
        </w:rPr>
        <w:t>ečenja LVEF treba oc</w:t>
      </w:r>
      <w:r w:rsidR="00D74534" w:rsidRPr="00EF52A6">
        <w:rPr>
          <w:bCs/>
          <w:sz w:val="22"/>
          <w:szCs w:val="22"/>
          <w:lang w:val="sr-Latn-ME"/>
        </w:rPr>
        <w:t>j</w:t>
      </w:r>
      <w:r w:rsidRPr="00EF52A6">
        <w:rPr>
          <w:bCs/>
          <w:sz w:val="22"/>
          <w:szCs w:val="22"/>
          <w:lang w:val="sr-Latn-ME"/>
        </w:rPr>
        <w:t>enjivati u intervalima od približno 3 m</w:t>
      </w:r>
      <w:r w:rsidR="00D74534" w:rsidRPr="00EF52A6">
        <w:rPr>
          <w:bCs/>
          <w:sz w:val="22"/>
          <w:szCs w:val="22"/>
          <w:lang w:val="sr-Latn-ME"/>
        </w:rPr>
        <w:t>j</w:t>
      </w:r>
      <w:r w:rsidRPr="00EF52A6">
        <w:rPr>
          <w:bCs/>
          <w:sz w:val="22"/>
          <w:szCs w:val="22"/>
          <w:lang w:val="sr-Latn-ME"/>
        </w:rPr>
        <w:t>eseca ili češće ako je to klinički indikovano. Smanjenje LVEF može se zbrinuti privremenim prekidom prim</w:t>
      </w:r>
      <w:r w:rsidR="00D74534" w:rsidRPr="00EF52A6">
        <w:rPr>
          <w:bCs/>
          <w:sz w:val="22"/>
          <w:szCs w:val="22"/>
          <w:lang w:val="sr-Latn-ME"/>
        </w:rPr>
        <w:t>j</w:t>
      </w:r>
      <w:r w:rsidRPr="00EF52A6">
        <w:rPr>
          <w:bCs/>
          <w:sz w:val="22"/>
          <w:szCs w:val="22"/>
          <w:lang w:val="sr-Latn-ME"/>
        </w:rPr>
        <w:t>ene l</w:t>
      </w:r>
      <w:r w:rsidR="00D74534" w:rsidRPr="00EF52A6">
        <w:rPr>
          <w:bCs/>
          <w:sz w:val="22"/>
          <w:szCs w:val="22"/>
          <w:lang w:val="sr-Latn-ME"/>
        </w:rPr>
        <w:t>ij</w:t>
      </w:r>
      <w:r w:rsidRPr="00EF52A6">
        <w:rPr>
          <w:bCs/>
          <w:sz w:val="22"/>
          <w:szCs w:val="22"/>
          <w:lang w:val="sr-Latn-ME"/>
        </w:rPr>
        <w:t>eka, smanjenjem doze ili trajnim prekidom l</w:t>
      </w:r>
      <w:r w:rsidR="00D74534" w:rsidRPr="00EF52A6">
        <w:rPr>
          <w:bCs/>
          <w:sz w:val="22"/>
          <w:szCs w:val="22"/>
          <w:lang w:val="sr-Latn-ME"/>
        </w:rPr>
        <w:t>ij</w:t>
      </w:r>
      <w:r w:rsidRPr="00EF52A6">
        <w:rPr>
          <w:bCs/>
          <w:sz w:val="22"/>
          <w:szCs w:val="22"/>
          <w:lang w:val="sr-Latn-ME"/>
        </w:rPr>
        <w:t>ečenja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4.2).</w:t>
      </w:r>
    </w:p>
    <w:p w14:paraId="2553EFE4" w14:textId="77777777" w:rsidR="00FF69F8" w:rsidRPr="00EF52A6" w:rsidRDefault="00FF69F8" w:rsidP="00DF11F1">
      <w:pPr>
        <w:tabs>
          <w:tab w:val="left" w:pos="540"/>
          <w:tab w:val="left" w:pos="569"/>
        </w:tabs>
        <w:jc w:val="both"/>
        <w:rPr>
          <w:bCs/>
          <w:sz w:val="22"/>
          <w:szCs w:val="22"/>
          <w:lang w:val="sr-Latn-ME"/>
        </w:rPr>
      </w:pPr>
    </w:p>
    <w:p w14:paraId="2026C0D1"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Okularna toksičnost</w:t>
      </w:r>
    </w:p>
    <w:p w14:paraId="09BFD43E" w14:textId="5DA4F612"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Pacijentima treba sav</w:t>
      </w:r>
      <w:r w:rsidR="00D74534" w:rsidRPr="00EF52A6">
        <w:rPr>
          <w:bCs/>
          <w:sz w:val="22"/>
          <w:szCs w:val="22"/>
          <w:lang w:val="sr-Latn-ME"/>
        </w:rPr>
        <w:t>j</w:t>
      </w:r>
      <w:r w:rsidRPr="00EF52A6">
        <w:rPr>
          <w:bCs/>
          <w:sz w:val="22"/>
          <w:szCs w:val="22"/>
          <w:lang w:val="sr-Latn-ME"/>
        </w:rPr>
        <w:t>etovati da prijave sve nove poremećaje vida. Kod pedijatrijskih pacijenata koji su primali selumetinib prijavljen je zamagljen vid. Zab</w:t>
      </w:r>
      <w:r w:rsidR="00D74534" w:rsidRPr="00EF52A6">
        <w:rPr>
          <w:bCs/>
          <w:sz w:val="22"/>
          <w:szCs w:val="22"/>
          <w:lang w:val="sr-Latn-ME"/>
        </w:rPr>
        <w:t>i</w:t>
      </w:r>
      <w:r w:rsidRPr="00EF52A6">
        <w:rPr>
          <w:bCs/>
          <w:sz w:val="22"/>
          <w:szCs w:val="22"/>
          <w:lang w:val="sr-Latn-ME"/>
        </w:rPr>
        <w:t>l</w:t>
      </w:r>
      <w:r w:rsidR="00D74534" w:rsidRPr="00EF52A6">
        <w:rPr>
          <w:bCs/>
          <w:sz w:val="22"/>
          <w:szCs w:val="22"/>
          <w:lang w:val="sr-Latn-ME"/>
        </w:rPr>
        <w:t>j</w:t>
      </w:r>
      <w:r w:rsidRPr="00EF52A6">
        <w:rPr>
          <w:bCs/>
          <w:sz w:val="22"/>
          <w:szCs w:val="22"/>
          <w:lang w:val="sr-Latn-ME"/>
        </w:rPr>
        <w:t>eženi su izolovani slučajevi RPED, CSR i RVO kod odraslih pacijenata sa različitim vrstama tumora koji su primali selumetinib u monoterapiji ili u kombinaciji sa drugim antineoplastičnim l</w:t>
      </w:r>
      <w:r w:rsidR="00D74534" w:rsidRPr="00EF52A6">
        <w:rPr>
          <w:bCs/>
          <w:sz w:val="22"/>
          <w:szCs w:val="22"/>
          <w:lang w:val="sr-Latn-ME"/>
        </w:rPr>
        <w:t>j</w:t>
      </w:r>
      <w:r w:rsidRPr="00EF52A6">
        <w:rPr>
          <w:bCs/>
          <w:sz w:val="22"/>
          <w:szCs w:val="22"/>
          <w:lang w:val="sr-Latn-ME"/>
        </w:rPr>
        <w:t>ekovima, kao i kod jednog pedijatrijskog pacijenta sa pilocitnim astrocitomom koji je primao selumetinib u monoterapiji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4.8).</w:t>
      </w:r>
    </w:p>
    <w:p w14:paraId="1F3DF87C" w14:textId="77777777" w:rsidR="00FF69F8" w:rsidRPr="00EF52A6" w:rsidRDefault="00FF69F8" w:rsidP="00DF11F1">
      <w:pPr>
        <w:tabs>
          <w:tab w:val="left" w:pos="540"/>
          <w:tab w:val="left" w:pos="569"/>
        </w:tabs>
        <w:jc w:val="both"/>
        <w:rPr>
          <w:bCs/>
          <w:sz w:val="22"/>
          <w:szCs w:val="22"/>
          <w:lang w:val="sr-Latn-ME"/>
        </w:rPr>
      </w:pPr>
    </w:p>
    <w:p w14:paraId="27727C19" w14:textId="7F77C329"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U skladu sa kliničkom praksom preporučuje se sprovođenje oftalmološke proc</w:t>
      </w:r>
      <w:r w:rsidR="00D74534" w:rsidRPr="00EF52A6">
        <w:rPr>
          <w:bCs/>
          <w:sz w:val="22"/>
          <w:szCs w:val="22"/>
          <w:lang w:val="sr-Latn-ME"/>
        </w:rPr>
        <w:t>j</w:t>
      </w:r>
      <w:r w:rsidRPr="00EF52A6">
        <w:rPr>
          <w:bCs/>
          <w:sz w:val="22"/>
          <w:szCs w:val="22"/>
          <w:lang w:val="sr-Latn-ME"/>
        </w:rPr>
        <w:t>ene pr</w:t>
      </w:r>
      <w:r w:rsidR="00D74534" w:rsidRPr="00EF52A6">
        <w:rPr>
          <w:bCs/>
          <w:sz w:val="22"/>
          <w:szCs w:val="22"/>
          <w:lang w:val="sr-Latn-ME"/>
        </w:rPr>
        <w:t>ij</w:t>
      </w:r>
      <w:r w:rsidRPr="00EF52A6">
        <w:rPr>
          <w:bCs/>
          <w:sz w:val="22"/>
          <w:szCs w:val="22"/>
          <w:lang w:val="sr-Latn-ME"/>
        </w:rPr>
        <w:t>e početka l</w:t>
      </w:r>
      <w:r w:rsidR="00D74534" w:rsidRPr="00EF52A6">
        <w:rPr>
          <w:bCs/>
          <w:sz w:val="22"/>
          <w:szCs w:val="22"/>
          <w:lang w:val="sr-Latn-ME"/>
        </w:rPr>
        <w:t>ij</w:t>
      </w:r>
      <w:r w:rsidRPr="00EF52A6">
        <w:rPr>
          <w:bCs/>
          <w:sz w:val="22"/>
          <w:szCs w:val="22"/>
          <w:lang w:val="sr-Latn-ME"/>
        </w:rPr>
        <w:t>ečenja i kad god pacijent prijavi nove poremećaje vida. Kod pacijenata kojima se dijagnostikuju RPED ili CSR bez smanjene oštrine vida treba sprovoditi oftalmološku proc</w:t>
      </w:r>
      <w:r w:rsidR="00D74534" w:rsidRPr="00EF52A6">
        <w:rPr>
          <w:bCs/>
          <w:sz w:val="22"/>
          <w:szCs w:val="22"/>
          <w:lang w:val="sr-Latn-ME"/>
        </w:rPr>
        <w:t>j</w:t>
      </w:r>
      <w:r w:rsidRPr="00EF52A6">
        <w:rPr>
          <w:bCs/>
          <w:sz w:val="22"/>
          <w:szCs w:val="22"/>
          <w:lang w:val="sr-Latn-ME"/>
        </w:rPr>
        <w:t>enu svake 3 ned</w:t>
      </w:r>
      <w:r w:rsidR="00D74534" w:rsidRPr="00EF52A6">
        <w:rPr>
          <w:bCs/>
          <w:sz w:val="22"/>
          <w:szCs w:val="22"/>
          <w:lang w:val="sr-Latn-ME"/>
        </w:rPr>
        <w:t>j</w:t>
      </w:r>
      <w:r w:rsidRPr="00EF52A6">
        <w:rPr>
          <w:bCs/>
          <w:sz w:val="22"/>
          <w:szCs w:val="22"/>
          <w:lang w:val="sr-Latn-ME"/>
        </w:rPr>
        <w:t>elje do povlačenja neželjenog dejstva. U slučaju dijagnoze RPED ili CSR praćenih smanjenom oštrinom vida l</w:t>
      </w:r>
      <w:r w:rsidR="00D74534" w:rsidRPr="00EF52A6">
        <w:rPr>
          <w:bCs/>
          <w:sz w:val="22"/>
          <w:szCs w:val="22"/>
          <w:lang w:val="sr-Latn-ME"/>
        </w:rPr>
        <w:t>ij</w:t>
      </w:r>
      <w:r w:rsidRPr="00EF52A6">
        <w:rPr>
          <w:bCs/>
          <w:sz w:val="22"/>
          <w:szCs w:val="22"/>
          <w:lang w:val="sr-Latn-ME"/>
        </w:rPr>
        <w:t>ečenje selumetinibom treba privremeno prekinuti, a pri nastavku l</w:t>
      </w:r>
      <w:r w:rsidR="00D74534" w:rsidRPr="00EF52A6">
        <w:rPr>
          <w:bCs/>
          <w:sz w:val="22"/>
          <w:szCs w:val="22"/>
          <w:lang w:val="sr-Latn-ME"/>
        </w:rPr>
        <w:t>ij</w:t>
      </w:r>
      <w:r w:rsidRPr="00EF52A6">
        <w:rPr>
          <w:bCs/>
          <w:sz w:val="22"/>
          <w:szCs w:val="22"/>
          <w:lang w:val="sr-Latn-ME"/>
        </w:rPr>
        <w:t>ečenja smanjiti dozu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4.2). Ako se pacijentu dijagnostikuje RVO, l</w:t>
      </w:r>
      <w:r w:rsidR="00D74534" w:rsidRPr="00EF52A6">
        <w:rPr>
          <w:bCs/>
          <w:sz w:val="22"/>
          <w:szCs w:val="22"/>
          <w:lang w:val="sr-Latn-ME"/>
        </w:rPr>
        <w:t>ij</w:t>
      </w:r>
      <w:r w:rsidRPr="00EF52A6">
        <w:rPr>
          <w:bCs/>
          <w:sz w:val="22"/>
          <w:szCs w:val="22"/>
          <w:lang w:val="sr-Latn-ME"/>
        </w:rPr>
        <w:t>ečenje selumetinibom treba trajno prekinuti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4.2).</w:t>
      </w:r>
    </w:p>
    <w:p w14:paraId="6E0F96C2" w14:textId="77777777" w:rsidR="00FF69F8" w:rsidRPr="00EF52A6" w:rsidRDefault="00FF69F8" w:rsidP="00DF11F1">
      <w:pPr>
        <w:tabs>
          <w:tab w:val="left" w:pos="540"/>
          <w:tab w:val="left" w:pos="569"/>
        </w:tabs>
        <w:jc w:val="both"/>
        <w:rPr>
          <w:bCs/>
          <w:sz w:val="22"/>
          <w:szCs w:val="22"/>
          <w:lang w:val="sr-Latn-ME"/>
        </w:rPr>
      </w:pPr>
    </w:p>
    <w:p w14:paraId="67177BD9" w14:textId="46511384"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Odstupanja u laboratorijskim vr</w:t>
      </w:r>
      <w:r w:rsidR="00D74534" w:rsidRPr="00EF52A6">
        <w:rPr>
          <w:bCs/>
          <w:sz w:val="22"/>
          <w:szCs w:val="22"/>
          <w:u w:val="single"/>
          <w:lang w:val="sr-Latn-ME"/>
        </w:rPr>
        <w:t>ij</w:t>
      </w:r>
      <w:r w:rsidRPr="00EF52A6">
        <w:rPr>
          <w:bCs/>
          <w:sz w:val="22"/>
          <w:szCs w:val="22"/>
          <w:u w:val="single"/>
          <w:lang w:val="sr-Latn-ME"/>
        </w:rPr>
        <w:t>ednostima jetrenih parametara</w:t>
      </w:r>
    </w:p>
    <w:p w14:paraId="0AF718EA" w14:textId="40E6DCB6"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Kod prim</w:t>
      </w:r>
      <w:r w:rsidR="00D74534" w:rsidRPr="00EF52A6">
        <w:rPr>
          <w:bCs/>
          <w:sz w:val="22"/>
          <w:szCs w:val="22"/>
          <w:lang w:val="sr-Latn-ME"/>
        </w:rPr>
        <w:t>j</w:t>
      </w:r>
      <w:r w:rsidRPr="00EF52A6">
        <w:rPr>
          <w:bCs/>
          <w:sz w:val="22"/>
          <w:szCs w:val="22"/>
          <w:lang w:val="sr-Latn-ME"/>
        </w:rPr>
        <w:t>ene selumetiniba mogu se javiti odstupanja u laboratorijskim vr</w:t>
      </w:r>
      <w:r w:rsidR="00D74534" w:rsidRPr="00EF52A6">
        <w:rPr>
          <w:bCs/>
          <w:sz w:val="22"/>
          <w:szCs w:val="22"/>
          <w:lang w:val="sr-Latn-ME"/>
        </w:rPr>
        <w:t>ij</w:t>
      </w:r>
      <w:r w:rsidRPr="00EF52A6">
        <w:rPr>
          <w:bCs/>
          <w:sz w:val="22"/>
          <w:szCs w:val="22"/>
          <w:lang w:val="sr-Latn-ME"/>
        </w:rPr>
        <w:t>ednostima jetrenih parametara, a posebno povišene vr</w:t>
      </w:r>
      <w:r w:rsidR="00D74534" w:rsidRPr="00EF52A6">
        <w:rPr>
          <w:bCs/>
          <w:sz w:val="22"/>
          <w:szCs w:val="22"/>
          <w:lang w:val="sr-Latn-ME"/>
        </w:rPr>
        <w:t>ij</w:t>
      </w:r>
      <w:r w:rsidRPr="00EF52A6">
        <w:rPr>
          <w:bCs/>
          <w:sz w:val="22"/>
          <w:szCs w:val="22"/>
          <w:lang w:val="sr-Latn-ME"/>
        </w:rPr>
        <w:t>ednosti AST i ALT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4.8). Laboratorijske vr</w:t>
      </w:r>
      <w:r w:rsidR="00D74534" w:rsidRPr="00EF52A6">
        <w:rPr>
          <w:bCs/>
          <w:sz w:val="22"/>
          <w:szCs w:val="22"/>
          <w:lang w:val="sr-Latn-ME"/>
        </w:rPr>
        <w:t>ij</w:t>
      </w:r>
      <w:r w:rsidRPr="00EF52A6">
        <w:rPr>
          <w:bCs/>
          <w:sz w:val="22"/>
          <w:szCs w:val="22"/>
          <w:lang w:val="sr-Latn-ME"/>
        </w:rPr>
        <w:t>ednosti jetrenih parametara treba kontrolisati pr</w:t>
      </w:r>
      <w:r w:rsidR="00D74534" w:rsidRPr="00EF52A6">
        <w:rPr>
          <w:bCs/>
          <w:sz w:val="22"/>
          <w:szCs w:val="22"/>
          <w:lang w:val="sr-Latn-ME"/>
        </w:rPr>
        <w:t>ij</w:t>
      </w:r>
      <w:r w:rsidRPr="00EF52A6">
        <w:rPr>
          <w:bCs/>
          <w:sz w:val="22"/>
          <w:szCs w:val="22"/>
          <w:lang w:val="sr-Latn-ME"/>
        </w:rPr>
        <w:t>e uvođenja selumetiniba i najmanje jednom m</w:t>
      </w:r>
      <w:r w:rsidR="00D74534" w:rsidRPr="00EF52A6">
        <w:rPr>
          <w:bCs/>
          <w:sz w:val="22"/>
          <w:szCs w:val="22"/>
          <w:lang w:val="sr-Latn-ME"/>
        </w:rPr>
        <w:t>j</w:t>
      </w:r>
      <w:r w:rsidRPr="00EF52A6">
        <w:rPr>
          <w:bCs/>
          <w:sz w:val="22"/>
          <w:szCs w:val="22"/>
          <w:lang w:val="sr-Latn-ME"/>
        </w:rPr>
        <w:t>esečno tokom prvih 6 m</w:t>
      </w:r>
      <w:r w:rsidR="00D74534" w:rsidRPr="00EF52A6">
        <w:rPr>
          <w:bCs/>
          <w:sz w:val="22"/>
          <w:szCs w:val="22"/>
          <w:lang w:val="sr-Latn-ME"/>
        </w:rPr>
        <w:t>j</w:t>
      </w:r>
      <w:r w:rsidRPr="00EF52A6">
        <w:rPr>
          <w:bCs/>
          <w:sz w:val="22"/>
          <w:szCs w:val="22"/>
          <w:lang w:val="sr-Latn-ME"/>
        </w:rPr>
        <w:t>eseci l</w:t>
      </w:r>
      <w:r w:rsidR="00D74534" w:rsidRPr="00EF52A6">
        <w:rPr>
          <w:bCs/>
          <w:sz w:val="22"/>
          <w:szCs w:val="22"/>
          <w:lang w:val="sr-Latn-ME"/>
        </w:rPr>
        <w:t>ij</w:t>
      </w:r>
      <w:r w:rsidRPr="00EF52A6">
        <w:rPr>
          <w:bCs/>
          <w:sz w:val="22"/>
          <w:szCs w:val="22"/>
          <w:lang w:val="sr-Latn-ME"/>
        </w:rPr>
        <w:t>ečenja, a zatim u skladu sa kliničkom indikacijom. Odstupanja u laboratorijskim vr</w:t>
      </w:r>
      <w:r w:rsidR="00D74534" w:rsidRPr="00EF52A6">
        <w:rPr>
          <w:bCs/>
          <w:sz w:val="22"/>
          <w:szCs w:val="22"/>
          <w:lang w:val="sr-Latn-ME"/>
        </w:rPr>
        <w:t>ij</w:t>
      </w:r>
      <w:r w:rsidRPr="00EF52A6">
        <w:rPr>
          <w:bCs/>
          <w:sz w:val="22"/>
          <w:szCs w:val="22"/>
          <w:lang w:val="sr-Latn-ME"/>
        </w:rPr>
        <w:t>ednostima jetrenih parametara treba zbrinuti privremenim prekidom prim</w:t>
      </w:r>
      <w:r w:rsidR="00D74534" w:rsidRPr="00EF52A6">
        <w:rPr>
          <w:bCs/>
          <w:sz w:val="22"/>
          <w:szCs w:val="22"/>
          <w:lang w:val="sr-Latn-ME"/>
        </w:rPr>
        <w:t>j</w:t>
      </w:r>
      <w:r w:rsidRPr="00EF52A6">
        <w:rPr>
          <w:bCs/>
          <w:sz w:val="22"/>
          <w:szCs w:val="22"/>
          <w:lang w:val="sr-Latn-ME"/>
        </w:rPr>
        <w:t>ene l</w:t>
      </w:r>
      <w:r w:rsidR="00D74534" w:rsidRPr="00EF52A6">
        <w:rPr>
          <w:bCs/>
          <w:sz w:val="22"/>
          <w:szCs w:val="22"/>
          <w:lang w:val="sr-Latn-ME"/>
        </w:rPr>
        <w:t>ij</w:t>
      </w:r>
      <w:r w:rsidRPr="00EF52A6">
        <w:rPr>
          <w:bCs/>
          <w:sz w:val="22"/>
          <w:szCs w:val="22"/>
          <w:lang w:val="sr-Latn-ME"/>
        </w:rPr>
        <w:t>eka, smanjenjem doze ili trajnim prekidom l</w:t>
      </w:r>
      <w:r w:rsidR="00D74534" w:rsidRPr="00EF52A6">
        <w:rPr>
          <w:bCs/>
          <w:sz w:val="22"/>
          <w:szCs w:val="22"/>
          <w:lang w:val="sr-Latn-ME"/>
        </w:rPr>
        <w:t>ij</w:t>
      </w:r>
      <w:r w:rsidRPr="00EF52A6">
        <w:rPr>
          <w:bCs/>
          <w:sz w:val="22"/>
          <w:szCs w:val="22"/>
          <w:lang w:val="sr-Latn-ME"/>
        </w:rPr>
        <w:t>ečenja (vid</w:t>
      </w:r>
      <w:r w:rsidR="00D74534" w:rsidRPr="00EF52A6">
        <w:rPr>
          <w:bCs/>
          <w:sz w:val="22"/>
          <w:szCs w:val="22"/>
          <w:lang w:val="sr-Latn-ME"/>
        </w:rPr>
        <w:t>j</w:t>
      </w:r>
      <w:r w:rsidRPr="00EF52A6">
        <w:rPr>
          <w:bCs/>
          <w:sz w:val="22"/>
          <w:szCs w:val="22"/>
          <w:lang w:val="sr-Latn-ME"/>
        </w:rPr>
        <w:t xml:space="preserve">eti tabelu 2 u </w:t>
      </w:r>
      <w:r w:rsidR="00D74534" w:rsidRPr="00EF52A6">
        <w:rPr>
          <w:bCs/>
          <w:sz w:val="22"/>
          <w:szCs w:val="22"/>
          <w:lang w:val="sr-Latn-ME"/>
        </w:rPr>
        <w:t>dijelu</w:t>
      </w:r>
      <w:r w:rsidRPr="00EF52A6">
        <w:rPr>
          <w:bCs/>
          <w:sz w:val="22"/>
          <w:szCs w:val="22"/>
          <w:lang w:val="sr-Latn-ME"/>
        </w:rPr>
        <w:t xml:space="preserve"> 4.2).</w:t>
      </w:r>
    </w:p>
    <w:p w14:paraId="44837DC2" w14:textId="77777777" w:rsidR="00FF69F8" w:rsidRPr="00EF52A6" w:rsidRDefault="00FF69F8" w:rsidP="00DF11F1">
      <w:pPr>
        <w:tabs>
          <w:tab w:val="left" w:pos="540"/>
          <w:tab w:val="left" w:pos="569"/>
        </w:tabs>
        <w:jc w:val="both"/>
        <w:rPr>
          <w:bCs/>
          <w:sz w:val="22"/>
          <w:szCs w:val="22"/>
          <w:lang w:val="sr-Latn-ME"/>
        </w:rPr>
      </w:pPr>
    </w:p>
    <w:p w14:paraId="037C5086"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Poremećaji kože i potkožnog tkiva</w:t>
      </w:r>
    </w:p>
    <w:p w14:paraId="5329DE60" w14:textId="2452D995"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U pivotalnom kliničkom ispitivanju vrlo često su b</w:t>
      </w:r>
      <w:r w:rsidR="00D74534" w:rsidRPr="00EF52A6">
        <w:rPr>
          <w:bCs/>
          <w:sz w:val="22"/>
          <w:szCs w:val="22"/>
          <w:lang w:val="sr-Latn-ME"/>
        </w:rPr>
        <w:t>ilj</w:t>
      </w:r>
      <w:r w:rsidRPr="00EF52A6">
        <w:rPr>
          <w:bCs/>
          <w:sz w:val="22"/>
          <w:szCs w:val="22"/>
          <w:lang w:val="sr-Latn-ME"/>
        </w:rPr>
        <w:t>eženi kožni osip (uključujući makulo-papularni osip i akneiformni osip), paronihija i prom</w:t>
      </w:r>
      <w:r w:rsidR="00D74534" w:rsidRPr="00EF52A6">
        <w:rPr>
          <w:bCs/>
          <w:sz w:val="22"/>
          <w:szCs w:val="22"/>
          <w:lang w:val="sr-Latn-ME"/>
        </w:rPr>
        <w:t>j</w:t>
      </w:r>
      <w:r w:rsidRPr="00EF52A6">
        <w:rPr>
          <w:bCs/>
          <w:sz w:val="22"/>
          <w:szCs w:val="22"/>
          <w:lang w:val="sr-Latn-ME"/>
        </w:rPr>
        <w:t>ene na kosi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4.8). </w:t>
      </w:r>
      <w:r w:rsidR="002D12DA" w:rsidRPr="00EF52A6">
        <w:rPr>
          <w:bCs/>
          <w:sz w:val="22"/>
          <w:szCs w:val="22"/>
          <w:lang w:val="sr-Latn-ME"/>
        </w:rPr>
        <w:t>Suva koža</w:t>
      </w:r>
      <w:r w:rsidRPr="00EF52A6">
        <w:rPr>
          <w:bCs/>
          <w:sz w:val="22"/>
          <w:szCs w:val="22"/>
          <w:lang w:val="sr-Latn-ME"/>
        </w:rPr>
        <w:t>, prom</w:t>
      </w:r>
      <w:r w:rsidR="00D74534" w:rsidRPr="00EF52A6">
        <w:rPr>
          <w:bCs/>
          <w:sz w:val="22"/>
          <w:szCs w:val="22"/>
          <w:lang w:val="sr-Latn-ME"/>
        </w:rPr>
        <w:t>j</w:t>
      </w:r>
      <w:r w:rsidRPr="00EF52A6">
        <w:rPr>
          <w:bCs/>
          <w:sz w:val="22"/>
          <w:szCs w:val="22"/>
          <w:lang w:val="sr-Latn-ME"/>
        </w:rPr>
        <w:t>ene boje kose</w:t>
      </w:r>
      <w:r w:rsidR="002D12DA" w:rsidRPr="00EF52A6">
        <w:rPr>
          <w:bCs/>
          <w:sz w:val="22"/>
          <w:szCs w:val="22"/>
          <w:lang w:val="sr-Latn-ME"/>
        </w:rPr>
        <w:t>, paronihija i makulo-papularni osip</w:t>
      </w:r>
      <w:r w:rsidRPr="00EF52A6">
        <w:rPr>
          <w:bCs/>
          <w:sz w:val="22"/>
          <w:szCs w:val="22"/>
          <w:lang w:val="sr-Latn-ME"/>
        </w:rPr>
        <w:t xml:space="preserve"> češće su b</w:t>
      </w:r>
      <w:r w:rsidR="00D74534" w:rsidRPr="00EF52A6">
        <w:rPr>
          <w:bCs/>
          <w:sz w:val="22"/>
          <w:szCs w:val="22"/>
          <w:lang w:val="sr-Latn-ME"/>
        </w:rPr>
        <w:t>ilj</w:t>
      </w:r>
      <w:r w:rsidRPr="00EF52A6">
        <w:rPr>
          <w:bCs/>
          <w:sz w:val="22"/>
          <w:szCs w:val="22"/>
          <w:lang w:val="sr-Latn-ME"/>
        </w:rPr>
        <w:t>eženi kod manje d</w:t>
      </w:r>
      <w:r w:rsidR="00D74534" w:rsidRPr="00EF52A6">
        <w:rPr>
          <w:bCs/>
          <w:sz w:val="22"/>
          <w:szCs w:val="22"/>
          <w:lang w:val="sr-Latn-ME"/>
        </w:rPr>
        <w:t>j</w:t>
      </w:r>
      <w:r w:rsidRPr="00EF52A6">
        <w:rPr>
          <w:bCs/>
          <w:sz w:val="22"/>
          <w:szCs w:val="22"/>
          <w:lang w:val="sr-Latn-ME"/>
        </w:rPr>
        <w:t>ece (u uzrastu od 3 do 11 godina), dok je akneiformni osip bio češći kod postpubertetske d</w:t>
      </w:r>
      <w:r w:rsidR="00D74534" w:rsidRPr="00EF52A6">
        <w:rPr>
          <w:bCs/>
          <w:sz w:val="22"/>
          <w:szCs w:val="22"/>
          <w:lang w:val="sr-Latn-ME"/>
        </w:rPr>
        <w:t>j</w:t>
      </w:r>
      <w:r w:rsidRPr="00EF52A6">
        <w:rPr>
          <w:bCs/>
          <w:sz w:val="22"/>
          <w:szCs w:val="22"/>
          <w:lang w:val="sr-Latn-ME"/>
        </w:rPr>
        <w:t>ece (u uzrastu od 12 do 16 godina).</w:t>
      </w:r>
    </w:p>
    <w:p w14:paraId="0844DD79" w14:textId="77777777" w:rsidR="00FF69F8" w:rsidRPr="00EF52A6" w:rsidRDefault="00FF69F8" w:rsidP="00DF11F1">
      <w:pPr>
        <w:tabs>
          <w:tab w:val="left" w:pos="540"/>
          <w:tab w:val="left" w:pos="569"/>
        </w:tabs>
        <w:jc w:val="both"/>
        <w:rPr>
          <w:bCs/>
          <w:sz w:val="22"/>
          <w:szCs w:val="22"/>
          <w:lang w:val="sr-Latn-ME"/>
        </w:rPr>
      </w:pPr>
    </w:p>
    <w:p w14:paraId="54F12134" w14:textId="1971F5C9"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Suplementacija vitamin</w:t>
      </w:r>
      <w:r w:rsidR="002D12DA" w:rsidRPr="00EF52A6">
        <w:rPr>
          <w:bCs/>
          <w:sz w:val="22"/>
          <w:szCs w:val="22"/>
          <w:u w:val="single"/>
          <w:lang w:val="sr-Latn-ME"/>
        </w:rPr>
        <w:t>om</w:t>
      </w:r>
      <w:r w:rsidRPr="00EF52A6">
        <w:rPr>
          <w:bCs/>
          <w:sz w:val="22"/>
          <w:szCs w:val="22"/>
          <w:u w:val="single"/>
          <w:lang w:val="sr-Latn-ME"/>
        </w:rPr>
        <w:t xml:space="preserve"> E</w:t>
      </w:r>
    </w:p>
    <w:p w14:paraId="4193B536" w14:textId="43EECC87"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Pacijente treba upozoriti da ne uzimaju suplemente vitamina E. Koselugo</w:t>
      </w:r>
      <w:r w:rsidR="00D74534" w:rsidRPr="00EF52A6">
        <w:rPr>
          <w:bCs/>
          <w:sz w:val="22"/>
          <w:szCs w:val="22"/>
          <w:lang w:val="sr-Latn-ME"/>
        </w:rPr>
        <w:t>,</w:t>
      </w:r>
      <w:r w:rsidRPr="00EF52A6">
        <w:rPr>
          <w:bCs/>
          <w:sz w:val="22"/>
          <w:szCs w:val="22"/>
          <w:lang w:val="sr-Latn-ME"/>
        </w:rPr>
        <w:t xml:space="preserve"> 10 mg kapsule sadrže 32 mg vitamina E u obliku pomoćne supstance D-alfa-tokoferil polietilenglikol 1000 sukcinata (TPGS).</w:t>
      </w:r>
    </w:p>
    <w:p w14:paraId="5A9BB2FB" w14:textId="3B292CD6"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Koselugo</w:t>
      </w:r>
      <w:r w:rsidR="00D74534" w:rsidRPr="00EF52A6">
        <w:rPr>
          <w:bCs/>
          <w:sz w:val="22"/>
          <w:szCs w:val="22"/>
          <w:lang w:val="sr-Latn-ME"/>
        </w:rPr>
        <w:t>,</w:t>
      </w:r>
      <w:r w:rsidRPr="00EF52A6">
        <w:rPr>
          <w:bCs/>
          <w:sz w:val="22"/>
          <w:szCs w:val="22"/>
          <w:lang w:val="sr-Latn-ME"/>
        </w:rPr>
        <w:t xml:space="preserve"> 25 mg kapsule sadrže 36 mg vitamina E u obliku TPGS. Visoke doze vitamina E mogu da povećaju rizik od krvarenja kod pacijenata koji istovremeno uzimaju antikoagulanse ili antitrombocitne l</w:t>
      </w:r>
      <w:r w:rsidR="00D74534" w:rsidRPr="00EF52A6">
        <w:rPr>
          <w:bCs/>
          <w:sz w:val="22"/>
          <w:szCs w:val="22"/>
          <w:lang w:val="sr-Latn-ME"/>
        </w:rPr>
        <w:t>j</w:t>
      </w:r>
      <w:r w:rsidRPr="00EF52A6">
        <w:rPr>
          <w:bCs/>
          <w:sz w:val="22"/>
          <w:szCs w:val="22"/>
          <w:lang w:val="sr-Latn-ME"/>
        </w:rPr>
        <w:t>ekove (npr. varfarin ili acetilsalicilatna kiselina). Potrebno je češće sprovoditi proc</w:t>
      </w:r>
      <w:r w:rsidR="00D74534" w:rsidRPr="00EF52A6">
        <w:rPr>
          <w:bCs/>
          <w:sz w:val="22"/>
          <w:szCs w:val="22"/>
          <w:lang w:val="sr-Latn-ME"/>
        </w:rPr>
        <w:t>j</w:t>
      </w:r>
      <w:r w:rsidRPr="00EF52A6">
        <w:rPr>
          <w:bCs/>
          <w:sz w:val="22"/>
          <w:szCs w:val="22"/>
          <w:lang w:val="sr-Latn-ME"/>
        </w:rPr>
        <w:t>enu antikoagulacije, uključujući međunarodni normalizovani odnos ili protrombinsko vr</w:t>
      </w:r>
      <w:r w:rsidR="00D74534" w:rsidRPr="00EF52A6">
        <w:rPr>
          <w:bCs/>
          <w:sz w:val="22"/>
          <w:szCs w:val="22"/>
          <w:lang w:val="sr-Latn-ME"/>
        </w:rPr>
        <w:t>ij</w:t>
      </w:r>
      <w:r w:rsidRPr="00EF52A6">
        <w:rPr>
          <w:bCs/>
          <w:sz w:val="22"/>
          <w:szCs w:val="22"/>
          <w:lang w:val="sr-Latn-ME"/>
        </w:rPr>
        <w:t>eme, da bi se utvrdilo kada je potrebno podesiti dozu antikoagulansa ili antitrombocitnih l</w:t>
      </w:r>
      <w:r w:rsidR="00D74534" w:rsidRPr="00EF52A6">
        <w:rPr>
          <w:bCs/>
          <w:sz w:val="22"/>
          <w:szCs w:val="22"/>
          <w:lang w:val="sr-Latn-ME"/>
        </w:rPr>
        <w:t>j</w:t>
      </w:r>
      <w:r w:rsidRPr="00EF52A6">
        <w:rPr>
          <w:bCs/>
          <w:sz w:val="22"/>
          <w:szCs w:val="22"/>
          <w:lang w:val="sr-Latn-ME"/>
        </w:rPr>
        <w:t>ekova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4.5).</w:t>
      </w:r>
    </w:p>
    <w:p w14:paraId="5F339721" w14:textId="77777777" w:rsidR="00D74534" w:rsidRPr="00EF52A6" w:rsidRDefault="00D74534" w:rsidP="00DF11F1">
      <w:pPr>
        <w:tabs>
          <w:tab w:val="left" w:pos="540"/>
          <w:tab w:val="left" w:pos="569"/>
        </w:tabs>
        <w:jc w:val="both"/>
        <w:rPr>
          <w:bCs/>
          <w:sz w:val="22"/>
          <w:szCs w:val="22"/>
          <w:lang w:val="sr-Latn-ME"/>
        </w:rPr>
      </w:pPr>
    </w:p>
    <w:p w14:paraId="5F0BF0F8"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Rizik od davljenja</w:t>
      </w:r>
    </w:p>
    <w:p w14:paraId="6828514D" w14:textId="34722FD9" w:rsidR="00FF69F8" w:rsidRPr="00EF52A6" w:rsidRDefault="00FF69F8" w:rsidP="00DF11F1">
      <w:pPr>
        <w:widowControl w:val="0"/>
        <w:tabs>
          <w:tab w:val="left" w:pos="540"/>
          <w:tab w:val="left" w:pos="569"/>
        </w:tabs>
        <w:jc w:val="both"/>
        <w:rPr>
          <w:bCs/>
          <w:sz w:val="22"/>
          <w:szCs w:val="22"/>
          <w:lang w:val="sr-Latn-ME"/>
        </w:rPr>
      </w:pPr>
      <w:r w:rsidRPr="00EF52A6">
        <w:rPr>
          <w:bCs/>
          <w:sz w:val="22"/>
          <w:szCs w:val="22"/>
          <w:lang w:val="sr-Latn-ME"/>
        </w:rPr>
        <w:t>Selumetinib dolazi u obliku kapsule koja se mora progutati c</w:t>
      </w:r>
      <w:r w:rsidR="00D74534" w:rsidRPr="00EF52A6">
        <w:rPr>
          <w:bCs/>
          <w:sz w:val="22"/>
          <w:szCs w:val="22"/>
          <w:lang w:val="sr-Latn-ME"/>
        </w:rPr>
        <w:t>ij</w:t>
      </w:r>
      <w:r w:rsidRPr="00EF52A6">
        <w:rPr>
          <w:bCs/>
          <w:sz w:val="22"/>
          <w:szCs w:val="22"/>
          <w:lang w:val="sr-Latn-ME"/>
        </w:rPr>
        <w:t>ela. Neki pacijenti, a posebno d</w:t>
      </w:r>
      <w:r w:rsidR="00D74534" w:rsidRPr="00EF52A6">
        <w:rPr>
          <w:bCs/>
          <w:sz w:val="22"/>
          <w:szCs w:val="22"/>
          <w:lang w:val="sr-Latn-ME"/>
        </w:rPr>
        <w:t>j</w:t>
      </w:r>
      <w:r w:rsidRPr="00EF52A6">
        <w:rPr>
          <w:bCs/>
          <w:sz w:val="22"/>
          <w:szCs w:val="22"/>
          <w:lang w:val="sr-Latn-ME"/>
        </w:rPr>
        <w:t xml:space="preserve">eca mlađa od </w:t>
      </w:r>
      <w:r w:rsidRPr="00EF52A6">
        <w:rPr>
          <w:bCs/>
          <w:sz w:val="22"/>
          <w:szCs w:val="22"/>
          <w:lang w:val="sr-Latn-ME"/>
        </w:rPr>
        <w:lastRenderedPageBreak/>
        <w:t>6 godina, mogu biti izloženi riziku od gušenja kapsulom zbog razvojnih, anatomskih ili psiholoških razloga. Stoga se selumetinib ne sm</w:t>
      </w:r>
      <w:r w:rsidR="00D74534" w:rsidRPr="00EF52A6">
        <w:rPr>
          <w:bCs/>
          <w:sz w:val="22"/>
          <w:szCs w:val="22"/>
          <w:lang w:val="sr-Latn-ME"/>
        </w:rPr>
        <w:t>ij</w:t>
      </w:r>
      <w:r w:rsidRPr="00EF52A6">
        <w:rPr>
          <w:bCs/>
          <w:sz w:val="22"/>
          <w:szCs w:val="22"/>
          <w:lang w:val="sr-Latn-ME"/>
        </w:rPr>
        <w:t>e prim</w:t>
      </w:r>
      <w:r w:rsidR="00D74534" w:rsidRPr="00EF52A6">
        <w:rPr>
          <w:bCs/>
          <w:sz w:val="22"/>
          <w:szCs w:val="22"/>
          <w:lang w:val="sr-Latn-ME"/>
        </w:rPr>
        <w:t>j</w:t>
      </w:r>
      <w:r w:rsidRPr="00EF52A6">
        <w:rPr>
          <w:bCs/>
          <w:sz w:val="22"/>
          <w:szCs w:val="22"/>
          <w:lang w:val="sr-Latn-ME"/>
        </w:rPr>
        <w:t>enjivati kod pacijenata koji ne mogu ili ne žele da progutaju c</w:t>
      </w:r>
      <w:r w:rsidR="00D74534" w:rsidRPr="00EF52A6">
        <w:rPr>
          <w:bCs/>
          <w:sz w:val="22"/>
          <w:szCs w:val="22"/>
          <w:lang w:val="sr-Latn-ME"/>
        </w:rPr>
        <w:t>ij</w:t>
      </w:r>
      <w:r w:rsidRPr="00EF52A6">
        <w:rPr>
          <w:bCs/>
          <w:sz w:val="22"/>
          <w:szCs w:val="22"/>
          <w:lang w:val="sr-Latn-ME"/>
        </w:rPr>
        <w:t>elu kapsulu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4.2).</w:t>
      </w:r>
    </w:p>
    <w:p w14:paraId="6DC3F6CC" w14:textId="77777777" w:rsidR="00FF69F8" w:rsidRPr="00EF52A6" w:rsidRDefault="00FF69F8" w:rsidP="00DF11F1">
      <w:pPr>
        <w:tabs>
          <w:tab w:val="left" w:pos="540"/>
          <w:tab w:val="left" w:pos="569"/>
        </w:tabs>
        <w:jc w:val="both"/>
        <w:rPr>
          <w:bCs/>
          <w:sz w:val="22"/>
          <w:szCs w:val="22"/>
          <w:lang w:val="sr-Latn-ME"/>
        </w:rPr>
      </w:pPr>
    </w:p>
    <w:p w14:paraId="11DFEBAB"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u w:val="single"/>
          <w:lang w:val="sr-Latn-ME"/>
        </w:rPr>
        <w:t>Žene sa reproduktivnim potencijalom</w:t>
      </w:r>
    </w:p>
    <w:p w14:paraId="5660C6D4" w14:textId="07BB9198"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L</w:t>
      </w:r>
      <w:r w:rsidR="00D74534" w:rsidRPr="00EF52A6">
        <w:rPr>
          <w:bCs/>
          <w:sz w:val="22"/>
          <w:szCs w:val="22"/>
          <w:lang w:val="sr-Latn-ME"/>
        </w:rPr>
        <w:t>ij</w:t>
      </w:r>
      <w:r w:rsidRPr="00EF52A6">
        <w:rPr>
          <w:bCs/>
          <w:sz w:val="22"/>
          <w:szCs w:val="22"/>
          <w:lang w:val="sr-Latn-ME"/>
        </w:rPr>
        <w:t>ek Koselugo se ne preporučuje kod žena u reproduktivnom periodu koje ne koriste kontracepciju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4.6).</w:t>
      </w:r>
    </w:p>
    <w:p w14:paraId="2C8B0F80" w14:textId="77777777" w:rsidR="00057E35" w:rsidRPr="00EF52A6" w:rsidRDefault="00057E35" w:rsidP="00480FB1">
      <w:pPr>
        <w:tabs>
          <w:tab w:val="left" w:pos="540"/>
          <w:tab w:val="left" w:pos="569"/>
        </w:tabs>
        <w:rPr>
          <w:bCs/>
          <w:sz w:val="22"/>
          <w:szCs w:val="22"/>
          <w:lang w:val="sr-Latn-ME"/>
        </w:rPr>
      </w:pPr>
    </w:p>
    <w:p w14:paraId="6DDE598B" w14:textId="77777777" w:rsidR="00411B4B" w:rsidRPr="00EF52A6" w:rsidRDefault="00411B4B" w:rsidP="00480FB1">
      <w:pPr>
        <w:tabs>
          <w:tab w:val="left" w:pos="540"/>
          <w:tab w:val="left" w:pos="569"/>
        </w:tabs>
        <w:rPr>
          <w:b/>
          <w:bCs/>
          <w:sz w:val="22"/>
          <w:szCs w:val="22"/>
          <w:lang w:val="sr-Latn-ME"/>
        </w:rPr>
      </w:pPr>
      <w:r w:rsidRPr="00EF52A6">
        <w:rPr>
          <w:b/>
          <w:bCs/>
          <w:sz w:val="22"/>
          <w:szCs w:val="22"/>
          <w:lang w:val="sr-Latn-ME"/>
        </w:rPr>
        <w:t>4.5.</w:t>
      </w:r>
      <w:r w:rsidR="000D60CC" w:rsidRPr="00EF52A6">
        <w:rPr>
          <w:b/>
          <w:bCs/>
          <w:sz w:val="22"/>
          <w:szCs w:val="22"/>
          <w:lang w:val="sr-Latn-ME"/>
        </w:rPr>
        <w:tab/>
      </w:r>
      <w:r w:rsidRPr="00EF52A6">
        <w:rPr>
          <w:b/>
          <w:bCs/>
          <w:sz w:val="22"/>
          <w:szCs w:val="22"/>
          <w:lang w:val="sr-Latn-ME"/>
        </w:rPr>
        <w:t>Interakcije sa drugim ljekovima i druge vrste interakcija</w:t>
      </w:r>
    </w:p>
    <w:p w14:paraId="061E249B" w14:textId="77777777" w:rsidR="0072020E" w:rsidRPr="00EF52A6" w:rsidRDefault="0072020E" w:rsidP="00480FB1">
      <w:pPr>
        <w:tabs>
          <w:tab w:val="left" w:pos="540"/>
          <w:tab w:val="left" w:pos="569"/>
        </w:tabs>
        <w:rPr>
          <w:bCs/>
          <w:sz w:val="22"/>
          <w:szCs w:val="22"/>
          <w:lang w:val="sr-Latn-ME"/>
        </w:rPr>
      </w:pPr>
    </w:p>
    <w:p w14:paraId="5D6E03C4"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 xml:space="preserve">Studije interakcije izvršene su samo na zdravim odraslima (uzrasta ≥ 18 godina). </w:t>
      </w:r>
    </w:p>
    <w:p w14:paraId="0E054C96" w14:textId="77777777" w:rsidR="00FF69F8" w:rsidRPr="00EF52A6" w:rsidRDefault="00FF69F8" w:rsidP="00DF11F1">
      <w:pPr>
        <w:tabs>
          <w:tab w:val="left" w:pos="540"/>
          <w:tab w:val="left" w:pos="569"/>
        </w:tabs>
        <w:jc w:val="both"/>
        <w:rPr>
          <w:bCs/>
          <w:sz w:val="22"/>
          <w:szCs w:val="22"/>
          <w:lang w:val="sr-Latn-ME"/>
        </w:rPr>
      </w:pPr>
    </w:p>
    <w:p w14:paraId="0CFD7AA2" w14:textId="60934D31"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Aktivne supstance koje mogu da povećaju koncentraciju selumetiniba u plazmi</w:t>
      </w:r>
    </w:p>
    <w:p w14:paraId="73564FD9" w14:textId="41CD2D9D"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Istovremena prim</w:t>
      </w:r>
      <w:r w:rsidR="00D74534" w:rsidRPr="00EF52A6">
        <w:rPr>
          <w:bCs/>
          <w:sz w:val="22"/>
          <w:szCs w:val="22"/>
          <w:lang w:val="sr-Latn-ME"/>
        </w:rPr>
        <w:t>j</w:t>
      </w:r>
      <w:r w:rsidRPr="00EF52A6">
        <w:rPr>
          <w:bCs/>
          <w:sz w:val="22"/>
          <w:szCs w:val="22"/>
          <w:lang w:val="sr-Latn-ME"/>
        </w:rPr>
        <w:t>ena snažnih inhibitora CYP3A4 (200 mg itrakonazola dva puta dnevno tokom 4 dana) kod zdravih odraslih ispitanika povećala je C</w:t>
      </w:r>
      <w:r w:rsidRPr="00EF52A6">
        <w:rPr>
          <w:bCs/>
          <w:sz w:val="22"/>
          <w:szCs w:val="22"/>
          <w:vertAlign w:val="subscript"/>
          <w:lang w:val="sr-Latn-ME"/>
        </w:rPr>
        <w:t>max</w:t>
      </w:r>
      <w:r w:rsidRPr="00EF52A6">
        <w:rPr>
          <w:bCs/>
          <w:sz w:val="22"/>
          <w:szCs w:val="22"/>
          <w:lang w:val="sr-Latn-ME"/>
        </w:rPr>
        <w:t xml:space="preserve"> selumetiniba za 19% (90% CI: 4, 35), a njegov AUC za 49% (90% CI: 40, 59).</w:t>
      </w:r>
    </w:p>
    <w:p w14:paraId="5142351A" w14:textId="77777777" w:rsidR="00FF69F8" w:rsidRPr="00EF52A6" w:rsidRDefault="00FF69F8" w:rsidP="00DF11F1">
      <w:pPr>
        <w:tabs>
          <w:tab w:val="left" w:pos="540"/>
          <w:tab w:val="left" w:pos="569"/>
        </w:tabs>
        <w:jc w:val="both"/>
        <w:rPr>
          <w:bCs/>
          <w:sz w:val="22"/>
          <w:szCs w:val="22"/>
          <w:lang w:val="sr-Latn-ME"/>
        </w:rPr>
      </w:pPr>
    </w:p>
    <w:p w14:paraId="73FC0C1F" w14:textId="775BBF1E"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Istovremena prim</w:t>
      </w:r>
      <w:r w:rsidR="00D74534" w:rsidRPr="00EF52A6">
        <w:rPr>
          <w:bCs/>
          <w:sz w:val="22"/>
          <w:szCs w:val="22"/>
          <w:lang w:val="sr-Latn-ME"/>
        </w:rPr>
        <w:t>j</w:t>
      </w:r>
      <w:r w:rsidRPr="00EF52A6">
        <w:rPr>
          <w:bCs/>
          <w:sz w:val="22"/>
          <w:szCs w:val="22"/>
          <w:lang w:val="sr-Latn-ME"/>
        </w:rPr>
        <w:t>ena snažnih inhibitora CYP2C19/umerenih inhibitora CYP3A4 (200 mg flukonazola jednom dnevno tokom 4 dana) kod zdravih odraslih ispitanika povećala je C</w:t>
      </w:r>
      <w:r w:rsidRPr="00EF52A6">
        <w:rPr>
          <w:bCs/>
          <w:sz w:val="22"/>
          <w:szCs w:val="22"/>
          <w:vertAlign w:val="subscript"/>
          <w:lang w:val="sr-Latn-ME"/>
        </w:rPr>
        <w:t>max</w:t>
      </w:r>
      <w:r w:rsidRPr="00EF52A6">
        <w:rPr>
          <w:bCs/>
          <w:sz w:val="22"/>
          <w:szCs w:val="22"/>
          <w:lang w:val="sr-Latn-ME"/>
        </w:rPr>
        <w:t xml:space="preserve"> selumetiniba za 26% (90% CI: 10, 43), a njegov AUC za 53% (90% CI: 44, 63).</w:t>
      </w:r>
    </w:p>
    <w:p w14:paraId="2769EDC2" w14:textId="77777777" w:rsidR="00FF69F8" w:rsidRPr="00EF52A6" w:rsidRDefault="00FF69F8" w:rsidP="00DF11F1">
      <w:pPr>
        <w:tabs>
          <w:tab w:val="left" w:pos="540"/>
          <w:tab w:val="left" w:pos="569"/>
        </w:tabs>
        <w:jc w:val="both"/>
        <w:rPr>
          <w:bCs/>
          <w:sz w:val="22"/>
          <w:szCs w:val="22"/>
          <w:lang w:val="sr-Latn-ME"/>
        </w:rPr>
      </w:pPr>
    </w:p>
    <w:p w14:paraId="25D305EB" w14:textId="35A9E6C2"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Predviđa se da će istovremena prim</w:t>
      </w:r>
      <w:r w:rsidR="00D74534" w:rsidRPr="00EF52A6">
        <w:rPr>
          <w:bCs/>
          <w:sz w:val="22"/>
          <w:szCs w:val="22"/>
          <w:lang w:val="sr-Latn-ME"/>
        </w:rPr>
        <w:t>j</w:t>
      </w:r>
      <w:r w:rsidRPr="00EF52A6">
        <w:rPr>
          <w:bCs/>
          <w:sz w:val="22"/>
          <w:szCs w:val="22"/>
          <w:lang w:val="sr-Latn-ME"/>
        </w:rPr>
        <w:t>ena eritromicina (um</w:t>
      </w:r>
      <w:r w:rsidR="00066B35" w:rsidRPr="00EF52A6">
        <w:rPr>
          <w:bCs/>
          <w:sz w:val="22"/>
          <w:szCs w:val="22"/>
          <w:lang w:val="sr-Latn-ME"/>
        </w:rPr>
        <w:t>j</w:t>
      </w:r>
      <w:r w:rsidRPr="00EF52A6">
        <w:rPr>
          <w:bCs/>
          <w:sz w:val="22"/>
          <w:szCs w:val="22"/>
          <w:lang w:val="sr-Latn-ME"/>
        </w:rPr>
        <w:t>erenog inhibitora CYP3A4) ili fluoksetina (snažnog inhibitora CYP2C19/CYP2D6) povećati AUC selumetiniba za ~30</w:t>
      </w:r>
      <w:r w:rsidR="00066B35" w:rsidRPr="00EF52A6">
        <w:rPr>
          <w:bCs/>
          <w:sz w:val="22"/>
          <w:szCs w:val="22"/>
          <w:lang w:val="sr-Latn-ME"/>
        </w:rPr>
        <w:t>-</w:t>
      </w:r>
      <w:r w:rsidRPr="00EF52A6">
        <w:rPr>
          <w:bCs/>
          <w:sz w:val="22"/>
          <w:szCs w:val="22"/>
          <w:lang w:val="sr-Latn-ME"/>
        </w:rPr>
        <w:t>40%, a njegov C</w:t>
      </w:r>
      <w:r w:rsidRPr="00EF52A6">
        <w:rPr>
          <w:bCs/>
          <w:sz w:val="22"/>
          <w:szCs w:val="22"/>
          <w:vertAlign w:val="subscript"/>
          <w:lang w:val="sr-Latn-ME"/>
        </w:rPr>
        <w:t>max</w:t>
      </w:r>
      <w:r w:rsidRPr="00EF52A6">
        <w:rPr>
          <w:bCs/>
          <w:sz w:val="22"/>
          <w:szCs w:val="22"/>
          <w:lang w:val="sr-Latn-ME"/>
        </w:rPr>
        <w:t xml:space="preserve"> za</w:t>
      </w:r>
    </w:p>
    <w:p w14:paraId="2B96C511"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 xml:space="preserve"> ~20%.</w:t>
      </w:r>
    </w:p>
    <w:p w14:paraId="5212D599" w14:textId="77777777" w:rsidR="00FF69F8" w:rsidRPr="00EF52A6" w:rsidRDefault="00FF69F8" w:rsidP="00DF11F1">
      <w:pPr>
        <w:tabs>
          <w:tab w:val="left" w:pos="540"/>
          <w:tab w:val="left" w:pos="569"/>
        </w:tabs>
        <w:jc w:val="both"/>
        <w:rPr>
          <w:bCs/>
          <w:sz w:val="22"/>
          <w:szCs w:val="22"/>
          <w:lang w:val="sr-Latn-ME"/>
        </w:rPr>
      </w:pPr>
    </w:p>
    <w:p w14:paraId="37991FCE" w14:textId="19BE6D75"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Potrebno je izb</w:t>
      </w:r>
      <w:r w:rsidR="00D74534" w:rsidRPr="00EF52A6">
        <w:rPr>
          <w:bCs/>
          <w:sz w:val="22"/>
          <w:szCs w:val="22"/>
          <w:lang w:val="sr-Latn-ME"/>
        </w:rPr>
        <w:t>j</w:t>
      </w:r>
      <w:r w:rsidRPr="00EF52A6">
        <w:rPr>
          <w:bCs/>
          <w:sz w:val="22"/>
          <w:szCs w:val="22"/>
          <w:lang w:val="sr-Latn-ME"/>
        </w:rPr>
        <w:t>egavati istovremenu prim</w:t>
      </w:r>
      <w:r w:rsidR="00D74534" w:rsidRPr="00EF52A6">
        <w:rPr>
          <w:bCs/>
          <w:sz w:val="22"/>
          <w:szCs w:val="22"/>
          <w:lang w:val="sr-Latn-ME"/>
        </w:rPr>
        <w:t>j</w:t>
      </w:r>
      <w:r w:rsidRPr="00EF52A6">
        <w:rPr>
          <w:bCs/>
          <w:sz w:val="22"/>
          <w:szCs w:val="22"/>
          <w:lang w:val="sr-Latn-ME"/>
        </w:rPr>
        <w:t>enu l</w:t>
      </w:r>
      <w:r w:rsidR="00D74534" w:rsidRPr="00EF52A6">
        <w:rPr>
          <w:bCs/>
          <w:sz w:val="22"/>
          <w:szCs w:val="22"/>
          <w:lang w:val="sr-Latn-ME"/>
        </w:rPr>
        <w:t>j</w:t>
      </w:r>
      <w:r w:rsidRPr="00EF52A6">
        <w:rPr>
          <w:bCs/>
          <w:sz w:val="22"/>
          <w:szCs w:val="22"/>
          <w:lang w:val="sr-Latn-ME"/>
        </w:rPr>
        <w:t>ekova koji su snažni inhibitori CYP3A4 (npr. klaritromicin, sok od grejpfruta, ketokonazol za peroralnu prim</w:t>
      </w:r>
      <w:r w:rsidR="00D74534" w:rsidRPr="00EF52A6">
        <w:rPr>
          <w:bCs/>
          <w:sz w:val="22"/>
          <w:szCs w:val="22"/>
          <w:lang w:val="sr-Latn-ME"/>
        </w:rPr>
        <w:t>j</w:t>
      </w:r>
      <w:r w:rsidRPr="00EF52A6">
        <w:rPr>
          <w:bCs/>
          <w:sz w:val="22"/>
          <w:szCs w:val="22"/>
          <w:lang w:val="sr-Latn-ME"/>
        </w:rPr>
        <w:t>enu) ili CYP2C19 (npr. tiklopidin). Potrebno je izb</w:t>
      </w:r>
      <w:r w:rsidR="00D74534" w:rsidRPr="00EF52A6">
        <w:rPr>
          <w:bCs/>
          <w:sz w:val="22"/>
          <w:szCs w:val="22"/>
          <w:lang w:val="sr-Latn-ME"/>
        </w:rPr>
        <w:t>j</w:t>
      </w:r>
      <w:r w:rsidRPr="00EF52A6">
        <w:rPr>
          <w:bCs/>
          <w:sz w:val="22"/>
          <w:szCs w:val="22"/>
          <w:lang w:val="sr-Latn-ME"/>
        </w:rPr>
        <w:t>egavati istovremenu prim</w:t>
      </w:r>
      <w:r w:rsidR="00D74534" w:rsidRPr="00EF52A6">
        <w:rPr>
          <w:bCs/>
          <w:sz w:val="22"/>
          <w:szCs w:val="22"/>
          <w:lang w:val="sr-Latn-ME"/>
        </w:rPr>
        <w:t>j</w:t>
      </w:r>
      <w:r w:rsidRPr="00EF52A6">
        <w:rPr>
          <w:bCs/>
          <w:sz w:val="22"/>
          <w:szCs w:val="22"/>
          <w:lang w:val="sr-Latn-ME"/>
        </w:rPr>
        <w:t>enu l</w:t>
      </w:r>
      <w:r w:rsidR="00D74534" w:rsidRPr="00EF52A6">
        <w:rPr>
          <w:bCs/>
          <w:sz w:val="22"/>
          <w:szCs w:val="22"/>
          <w:lang w:val="sr-Latn-ME"/>
        </w:rPr>
        <w:t>j</w:t>
      </w:r>
      <w:r w:rsidRPr="00EF52A6">
        <w:rPr>
          <w:bCs/>
          <w:sz w:val="22"/>
          <w:szCs w:val="22"/>
          <w:lang w:val="sr-Latn-ME"/>
        </w:rPr>
        <w:t>ekova koji su um</w:t>
      </w:r>
      <w:r w:rsidR="00D74534" w:rsidRPr="00EF52A6">
        <w:rPr>
          <w:bCs/>
          <w:sz w:val="22"/>
          <w:szCs w:val="22"/>
          <w:lang w:val="sr-Latn-ME"/>
        </w:rPr>
        <w:t>j</w:t>
      </w:r>
      <w:r w:rsidRPr="00EF52A6">
        <w:rPr>
          <w:bCs/>
          <w:sz w:val="22"/>
          <w:szCs w:val="22"/>
          <w:lang w:val="sr-Latn-ME"/>
        </w:rPr>
        <w:t>ereni inhibitori CYP3A4 (npr. eritromicin i flukonazol) i CYP2C19 (npr. omeprazol).</w:t>
      </w:r>
    </w:p>
    <w:p w14:paraId="0865F7C8" w14:textId="442F28E9"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Ako se njihova istovremena prim</w:t>
      </w:r>
      <w:r w:rsidR="00D74534" w:rsidRPr="00EF52A6">
        <w:rPr>
          <w:bCs/>
          <w:sz w:val="22"/>
          <w:szCs w:val="22"/>
          <w:lang w:val="sr-Latn-ME"/>
        </w:rPr>
        <w:t>j</w:t>
      </w:r>
      <w:r w:rsidRPr="00EF52A6">
        <w:rPr>
          <w:bCs/>
          <w:sz w:val="22"/>
          <w:szCs w:val="22"/>
          <w:lang w:val="sr-Latn-ME"/>
        </w:rPr>
        <w:t>ena ne može izb</w:t>
      </w:r>
      <w:r w:rsidR="00D74534" w:rsidRPr="00EF52A6">
        <w:rPr>
          <w:bCs/>
          <w:sz w:val="22"/>
          <w:szCs w:val="22"/>
          <w:lang w:val="sr-Latn-ME"/>
        </w:rPr>
        <w:t>j</w:t>
      </w:r>
      <w:r w:rsidRPr="00EF52A6">
        <w:rPr>
          <w:bCs/>
          <w:sz w:val="22"/>
          <w:szCs w:val="22"/>
          <w:lang w:val="sr-Latn-ME"/>
        </w:rPr>
        <w:t>eći, pacijente treba pažljivo pratiti zbog mogućih neželjenih dejstava i smanjiti dozu selumetiniba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4.2 i tabelu 4).</w:t>
      </w:r>
    </w:p>
    <w:p w14:paraId="4ADF743E" w14:textId="77777777" w:rsidR="00FF69F8" w:rsidRPr="00EF52A6" w:rsidRDefault="00FF69F8" w:rsidP="00DF11F1">
      <w:pPr>
        <w:tabs>
          <w:tab w:val="left" w:pos="540"/>
          <w:tab w:val="left" w:pos="569"/>
        </w:tabs>
        <w:jc w:val="both"/>
        <w:rPr>
          <w:bCs/>
          <w:sz w:val="22"/>
          <w:szCs w:val="22"/>
          <w:lang w:val="sr-Latn-ME"/>
        </w:rPr>
      </w:pPr>
    </w:p>
    <w:p w14:paraId="797B5E63" w14:textId="77777777"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Aktivne supstance koje mogu da smanje koncentraciju selumetiniba u plazmi</w:t>
      </w:r>
    </w:p>
    <w:p w14:paraId="0CE10370" w14:textId="60413F25"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Istovremena prim</w:t>
      </w:r>
      <w:r w:rsidR="00D74534" w:rsidRPr="00EF52A6">
        <w:rPr>
          <w:bCs/>
          <w:sz w:val="22"/>
          <w:szCs w:val="22"/>
          <w:lang w:val="sr-Latn-ME"/>
        </w:rPr>
        <w:t>j</w:t>
      </w:r>
      <w:r w:rsidRPr="00EF52A6">
        <w:rPr>
          <w:bCs/>
          <w:sz w:val="22"/>
          <w:szCs w:val="22"/>
          <w:lang w:val="sr-Latn-ME"/>
        </w:rPr>
        <w:t>ena snažnih induktora CYP3A4 (600 mg rifampicina dnevno tokom 8 dana) smanjila je C</w:t>
      </w:r>
      <w:r w:rsidRPr="00EF52A6">
        <w:rPr>
          <w:bCs/>
          <w:sz w:val="22"/>
          <w:szCs w:val="22"/>
          <w:vertAlign w:val="subscript"/>
          <w:lang w:val="sr-Latn-ME"/>
        </w:rPr>
        <w:t>max</w:t>
      </w:r>
      <w:r w:rsidRPr="00EF52A6">
        <w:rPr>
          <w:bCs/>
          <w:sz w:val="22"/>
          <w:szCs w:val="22"/>
          <w:lang w:val="sr-Latn-ME"/>
        </w:rPr>
        <w:t xml:space="preserve"> selumetiniba za -26% (90% CI: -17, -34), a AUC za -51% (90% CI: -47, -54).</w:t>
      </w:r>
    </w:p>
    <w:p w14:paraId="2F4DA2C0" w14:textId="77777777" w:rsidR="00FF69F8" w:rsidRPr="00EF52A6" w:rsidRDefault="00FF69F8" w:rsidP="00DF11F1">
      <w:pPr>
        <w:tabs>
          <w:tab w:val="left" w:pos="540"/>
          <w:tab w:val="left" w:pos="569"/>
        </w:tabs>
        <w:jc w:val="both"/>
        <w:rPr>
          <w:bCs/>
          <w:sz w:val="22"/>
          <w:szCs w:val="22"/>
          <w:lang w:val="sr-Latn-ME"/>
        </w:rPr>
      </w:pPr>
    </w:p>
    <w:p w14:paraId="50696907" w14:textId="0F2E0E33"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Potrebno je izb</w:t>
      </w:r>
      <w:r w:rsidR="00D74534" w:rsidRPr="00EF52A6">
        <w:rPr>
          <w:bCs/>
          <w:sz w:val="22"/>
          <w:szCs w:val="22"/>
          <w:lang w:val="sr-Latn-ME"/>
        </w:rPr>
        <w:t>j</w:t>
      </w:r>
      <w:r w:rsidRPr="00EF52A6">
        <w:rPr>
          <w:bCs/>
          <w:sz w:val="22"/>
          <w:szCs w:val="22"/>
          <w:lang w:val="sr-Latn-ME"/>
        </w:rPr>
        <w:t>egavati istovremenu prim</w:t>
      </w:r>
      <w:r w:rsidR="00D74534" w:rsidRPr="00EF52A6">
        <w:rPr>
          <w:bCs/>
          <w:sz w:val="22"/>
          <w:szCs w:val="22"/>
          <w:lang w:val="sr-Latn-ME"/>
        </w:rPr>
        <w:t>j</w:t>
      </w:r>
      <w:r w:rsidRPr="00EF52A6">
        <w:rPr>
          <w:bCs/>
          <w:sz w:val="22"/>
          <w:szCs w:val="22"/>
          <w:lang w:val="sr-Latn-ME"/>
        </w:rPr>
        <w:t>enu snažnih induktora CYP3A4 (npr. fenitoina, rifampicina, karbamazepina, kantariona) ili um</w:t>
      </w:r>
      <w:r w:rsidR="00D74534" w:rsidRPr="00EF52A6">
        <w:rPr>
          <w:bCs/>
          <w:sz w:val="22"/>
          <w:szCs w:val="22"/>
          <w:lang w:val="sr-Latn-ME"/>
        </w:rPr>
        <w:t>j</w:t>
      </w:r>
      <w:r w:rsidRPr="00EF52A6">
        <w:rPr>
          <w:bCs/>
          <w:sz w:val="22"/>
          <w:szCs w:val="22"/>
          <w:lang w:val="sr-Latn-ME"/>
        </w:rPr>
        <w:t>erenih induktora CYP3A4 i l</w:t>
      </w:r>
      <w:r w:rsidR="00D74534" w:rsidRPr="00EF52A6">
        <w:rPr>
          <w:bCs/>
          <w:sz w:val="22"/>
          <w:szCs w:val="22"/>
          <w:lang w:val="sr-Latn-ME"/>
        </w:rPr>
        <w:t>ij</w:t>
      </w:r>
      <w:r w:rsidRPr="00EF52A6">
        <w:rPr>
          <w:bCs/>
          <w:sz w:val="22"/>
          <w:szCs w:val="22"/>
          <w:lang w:val="sr-Latn-ME"/>
        </w:rPr>
        <w:t>eka Koselugo.</w:t>
      </w:r>
    </w:p>
    <w:p w14:paraId="76EF241B" w14:textId="77777777" w:rsidR="00FF69F8" w:rsidRPr="00EF52A6" w:rsidRDefault="00FF69F8" w:rsidP="00DF11F1">
      <w:pPr>
        <w:tabs>
          <w:tab w:val="left" w:pos="540"/>
          <w:tab w:val="left" w:pos="569"/>
        </w:tabs>
        <w:jc w:val="both"/>
        <w:rPr>
          <w:bCs/>
          <w:sz w:val="22"/>
          <w:szCs w:val="22"/>
          <w:lang w:val="sr-Latn-ME"/>
        </w:rPr>
      </w:pPr>
    </w:p>
    <w:p w14:paraId="4F491598" w14:textId="55981BAB"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Aktivne supstance kojima selumetinib može da prom</w:t>
      </w:r>
      <w:r w:rsidR="00D74534" w:rsidRPr="00EF52A6">
        <w:rPr>
          <w:bCs/>
          <w:i/>
          <w:iCs/>
          <w:sz w:val="22"/>
          <w:szCs w:val="22"/>
          <w:u w:val="single"/>
          <w:lang w:val="sr-Latn-ME"/>
        </w:rPr>
        <w:t>ij</w:t>
      </w:r>
      <w:r w:rsidRPr="00EF52A6">
        <w:rPr>
          <w:bCs/>
          <w:i/>
          <w:iCs/>
          <w:sz w:val="22"/>
          <w:szCs w:val="22"/>
          <w:u w:val="single"/>
          <w:lang w:val="sr-Latn-ME"/>
        </w:rPr>
        <w:t>eni koncentracije u plazmi</w:t>
      </w:r>
    </w:p>
    <w:p w14:paraId="41CE56BD" w14:textId="1EC011E0" w:rsidR="00FF69F8" w:rsidRPr="00EF52A6" w:rsidRDefault="00FF69F8" w:rsidP="00DF11F1">
      <w:pPr>
        <w:tabs>
          <w:tab w:val="left" w:pos="540"/>
          <w:tab w:val="left" w:pos="569"/>
        </w:tabs>
        <w:jc w:val="both"/>
        <w:rPr>
          <w:bCs/>
          <w:sz w:val="22"/>
          <w:szCs w:val="22"/>
          <w:lang w:val="sr-Latn-ME"/>
        </w:rPr>
      </w:pPr>
      <w:r w:rsidRPr="00EF52A6">
        <w:rPr>
          <w:bCs/>
          <w:i/>
          <w:iCs/>
          <w:sz w:val="22"/>
          <w:szCs w:val="22"/>
          <w:lang w:val="sr-Latn-ME"/>
        </w:rPr>
        <w:t>In vitro</w:t>
      </w:r>
      <w:r w:rsidRPr="00EF52A6">
        <w:rPr>
          <w:bCs/>
          <w:sz w:val="22"/>
          <w:szCs w:val="22"/>
          <w:lang w:val="sr-Latn-ME"/>
        </w:rPr>
        <w:t>,</w:t>
      </w:r>
      <w:r w:rsidRPr="00EF52A6">
        <w:rPr>
          <w:bCs/>
          <w:i/>
          <w:iCs/>
          <w:sz w:val="22"/>
          <w:szCs w:val="22"/>
          <w:lang w:val="sr-Latn-ME"/>
        </w:rPr>
        <w:t xml:space="preserve"> </w:t>
      </w:r>
      <w:r w:rsidRPr="00EF52A6">
        <w:rPr>
          <w:bCs/>
          <w:sz w:val="22"/>
          <w:szCs w:val="22"/>
          <w:lang w:val="sr-Latn-ME"/>
        </w:rPr>
        <w:t>selumetinib je inhibitor OAT3. Ne može se isključiti mogućnost klinički značajnog dejstva na farmakokinetiku istovremeno prim</w:t>
      </w:r>
      <w:r w:rsidR="00D74534" w:rsidRPr="00EF52A6">
        <w:rPr>
          <w:bCs/>
          <w:sz w:val="22"/>
          <w:szCs w:val="22"/>
          <w:lang w:val="sr-Latn-ME"/>
        </w:rPr>
        <w:t>ij</w:t>
      </w:r>
      <w:r w:rsidRPr="00EF52A6">
        <w:rPr>
          <w:bCs/>
          <w:sz w:val="22"/>
          <w:szCs w:val="22"/>
          <w:lang w:val="sr-Latn-ME"/>
        </w:rPr>
        <w:t>enjenih supstrata OAT3 (npr. metotreksata i furosemida)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5.2).</w:t>
      </w:r>
    </w:p>
    <w:p w14:paraId="23E2676E" w14:textId="77777777" w:rsidR="00FF69F8" w:rsidRPr="00EF52A6" w:rsidRDefault="00FF69F8" w:rsidP="00DF11F1">
      <w:pPr>
        <w:tabs>
          <w:tab w:val="left" w:pos="540"/>
          <w:tab w:val="left" w:pos="569"/>
        </w:tabs>
        <w:jc w:val="both"/>
        <w:rPr>
          <w:bCs/>
          <w:sz w:val="22"/>
          <w:szCs w:val="22"/>
          <w:lang w:val="sr-Latn-ME"/>
        </w:rPr>
      </w:pPr>
    </w:p>
    <w:p w14:paraId="3FA6A779" w14:textId="77777777"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 xml:space="preserve">Pošto je TPGS inhibitor P-gp </w:t>
      </w:r>
      <w:r w:rsidRPr="00EF52A6">
        <w:rPr>
          <w:bCs/>
          <w:i/>
          <w:sz w:val="22"/>
          <w:szCs w:val="22"/>
          <w:lang w:val="sr-Latn-ME"/>
        </w:rPr>
        <w:t>in vitro</w:t>
      </w:r>
      <w:r w:rsidRPr="00EF52A6">
        <w:rPr>
          <w:bCs/>
          <w:sz w:val="22"/>
          <w:szCs w:val="22"/>
          <w:lang w:val="sr-Latn-ME"/>
        </w:rPr>
        <w:t>, ne može se isključiti mogućnost klinički značajnih interakcija sa supstratima P-gp (npr. digoksinom ili feksofenadinom).</w:t>
      </w:r>
    </w:p>
    <w:p w14:paraId="7773B5DB" w14:textId="77777777" w:rsidR="00FF69F8" w:rsidRPr="00EF52A6" w:rsidRDefault="00FF69F8" w:rsidP="00DF11F1">
      <w:pPr>
        <w:tabs>
          <w:tab w:val="left" w:pos="540"/>
          <w:tab w:val="left" w:pos="569"/>
        </w:tabs>
        <w:jc w:val="both"/>
        <w:rPr>
          <w:bCs/>
          <w:sz w:val="22"/>
          <w:szCs w:val="22"/>
          <w:lang w:val="sr-Latn-ME"/>
        </w:rPr>
      </w:pPr>
    </w:p>
    <w:p w14:paraId="2D1477CA" w14:textId="0E83C06E"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Dejstvo selumetiniba na izloženost oralnim kontraceptivima nije proc</w:t>
      </w:r>
      <w:r w:rsidR="00D74534" w:rsidRPr="00EF52A6">
        <w:rPr>
          <w:bCs/>
          <w:sz w:val="22"/>
          <w:szCs w:val="22"/>
          <w:lang w:val="sr-Latn-ME"/>
        </w:rPr>
        <w:t>j</w:t>
      </w:r>
      <w:r w:rsidRPr="00EF52A6">
        <w:rPr>
          <w:bCs/>
          <w:sz w:val="22"/>
          <w:szCs w:val="22"/>
          <w:lang w:val="sr-Latn-ME"/>
        </w:rPr>
        <w:t>enjivano. Stoga ženama koje uzimaju hormonske kontraceptive treba preporučiti da dodatno koriste i mehaničku metodu kontracepcije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 xml:space="preserve">dio </w:t>
      </w:r>
      <w:r w:rsidRPr="00EF52A6">
        <w:rPr>
          <w:bCs/>
          <w:sz w:val="22"/>
          <w:szCs w:val="22"/>
          <w:lang w:val="sr-Latn-ME"/>
        </w:rPr>
        <w:t>4.6).</w:t>
      </w:r>
    </w:p>
    <w:p w14:paraId="05444326" w14:textId="77777777" w:rsidR="00FF69F8" w:rsidRPr="00EF52A6" w:rsidRDefault="00FF69F8" w:rsidP="00DF11F1">
      <w:pPr>
        <w:tabs>
          <w:tab w:val="left" w:pos="540"/>
          <w:tab w:val="left" w:pos="569"/>
        </w:tabs>
        <w:jc w:val="both"/>
        <w:rPr>
          <w:bCs/>
          <w:sz w:val="22"/>
          <w:szCs w:val="22"/>
          <w:lang w:val="sr-Latn-ME"/>
        </w:rPr>
      </w:pPr>
    </w:p>
    <w:p w14:paraId="26D0B637" w14:textId="6F79ED56"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t>Dejstvo l</w:t>
      </w:r>
      <w:r w:rsidR="00D74534" w:rsidRPr="00EF52A6">
        <w:rPr>
          <w:bCs/>
          <w:i/>
          <w:iCs/>
          <w:sz w:val="22"/>
          <w:szCs w:val="22"/>
          <w:u w:val="single"/>
          <w:lang w:val="sr-Latn-ME"/>
        </w:rPr>
        <w:t>j</w:t>
      </w:r>
      <w:r w:rsidRPr="00EF52A6">
        <w:rPr>
          <w:bCs/>
          <w:i/>
          <w:iCs/>
          <w:sz w:val="22"/>
          <w:szCs w:val="22"/>
          <w:u w:val="single"/>
          <w:lang w:val="sr-Latn-ME"/>
        </w:rPr>
        <w:t>ekova za smanjenje želudačne kiseline na selumetinib</w:t>
      </w:r>
    </w:p>
    <w:p w14:paraId="2FEB124E" w14:textId="52067239" w:rsidR="00FF69F8" w:rsidRPr="00EF52A6" w:rsidRDefault="00B93791" w:rsidP="00DF11F1">
      <w:pPr>
        <w:tabs>
          <w:tab w:val="left" w:pos="540"/>
          <w:tab w:val="left" w:pos="569"/>
        </w:tabs>
        <w:jc w:val="both"/>
        <w:rPr>
          <w:bCs/>
          <w:sz w:val="22"/>
          <w:szCs w:val="22"/>
          <w:lang w:val="sr-Latn-ME"/>
        </w:rPr>
      </w:pPr>
      <w:r w:rsidRPr="00EF52A6">
        <w:rPr>
          <w:bCs/>
          <w:sz w:val="22"/>
          <w:szCs w:val="22"/>
          <w:lang w:val="sr-Latn-ME"/>
        </w:rPr>
        <w:t xml:space="preserve">Rastvorljivost </w:t>
      </w:r>
      <w:r w:rsidR="00FF69F8" w:rsidRPr="00EF52A6">
        <w:rPr>
          <w:bCs/>
          <w:sz w:val="22"/>
          <w:szCs w:val="22"/>
          <w:lang w:val="sr-Latn-ME"/>
        </w:rPr>
        <w:t>kapsula selumetiniba ne zavisi od pH vr</w:t>
      </w:r>
      <w:r w:rsidR="00D74534" w:rsidRPr="00EF52A6">
        <w:rPr>
          <w:bCs/>
          <w:sz w:val="22"/>
          <w:szCs w:val="22"/>
          <w:lang w:val="sr-Latn-ME"/>
        </w:rPr>
        <w:t>ij</w:t>
      </w:r>
      <w:r w:rsidR="00FF69F8" w:rsidRPr="00EF52A6">
        <w:rPr>
          <w:bCs/>
          <w:sz w:val="22"/>
          <w:szCs w:val="22"/>
          <w:lang w:val="sr-Latn-ME"/>
        </w:rPr>
        <w:t>ednosti. Koselugo se može bez ograničenja prim</w:t>
      </w:r>
      <w:r w:rsidR="00066B35" w:rsidRPr="00EF52A6">
        <w:rPr>
          <w:bCs/>
          <w:sz w:val="22"/>
          <w:szCs w:val="22"/>
          <w:lang w:val="sr-Latn-ME"/>
        </w:rPr>
        <w:t>j</w:t>
      </w:r>
      <w:r w:rsidR="00FF69F8" w:rsidRPr="00EF52A6">
        <w:rPr>
          <w:bCs/>
          <w:sz w:val="22"/>
          <w:szCs w:val="22"/>
          <w:lang w:val="sr-Latn-ME"/>
        </w:rPr>
        <w:t>enjivati istovremeno sa l</w:t>
      </w:r>
      <w:r w:rsidR="00D74534" w:rsidRPr="00EF52A6">
        <w:rPr>
          <w:bCs/>
          <w:sz w:val="22"/>
          <w:szCs w:val="22"/>
          <w:lang w:val="sr-Latn-ME"/>
        </w:rPr>
        <w:t>j</w:t>
      </w:r>
      <w:r w:rsidR="00FF69F8" w:rsidRPr="00EF52A6">
        <w:rPr>
          <w:bCs/>
          <w:sz w:val="22"/>
          <w:szCs w:val="22"/>
          <w:lang w:val="sr-Latn-ME"/>
        </w:rPr>
        <w:t>ekovima koji m</w:t>
      </w:r>
      <w:r w:rsidR="00D74534" w:rsidRPr="00EF52A6">
        <w:rPr>
          <w:bCs/>
          <w:sz w:val="22"/>
          <w:szCs w:val="22"/>
          <w:lang w:val="sr-Latn-ME"/>
        </w:rPr>
        <w:t>ij</w:t>
      </w:r>
      <w:r w:rsidR="00FF69F8" w:rsidRPr="00EF52A6">
        <w:rPr>
          <w:bCs/>
          <w:sz w:val="22"/>
          <w:szCs w:val="22"/>
          <w:lang w:val="sr-Latn-ME"/>
        </w:rPr>
        <w:t>enjaju želudačni pH (tj. antagonistima H2-receptora i inhibitorima protonske pumpe), uz izuzetak omeprazola, koji je inhibitor CYP2C19.</w:t>
      </w:r>
    </w:p>
    <w:p w14:paraId="682A0842" w14:textId="77777777" w:rsidR="00FF69F8" w:rsidRPr="00EF52A6" w:rsidRDefault="00FF69F8" w:rsidP="00DF11F1">
      <w:pPr>
        <w:tabs>
          <w:tab w:val="left" w:pos="540"/>
          <w:tab w:val="left" w:pos="569"/>
        </w:tabs>
        <w:jc w:val="both"/>
        <w:rPr>
          <w:bCs/>
          <w:sz w:val="22"/>
          <w:szCs w:val="22"/>
          <w:lang w:val="sr-Latn-ME"/>
        </w:rPr>
      </w:pPr>
    </w:p>
    <w:p w14:paraId="78E16252" w14:textId="77777777" w:rsidR="00735500" w:rsidRPr="00EF52A6" w:rsidRDefault="00735500" w:rsidP="00DF11F1">
      <w:pPr>
        <w:tabs>
          <w:tab w:val="left" w:pos="540"/>
          <w:tab w:val="left" w:pos="569"/>
        </w:tabs>
        <w:jc w:val="both"/>
        <w:rPr>
          <w:bCs/>
          <w:i/>
          <w:iCs/>
          <w:sz w:val="22"/>
          <w:szCs w:val="22"/>
          <w:u w:val="single"/>
          <w:lang w:val="sr-Latn-ME"/>
        </w:rPr>
      </w:pPr>
    </w:p>
    <w:p w14:paraId="2F8BC895" w14:textId="2D38D8C9" w:rsidR="00FF69F8" w:rsidRPr="00EF52A6" w:rsidRDefault="00FF69F8" w:rsidP="00DF11F1">
      <w:pPr>
        <w:tabs>
          <w:tab w:val="left" w:pos="540"/>
          <w:tab w:val="left" w:pos="569"/>
        </w:tabs>
        <w:jc w:val="both"/>
        <w:rPr>
          <w:bCs/>
          <w:i/>
          <w:sz w:val="22"/>
          <w:szCs w:val="22"/>
          <w:lang w:val="sr-Latn-ME"/>
        </w:rPr>
      </w:pPr>
      <w:r w:rsidRPr="00EF52A6">
        <w:rPr>
          <w:bCs/>
          <w:i/>
          <w:iCs/>
          <w:sz w:val="22"/>
          <w:szCs w:val="22"/>
          <w:u w:val="single"/>
          <w:lang w:val="sr-Latn-ME"/>
        </w:rPr>
        <w:lastRenderedPageBreak/>
        <w:t>Vitamin E</w:t>
      </w:r>
    </w:p>
    <w:p w14:paraId="209AD898" w14:textId="4991CF77" w:rsidR="00FF69F8" w:rsidRPr="00EF52A6" w:rsidRDefault="00FF69F8" w:rsidP="00DF11F1">
      <w:pPr>
        <w:tabs>
          <w:tab w:val="left" w:pos="540"/>
          <w:tab w:val="left" w:pos="569"/>
        </w:tabs>
        <w:jc w:val="both"/>
        <w:rPr>
          <w:bCs/>
          <w:sz w:val="22"/>
          <w:szCs w:val="22"/>
          <w:lang w:val="sr-Latn-ME"/>
        </w:rPr>
      </w:pPr>
      <w:r w:rsidRPr="00EF52A6">
        <w:rPr>
          <w:bCs/>
          <w:sz w:val="22"/>
          <w:szCs w:val="22"/>
          <w:lang w:val="sr-Latn-ME"/>
        </w:rPr>
        <w:t>Kapsule l</w:t>
      </w:r>
      <w:r w:rsidR="00D74534" w:rsidRPr="00EF52A6">
        <w:rPr>
          <w:bCs/>
          <w:sz w:val="22"/>
          <w:szCs w:val="22"/>
          <w:lang w:val="sr-Latn-ME"/>
        </w:rPr>
        <w:t>ij</w:t>
      </w:r>
      <w:r w:rsidRPr="00EF52A6">
        <w:rPr>
          <w:bCs/>
          <w:sz w:val="22"/>
          <w:szCs w:val="22"/>
          <w:lang w:val="sr-Latn-ME"/>
        </w:rPr>
        <w:t>eka Koselugo sadrže vitamin E u obliku pomoćne supstance TPGS. Stoga pacijenti treba da izb</w:t>
      </w:r>
      <w:r w:rsidR="00D74534" w:rsidRPr="00EF52A6">
        <w:rPr>
          <w:bCs/>
          <w:sz w:val="22"/>
          <w:szCs w:val="22"/>
          <w:lang w:val="sr-Latn-ME"/>
        </w:rPr>
        <w:t>j</w:t>
      </w:r>
      <w:r w:rsidRPr="00EF52A6">
        <w:rPr>
          <w:bCs/>
          <w:sz w:val="22"/>
          <w:szCs w:val="22"/>
          <w:lang w:val="sr-Latn-ME"/>
        </w:rPr>
        <w:t>egavaju uzimanje suplemenata vitamina E, a kod onih koji istovremeno uzimaju antikoagulanse ili antitrombocitne l</w:t>
      </w:r>
      <w:r w:rsidR="00D74534" w:rsidRPr="00EF52A6">
        <w:rPr>
          <w:bCs/>
          <w:sz w:val="22"/>
          <w:szCs w:val="22"/>
          <w:lang w:val="sr-Latn-ME"/>
        </w:rPr>
        <w:t>j</w:t>
      </w:r>
      <w:r w:rsidRPr="00EF52A6">
        <w:rPr>
          <w:bCs/>
          <w:sz w:val="22"/>
          <w:szCs w:val="22"/>
          <w:lang w:val="sr-Latn-ME"/>
        </w:rPr>
        <w:t>ekove treba češće vršiti proc</w:t>
      </w:r>
      <w:r w:rsidR="00D74534" w:rsidRPr="00EF52A6">
        <w:rPr>
          <w:bCs/>
          <w:sz w:val="22"/>
          <w:szCs w:val="22"/>
          <w:lang w:val="sr-Latn-ME"/>
        </w:rPr>
        <w:t>j</w:t>
      </w:r>
      <w:r w:rsidRPr="00EF52A6">
        <w:rPr>
          <w:bCs/>
          <w:sz w:val="22"/>
          <w:szCs w:val="22"/>
          <w:lang w:val="sr-Latn-ME"/>
        </w:rPr>
        <w:t>ene antikoagulacije (vid</w:t>
      </w:r>
      <w:r w:rsidR="00D74534" w:rsidRPr="00EF52A6">
        <w:rPr>
          <w:bCs/>
          <w:sz w:val="22"/>
          <w:szCs w:val="22"/>
          <w:lang w:val="sr-Latn-ME"/>
        </w:rPr>
        <w:t>j</w:t>
      </w:r>
      <w:r w:rsidRPr="00EF52A6">
        <w:rPr>
          <w:bCs/>
          <w:sz w:val="22"/>
          <w:szCs w:val="22"/>
          <w:lang w:val="sr-Latn-ME"/>
        </w:rPr>
        <w:t xml:space="preserve">eti </w:t>
      </w:r>
      <w:r w:rsidR="00D74534" w:rsidRPr="00EF52A6">
        <w:rPr>
          <w:bCs/>
          <w:sz w:val="22"/>
          <w:szCs w:val="22"/>
          <w:lang w:val="sr-Latn-ME"/>
        </w:rPr>
        <w:t>dio</w:t>
      </w:r>
      <w:r w:rsidRPr="00EF52A6">
        <w:rPr>
          <w:bCs/>
          <w:sz w:val="22"/>
          <w:szCs w:val="22"/>
          <w:lang w:val="sr-Latn-ME"/>
        </w:rPr>
        <w:t xml:space="preserve"> 4.4).</w:t>
      </w:r>
    </w:p>
    <w:p w14:paraId="033114F4" w14:textId="77777777" w:rsidR="00FF69F8" w:rsidRPr="00EF52A6" w:rsidRDefault="00FF69F8" w:rsidP="00480FB1">
      <w:pPr>
        <w:tabs>
          <w:tab w:val="left" w:pos="540"/>
          <w:tab w:val="left" w:pos="569"/>
        </w:tabs>
        <w:rPr>
          <w:bCs/>
          <w:sz w:val="22"/>
          <w:szCs w:val="22"/>
          <w:lang w:val="sr-Latn-ME"/>
        </w:rPr>
      </w:pPr>
    </w:p>
    <w:p w14:paraId="4D6F1291" w14:textId="77777777" w:rsidR="0072020E" w:rsidRPr="00EF52A6" w:rsidRDefault="0072020E" w:rsidP="00480FB1">
      <w:pPr>
        <w:tabs>
          <w:tab w:val="left" w:pos="540"/>
          <w:tab w:val="left" w:pos="569"/>
        </w:tabs>
        <w:rPr>
          <w:b/>
          <w:sz w:val="22"/>
          <w:szCs w:val="22"/>
          <w:lang w:val="sr-Latn-ME"/>
        </w:rPr>
      </w:pPr>
      <w:r w:rsidRPr="00EF52A6">
        <w:rPr>
          <w:b/>
          <w:bCs/>
          <w:sz w:val="22"/>
          <w:szCs w:val="22"/>
          <w:lang w:val="sr-Latn-ME"/>
        </w:rPr>
        <w:t xml:space="preserve">4.6. </w:t>
      </w:r>
      <w:r w:rsidR="00480FB1" w:rsidRPr="00EF52A6">
        <w:rPr>
          <w:b/>
          <w:bCs/>
          <w:sz w:val="22"/>
          <w:szCs w:val="22"/>
          <w:lang w:val="sr-Latn-ME"/>
        </w:rPr>
        <w:tab/>
      </w:r>
      <w:r w:rsidR="006D20A5" w:rsidRPr="00EF52A6">
        <w:rPr>
          <w:b/>
          <w:sz w:val="22"/>
          <w:szCs w:val="22"/>
          <w:lang w:val="sr-Latn-ME"/>
        </w:rPr>
        <w:t>Plodnost, trudnoća i dojenje</w:t>
      </w:r>
    </w:p>
    <w:p w14:paraId="392830B9" w14:textId="77777777" w:rsidR="002031B3" w:rsidRPr="00EF52A6" w:rsidRDefault="002031B3" w:rsidP="00480FB1">
      <w:pPr>
        <w:tabs>
          <w:tab w:val="left" w:pos="540"/>
          <w:tab w:val="left" w:pos="569"/>
        </w:tabs>
        <w:rPr>
          <w:sz w:val="22"/>
          <w:szCs w:val="22"/>
          <w:u w:val="single"/>
          <w:lang w:val="sr-Latn-ME"/>
        </w:rPr>
      </w:pPr>
    </w:p>
    <w:p w14:paraId="55E20033" w14:textId="77777777" w:rsidR="002031B3" w:rsidRPr="00EF52A6" w:rsidRDefault="002031B3" w:rsidP="00DF11F1">
      <w:pPr>
        <w:tabs>
          <w:tab w:val="left" w:pos="540"/>
          <w:tab w:val="left" w:pos="569"/>
        </w:tabs>
        <w:jc w:val="both"/>
        <w:rPr>
          <w:sz w:val="22"/>
          <w:szCs w:val="22"/>
          <w:u w:val="single"/>
          <w:lang w:val="sr-Latn-ME"/>
        </w:rPr>
      </w:pPr>
      <w:r w:rsidRPr="00EF52A6">
        <w:rPr>
          <w:sz w:val="22"/>
          <w:szCs w:val="22"/>
          <w:u w:val="single"/>
          <w:lang w:val="sr-Latn-ME"/>
        </w:rPr>
        <w:t>Plodnost</w:t>
      </w:r>
    </w:p>
    <w:p w14:paraId="4F537C1C" w14:textId="62812771" w:rsidR="00FF69F8" w:rsidRPr="00EF52A6" w:rsidRDefault="00FF69F8" w:rsidP="00DF11F1">
      <w:pPr>
        <w:tabs>
          <w:tab w:val="left" w:pos="540"/>
          <w:tab w:val="left" w:pos="569"/>
        </w:tabs>
        <w:jc w:val="both"/>
        <w:rPr>
          <w:sz w:val="22"/>
          <w:szCs w:val="22"/>
          <w:lang w:val="sr-Latn-ME"/>
        </w:rPr>
      </w:pPr>
      <w:r w:rsidRPr="00EF52A6">
        <w:rPr>
          <w:sz w:val="22"/>
          <w:szCs w:val="22"/>
          <w:lang w:val="sr-Latn-ME"/>
        </w:rPr>
        <w:t>Nema podataka o dejstvu l</w:t>
      </w:r>
      <w:r w:rsidR="00D74534" w:rsidRPr="00EF52A6">
        <w:rPr>
          <w:sz w:val="22"/>
          <w:szCs w:val="22"/>
          <w:lang w:val="sr-Latn-ME"/>
        </w:rPr>
        <w:t>ij</w:t>
      </w:r>
      <w:r w:rsidRPr="00EF52A6">
        <w:rPr>
          <w:sz w:val="22"/>
          <w:szCs w:val="22"/>
          <w:lang w:val="sr-Latn-ME"/>
        </w:rPr>
        <w:t>eka Koselugo na plodnost kod ljudi. Selumetinib nije uticao na plodnost ni usp</w:t>
      </w:r>
      <w:r w:rsidR="00066B35" w:rsidRPr="00EF52A6">
        <w:rPr>
          <w:sz w:val="22"/>
          <w:szCs w:val="22"/>
          <w:lang w:val="sr-Latn-ME"/>
        </w:rPr>
        <w:t>j</w:t>
      </w:r>
      <w:r w:rsidRPr="00EF52A6">
        <w:rPr>
          <w:sz w:val="22"/>
          <w:szCs w:val="22"/>
          <w:lang w:val="sr-Latn-ME"/>
        </w:rPr>
        <w:t>ešnost parenja mužjaka i ženki miševa, iako je kod ženki miševa zab</w:t>
      </w:r>
      <w:r w:rsidR="00D74534" w:rsidRPr="00EF52A6">
        <w:rPr>
          <w:sz w:val="22"/>
          <w:szCs w:val="22"/>
          <w:lang w:val="sr-Latn-ME"/>
        </w:rPr>
        <w:t>ilj</w:t>
      </w:r>
      <w:r w:rsidRPr="00EF52A6">
        <w:rPr>
          <w:sz w:val="22"/>
          <w:szCs w:val="22"/>
          <w:lang w:val="sr-Latn-ME"/>
        </w:rPr>
        <w:t>eženo smanjeno preživljavanje embriona (vid</w:t>
      </w:r>
      <w:r w:rsidR="00D74534" w:rsidRPr="00EF52A6">
        <w:rPr>
          <w:sz w:val="22"/>
          <w:szCs w:val="22"/>
          <w:lang w:val="sr-Latn-ME"/>
        </w:rPr>
        <w:t>j</w:t>
      </w:r>
      <w:r w:rsidRPr="00EF52A6">
        <w:rPr>
          <w:sz w:val="22"/>
          <w:szCs w:val="22"/>
          <w:lang w:val="sr-Latn-ME"/>
        </w:rPr>
        <w:t xml:space="preserve">eti </w:t>
      </w:r>
      <w:r w:rsidR="00D74534" w:rsidRPr="00EF52A6">
        <w:rPr>
          <w:sz w:val="22"/>
          <w:szCs w:val="22"/>
          <w:lang w:val="sr-Latn-ME"/>
        </w:rPr>
        <w:t>dio</w:t>
      </w:r>
      <w:r w:rsidRPr="00EF52A6">
        <w:rPr>
          <w:sz w:val="22"/>
          <w:szCs w:val="22"/>
          <w:lang w:val="sr-Latn-ME"/>
        </w:rPr>
        <w:t xml:space="preserve"> 5.3).</w:t>
      </w:r>
    </w:p>
    <w:p w14:paraId="5A2E79F2" w14:textId="77777777" w:rsidR="002031B3" w:rsidRPr="00EF52A6" w:rsidRDefault="002031B3" w:rsidP="00DF11F1">
      <w:pPr>
        <w:tabs>
          <w:tab w:val="left" w:pos="540"/>
          <w:tab w:val="left" w:pos="569"/>
        </w:tabs>
        <w:jc w:val="both"/>
        <w:rPr>
          <w:sz w:val="22"/>
          <w:szCs w:val="22"/>
          <w:u w:val="single"/>
          <w:lang w:val="sr-Latn-ME"/>
        </w:rPr>
      </w:pPr>
    </w:p>
    <w:p w14:paraId="44091573" w14:textId="77777777" w:rsidR="007A3ECB" w:rsidRPr="00EF52A6" w:rsidRDefault="007A3ECB" w:rsidP="00DF11F1">
      <w:pPr>
        <w:tabs>
          <w:tab w:val="left" w:pos="540"/>
          <w:tab w:val="left" w:pos="569"/>
        </w:tabs>
        <w:jc w:val="both"/>
        <w:rPr>
          <w:sz w:val="22"/>
          <w:szCs w:val="22"/>
          <w:u w:val="single"/>
          <w:lang w:val="sr-Latn-ME"/>
        </w:rPr>
      </w:pPr>
      <w:r w:rsidRPr="00EF52A6">
        <w:rPr>
          <w:sz w:val="22"/>
          <w:szCs w:val="22"/>
          <w:u w:val="single"/>
          <w:lang w:val="sr-Latn-ME"/>
        </w:rPr>
        <w:t>Trudnoća</w:t>
      </w:r>
    </w:p>
    <w:p w14:paraId="378DFFCF" w14:textId="5C58D510" w:rsidR="00FF69F8" w:rsidRPr="00EF52A6" w:rsidRDefault="00FF69F8" w:rsidP="00DF11F1">
      <w:pPr>
        <w:tabs>
          <w:tab w:val="left" w:pos="540"/>
          <w:tab w:val="left" w:pos="569"/>
        </w:tabs>
        <w:jc w:val="both"/>
        <w:rPr>
          <w:sz w:val="22"/>
          <w:szCs w:val="22"/>
          <w:lang w:val="sr-Latn-ME"/>
        </w:rPr>
      </w:pPr>
      <w:r w:rsidRPr="00EF52A6">
        <w:rPr>
          <w:sz w:val="22"/>
          <w:szCs w:val="22"/>
          <w:lang w:val="sr-Latn-ME"/>
        </w:rPr>
        <w:t>Nema podataka o prim</w:t>
      </w:r>
      <w:r w:rsidR="00D74534" w:rsidRPr="00EF52A6">
        <w:rPr>
          <w:sz w:val="22"/>
          <w:szCs w:val="22"/>
          <w:lang w:val="sr-Latn-ME"/>
        </w:rPr>
        <w:t>j</w:t>
      </w:r>
      <w:r w:rsidRPr="00EF52A6">
        <w:rPr>
          <w:sz w:val="22"/>
          <w:szCs w:val="22"/>
          <w:lang w:val="sr-Latn-ME"/>
        </w:rPr>
        <w:t xml:space="preserve">eni selumetiniba kod trudnica. Studije na životinjama ukazale su na reproduktivnu toksičnost, uključujući embriofetalnu smrt, strukturna oštećenja i smanjenu </w:t>
      </w:r>
      <w:r w:rsidR="00066B35" w:rsidRPr="00EF52A6">
        <w:rPr>
          <w:sz w:val="22"/>
          <w:szCs w:val="22"/>
          <w:lang w:val="sr-Latn-ME"/>
        </w:rPr>
        <w:t xml:space="preserve">tjelesnu masu </w:t>
      </w:r>
      <w:r w:rsidRPr="00EF52A6">
        <w:rPr>
          <w:sz w:val="22"/>
          <w:szCs w:val="22"/>
          <w:lang w:val="sr-Latn-ME"/>
        </w:rPr>
        <w:t>ploda (vid</w:t>
      </w:r>
      <w:r w:rsidR="001E0848" w:rsidRPr="00EF52A6">
        <w:rPr>
          <w:sz w:val="22"/>
          <w:szCs w:val="22"/>
          <w:lang w:val="sr-Latn-ME"/>
        </w:rPr>
        <w:t>j</w:t>
      </w:r>
      <w:r w:rsidRPr="00EF52A6">
        <w:rPr>
          <w:sz w:val="22"/>
          <w:szCs w:val="22"/>
          <w:lang w:val="sr-Latn-ME"/>
        </w:rPr>
        <w:t xml:space="preserve">eti </w:t>
      </w:r>
      <w:r w:rsidR="001E0848" w:rsidRPr="00EF52A6">
        <w:rPr>
          <w:sz w:val="22"/>
          <w:szCs w:val="22"/>
          <w:lang w:val="sr-Latn-ME"/>
        </w:rPr>
        <w:t>dio</w:t>
      </w:r>
      <w:r w:rsidRPr="00EF52A6">
        <w:rPr>
          <w:sz w:val="22"/>
          <w:szCs w:val="22"/>
          <w:lang w:val="sr-Latn-ME"/>
        </w:rPr>
        <w:t xml:space="preserve"> 5.3). Prim</w:t>
      </w:r>
      <w:r w:rsidR="001E0848" w:rsidRPr="00EF52A6">
        <w:rPr>
          <w:sz w:val="22"/>
          <w:szCs w:val="22"/>
          <w:lang w:val="sr-Latn-ME"/>
        </w:rPr>
        <w:t>j</w:t>
      </w:r>
      <w:r w:rsidRPr="00EF52A6">
        <w:rPr>
          <w:sz w:val="22"/>
          <w:szCs w:val="22"/>
          <w:lang w:val="sr-Latn-ME"/>
        </w:rPr>
        <w:t>ena l</w:t>
      </w:r>
      <w:r w:rsidR="001E0848" w:rsidRPr="00EF52A6">
        <w:rPr>
          <w:sz w:val="22"/>
          <w:szCs w:val="22"/>
          <w:lang w:val="sr-Latn-ME"/>
        </w:rPr>
        <w:t>ij</w:t>
      </w:r>
      <w:r w:rsidRPr="00EF52A6">
        <w:rPr>
          <w:sz w:val="22"/>
          <w:szCs w:val="22"/>
          <w:lang w:val="sr-Latn-ME"/>
        </w:rPr>
        <w:t>eka Koselugo se ne preporučuje tokom trudnoće niti kod žena u reproduktivnom periodu koje ne koriste kontracepciju (vid</w:t>
      </w:r>
      <w:r w:rsidR="001E0848" w:rsidRPr="00EF52A6">
        <w:rPr>
          <w:sz w:val="22"/>
          <w:szCs w:val="22"/>
          <w:lang w:val="sr-Latn-ME"/>
        </w:rPr>
        <w:t>j</w:t>
      </w:r>
      <w:r w:rsidRPr="00EF52A6">
        <w:rPr>
          <w:sz w:val="22"/>
          <w:szCs w:val="22"/>
          <w:lang w:val="sr-Latn-ME"/>
        </w:rPr>
        <w:t xml:space="preserve">eti </w:t>
      </w:r>
      <w:r w:rsidR="001E0848" w:rsidRPr="00EF52A6">
        <w:rPr>
          <w:sz w:val="22"/>
          <w:szCs w:val="22"/>
          <w:lang w:val="sr-Latn-ME"/>
        </w:rPr>
        <w:t>dio</w:t>
      </w:r>
      <w:r w:rsidRPr="00EF52A6">
        <w:rPr>
          <w:sz w:val="22"/>
          <w:szCs w:val="22"/>
          <w:lang w:val="sr-Latn-ME"/>
        </w:rPr>
        <w:t xml:space="preserve"> 4.4).</w:t>
      </w:r>
    </w:p>
    <w:p w14:paraId="5D9B735A" w14:textId="77777777" w:rsidR="00FF69F8" w:rsidRPr="00EF52A6" w:rsidRDefault="00FF69F8" w:rsidP="00DF11F1">
      <w:pPr>
        <w:tabs>
          <w:tab w:val="left" w:pos="540"/>
          <w:tab w:val="left" w:pos="569"/>
        </w:tabs>
        <w:jc w:val="both"/>
        <w:rPr>
          <w:sz w:val="22"/>
          <w:szCs w:val="22"/>
          <w:lang w:val="sr-Latn-ME"/>
        </w:rPr>
      </w:pPr>
    </w:p>
    <w:p w14:paraId="2FA524A7" w14:textId="77777777" w:rsidR="00FF69F8" w:rsidRPr="00EF52A6" w:rsidRDefault="00FF69F8" w:rsidP="00DF11F1">
      <w:pPr>
        <w:tabs>
          <w:tab w:val="left" w:pos="540"/>
          <w:tab w:val="left" w:pos="569"/>
        </w:tabs>
        <w:jc w:val="both"/>
        <w:rPr>
          <w:sz w:val="22"/>
          <w:szCs w:val="22"/>
          <w:lang w:val="sr-Latn-ME"/>
        </w:rPr>
      </w:pPr>
      <w:r w:rsidRPr="00EF52A6">
        <w:rPr>
          <w:sz w:val="22"/>
          <w:szCs w:val="22"/>
          <w:lang w:val="sr-Latn-ME"/>
        </w:rPr>
        <w:t>Ako pacijentkinja ili partnerka pacijenta koji uzima Koselugo zatrudne, treba ih upozoriti na mogući rizik za plod.</w:t>
      </w:r>
    </w:p>
    <w:p w14:paraId="4E748D92" w14:textId="77777777" w:rsidR="00FF69F8" w:rsidRPr="00EF52A6" w:rsidRDefault="00FF69F8" w:rsidP="00DF11F1">
      <w:pPr>
        <w:tabs>
          <w:tab w:val="left" w:pos="540"/>
          <w:tab w:val="left" w:pos="569"/>
        </w:tabs>
        <w:jc w:val="both"/>
        <w:rPr>
          <w:sz w:val="22"/>
          <w:szCs w:val="22"/>
          <w:lang w:val="sr-Latn-ME"/>
        </w:rPr>
      </w:pPr>
    </w:p>
    <w:p w14:paraId="2B892E66" w14:textId="77777777" w:rsidR="00FF69F8" w:rsidRPr="00EF52A6" w:rsidRDefault="00FF69F8" w:rsidP="00DF11F1">
      <w:pPr>
        <w:tabs>
          <w:tab w:val="left" w:pos="540"/>
          <w:tab w:val="left" w:pos="569"/>
        </w:tabs>
        <w:jc w:val="both"/>
        <w:rPr>
          <w:sz w:val="22"/>
          <w:szCs w:val="22"/>
          <w:lang w:val="sr-Latn-ME"/>
        </w:rPr>
      </w:pPr>
      <w:r w:rsidRPr="00EF52A6">
        <w:rPr>
          <w:sz w:val="22"/>
          <w:szCs w:val="22"/>
          <w:u w:val="single"/>
          <w:lang w:val="sr-Latn-ME"/>
        </w:rPr>
        <w:t>Žene u reproduktivnom periodu/kontracepcija kod muškaraca i žena</w:t>
      </w:r>
    </w:p>
    <w:p w14:paraId="48C5D586" w14:textId="76322A34" w:rsidR="00FF69F8" w:rsidRPr="00EF52A6" w:rsidRDefault="00FF69F8" w:rsidP="00DF11F1">
      <w:pPr>
        <w:tabs>
          <w:tab w:val="left" w:pos="540"/>
          <w:tab w:val="left" w:pos="569"/>
        </w:tabs>
        <w:jc w:val="both"/>
        <w:rPr>
          <w:sz w:val="22"/>
          <w:szCs w:val="22"/>
          <w:lang w:val="sr-Latn-ME"/>
        </w:rPr>
      </w:pPr>
      <w:r w:rsidRPr="00EF52A6">
        <w:rPr>
          <w:sz w:val="22"/>
          <w:szCs w:val="22"/>
          <w:lang w:val="sr-Latn-ME"/>
        </w:rPr>
        <w:t>Ženama u reproduktivnom periodu treba sav</w:t>
      </w:r>
      <w:r w:rsidR="001E0848" w:rsidRPr="00EF52A6">
        <w:rPr>
          <w:sz w:val="22"/>
          <w:szCs w:val="22"/>
          <w:lang w:val="sr-Latn-ME"/>
        </w:rPr>
        <w:t>j</w:t>
      </w:r>
      <w:r w:rsidRPr="00EF52A6">
        <w:rPr>
          <w:sz w:val="22"/>
          <w:szCs w:val="22"/>
          <w:lang w:val="sr-Latn-ME"/>
        </w:rPr>
        <w:t>etovati da izb</w:t>
      </w:r>
      <w:r w:rsidR="001E0848" w:rsidRPr="00EF52A6">
        <w:rPr>
          <w:sz w:val="22"/>
          <w:szCs w:val="22"/>
          <w:lang w:val="sr-Latn-ME"/>
        </w:rPr>
        <w:t>j</w:t>
      </w:r>
      <w:r w:rsidRPr="00EF52A6">
        <w:rPr>
          <w:sz w:val="22"/>
          <w:szCs w:val="22"/>
          <w:lang w:val="sr-Latn-ME"/>
        </w:rPr>
        <w:t>egavaju trudnoću dok primaju l</w:t>
      </w:r>
      <w:r w:rsidR="001E0848" w:rsidRPr="00EF52A6">
        <w:rPr>
          <w:sz w:val="22"/>
          <w:szCs w:val="22"/>
          <w:lang w:val="sr-Latn-ME"/>
        </w:rPr>
        <w:t>ij</w:t>
      </w:r>
      <w:r w:rsidRPr="00EF52A6">
        <w:rPr>
          <w:sz w:val="22"/>
          <w:szCs w:val="22"/>
          <w:lang w:val="sr-Latn-ME"/>
        </w:rPr>
        <w:t>ek Koselugo. Preporučuje se da se kod svih žena u reproduktivnom periodu uradi test na trudnoću pr</w:t>
      </w:r>
      <w:r w:rsidR="001E0848" w:rsidRPr="00EF52A6">
        <w:rPr>
          <w:sz w:val="22"/>
          <w:szCs w:val="22"/>
          <w:lang w:val="sr-Latn-ME"/>
        </w:rPr>
        <w:t>ij</w:t>
      </w:r>
      <w:r w:rsidRPr="00EF52A6">
        <w:rPr>
          <w:sz w:val="22"/>
          <w:szCs w:val="22"/>
          <w:lang w:val="sr-Latn-ME"/>
        </w:rPr>
        <w:t>e uvođenja terapije.</w:t>
      </w:r>
    </w:p>
    <w:p w14:paraId="689D40AE" w14:textId="77777777" w:rsidR="00FF69F8" w:rsidRPr="00EF52A6" w:rsidRDefault="00FF69F8" w:rsidP="00DF11F1">
      <w:pPr>
        <w:tabs>
          <w:tab w:val="left" w:pos="540"/>
          <w:tab w:val="left" w:pos="569"/>
        </w:tabs>
        <w:jc w:val="both"/>
        <w:rPr>
          <w:sz w:val="22"/>
          <w:szCs w:val="22"/>
          <w:lang w:val="sr-Latn-ME"/>
        </w:rPr>
      </w:pPr>
    </w:p>
    <w:p w14:paraId="73C74C98" w14:textId="25D49218" w:rsidR="00FF69F8" w:rsidRPr="00EF52A6" w:rsidRDefault="00FF69F8" w:rsidP="00DF11F1">
      <w:pPr>
        <w:tabs>
          <w:tab w:val="left" w:pos="540"/>
          <w:tab w:val="left" w:pos="569"/>
        </w:tabs>
        <w:jc w:val="both"/>
        <w:rPr>
          <w:sz w:val="22"/>
          <w:szCs w:val="22"/>
          <w:lang w:val="sr-Latn-ME"/>
        </w:rPr>
      </w:pPr>
      <w:r w:rsidRPr="00EF52A6">
        <w:rPr>
          <w:sz w:val="22"/>
          <w:szCs w:val="22"/>
          <w:lang w:val="sr-Latn-ME"/>
        </w:rPr>
        <w:t>I pacijentima i pacijentkinjama (sa reproduktivnim potencijalom) treba sav</w:t>
      </w:r>
      <w:r w:rsidR="001E0848" w:rsidRPr="00EF52A6">
        <w:rPr>
          <w:sz w:val="22"/>
          <w:szCs w:val="22"/>
          <w:lang w:val="sr-Latn-ME"/>
        </w:rPr>
        <w:t>j</w:t>
      </w:r>
      <w:r w:rsidRPr="00EF52A6">
        <w:rPr>
          <w:sz w:val="22"/>
          <w:szCs w:val="22"/>
          <w:lang w:val="sr-Latn-ME"/>
        </w:rPr>
        <w:t>etovati da koriste d</w:t>
      </w:r>
      <w:r w:rsidR="001E0848" w:rsidRPr="00EF52A6">
        <w:rPr>
          <w:sz w:val="22"/>
          <w:szCs w:val="22"/>
          <w:lang w:val="sr-Latn-ME"/>
        </w:rPr>
        <w:t>j</w:t>
      </w:r>
      <w:r w:rsidRPr="00EF52A6">
        <w:rPr>
          <w:sz w:val="22"/>
          <w:szCs w:val="22"/>
          <w:lang w:val="sr-Latn-ME"/>
        </w:rPr>
        <w:t>elotvornu metodu kontracepcije tokom l</w:t>
      </w:r>
      <w:r w:rsidR="001E0848" w:rsidRPr="00EF52A6">
        <w:rPr>
          <w:sz w:val="22"/>
          <w:szCs w:val="22"/>
          <w:lang w:val="sr-Latn-ME"/>
        </w:rPr>
        <w:t>ij</w:t>
      </w:r>
      <w:r w:rsidRPr="00EF52A6">
        <w:rPr>
          <w:sz w:val="22"/>
          <w:szCs w:val="22"/>
          <w:lang w:val="sr-Latn-ME"/>
        </w:rPr>
        <w:t>ečenja i najmanje 1 ned</w:t>
      </w:r>
      <w:r w:rsidR="001E0848" w:rsidRPr="00EF52A6">
        <w:rPr>
          <w:sz w:val="22"/>
          <w:szCs w:val="22"/>
          <w:lang w:val="sr-Latn-ME"/>
        </w:rPr>
        <w:t>j</w:t>
      </w:r>
      <w:r w:rsidRPr="00EF52A6">
        <w:rPr>
          <w:sz w:val="22"/>
          <w:szCs w:val="22"/>
          <w:lang w:val="sr-Latn-ME"/>
        </w:rPr>
        <w:t>elju nakon završetka l</w:t>
      </w:r>
      <w:r w:rsidR="001E0848" w:rsidRPr="00EF52A6">
        <w:rPr>
          <w:sz w:val="22"/>
          <w:szCs w:val="22"/>
          <w:lang w:val="sr-Latn-ME"/>
        </w:rPr>
        <w:t>ij</w:t>
      </w:r>
      <w:r w:rsidRPr="00EF52A6">
        <w:rPr>
          <w:sz w:val="22"/>
          <w:szCs w:val="22"/>
          <w:lang w:val="sr-Latn-ME"/>
        </w:rPr>
        <w:t>ečenja l</w:t>
      </w:r>
      <w:r w:rsidR="001E0848" w:rsidRPr="00EF52A6">
        <w:rPr>
          <w:sz w:val="22"/>
          <w:szCs w:val="22"/>
          <w:lang w:val="sr-Latn-ME"/>
        </w:rPr>
        <w:t>ij</w:t>
      </w:r>
      <w:r w:rsidRPr="00EF52A6">
        <w:rPr>
          <w:sz w:val="22"/>
          <w:szCs w:val="22"/>
          <w:lang w:val="sr-Latn-ME"/>
        </w:rPr>
        <w:t>ekom Koselugo. Ne može se isključiti mogućnost da selumetinib smanji d</w:t>
      </w:r>
      <w:r w:rsidR="001E0848" w:rsidRPr="00EF52A6">
        <w:rPr>
          <w:sz w:val="22"/>
          <w:szCs w:val="22"/>
          <w:lang w:val="sr-Latn-ME"/>
        </w:rPr>
        <w:t>j</w:t>
      </w:r>
      <w:r w:rsidRPr="00EF52A6">
        <w:rPr>
          <w:sz w:val="22"/>
          <w:szCs w:val="22"/>
          <w:lang w:val="sr-Latn-ME"/>
        </w:rPr>
        <w:t>elotvornost oralnih kontraceptiva, pa ženama koje uzimaju hormonske kontraceptive treba preporučiti da uz njih koriste i mehaničku metodu kontracepcije (vid</w:t>
      </w:r>
      <w:r w:rsidR="001E0848" w:rsidRPr="00EF52A6">
        <w:rPr>
          <w:sz w:val="22"/>
          <w:szCs w:val="22"/>
          <w:lang w:val="sr-Latn-ME"/>
        </w:rPr>
        <w:t>j</w:t>
      </w:r>
      <w:r w:rsidRPr="00EF52A6">
        <w:rPr>
          <w:sz w:val="22"/>
          <w:szCs w:val="22"/>
          <w:lang w:val="sr-Latn-ME"/>
        </w:rPr>
        <w:t xml:space="preserve">eti </w:t>
      </w:r>
      <w:r w:rsidR="001E0848" w:rsidRPr="00EF52A6">
        <w:rPr>
          <w:sz w:val="22"/>
          <w:szCs w:val="22"/>
          <w:lang w:val="sr-Latn-ME"/>
        </w:rPr>
        <w:t>dio</w:t>
      </w:r>
      <w:r w:rsidRPr="00EF52A6">
        <w:rPr>
          <w:sz w:val="22"/>
          <w:szCs w:val="22"/>
          <w:lang w:val="sr-Latn-ME"/>
        </w:rPr>
        <w:t xml:space="preserve"> 4.5).</w:t>
      </w:r>
    </w:p>
    <w:p w14:paraId="2B88C322" w14:textId="77777777" w:rsidR="002031B3" w:rsidRPr="00EF52A6" w:rsidRDefault="002031B3" w:rsidP="00DF11F1">
      <w:pPr>
        <w:tabs>
          <w:tab w:val="left" w:pos="540"/>
          <w:tab w:val="left" w:pos="569"/>
        </w:tabs>
        <w:jc w:val="both"/>
        <w:rPr>
          <w:sz w:val="22"/>
          <w:szCs w:val="22"/>
          <w:u w:val="single"/>
          <w:lang w:val="sr-Latn-ME"/>
        </w:rPr>
      </w:pPr>
    </w:p>
    <w:p w14:paraId="38B2A779" w14:textId="77777777" w:rsidR="0072020E" w:rsidRPr="00EF52A6" w:rsidRDefault="007A3ECB" w:rsidP="00DF11F1">
      <w:pPr>
        <w:tabs>
          <w:tab w:val="left" w:pos="540"/>
          <w:tab w:val="left" w:pos="569"/>
        </w:tabs>
        <w:jc w:val="both"/>
        <w:rPr>
          <w:b/>
          <w:bCs/>
          <w:sz w:val="22"/>
          <w:szCs w:val="22"/>
          <w:lang w:val="sr-Latn-ME"/>
        </w:rPr>
      </w:pPr>
      <w:r w:rsidRPr="00EF52A6">
        <w:rPr>
          <w:sz w:val="22"/>
          <w:szCs w:val="22"/>
          <w:u w:val="single"/>
          <w:lang w:val="sr-Latn-ME"/>
        </w:rPr>
        <w:t xml:space="preserve">Dojenje </w:t>
      </w:r>
    </w:p>
    <w:p w14:paraId="01D1FA59" w14:textId="7199E5F9" w:rsidR="00FF69F8" w:rsidRPr="00EF52A6" w:rsidRDefault="00FF69F8" w:rsidP="00DF11F1">
      <w:pPr>
        <w:jc w:val="both"/>
        <w:rPr>
          <w:sz w:val="22"/>
          <w:szCs w:val="22"/>
          <w:lang w:val="sr-Latn-ME"/>
        </w:rPr>
      </w:pPr>
      <w:r w:rsidRPr="00EF52A6">
        <w:rPr>
          <w:sz w:val="22"/>
          <w:szCs w:val="22"/>
          <w:lang w:val="sr-Latn-ME"/>
        </w:rPr>
        <w:t xml:space="preserve">Nije poznato da li se selumetinib ili njegovi metaboliti </w:t>
      </w:r>
      <w:r w:rsidR="00B56F17" w:rsidRPr="00EF52A6">
        <w:rPr>
          <w:sz w:val="22"/>
          <w:szCs w:val="22"/>
          <w:lang w:val="sr-Latn-ME"/>
        </w:rPr>
        <w:t xml:space="preserve">izlučuju </w:t>
      </w:r>
      <w:r w:rsidRPr="00EF52A6">
        <w:rPr>
          <w:sz w:val="22"/>
          <w:szCs w:val="22"/>
          <w:lang w:val="sr-Latn-ME"/>
        </w:rPr>
        <w:t>u ljudsko ml</w:t>
      </w:r>
      <w:r w:rsidR="001E0848" w:rsidRPr="00EF52A6">
        <w:rPr>
          <w:sz w:val="22"/>
          <w:szCs w:val="22"/>
          <w:lang w:val="sr-Latn-ME"/>
        </w:rPr>
        <w:t>ij</w:t>
      </w:r>
      <w:r w:rsidRPr="00EF52A6">
        <w:rPr>
          <w:sz w:val="22"/>
          <w:szCs w:val="22"/>
          <w:lang w:val="sr-Latn-ME"/>
        </w:rPr>
        <w:t xml:space="preserve">eko. Selumetinib i njegov aktivni metabolit </w:t>
      </w:r>
      <w:r w:rsidR="00B56F17" w:rsidRPr="00EF52A6">
        <w:rPr>
          <w:sz w:val="22"/>
          <w:szCs w:val="22"/>
          <w:lang w:val="sr-Latn-ME"/>
        </w:rPr>
        <w:t xml:space="preserve">izlučuju </w:t>
      </w:r>
      <w:r w:rsidRPr="00EF52A6">
        <w:rPr>
          <w:sz w:val="22"/>
          <w:szCs w:val="22"/>
          <w:lang w:val="sr-Latn-ME"/>
        </w:rPr>
        <w:t>se u ml</w:t>
      </w:r>
      <w:r w:rsidR="001E0848" w:rsidRPr="00EF52A6">
        <w:rPr>
          <w:sz w:val="22"/>
          <w:szCs w:val="22"/>
          <w:lang w:val="sr-Latn-ME"/>
        </w:rPr>
        <w:t>ij</w:t>
      </w:r>
      <w:r w:rsidRPr="00EF52A6">
        <w:rPr>
          <w:sz w:val="22"/>
          <w:szCs w:val="22"/>
          <w:lang w:val="sr-Latn-ME"/>
        </w:rPr>
        <w:t xml:space="preserve">eko ženki </w:t>
      </w:r>
      <w:r w:rsidR="00B56F17" w:rsidRPr="00EF52A6">
        <w:rPr>
          <w:sz w:val="22"/>
          <w:szCs w:val="22"/>
          <w:lang w:val="sr-Latn-ME"/>
        </w:rPr>
        <w:t xml:space="preserve">miševa </w:t>
      </w:r>
      <w:r w:rsidRPr="00EF52A6">
        <w:rPr>
          <w:sz w:val="22"/>
          <w:szCs w:val="22"/>
          <w:lang w:val="sr-Latn-ME"/>
        </w:rPr>
        <w:t>u laktaciji (vid</w:t>
      </w:r>
      <w:r w:rsidR="001E0848" w:rsidRPr="00EF52A6">
        <w:rPr>
          <w:sz w:val="22"/>
          <w:szCs w:val="22"/>
          <w:lang w:val="sr-Latn-ME"/>
        </w:rPr>
        <w:t>j</w:t>
      </w:r>
      <w:r w:rsidRPr="00EF52A6">
        <w:rPr>
          <w:sz w:val="22"/>
          <w:szCs w:val="22"/>
          <w:lang w:val="sr-Latn-ME"/>
        </w:rPr>
        <w:t xml:space="preserve">eti </w:t>
      </w:r>
      <w:r w:rsidR="001E0848" w:rsidRPr="00EF52A6">
        <w:rPr>
          <w:sz w:val="22"/>
          <w:szCs w:val="22"/>
          <w:lang w:val="sr-Latn-ME"/>
        </w:rPr>
        <w:t>dio</w:t>
      </w:r>
      <w:r w:rsidRPr="00EF52A6">
        <w:rPr>
          <w:sz w:val="22"/>
          <w:szCs w:val="22"/>
          <w:lang w:val="sr-Latn-ME"/>
        </w:rPr>
        <w:t xml:space="preserve"> 5.3). Ne može se isključiti rizik za odojče, stoga dojenje treba privremeno prekinuti tokom terapije l</w:t>
      </w:r>
      <w:r w:rsidR="001E0848" w:rsidRPr="00EF52A6">
        <w:rPr>
          <w:sz w:val="22"/>
          <w:szCs w:val="22"/>
          <w:lang w:val="sr-Latn-ME"/>
        </w:rPr>
        <w:t>ij</w:t>
      </w:r>
      <w:r w:rsidRPr="00EF52A6">
        <w:rPr>
          <w:sz w:val="22"/>
          <w:szCs w:val="22"/>
          <w:lang w:val="sr-Latn-ME"/>
        </w:rPr>
        <w:t>ekom Koselugo.</w:t>
      </w:r>
    </w:p>
    <w:p w14:paraId="039986F2" w14:textId="77777777" w:rsidR="00FF69F8" w:rsidRPr="00EF52A6" w:rsidRDefault="00FF69F8" w:rsidP="00FF69F8">
      <w:pPr>
        <w:tabs>
          <w:tab w:val="left" w:pos="540"/>
          <w:tab w:val="left" w:pos="569"/>
        </w:tabs>
        <w:rPr>
          <w:b/>
          <w:bCs/>
          <w:sz w:val="22"/>
          <w:szCs w:val="22"/>
          <w:lang w:val="sr-Latn-ME"/>
        </w:rPr>
      </w:pPr>
    </w:p>
    <w:p w14:paraId="11868E8D" w14:textId="77777777" w:rsidR="0072020E" w:rsidRPr="00EF52A6" w:rsidRDefault="0072020E" w:rsidP="00396DFD">
      <w:pPr>
        <w:tabs>
          <w:tab w:val="left" w:pos="540"/>
          <w:tab w:val="left" w:pos="569"/>
        </w:tabs>
        <w:ind w:left="540" w:hanging="540"/>
        <w:rPr>
          <w:b/>
          <w:bCs/>
          <w:sz w:val="22"/>
          <w:szCs w:val="22"/>
          <w:lang w:val="sr-Latn-ME"/>
        </w:rPr>
      </w:pPr>
      <w:r w:rsidRPr="00EF52A6">
        <w:rPr>
          <w:b/>
          <w:bCs/>
          <w:sz w:val="22"/>
          <w:szCs w:val="22"/>
          <w:lang w:val="sr-Latn-ME"/>
        </w:rPr>
        <w:t xml:space="preserve">4.7. </w:t>
      </w:r>
      <w:r w:rsidR="00480FB1" w:rsidRPr="00EF52A6">
        <w:rPr>
          <w:b/>
          <w:bCs/>
          <w:sz w:val="22"/>
          <w:szCs w:val="22"/>
          <w:lang w:val="sr-Latn-ME"/>
        </w:rPr>
        <w:tab/>
      </w:r>
      <w:r w:rsidRPr="00EF52A6">
        <w:rPr>
          <w:b/>
          <w:bCs/>
          <w:sz w:val="22"/>
          <w:szCs w:val="22"/>
          <w:lang w:val="sr-Latn-ME"/>
        </w:rPr>
        <w:t xml:space="preserve">Uticaj na </w:t>
      </w:r>
      <w:r w:rsidR="002031B3" w:rsidRPr="00EF52A6">
        <w:rPr>
          <w:b/>
          <w:bCs/>
          <w:sz w:val="22"/>
          <w:szCs w:val="22"/>
          <w:lang w:val="sr-Latn-ME"/>
        </w:rPr>
        <w:t xml:space="preserve">sposobnost </w:t>
      </w:r>
      <w:r w:rsidR="00F34554" w:rsidRPr="00EF52A6">
        <w:rPr>
          <w:b/>
          <w:bCs/>
          <w:sz w:val="22"/>
          <w:szCs w:val="22"/>
          <w:lang w:val="sr-Latn-ME"/>
        </w:rPr>
        <w:t>upravljanja vozili</w:t>
      </w:r>
      <w:r w:rsidRPr="00EF52A6">
        <w:rPr>
          <w:b/>
          <w:bCs/>
          <w:sz w:val="22"/>
          <w:szCs w:val="22"/>
          <w:lang w:val="sr-Latn-ME"/>
        </w:rPr>
        <w:t>m</w:t>
      </w:r>
      <w:r w:rsidR="00F34554" w:rsidRPr="00EF52A6">
        <w:rPr>
          <w:b/>
          <w:bCs/>
          <w:sz w:val="22"/>
          <w:szCs w:val="22"/>
          <w:lang w:val="sr-Latn-ME"/>
        </w:rPr>
        <w:t>a</w:t>
      </w:r>
      <w:r w:rsidRPr="00EF52A6">
        <w:rPr>
          <w:b/>
          <w:bCs/>
          <w:sz w:val="22"/>
          <w:szCs w:val="22"/>
          <w:lang w:val="sr-Latn-ME"/>
        </w:rPr>
        <w:t xml:space="preserve"> i </w:t>
      </w:r>
      <w:r w:rsidR="000D3449" w:rsidRPr="00EF52A6">
        <w:rPr>
          <w:b/>
          <w:bCs/>
          <w:sz w:val="22"/>
          <w:szCs w:val="22"/>
          <w:lang w:val="sr-Latn-ME"/>
        </w:rPr>
        <w:t xml:space="preserve">rukovanje </w:t>
      </w:r>
      <w:r w:rsidRPr="00EF52A6">
        <w:rPr>
          <w:b/>
          <w:bCs/>
          <w:sz w:val="22"/>
          <w:szCs w:val="22"/>
          <w:lang w:val="sr-Latn-ME"/>
        </w:rPr>
        <w:t>mašinama</w:t>
      </w:r>
    </w:p>
    <w:p w14:paraId="7217764F" w14:textId="77777777" w:rsidR="0072020E" w:rsidRPr="00EF52A6" w:rsidRDefault="0072020E" w:rsidP="00480FB1">
      <w:pPr>
        <w:tabs>
          <w:tab w:val="left" w:pos="540"/>
          <w:tab w:val="left" w:pos="569"/>
        </w:tabs>
        <w:rPr>
          <w:b/>
          <w:bCs/>
          <w:sz w:val="22"/>
          <w:szCs w:val="22"/>
          <w:lang w:val="sr-Latn-ME"/>
        </w:rPr>
      </w:pPr>
    </w:p>
    <w:p w14:paraId="71ACCA21" w14:textId="16590D3E" w:rsidR="00FF69F8" w:rsidRPr="00EF52A6" w:rsidRDefault="00FF69F8" w:rsidP="00DF11F1">
      <w:pPr>
        <w:tabs>
          <w:tab w:val="left" w:pos="540"/>
          <w:tab w:val="left" w:pos="569"/>
        </w:tabs>
        <w:jc w:val="both"/>
        <w:rPr>
          <w:sz w:val="22"/>
          <w:szCs w:val="22"/>
          <w:lang w:val="sr-Latn-ME"/>
        </w:rPr>
      </w:pPr>
      <w:r w:rsidRPr="00EF52A6">
        <w:rPr>
          <w:sz w:val="22"/>
          <w:szCs w:val="22"/>
          <w:lang w:val="sr-Latn-ME"/>
        </w:rPr>
        <w:t>Koselugo može imati mali uticaj na sposobnost upravljanja motornim vozilima i rukovanja mašinama. Tokom l</w:t>
      </w:r>
      <w:r w:rsidR="001E0848" w:rsidRPr="00EF52A6">
        <w:rPr>
          <w:sz w:val="22"/>
          <w:szCs w:val="22"/>
          <w:lang w:val="sr-Latn-ME"/>
        </w:rPr>
        <w:t>ij</w:t>
      </w:r>
      <w:r w:rsidRPr="00EF52A6">
        <w:rPr>
          <w:sz w:val="22"/>
          <w:szCs w:val="22"/>
          <w:lang w:val="sr-Latn-ME"/>
        </w:rPr>
        <w:t>ečenja selumetinibom zab</w:t>
      </w:r>
      <w:r w:rsidR="001E0848" w:rsidRPr="00EF52A6">
        <w:rPr>
          <w:sz w:val="22"/>
          <w:szCs w:val="22"/>
          <w:lang w:val="sr-Latn-ME"/>
        </w:rPr>
        <w:t>ilj</w:t>
      </w:r>
      <w:r w:rsidRPr="00EF52A6">
        <w:rPr>
          <w:sz w:val="22"/>
          <w:szCs w:val="22"/>
          <w:lang w:val="sr-Latn-ME"/>
        </w:rPr>
        <w:t>eženi su umor, astenija i poremećaji vida, a pacijenti kod kojih se jave ovi simptomi treba da budu oprezni tokom upravljanja motornim vozilima ili rukovanja mašinama.</w:t>
      </w:r>
    </w:p>
    <w:p w14:paraId="22A7E9AB" w14:textId="77777777" w:rsidR="00FF69F8" w:rsidRPr="00EF52A6" w:rsidRDefault="00FF69F8" w:rsidP="00480FB1">
      <w:pPr>
        <w:tabs>
          <w:tab w:val="left" w:pos="540"/>
          <w:tab w:val="left" w:pos="569"/>
        </w:tabs>
        <w:rPr>
          <w:b/>
          <w:bCs/>
          <w:sz w:val="22"/>
          <w:szCs w:val="22"/>
          <w:lang w:val="sr-Latn-ME"/>
        </w:rPr>
      </w:pPr>
    </w:p>
    <w:p w14:paraId="0922B2A8"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4.8. </w:t>
      </w:r>
      <w:r w:rsidR="00480FB1" w:rsidRPr="00EF52A6">
        <w:rPr>
          <w:b/>
          <w:bCs/>
          <w:sz w:val="22"/>
          <w:szCs w:val="22"/>
          <w:lang w:val="sr-Latn-ME"/>
        </w:rPr>
        <w:tab/>
      </w:r>
      <w:r w:rsidRPr="00EF52A6">
        <w:rPr>
          <w:b/>
          <w:bCs/>
          <w:sz w:val="22"/>
          <w:szCs w:val="22"/>
          <w:lang w:val="sr-Latn-ME"/>
        </w:rPr>
        <w:t>Neželjena dejstva</w:t>
      </w:r>
    </w:p>
    <w:p w14:paraId="132C978C" w14:textId="77777777" w:rsidR="004E70AD" w:rsidRPr="00EF52A6" w:rsidRDefault="004E70AD" w:rsidP="00480FB1">
      <w:pPr>
        <w:tabs>
          <w:tab w:val="left" w:pos="540"/>
          <w:tab w:val="left" w:pos="569"/>
        </w:tabs>
        <w:rPr>
          <w:b/>
          <w:bCs/>
          <w:sz w:val="22"/>
          <w:szCs w:val="22"/>
          <w:lang w:val="sr-Latn-ME"/>
        </w:rPr>
      </w:pPr>
    </w:p>
    <w:p w14:paraId="095B95F0" w14:textId="35A675B1" w:rsidR="00FF69F8" w:rsidRPr="00EF52A6" w:rsidRDefault="00FF69F8" w:rsidP="00DF11F1">
      <w:pPr>
        <w:tabs>
          <w:tab w:val="left" w:pos="540"/>
          <w:tab w:val="left" w:pos="569"/>
        </w:tabs>
        <w:jc w:val="both"/>
        <w:rPr>
          <w:sz w:val="22"/>
          <w:szCs w:val="22"/>
          <w:lang w:val="sr-Latn-ME"/>
        </w:rPr>
      </w:pPr>
      <w:r w:rsidRPr="00EF52A6">
        <w:rPr>
          <w:sz w:val="22"/>
          <w:szCs w:val="22"/>
          <w:u w:val="single"/>
          <w:lang w:val="sr-Latn-ME"/>
        </w:rPr>
        <w:t>Sažetak bezb</w:t>
      </w:r>
      <w:r w:rsidR="00A90C8D" w:rsidRPr="00EF52A6">
        <w:rPr>
          <w:sz w:val="22"/>
          <w:szCs w:val="22"/>
          <w:u w:val="single"/>
          <w:lang w:val="sr-Latn-ME"/>
        </w:rPr>
        <w:t>j</w:t>
      </w:r>
      <w:r w:rsidRPr="00EF52A6">
        <w:rPr>
          <w:sz w:val="22"/>
          <w:szCs w:val="22"/>
          <w:u w:val="single"/>
          <w:lang w:val="sr-Latn-ME"/>
        </w:rPr>
        <w:t>ednosnog profila</w:t>
      </w:r>
    </w:p>
    <w:p w14:paraId="56F8DEEB" w14:textId="1D2AB9A0" w:rsidR="00FF69F8" w:rsidRPr="00EF52A6" w:rsidRDefault="00FF69F8" w:rsidP="00DF11F1">
      <w:pPr>
        <w:tabs>
          <w:tab w:val="left" w:pos="540"/>
          <w:tab w:val="left" w:pos="569"/>
        </w:tabs>
        <w:jc w:val="both"/>
        <w:rPr>
          <w:sz w:val="22"/>
          <w:szCs w:val="22"/>
          <w:lang w:val="sr-Latn-ME"/>
        </w:rPr>
      </w:pPr>
      <w:r w:rsidRPr="00EF52A6">
        <w:rPr>
          <w:sz w:val="22"/>
          <w:szCs w:val="22"/>
          <w:lang w:val="sr-Latn-ME"/>
        </w:rPr>
        <w:t>Bezb</w:t>
      </w:r>
      <w:r w:rsidR="00A90C8D" w:rsidRPr="00EF52A6">
        <w:rPr>
          <w:sz w:val="22"/>
          <w:szCs w:val="22"/>
          <w:lang w:val="sr-Latn-ME"/>
        </w:rPr>
        <w:t>j</w:t>
      </w:r>
      <w:r w:rsidRPr="00EF52A6">
        <w:rPr>
          <w:sz w:val="22"/>
          <w:szCs w:val="22"/>
          <w:lang w:val="sr-Latn-ME"/>
        </w:rPr>
        <w:t>ednosni profil selumetiniba u monoterapiji kod pedijatrijskih pacijenata sa NF1 i inoperabilnim PN utvrđen je na osnovu oc</w:t>
      </w:r>
      <w:r w:rsidR="00A90C8D" w:rsidRPr="00EF52A6">
        <w:rPr>
          <w:sz w:val="22"/>
          <w:szCs w:val="22"/>
          <w:lang w:val="sr-Latn-ME"/>
        </w:rPr>
        <w:t>j</w:t>
      </w:r>
      <w:r w:rsidRPr="00EF52A6">
        <w:rPr>
          <w:sz w:val="22"/>
          <w:szCs w:val="22"/>
          <w:lang w:val="sr-Latn-ME"/>
        </w:rPr>
        <w:t>ene objedinjene populacije za oc</w:t>
      </w:r>
      <w:r w:rsidR="00A90C8D" w:rsidRPr="00EF52A6">
        <w:rPr>
          <w:sz w:val="22"/>
          <w:szCs w:val="22"/>
          <w:lang w:val="sr-Latn-ME"/>
        </w:rPr>
        <w:t>j</w:t>
      </w:r>
      <w:r w:rsidRPr="00EF52A6">
        <w:rPr>
          <w:sz w:val="22"/>
          <w:szCs w:val="22"/>
          <w:lang w:val="sr-Latn-ME"/>
        </w:rPr>
        <w:t>enu bezb</w:t>
      </w:r>
      <w:r w:rsidR="00A90C8D" w:rsidRPr="00EF52A6">
        <w:rPr>
          <w:sz w:val="22"/>
          <w:szCs w:val="22"/>
          <w:lang w:val="sr-Latn-ME"/>
        </w:rPr>
        <w:t>j</w:t>
      </w:r>
      <w:r w:rsidRPr="00EF52A6">
        <w:rPr>
          <w:sz w:val="22"/>
          <w:szCs w:val="22"/>
          <w:lang w:val="sr-Latn-ME"/>
        </w:rPr>
        <w:t>ednosti, koja je uključivala 74 pedijatrijska pacijenta (koj</w:t>
      </w:r>
      <w:r w:rsidR="00B56F17" w:rsidRPr="00EF52A6">
        <w:rPr>
          <w:sz w:val="22"/>
          <w:szCs w:val="22"/>
          <w:lang w:val="sr-Latn-ME"/>
        </w:rPr>
        <w:t>i</w:t>
      </w:r>
      <w:r w:rsidRPr="00EF52A6">
        <w:rPr>
          <w:sz w:val="22"/>
          <w:szCs w:val="22"/>
          <w:lang w:val="sr-Latn-ME"/>
        </w:rPr>
        <w:t xml:space="preserve"> su primal</w:t>
      </w:r>
      <w:r w:rsidR="00B56F17" w:rsidRPr="00EF52A6">
        <w:rPr>
          <w:sz w:val="22"/>
          <w:szCs w:val="22"/>
          <w:lang w:val="sr-Latn-ME"/>
        </w:rPr>
        <w:t>i</w:t>
      </w:r>
      <w:r w:rsidRPr="00EF52A6">
        <w:rPr>
          <w:sz w:val="22"/>
          <w:szCs w:val="22"/>
          <w:lang w:val="sr-Latn-ME"/>
        </w:rPr>
        <w:t xml:space="preserve"> dozu od 20 do 30 mg/m</w:t>
      </w:r>
      <w:r w:rsidRPr="00EF52A6">
        <w:rPr>
          <w:sz w:val="22"/>
          <w:szCs w:val="22"/>
          <w:vertAlign w:val="superscript"/>
          <w:lang w:val="sr-Latn-ME"/>
        </w:rPr>
        <w:t>2</w:t>
      </w:r>
      <w:r w:rsidRPr="00EF52A6">
        <w:rPr>
          <w:sz w:val="22"/>
          <w:szCs w:val="22"/>
          <w:lang w:val="sr-Latn-ME"/>
        </w:rPr>
        <w:t xml:space="preserve"> dva puta dnevno). Tu pedijatrijsku populaciju je činilo 50 pacijenata iz grupe 1 u fazi II ispitivanja SPRINT, koji su primali selumetinib u dozi od 25 mg/m</w:t>
      </w:r>
      <w:r w:rsidRPr="00EF52A6">
        <w:rPr>
          <w:sz w:val="22"/>
          <w:szCs w:val="22"/>
          <w:vertAlign w:val="superscript"/>
          <w:lang w:val="sr-Latn-ME"/>
        </w:rPr>
        <w:t>2</w:t>
      </w:r>
      <w:r w:rsidRPr="00EF52A6">
        <w:rPr>
          <w:sz w:val="22"/>
          <w:szCs w:val="22"/>
          <w:lang w:val="sr-Latn-ME"/>
        </w:rPr>
        <w:t xml:space="preserve"> dva puta dnevno (podaci iz pivotalnog ispitivanja), i 24 pacijenta iz faze I ispitivanja SPRINT, koji su primali selumetinib u dozi od 20 do 30 mg/m</w:t>
      </w:r>
      <w:r w:rsidRPr="00EF52A6">
        <w:rPr>
          <w:sz w:val="22"/>
          <w:szCs w:val="22"/>
          <w:vertAlign w:val="superscript"/>
          <w:lang w:val="sr-Latn-ME"/>
        </w:rPr>
        <w:t>2</w:t>
      </w:r>
      <w:r w:rsidRPr="00EF52A6">
        <w:rPr>
          <w:sz w:val="22"/>
          <w:szCs w:val="22"/>
          <w:lang w:val="sr-Latn-ME"/>
        </w:rPr>
        <w:t xml:space="preserve"> dva puta dnevno (podaci iz ispitivanja radi utvrđivanja doze). Ni</w:t>
      </w:r>
      <w:r w:rsidR="00B56F17" w:rsidRPr="00EF52A6">
        <w:rPr>
          <w:sz w:val="22"/>
          <w:szCs w:val="22"/>
          <w:lang w:val="sr-Latn-ME"/>
        </w:rPr>
        <w:t>je</w:t>
      </w:r>
      <w:r w:rsidRPr="00EF52A6">
        <w:rPr>
          <w:sz w:val="22"/>
          <w:szCs w:val="22"/>
          <w:lang w:val="sr-Latn-ME"/>
        </w:rPr>
        <w:t>su zab</w:t>
      </w:r>
      <w:r w:rsidR="00A90C8D" w:rsidRPr="00EF52A6">
        <w:rPr>
          <w:sz w:val="22"/>
          <w:szCs w:val="22"/>
          <w:lang w:val="sr-Latn-ME"/>
        </w:rPr>
        <w:t>i</w:t>
      </w:r>
      <w:r w:rsidRPr="00EF52A6">
        <w:rPr>
          <w:sz w:val="22"/>
          <w:szCs w:val="22"/>
          <w:lang w:val="sr-Latn-ME"/>
        </w:rPr>
        <w:t>l</w:t>
      </w:r>
      <w:r w:rsidR="00A90C8D" w:rsidRPr="00EF52A6">
        <w:rPr>
          <w:sz w:val="22"/>
          <w:szCs w:val="22"/>
          <w:lang w:val="sr-Latn-ME"/>
        </w:rPr>
        <w:t>j</w:t>
      </w:r>
      <w:r w:rsidRPr="00EF52A6">
        <w:rPr>
          <w:sz w:val="22"/>
          <w:szCs w:val="22"/>
          <w:lang w:val="sr-Latn-ME"/>
        </w:rPr>
        <w:t>ežene klinički značajne razlike u bezb</w:t>
      </w:r>
      <w:r w:rsidR="00A90C8D" w:rsidRPr="00EF52A6">
        <w:rPr>
          <w:sz w:val="22"/>
          <w:szCs w:val="22"/>
          <w:lang w:val="sr-Latn-ME"/>
        </w:rPr>
        <w:t>j</w:t>
      </w:r>
      <w:r w:rsidRPr="00EF52A6">
        <w:rPr>
          <w:sz w:val="22"/>
          <w:szCs w:val="22"/>
          <w:lang w:val="sr-Latn-ME"/>
        </w:rPr>
        <w:t>ednosnom profilu l</w:t>
      </w:r>
      <w:r w:rsidR="00A90C8D" w:rsidRPr="00EF52A6">
        <w:rPr>
          <w:sz w:val="22"/>
          <w:szCs w:val="22"/>
          <w:lang w:val="sr-Latn-ME"/>
        </w:rPr>
        <w:t>ij</w:t>
      </w:r>
      <w:r w:rsidRPr="00EF52A6">
        <w:rPr>
          <w:sz w:val="22"/>
          <w:szCs w:val="22"/>
          <w:lang w:val="sr-Latn-ME"/>
        </w:rPr>
        <w:t>eka između faze I ispitivanja SPRINT i grupe 1 u fazi II ispitivanja SPRINT. Bezb</w:t>
      </w:r>
      <w:r w:rsidR="00A90C8D" w:rsidRPr="00EF52A6">
        <w:rPr>
          <w:sz w:val="22"/>
          <w:szCs w:val="22"/>
          <w:lang w:val="sr-Latn-ME"/>
        </w:rPr>
        <w:t>j</w:t>
      </w:r>
      <w:r w:rsidRPr="00EF52A6">
        <w:rPr>
          <w:sz w:val="22"/>
          <w:szCs w:val="22"/>
          <w:lang w:val="sr-Latn-ME"/>
        </w:rPr>
        <w:t>ednosni profil selumetiniba potkrepljuje i skup podataka o bezb</w:t>
      </w:r>
      <w:r w:rsidR="00A90C8D" w:rsidRPr="00EF52A6">
        <w:rPr>
          <w:sz w:val="22"/>
          <w:szCs w:val="22"/>
          <w:lang w:val="sr-Latn-ME"/>
        </w:rPr>
        <w:t>j</w:t>
      </w:r>
      <w:r w:rsidRPr="00EF52A6">
        <w:rPr>
          <w:sz w:val="22"/>
          <w:szCs w:val="22"/>
          <w:lang w:val="sr-Latn-ME"/>
        </w:rPr>
        <w:t>ednosti iz</w:t>
      </w:r>
      <w:r w:rsidR="00A90C8D" w:rsidRPr="00EF52A6">
        <w:rPr>
          <w:sz w:val="22"/>
          <w:szCs w:val="22"/>
          <w:lang w:val="sr-Latn-ME"/>
        </w:rPr>
        <w:t xml:space="preserve"> </w:t>
      </w:r>
      <w:r w:rsidRPr="00EF52A6">
        <w:rPr>
          <w:sz w:val="22"/>
          <w:szCs w:val="22"/>
          <w:lang w:val="sr-Latn-ME"/>
        </w:rPr>
        <w:t>7 ispitivanja koja je sponzorisala kompanija AstraZeneca, a koja su sprovedena kod odraslih pacijenata sa različitim vrstama tumora (N = 347) koji su primali dozu od 75 do 100 mg dva puta dnevno.</w:t>
      </w:r>
    </w:p>
    <w:p w14:paraId="47D2E7F7" w14:textId="237EAB9C" w:rsidR="00FF69F8" w:rsidRPr="00EF52A6" w:rsidRDefault="00FF69F8" w:rsidP="00DF11F1">
      <w:pPr>
        <w:tabs>
          <w:tab w:val="left" w:pos="540"/>
          <w:tab w:val="left" w:pos="569"/>
        </w:tabs>
        <w:jc w:val="both"/>
        <w:rPr>
          <w:sz w:val="22"/>
          <w:szCs w:val="22"/>
          <w:lang w:val="sr-Latn-ME"/>
        </w:rPr>
      </w:pPr>
      <w:r w:rsidRPr="00EF52A6">
        <w:rPr>
          <w:sz w:val="22"/>
          <w:szCs w:val="22"/>
          <w:lang w:val="sr-Latn-ME"/>
        </w:rPr>
        <w:t>U pedijatrijskoj populaciji pacijenata sa NF1 i PN</w:t>
      </w:r>
      <w:r w:rsidR="00B56F17" w:rsidRPr="00EF52A6">
        <w:rPr>
          <w:sz w:val="22"/>
          <w:szCs w:val="22"/>
          <w:lang w:val="sr-Latn-ME"/>
        </w:rPr>
        <w:t>,</w:t>
      </w:r>
      <w:r w:rsidRPr="00EF52A6">
        <w:rPr>
          <w:sz w:val="22"/>
          <w:szCs w:val="22"/>
          <w:lang w:val="sr-Latn-ME"/>
        </w:rPr>
        <w:t xml:space="preserve"> medijana ukupnog trajanja l</w:t>
      </w:r>
      <w:r w:rsidR="00A90C8D" w:rsidRPr="00EF52A6">
        <w:rPr>
          <w:sz w:val="22"/>
          <w:szCs w:val="22"/>
          <w:lang w:val="sr-Latn-ME"/>
        </w:rPr>
        <w:t>ij</w:t>
      </w:r>
      <w:r w:rsidRPr="00EF52A6">
        <w:rPr>
          <w:sz w:val="22"/>
          <w:szCs w:val="22"/>
          <w:lang w:val="sr-Latn-ME"/>
        </w:rPr>
        <w:t>ečenja selumetinibom iznosila je 55 m</w:t>
      </w:r>
      <w:r w:rsidR="00A90C8D" w:rsidRPr="00EF52A6">
        <w:rPr>
          <w:sz w:val="22"/>
          <w:szCs w:val="22"/>
          <w:lang w:val="sr-Latn-ME"/>
        </w:rPr>
        <w:t>j</w:t>
      </w:r>
      <w:r w:rsidRPr="00EF52A6">
        <w:rPr>
          <w:sz w:val="22"/>
          <w:szCs w:val="22"/>
          <w:lang w:val="sr-Latn-ME"/>
        </w:rPr>
        <w:t>eseci (raspon: &lt; 1 do 97 m</w:t>
      </w:r>
      <w:r w:rsidR="00A90C8D" w:rsidRPr="00EF52A6">
        <w:rPr>
          <w:sz w:val="22"/>
          <w:szCs w:val="22"/>
          <w:lang w:val="sr-Latn-ME"/>
        </w:rPr>
        <w:t>j</w:t>
      </w:r>
      <w:r w:rsidRPr="00EF52A6">
        <w:rPr>
          <w:sz w:val="22"/>
          <w:szCs w:val="22"/>
          <w:lang w:val="sr-Latn-ME"/>
        </w:rPr>
        <w:t xml:space="preserve">eseci), 61% pacijenata bilo je izloženo terapiji selumetinibom &gt; </w:t>
      </w:r>
      <w:r w:rsidRPr="00EF52A6">
        <w:rPr>
          <w:sz w:val="22"/>
          <w:szCs w:val="22"/>
          <w:lang w:val="sr-Latn-ME"/>
        </w:rPr>
        <w:lastRenderedPageBreak/>
        <w:t>48 m</w:t>
      </w:r>
      <w:r w:rsidR="00A90C8D" w:rsidRPr="00EF52A6">
        <w:rPr>
          <w:sz w:val="22"/>
          <w:szCs w:val="22"/>
          <w:lang w:val="sr-Latn-ME"/>
        </w:rPr>
        <w:t>j</w:t>
      </w:r>
      <w:r w:rsidRPr="00EF52A6">
        <w:rPr>
          <w:sz w:val="22"/>
          <w:szCs w:val="22"/>
          <w:lang w:val="sr-Latn-ME"/>
        </w:rPr>
        <w:t xml:space="preserve">eseci, a 16% </w:t>
      </w:r>
      <w:r w:rsidR="00B56F17" w:rsidRPr="00EF52A6">
        <w:rPr>
          <w:sz w:val="22"/>
          <w:szCs w:val="22"/>
          <w:lang w:val="sr-Latn-ME"/>
        </w:rPr>
        <w:t>tokom &gt;</w:t>
      </w:r>
      <w:r w:rsidRPr="00EF52A6">
        <w:rPr>
          <w:sz w:val="22"/>
          <w:szCs w:val="22"/>
          <w:lang w:val="sr-Latn-ME"/>
        </w:rPr>
        <w:t xml:space="preserve"> 72 m</w:t>
      </w:r>
      <w:r w:rsidR="00A90C8D" w:rsidRPr="00EF52A6">
        <w:rPr>
          <w:sz w:val="22"/>
          <w:szCs w:val="22"/>
          <w:lang w:val="sr-Latn-ME"/>
        </w:rPr>
        <w:t>j</w:t>
      </w:r>
      <w:r w:rsidRPr="00EF52A6">
        <w:rPr>
          <w:sz w:val="22"/>
          <w:szCs w:val="22"/>
          <w:lang w:val="sr-Latn-ME"/>
        </w:rPr>
        <w:t>eseca. Pacijenti uzrasta od ≥ 2 do 11 godina</w:t>
      </w:r>
      <w:r w:rsidR="00A90C8D" w:rsidRPr="00EF52A6">
        <w:rPr>
          <w:sz w:val="22"/>
          <w:szCs w:val="22"/>
          <w:lang w:val="sr-Latn-ME"/>
        </w:rPr>
        <w:t xml:space="preserve"> </w:t>
      </w:r>
      <w:r w:rsidRPr="00EF52A6">
        <w:rPr>
          <w:sz w:val="22"/>
          <w:szCs w:val="22"/>
          <w:lang w:val="sr-Latn-ME"/>
        </w:rPr>
        <w:t>(N = 45) imali su višu incidencu sl</w:t>
      </w:r>
      <w:r w:rsidR="00A90C8D" w:rsidRPr="00EF52A6">
        <w:rPr>
          <w:sz w:val="22"/>
          <w:szCs w:val="22"/>
          <w:lang w:val="sr-Latn-ME"/>
        </w:rPr>
        <w:t>j</w:t>
      </w:r>
      <w:r w:rsidRPr="00EF52A6">
        <w:rPr>
          <w:sz w:val="22"/>
          <w:szCs w:val="22"/>
          <w:lang w:val="sr-Latn-ME"/>
        </w:rPr>
        <w:t xml:space="preserve">edećih neželjenih </w:t>
      </w:r>
      <w:r w:rsidR="000E786D" w:rsidRPr="00EF52A6">
        <w:rPr>
          <w:sz w:val="22"/>
          <w:szCs w:val="22"/>
          <w:lang w:val="sr-Latn-ME"/>
        </w:rPr>
        <w:t xml:space="preserve">dejstava </w:t>
      </w:r>
      <w:r w:rsidRPr="00EF52A6">
        <w:rPr>
          <w:sz w:val="22"/>
          <w:szCs w:val="22"/>
          <w:lang w:val="sr-Latn-ME"/>
        </w:rPr>
        <w:t>na l</w:t>
      </w:r>
      <w:r w:rsidR="00A90C8D" w:rsidRPr="00EF52A6">
        <w:rPr>
          <w:sz w:val="22"/>
          <w:szCs w:val="22"/>
          <w:lang w:val="sr-Latn-ME"/>
        </w:rPr>
        <w:t>ij</w:t>
      </w:r>
      <w:r w:rsidRPr="00EF52A6">
        <w:rPr>
          <w:sz w:val="22"/>
          <w:szCs w:val="22"/>
          <w:lang w:val="sr-Latn-ME"/>
        </w:rPr>
        <w:t>ek u odnosu na one u uzrastu od 12 do 18 godina (N = 29): hipoalbuminemija, suva koža, pireksija</w:t>
      </w:r>
      <w:r w:rsidR="000E786D" w:rsidRPr="00EF52A6">
        <w:rPr>
          <w:sz w:val="22"/>
          <w:szCs w:val="22"/>
          <w:lang w:val="sr-Latn-ME"/>
        </w:rPr>
        <w:t>,</w:t>
      </w:r>
      <w:r w:rsidRPr="00EF52A6">
        <w:rPr>
          <w:sz w:val="22"/>
          <w:szCs w:val="22"/>
          <w:lang w:val="sr-Latn-ME"/>
        </w:rPr>
        <w:t xml:space="preserve"> prom</w:t>
      </w:r>
      <w:r w:rsidR="00A90C8D" w:rsidRPr="00EF52A6">
        <w:rPr>
          <w:sz w:val="22"/>
          <w:szCs w:val="22"/>
          <w:lang w:val="sr-Latn-ME"/>
        </w:rPr>
        <w:t>j</w:t>
      </w:r>
      <w:r w:rsidRPr="00EF52A6">
        <w:rPr>
          <w:sz w:val="22"/>
          <w:szCs w:val="22"/>
          <w:lang w:val="sr-Latn-ME"/>
        </w:rPr>
        <w:t>ena boje kose</w:t>
      </w:r>
      <w:r w:rsidR="000E786D" w:rsidRPr="00EF52A6">
        <w:rPr>
          <w:sz w:val="22"/>
          <w:szCs w:val="22"/>
          <w:lang w:val="sr-Latn-ME"/>
        </w:rPr>
        <w:t>, makulo-papilarni osip</w:t>
      </w:r>
      <w:r w:rsidR="00B53232" w:rsidRPr="00EF52A6">
        <w:rPr>
          <w:sz w:val="22"/>
          <w:szCs w:val="22"/>
          <w:lang w:val="sr-Latn-ME"/>
        </w:rPr>
        <w:t xml:space="preserve"> i paronihija</w:t>
      </w:r>
      <w:r w:rsidRPr="00EF52A6">
        <w:rPr>
          <w:sz w:val="22"/>
          <w:szCs w:val="22"/>
          <w:lang w:val="sr-Latn-ME"/>
        </w:rPr>
        <w:t>.</w:t>
      </w:r>
    </w:p>
    <w:p w14:paraId="0119DA55" w14:textId="77777777" w:rsidR="00FF69F8" w:rsidRPr="00EF52A6" w:rsidRDefault="00FF69F8" w:rsidP="00DF11F1">
      <w:pPr>
        <w:tabs>
          <w:tab w:val="left" w:pos="540"/>
          <w:tab w:val="left" w:pos="569"/>
        </w:tabs>
        <w:jc w:val="both"/>
        <w:rPr>
          <w:sz w:val="22"/>
          <w:szCs w:val="22"/>
          <w:lang w:val="sr-Latn-ME"/>
        </w:rPr>
      </w:pPr>
    </w:p>
    <w:p w14:paraId="30FA1222" w14:textId="61BCB5C0" w:rsidR="00FF69F8" w:rsidRPr="00EF52A6" w:rsidRDefault="00FF69F8" w:rsidP="00DF11F1">
      <w:pPr>
        <w:tabs>
          <w:tab w:val="left" w:pos="540"/>
          <w:tab w:val="left" w:pos="569"/>
        </w:tabs>
        <w:jc w:val="both"/>
        <w:rPr>
          <w:sz w:val="22"/>
          <w:szCs w:val="22"/>
          <w:lang w:val="sr-Latn-ME"/>
        </w:rPr>
      </w:pPr>
      <w:r w:rsidRPr="00EF52A6">
        <w:rPr>
          <w:sz w:val="22"/>
          <w:szCs w:val="22"/>
          <w:lang w:val="sr-Latn-ME"/>
        </w:rPr>
        <w:t>Kod pedijatrijskih pacijenata (N = 74; uključujući 50 pacijenata iz pivotalnog skupa podataka prikupljenih u grupi 1 iz faze II ispitivanja SPRINT</w:t>
      </w:r>
      <w:r w:rsidR="00A90C8D" w:rsidRPr="00EF52A6">
        <w:rPr>
          <w:sz w:val="22"/>
          <w:szCs w:val="22"/>
          <w:lang w:val="sr-Latn-ME"/>
        </w:rPr>
        <w:t xml:space="preserve"> </w:t>
      </w:r>
      <w:r w:rsidRPr="00EF52A6">
        <w:rPr>
          <w:sz w:val="22"/>
          <w:szCs w:val="22"/>
          <w:lang w:val="sr-Latn-ME"/>
        </w:rPr>
        <w:t>i 24 pacijenta iz potpornog skupa podataka prikupljenih tokom faze I ispitivanja SPRINT) najčešć</w:t>
      </w:r>
      <w:r w:rsidR="00B53232" w:rsidRPr="00EF52A6">
        <w:rPr>
          <w:sz w:val="22"/>
          <w:szCs w:val="22"/>
          <w:lang w:val="sr-Latn-ME"/>
        </w:rPr>
        <w:t>a</w:t>
      </w:r>
      <w:r w:rsidRPr="00EF52A6">
        <w:rPr>
          <w:sz w:val="22"/>
          <w:szCs w:val="22"/>
          <w:lang w:val="sr-Latn-ME"/>
        </w:rPr>
        <w:t xml:space="preserve"> neželjen</w:t>
      </w:r>
      <w:r w:rsidR="00B53232" w:rsidRPr="00EF52A6">
        <w:rPr>
          <w:sz w:val="22"/>
          <w:szCs w:val="22"/>
          <w:lang w:val="sr-Latn-ME"/>
        </w:rPr>
        <w:t>a</w:t>
      </w:r>
      <w:r w:rsidRPr="00EF52A6">
        <w:rPr>
          <w:sz w:val="22"/>
          <w:szCs w:val="22"/>
          <w:lang w:val="sr-Latn-ME"/>
        </w:rPr>
        <w:t xml:space="preserve"> </w:t>
      </w:r>
      <w:r w:rsidR="00B53232" w:rsidRPr="00EF52A6">
        <w:rPr>
          <w:sz w:val="22"/>
          <w:szCs w:val="22"/>
          <w:lang w:val="sr-Latn-ME"/>
        </w:rPr>
        <w:t>dejstva</w:t>
      </w:r>
      <w:r w:rsidRPr="00EF52A6">
        <w:rPr>
          <w:sz w:val="22"/>
          <w:szCs w:val="22"/>
          <w:lang w:val="sr-Latn-ME"/>
        </w:rPr>
        <w:t xml:space="preserve"> bilo kog gradusa (incidenca ≥ 45%) bil</w:t>
      </w:r>
      <w:r w:rsidR="00B53232" w:rsidRPr="00EF52A6">
        <w:rPr>
          <w:sz w:val="22"/>
          <w:szCs w:val="22"/>
          <w:lang w:val="sr-Latn-ME"/>
        </w:rPr>
        <w:t>a</w:t>
      </w:r>
      <w:r w:rsidRPr="00EF52A6">
        <w:rPr>
          <w:sz w:val="22"/>
          <w:szCs w:val="22"/>
          <w:lang w:val="sr-Latn-ME"/>
        </w:rPr>
        <w:t xml:space="preserve"> su povraćanje (86%), dijareja (81%), povišen nivo kreatin fosfokinaze u krvi (77%), mučnina (77%), suva koža (65%), pireksija (61%), akneiformni</w:t>
      </w:r>
      <w:r w:rsidR="00A90C8D" w:rsidRPr="00EF52A6">
        <w:rPr>
          <w:sz w:val="22"/>
          <w:szCs w:val="22"/>
          <w:lang w:val="sr-Latn-ME"/>
        </w:rPr>
        <w:t xml:space="preserve"> </w:t>
      </w:r>
      <w:r w:rsidRPr="00EF52A6">
        <w:rPr>
          <w:sz w:val="22"/>
          <w:szCs w:val="22"/>
          <w:lang w:val="sr-Latn-ME"/>
        </w:rPr>
        <w:t xml:space="preserve">dermatitis (61%), astenijski događaji (59%), paronhija (57%), stomatitis (55%), </w:t>
      </w:r>
      <w:r w:rsidR="00B53232" w:rsidRPr="00EF52A6">
        <w:rPr>
          <w:sz w:val="22"/>
          <w:szCs w:val="22"/>
          <w:lang w:val="sr-Latn-ME"/>
        </w:rPr>
        <w:t xml:space="preserve">snižen </w:t>
      </w:r>
      <w:r w:rsidRPr="00EF52A6">
        <w:rPr>
          <w:sz w:val="22"/>
          <w:szCs w:val="22"/>
          <w:lang w:val="sr-Latn-ME"/>
        </w:rPr>
        <w:t>nivo hemoglobina</w:t>
      </w:r>
      <w:r w:rsidR="00A90C8D" w:rsidRPr="00EF52A6">
        <w:rPr>
          <w:sz w:val="22"/>
          <w:szCs w:val="22"/>
          <w:lang w:val="sr-Latn-ME"/>
        </w:rPr>
        <w:t xml:space="preserve"> </w:t>
      </w:r>
      <w:r w:rsidRPr="00EF52A6">
        <w:rPr>
          <w:sz w:val="22"/>
          <w:szCs w:val="22"/>
          <w:lang w:val="sr-Latn-ME"/>
        </w:rPr>
        <w:t>(54%), neakneiformni osipi (53%), hipoalbuminemija (51%) i povišen nivo aspartat aminotransferaze (51%). Neželjeni događaji su doveli do privremenog prekida i smanjenja doze kod 82% odnosno 39%</w:t>
      </w:r>
      <w:r w:rsidR="00AC4A72" w:rsidRPr="00EF52A6">
        <w:rPr>
          <w:sz w:val="22"/>
          <w:szCs w:val="22"/>
          <w:lang w:val="sr-Latn-ME"/>
        </w:rPr>
        <w:t xml:space="preserve"> pacijenata</w:t>
      </w:r>
      <w:r w:rsidRPr="00EF52A6">
        <w:rPr>
          <w:sz w:val="22"/>
          <w:szCs w:val="22"/>
          <w:lang w:val="sr-Latn-ME"/>
        </w:rPr>
        <w:t>. Najčešće zab</w:t>
      </w:r>
      <w:r w:rsidR="00A90C8D" w:rsidRPr="00EF52A6">
        <w:rPr>
          <w:sz w:val="22"/>
          <w:szCs w:val="22"/>
          <w:lang w:val="sr-Latn-ME"/>
        </w:rPr>
        <w:t>ilj</w:t>
      </w:r>
      <w:r w:rsidRPr="00EF52A6">
        <w:rPr>
          <w:sz w:val="22"/>
          <w:szCs w:val="22"/>
          <w:lang w:val="sr-Latn-ME"/>
        </w:rPr>
        <w:t>ežen</w:t>
      </w:r>
      <w:r w:rsidR="00AC4A72" w:rsidRPr="00EF52A6">
        <w:rPr>
          <w:sz w:val="22"/>
          <w:szCs w:val="22"/>
          <w:lang w:val="sr-Latn-ME"/>
        </w:rPr>
        <w:t>a</w:t>
      </w:r>
      <w:r w:rsidRPr="00EF52A6">
        <w:rPr>
          <w:sz w:val="22"/>
          <w:szCs w:val="22"/>
          <w:lang w:val="sr-Latn-ME"/>
        </w:rPr>
        <w:t xml:space="preserve"> neželjen</w:t>
      </w:r>
      <w:r w:rsidR="00AC4A72" w:rsidRPr="00EF52A6">
        <w:rPr>
          <w:sz w:val="22"/>
          <w:szCs w:val="22"/>
          <w:lang w:val="sr-Latn-ME"/>
        </w:rPr>
        <w:t>a</w:t>
      </w:r>
      <w:r w:rsidRPr="00EF52A6">
        <w:rPr>
          <w:sz w:val="22"/>
          <w:szCs w:val="22"/>
          <w:lang w:val="sr-Latn-ME"/>
        </w:rPr>
        <w:t xml:space="preserve"> </w:t>
      </w:r>
      <w:r w:rsidR="00AC4A72" w:rsidRPr="00EF52A6">
        <w:rPr>
          <w:sz w:val="22"/>
          <w:szCs w:val="22"/>
          <w:lang w:val="sr-Latn-ME"/>
        </w:rPr>
        <w:t>dejstva</w:t>
      </w:r>
      <w:r w:rsidRPr="00EF52A6">
        <w:rPr>
          <w:sz w:val="22"/>
          <w:szCs w:val="22"/>
          <w:lang w:val="sr-Latn-ME"/>
        </w:rPr>
        <w:t xml:space="preserve"> koj</w:t>
      </w:r>
      <w:r w:rsidR="00AC4A72" w:rsidRPr="00EF52A6">
        <w:rPr>
          <w:sz w:val="22"/>
          <w:szCs w:val="22"/>
          <w:lang w:val="sr-Latn-ME"/>
        </w:rPr>
        <w:t>a</w:t>
      </w:r>
      <w:r w:rsidRPr="00EF52A6">
        <w:rPr>
          <w:sz w:val="22"/>
          <w:szCs w:val="22"/>
          <w:lang w:val="sr-Latn-ME"/>
        </w:rPr>
        <w:t xml:space="preserve"> su dovel</w:t>
      </w:r>
      <w:r w:rsidR="00AC4A72" w:rsidRPr="00EF52A6">
        <w:rPr>
          <w:sz w:val="22"/>
          <w:szCs w:val="22"/>
          <w:lang w:val="sr-Latn-ME"/>
        </w:rPr>
        <w:t>a</w:t>
      </w:r>
      <w:r w:rsidRPr="00EF52A6">
        <w:rPr>
          <w:sz w:val="22"/>
          <w:szCs w:val="22"/>
          <w:lang w:val="sr-Latn-ME"/>
        </w:rPr>
        <w:t xml:space="preserve"> do podešavanja doze (privremeni prekid ili smanjenje doze) selumetiniba bil</w:t>
      </w:r>
      <w:r w:rsidR="00AC4A72" w:rsidRPr="00EF52A6">
        <w:rPr>
          <w:sz w:val="22"/>
          <w:szCs w:val="22"/>
          <w:lang w:val="sr-Latn-ME"/>
        </w:rPr>
        <w:t>a</w:t>
      </w:r>
      <w:r w:rsidRPr="00EF52A6">
        <w:rPr>
          <w:sz w:val="22"/>
          <w:szCs w:val="22"/>
          <w:lang w:val="sr-Latn-ME"/>
        </w:rPr>
        <w:t xml:space="preserve"> su povraćanje (32%), paronihija (23%), mučnina (19%), dijareja (15%) i pireksija (11%). Trajni prekid l</w:t>
      </w:r>
      <w:r w:rsidR="00A90C8D" w:rsidRPr="00EF52A6">
        <w:rPr>
          <w:sz w:val="22"/>
          <w:szCs w:val="22"/>
          <w:lang w:val="sr-Latn-ME"/>
        </w:rPr>
        <w:t>ij</w:t>
      </w:r>
      <w:r w:rsidRPr="00EF52A6">
        <w:rPr>
          <w:sz w:val="22"/>
          <w:szCs w:val="22"/>
          <w:lang w:val="sr-Latn-ME"/>
        </w:rPr>
        <w:t>ečenja zbog neželjenih događaja zab</w:t>
      </w:r>
      <w:r w:rsidR="00A90C8D" w:rsidRPr="00EF52A6">
        <w:rPr>
          <w:sz w:val="22"/>
          <w:szCs w:val="22"/>
          <w:lang w:val="sr-Latn-ME"/>
        </w:rPr>
        <w:t>ilj</w:t>
      </w:r>
      <w:r w:rsidRPr="00EF52A6">
        <w:rPr>
          <w:sz w:val="22"/>
          <w:szCs w:val="22"/>
          <w:lang w:val="sr-Latn-ME"/>
        </w:rPr>
        <w:t>ežen je kod 12% pacijenata. Prijavljen</w:t>
      </w:r>
      <w:r w:rsidR="00AC4A72" w:rsidRPr="00EF52A6">
        <w:rPr>
          <w:sz w:val="22"/>
          <w:szCs w:val="22"/>
          <w:lang w:val="sr-Latn-ME"/>
        </w:rPr>
        <w:t>a</w:t>
      </w:r>
      <w:r w:rsidRPr="00EF52A6">
        <w:rPr>
          <w:sz w:val="22"/>
          <w:szCs w:val="22"/>
          <w:lang w:val="sr-Latn-ME"/>
        </w:rPr>
        <w:t xml:space="preserve"> su sl</w:t>
      </w:r>
      <w:r w:rsidR="00A90C8D" w:rsidRPr="00EF52A6">
        <w:rPr>
          <w:sz w:val="22"/>
          <w:szCs w:val="22"/>
          <w:lang w:val="sr-Latn-ME"/>
        </w:rPr>
        <w:t>j</w:t>
      </w:r>
      <w:r w:rsidRPr="00EF52A6">
        <w:rPr>
          <w:sz w:val="22"/>
          <w:szCs w:val="22"/>
          <w:lang w:val="sr-Latn-ME"/>
        </w:rPr>
        <w:t>edeć</w:t>
      </w:r>
      <w:r w:rsidR="00AC4A72" w:rsidRPr="00EF52A6">
        <w:rPr>
          <w:sz w:val="22"/>
          <w:szCs w:val="22"/>
          <w:lang w:val="sr-Latn-ME"/>
        </w:rPr>
        <w:t>a</w:t>
      </w:r>
      <w:r w:rsidRPr="00EF52A6">
        <w:rPr>
          <w:sz w:val="22"/>
          <w:szCs w:val="22"/>
          <w:lang w:val="sr-Latn-ME"/>
        </w:rPr>
        <w:t xml:space="preserve"> ozbiljn</w:t>
      </w:r>
      <w:r w:rsidR="00AC4A72" w:rsidRPr="00EF52A6">
        <w:rPr>
          <w:sz w:val="22"/>
          <w:szCs w:val="22"/>
          <w:lang w:val="sr-Latn-ME"/>
        </w:rPr>
        <w:t>a</w:t>
      </w:r>
      <w:r w:rsidRPr="00EF52A6">
        <w:rPr>
          <w:sz w:val="22"/>
          <w:szCs w:val="22"/>
          <w:lang w:val="sr-Latn-ME"/>
        </w:rPr>
        <w:t xml:space="preserve"> neželjen</w:t>
      </w:r>
      <w:r w:rsidR="00AC4A72" w:rsidRPr="00EF52A6">
        <w:rPr>
          <w:sz w:val="22"/>
          <w:szCs w:val="22"/>
          <w:lang w:val="sr-Latn-ME"/>
        </w:rPr>
        <w:t>a</w:t>
      </w:r>
      <w:r w:rsidRPr="00EF52A6">
        <w:rPr>
          <w:sz w:val="22"/>
          <w:szCs w:val="22"/>
          <w:lang w:val="sr-Latn-ME"/>
        </w:rPr>
        <w:t xml:space="preserve"> </w:t>
      </w:r>
      <w:r w:rsidR="00AC4A72" w:rsidRPr="00EF52A6">
        <w:rPr>
          <w:sz w:val="22"/>
          <w:szCs w:val="22"/>
          <w:lang w:val="sr-Latn-ME"/>
        </w:rPr>
        <w:t>dejstva</w:t>
      </w:r>
      <w:r w:rsidRPr="00EF52A6">
        <w:rPr>
          <w:sz w:val="22"/>
          <w:szCs w:val="22"/>
          <w:lang w:val="sr-Latn-ME"/>
        </w:rPr>
        <w:t>: dijareja (3%),</w:t>
      </w:r>
      <w:r w:rsidR="00A90C8D" w:rsidRPr="00EF52A6">
        <w:rPr>
          <w:sz w:val="22"/>
          <w:szCs w:val="22"/>
          <w:lang w:val="sr-Latn-ME"/>
        </w:rPr>
        <w:t xml:space="preserve"> </w:t>
      </w:r>
      <w:r w:rsidRPr="00EF52A6">
        <w:rPr>
          <w:sz w:val="22"/>
          <w:szCs w:val="22"/>
          <w:lang w:val="sr-Latn-ME"/>
        </w:rPr>
        <w:t>anemija (3%), pireksija (3%), povišene vr</w:t>
      </w:r>
      <w:r w:rsidR="00A90C8D" w:rsidRPr="00EF52A6">
        <w:rPr>
          <w:sz w:val="22"/>
          <w:szCs w:val="22"/>
          <w:lang w:val="sr-Latn-ME"/>
        </w:rPr>
        <w:t>ij</w:t>
      </w:r>
      <w:r w:rsidRPr="00EF52A6">
        <w:rPr>
          <w:sz w:val="22"/>
          <w:szCs w:val="22"/>
          <w:lang w:val="sr-Latn-ME"/>
        </w:rPr>
        <w:t>ednosti kreatin fosfokinaze u krvi (3%), povišene vr</w:t>
      </w:r>
      <w:r w:rsidR="00A90C8D" w:rsidRPr="00EF52A6">
        <w:rPr>
          <w:sz w:val="22"/>
          <w:szCs w:val="22"/>
          <w:lang w:val="sr-Latn-ME"/>
        </w:rPr>
        <w:t>ij</w:t>
      </w:r>
      <w:r w:rsidRPr="00EF52A6">
        <w:rPr>
          <w:sz w:val="22"/>
          <w:szCs w:val="22"/>
          <w:lang w:val="sr-Latn-ME"/>
        </w:rPr>
        <w:t>ednosti kreatinina u krvi (1%), periferni</w:t>
      </w:r>
      <w:r w:rsidR="00A90C8D" w:rsidRPr="00EF52A6">
        <w:rPr>
          <w:sz w:val="22"/>
          <w:szCs w:val="22"/>
          <w:lang w:val="sr-Latn-ME"/>
        </w:rPr>
        <w:t xml:space="preserve"> </w:t>
      </w:r>
      <w:r w:rsidRPr="00EF52A6">
        <w:rPr>
          <w:sz w:val="22"/>
          <w:szCs w:val="22"/>
          <w:lang w:val="sr-Latn-ME"/>
        </w:rPr>
        <w:t>edem (1%) i povraćanje (1%).</w:t>
      </w:r>
    </w:p>
    <w:p w14:paraId="04967D9E" w14:textId="77777777" w:rsidR="00FF69F8" w:rsidRPr="00EF52A6" w:rsidRDefault="00FF69F8" w:rsidP="00DF11F1">
      <w:pPr>
        <w:tabs>
          <w:tab w:val="left" w:pos="540"/>
          <w:tab w:val="left" w:pos="569"/>
        </w:tabs>
        <w:jc w:val="both"/>
        <w:rPr>
          <w:sz w:val="22"/>
          <w:szCs w:val="22"/>
          <w:lang w:val="sr-Latn-ME"/>
        </w:rPr>
      </w:pPr>
    </w:p>
    <w:p w14:paraId="1C5DD305" w14:textId="1F956A1B" w:rsidR="00FF69F8" w:rsidRPr="00EF52A6" w:rsidRDefault="00FF69F8" w:rsidP="00DF11F1">
      <w:pPr>
        <w:tabs>
          <w:tab w:val="left" w:pos="540"/>
          <w:tab w:val="left" w:pos="569"/>
        </w:tabs>
        <w:jc w:val="both"/>
        <w:rPr>
          <w:sz w:val="22"/>
          <w:szCs w:val="22"/>
          <w:lang w:val="sr-Latn-ME"/>
        </w:rPr>
      </w:pPr>
      <w:r w:rsidRPr="00EF52A6">
        <w:rPr>
          <w:sz w:val="22"/>
          <w:szCs w:val="22"/>
          <w:u w:val="single"/>
          <w:lang w:val="sr-Latn-ME"/>
        </w:rPr>
        <w:t xml:space="preserve">Tabelarni prikaz neželjenih </w:t>
      </w:r>
      <w:r w:rsidR="005A2E4C" w:rsidRPr="00EF52A6">
        <w:rPr>
          <w:sz w:val="22"/>
          <w:szCs w:val="22"/>
          <w:u w:val="single"/>
          <w:lang w:val="sr-Latn-ME"/>
        </w:rPr>
        <w:t>dejstava</w:t>
      </w:r>
    </w:p>
    <w:p w14:paraId="56751845" w14:textId="07206890" w:rsidR="00FF69F8" w:rsidRPr="00EF52A6" w:rsidRDefault="00FF69F8" w:rsidP="00DF11F1">
      <w:pPr>
        <w:tabs>
          <w:tab w:val="left" w:pos="540"/>
          <w:tab w:val="left" w:pos="569"/>
        </w:tabs>
        <w:jc w:val="both"/>
        <w:rPr>
          <w:sz w:val="22"/>
          <w:szCs w:val="22"/>
          <w:lang w:val="sr-Latn-ME"/>
        </w:rPr>
      </w:pPr>
      <w:r w:rsidRPr="00EF52A6">
        <w:rPr>
          <w:sz w:val="22"/>
          <w:szCs w:val="22"/>
          <w:lang w:val="sr-Latn-ME"/>
        </w:rPr>
        <w:t>U tabeli 5 naveden</w:t>
      </w:r>
      <w:r w:rsidR="005A2E4C" w:rsidRPr="00EF52A6">
        <w:rPr>
          <w:sz w:val="22"/>
          <w:szCs w:val="22"/>
          <w:lang w:val="sr-Latn-ME"/>
        </w:rPr>
        <w:t>a</w:t>
      </w:r>
      <w:r w:rsidRPr="00EF52A6">
        <w:rPr>
          <w:sz w:val="22"/>
          <w:szCs w:val="22"/>
          <w:lang w:val="sr-Latn-ME"/>
        </w:rPr>
        <w:t xml:space="preserve"> su neželjen</w:t>
      </w:r>
      <w:r w:rsidR="005A2E4C" w:rsidRPr="00EF52A6">
        <w:rPr>
          <w:sz w:val="22"/>
          <w:szCs w:val="22"/>
          <w:lang w:val="sr-Latn-ME"/>
        </w:rPr>
        <w:t>a</w:t>
      </w:r>
      <w:r w:rsidRPr="00EF52A6">
        <w:rPr>
          <w:sz w:val="22"/>
          <w:szCs w:val="22"/>
          <w:lang w:val="sr-Latn-ME"/>
        </w:rPr>
        <w:t xml:space="preserve"> </w:t>
      </w:r>
      <w:r w:rsidR="005A2E4C" w:rsidRPr="00EF52A6">
        <w:rPr>
          <w:sz w:val="22"/>
          <w:szCs w:val="22"/>
          <w:lang w:val="sr-Latn-ME"/>
        </w:rPr>
        <w:t>dejstva</w:t>
      </w:r>
      <w:r w:rsidRPr="00EF52A6">
        <w:rPr>
          <w:sz w:val="22"/>
          <w:szCs w:val="22"/>
          <w:lang w:val="sr-Latn-ME"/>
        </w:rPr>
        <w:t xml:space="preserve"> utvrđen</w:t>
      </w:r>
      <w:r w:rsidR="005A2E4C" w:rsidRPr="00EF52A6">
        <w:rPr>
          <w:sz w:val="22"/>
          <w:szCs w:val="22"/>
          <w:lang w:val="sr-Latn-ME"/>
        </w:rPr>
        <w:t>a</w:t>
      </w:r>
      <w:r w:rsidRPr="00EF52A6">
        <w:rPr>
          <w:sz w:val="22"/>
          <w:szCs w:val="22"/>
          <w:lang w:val="sr-Latn-ME"/>
        </w:rPr>
        <w:t xml:space="preserve"> u pedijatrijskoj populaciji sa NF1 i inoperabilnim PN, kao i kod odraslih pacijenata (vid</w:t>
      </w:r>
      <w:r w:rsidR="00A90C8D" w:rsidRPr="00EF52A6">
        <w:rPr>
          <w:sz w:val="22"/>
          <w:szCs w:val="22"/>
          <w:lang w:val="sr-Latn-ME"/>
        </w:rPr>
        <w:t>j</w:t>
      </w:r>
      <w:r w:rsidRPr="00EF52A6">
        <w:rPr>
          <w:sz w:val="22"/>
          <w:szCs w:val="22"/>
          <w:lang w:val="sr-Latn-ME"/>
        </w:rPr>
        <w:t>eti napomenu ispod tabele 5). Učestalost je utvrđena na osnovu skupa podataka o pedijatrijskim pacijentima (N = 74), koji uključuje 50 pacijenata iz pivotalnog skupa podataka prikupljenih u grupi 1 iz faze II ispitivanja SPRINT i 24 pacijenta iz pratećeg skupa podataka prikupljenih tokom faze I ispitivanja SPRINT. Neželjen</w:t>
      </w:r>
      <w:r w:rsidR="005A2E4C" w:rsidRPr="00EF52A6">
        <w:rPr>
          <w:sz w:val="22"/>
          <w:szCs w:val="22"/>
          <w:lang w:val="sr-Latn-ME"/>
        </w:rPr>
        <w:t>a</w:t>
      </w:r>
      <w:r w:rsidRPr="00EF52A6">
        <w:rPr>
          <w:sz w:val="22"/>
          <w:szCs w:val="22"/>
          <w:lang w:val="sr-Latn-ME"/>
        </w:rPr>
        <w:t xml:space="preserve"> </w:t>
      </w:r>
      <w:r w:rsidR="005A2E4C" w:rsidRPr="00EF52A6">
        <w:rPr>
          <w:sz w:val="22"/>
          <w:szCs w:val="22"/>
          <w:lang w:val="sr-Latn-ME"/>
        </w:rPr>
        <w:t>dejstva</w:t>
      </w:r>
      <w:r w:rsidRPr="00EF52A6">
        <w:rPr>
          <w:sz w:val="22"/>
          <w:szCs w:val="22"/>
          <w:lang w:val="sr-Latn-ME"/>
        </w:rPr>
        <w:t xml:space="preserve"> l</w:t>
      </w:r>
      <w:r w:rsidR="00A90C8D" w:rsidRPr="00EF52A6">
        <w:rPr>
          <w:sz w:val="22"/>
          <w:szCs w:val="22"/>
          <w:lang w:val="sr-Latn-ME"/>
        </w:rPr>
        <w:t>j</w:t>
      </w:r>
      <w:r w:rsidRPr="00EF52A6">
        <w:rPr>
          <w:sz w:val="22"/>
          <w:szCs w:val="22"/>
          <w:lang w:val="sr-Latn-ME"/>
        </w:rPr>
        <w:t>ek</w:t>
      </w:r>
      <w:r w:rsidR="005A2E4C" w:rsidRPr="00EF52A6">
        <w:rPr>
          <w:sz w:val="22"/>
          <w:szCs w:val="22"/>
          <w:lang w:val="sr-Latn-ME"/>
        </w:rPr>
        <w:t>ova</w:t>
      </w:r>
      <w:r w:rsidRPr="00EF52A6">
        <w:rPr>
          <w:sz w:val="22"/>
          <w:szCs w:val="22"/>
          <w:lang w:val="sr-Latn-ME"/>
        </w:rPr>
        <w:t xml:space="preserve"> naveden</w:t>
      </w:r>
      <w:r w:rsidR="005A2E4C" w:rsidRPr="00EF52A6">
        <w:rPr>
          <w:sz w:val="22"/>
          <w:szCs w:val="22"/>
          <w:lang w:val="sr-Latn-ME"/>
        </w:rPr>
        <w:t>a</w:t>
      </w:r>
      <w:r w:rsidRPr="00EF52A6">
        <w:rPr>
          <w:sz w:val="22"/>
          <w:szCs w:val="22"/>
          <w:lang w:val="sr-Latn-ME"/>
        </w:rPr>
        <w:t xml:space="preserve"> su prema MedDRA klasi</w:t>
      </w:r>
      <w:r w:rsidR="005A2E4C" w:rsidRPr="00EF52A6">
        <w:rPr>
          <w:sz w:val="22"/>
          <w:szCs w:val="22"/>
          <w:lang w:val="sr-Latn-ME"/>
        </w:rPr>
        <w:t>fikaciji</w:t>
      </w:r>
      <w:r w:rsidRPr="00EF52A6">
        <w:rPr>
          <w:sz w:val="22"/>
          <w:szCs w:val="22"/>
          <w:lang w:val="sr-Latn-ME"/>
        </w:rPr>
        <w:t xml:space="preserve"> sistema organa. U okviru svake klase sistema organa, </w:t>
      </w:r>
      <w:r w:rsidR="00B93791" w:rsidRPr="00EF52A6">
        <w:rPr>
          <w:sz w:val="22"/>
          <w:szCs w:val="22"/>
          <w:lang w:val="sr-Latn-ME"/>
        </w:rPr>
        <w:t xml:space="preserve">preferirani </w:t>
      </w:r>
      <w:r w:rsidRPr="00EF52A6">
        <w:rPr>
          <w:sz w:val="22"/>
          <w:szCs w:val="22"/>
          <w:lang w:val="sr-Latn-ME"/>
        </w:rPr>
        <w:t xml:space="preserve">termini su uređeni po opadanju učestalosti, a onda po opadanju ozbiljnosti. Učestalost pojave neželjenih </w:t>
      </w:r>
      <w:r w:rsidR="005A2E4C" w:rsidRPr="00EF52A6">
        <w:rPr>
          <w:sz w:val="22"/>
          <w:szCs w:val="22"/>
          <w:lang w:val="sr-Latn-ME"/>
        </w:rPr>
        <w:t xml:space="preserve">dejstava </w:t>
      </w:r>
      <w:r w:rsidRPr="00EF52A6">
        <w:rPr>
          <w:sz w:val="22"/>
          <w:szCs w:val="22"/>
          <w:lang w:val="sr-Latn-ME"/>
        </w:rPr>
        <w:t>definisana je kao: veoma čest</w:t>
      </w:r>
      <w:r w:rsidR="005A2E4C" w:rsidRPr="00EF52A6">
        <w:rPr>
          <w:sz w:val="22"/>
          <w:szCs w:val="22"/>
          <w:lang w:val="sr-Latn-ME"/>
        </w:rPr>
        <w:t>o</w:t>
      </w:r>
      <w:r w:rsidRPr="00EF52A6">
        <w:rPr>
          <w:sz w:val="22"/>
          <w:szCs w:val="22"/>
          <w:lang w:val="sr-Latn-ME"/>
        </w:rPr>
        <w:t xml:space="preserve"> (</w:t>
      </w:r>
      <w:r w:rsidR="005A2E4C" w:rsidRPr="00EF52A6">
        <w:rPr>
          <w:sz w:val="22"/>
          <w:szCs w:val="22"/>
          <w:lang w:val="sr-Latn-ME"/>
        </w:rPr>
        <w:t xml:space="preserve"> </w:t>
      </w:r>
      <w:r w:rsidRPr="00EF52A6">
        <w:rPr>
          <w:sz w:val="22"/>
          <w:szCs w:val="22"/>
          <w:lang w:val="sr-Latn-ME"/>
        </w:rPr>
        <w:t>≥</w:t>
      </w:r>
      <w:r w:rsidR="005A2E4C" w:rsidRPr="00EF52A6">
        <w:rPr>
          <w:sz w:val="22"/>
          <w:szCs w:val="22"/>
          <w:lang w:val="sr-Latn-ME"/>
        </w:rPr>
        <w:t xml:space="preserve"> </w:t>
      </w:r>
      <w:r w:rsidRPr="00EF52A6">
        <w:rPr>
          <w:sz w:val="22"/>
          <w:szCs w:val="22"/>
          <w:lang w:val="sr-Latn-ME"/>
        </w:rPr>
        <w:t>1/10); čest</w:t>
      </w:r>
      <w:r w:rsidR="005A2E4C" w:rsidRPr="00EF52A6">
        <w:rPr>
          <w:sz w:val="22"/>
          <w:szCs w:val="22"/>
          <w:lang w:val="sr-Latn-ME"/>
        </w:rPr>
        <w:t>o</w:t>
      </w:r>
      <w:r w:rsidRPr="00EF52A6">
        <w:rPr>
          <w:sz w:val="22"/>
          <w:szCs w:val="22"/>
          <w:lang w:val="sr-Latn-ME"/>
        </w:rPr>
        <w:t xml:space="preserve"> (≥ 1/100 </w:t>
      </w:r>
      <w:r w:rsidR="005A2E4C" w:rsidRPr="00EF52A6">
        <w:rPr>
          <w:sz w:val="22"/>
          <w:szCs w:val="22"/>
          <w:lang w:val="sr-Latn-ME"/>
        </w:rPr>
        <w:t xml:space="preserve">i </w:t>
      </w:r>
      <w:r w:rsidRPr="00EF52A6">
        <w:rPr>
          <w:sz w:val="22"/>
          <w:szCs w:val="22"/>
          <w:lang w:val="sr-Latn-ME"/>
        </w:rPr>
        <w:t>&lt;</w:t>
      </w:r>
      <w:r w:rsidR="005A2E4C" w:rsidRPr="00EF52A6">
        <w:rPr>
          <w:sz w:val="22"/>
          <w:szCs w:val="22"/>
          <w:lang w:val="sr-Latn-ME"/>
        </w:rPr>
        <w:t xml:space="preserve"> </w:t>
      </w:r>
      <w:r w:rsidRPr="00EF52A6">
        <w:rPr>
          <w:sz w:val="22"/>
          <w:szCs w:val="22"/>
          <w:lang w:val="sr-Latn-ME"/>
        </w:rPr>
        <w:t>1/10); povremen</w:t>
      </w:r>
      <w:r w:rsidR="005A2E4C" w:rsidRPr="00EF52A6">
        <w:rPr>
          <w:sz w:val="22"/>
          <w:szCs w:val="22"/>
          <w:lang w:val="sr-Latn-ME"/>
        </w:rPr>
        <w:t>o</w:t>
      </w:r>
      <w:r w:rsidRPr="00EF52A6">
        <w:rPr>
          <w:sz w:val="22"/>
          <w:szCs w:val="22"/>
          <w:lang w:val="sr-Latn-ME"/>
        </w:rPr>
        <w:t xml:space="preserve"> (≥</w:t>
      </w:r>
      <w:r w:rsidR="005A2E4C" w:rsidRPr="00EF52A6">
        <w:rPr>
          <w:sz w:val="22"/>
          <w:szCs w:val="22"/>
          <w:lang w:val="sr-Latn-ME"/>
        </w:rPr>
        <w:t xml:space="preserve"> </w:t>
      </w:r>
      <w:r w:rsidRPr="00EF52A6">
        <w:rPr>
          <w:sz w:val="22"/>
          <w:szCs w:val="22"/>
          <w:lang w:val="sr-Latn-ME"/>
        </w:rPr>
        <w:t xml:space="preserve">1/1000 </w:t>
      </w:r>
      <w:r w:rsidR="005A2E4C" w:rsidRPr="00EF52A6">
        <w:rPr>
          <w:sz w:val="22"/>
          <w:szCs w:val="22"/>
          <w:lang w:val="sr-Latn-ME"/>
        </w:rPr>
        <w:t xml:space="preserve">i </w:t>
      </w:r>
      <w:r w:rsidRPr="00EF52A6">
        <w:rPr>
          <w:sz w:val="22"/>
          <w:szCs w:val="22"/>
          <w:lang w:val="sr-Latn-ME"/>
        </w:rPr>
        <w:t>&lt;</w:t>
      </w:r>
      <w:r w:rsidR="005A2E4C" w:rsidRPr="00EF52A6">
        <w:rPr>
          <w:sz w:val="22"/>
          <w:szCs w:val="22"/>
          <w:lang w:val="sr-Latn-ME"/>
        </w:rPr>
        <w:t xml:space="preserve"> </w:t>
      </w:r>
      <w:r w:rsidRPr="00EF52A6">
        <w:rPr>
          <w:sz w:val="22"/>
          <w:szCs w:val="22"/>
          <w:lang w:val="sr-Latn-ME"/>
        </w:rPr>
        <w:t>1/100); r</w:t>
      </w:r>
      <w:r w:rsidR="00A90C8D" w:rsidRPr="00EF52A6">
        <w:rPr>
          <w:sz w:val="22"/>
          <w:szCs w:val="22"/>
          <w:lang w:val="sr-Latn-ME"/>
        </w:rPr>
        <w:t>ij</w:t>
      </w:r>
      <w:r w:rsidRPr="00EF52A6">
        <w:rPr>
          <w:sz w:val="22"/>
          <w:szCs w:val="22"/>
          <w:lang w:val="sr-Latn-ME"/>
        </w:rPr>
        <w:t>etk</w:t>
      </w:r>
      <w:r w:rsidR="005A2E4C" w:rsidRPr="00EF52A6">
        <w:rPr>
          <w:sz w:val="22"/>
          <w:szCs w:val="22"/>
          <w:lang w:val="sr-Latn-ME"/>
        </w:rPr>
        <w:t>o</w:t>
      </w:r>
      <w:r w:rsidRPr="00EF52A6">
        <w:rPr>
          <w:sz w:val="22"/>
          <w:szCs w:val="22"/>
          <w:lang w:val="sr-Latn-ME"/>
        </w:rPr>
        <w:t xml:space="preserve"> (≥</w:t>
      </w:r>
      <w:r w:rsidR="005A2E4C" w:rsidRPr="00EF52A6">
        <w:rPr>
          <w:sz w:val="22"/>
          <w:szCs w:val="22"/>
          <w:lang w:val="sr-Latn-ME"/>
        </w:rPr>
        <w:t xml:space="preserve"> </w:t>
      </w:r>
      <w:r w:rsidRPr="00EF52A6">
        <w:rPr>
          <w:sz w:val="22"/>
          <w:szCs w:val="22"/>
          <w:lang w:val="sr-Latn-ME"/>
        </w:rPr>
        <w:t xml:space="preserve">1/10000 </w:t>
      </w:r>
      <w:r w:rsidR="005A2E4C" w:rsidRPr="00EF52A6">
        <w:rPr>
          <w:sz w:val="22"/>
          <w:szCs w:val="22"/>
          <w:lang w:val="sr-Latn-ME"/>
        </w:rPr>
        <w:t xml:space="preserve">i </w:t>
      </w:r>
      <w:r w:rsidRPr="00EF52A6">
        <w:rPr>
          <w:sz w:val="22"/>
          <w:szCs w:val="22"/>
          <w:lang w:val="sr-Latn-ME"/>
        </w:rPr>
        <w:t>&lt;</w:t>
      </w:r>
      <w:r w:rsidR="005A2E4C" w:rsidRPr="00EF52A6">
        <w:rPr>
          <w:sz w:val="22"/>
          <w:szCs w:val="22"/>
          <w:lang w:val="sr-Latn-ME"/>
        </w:rPr>
        <w:t xml:space="preserve"> </w:t>
      </w:r>
      <w:r w:rsidRPr="00EF52A6">
        <w:rPr>
          <w:sz w:val="22"/>
          <w:szCs w:val="22"/>
          <w:lang w:val="sr-Latn-ME"/>
        </w:rPr>
        <w:t>1/1000); veoma r</w:t>
      </w:r>
      <w:r w:rsidR="00A90C8D" w:rsidRPr="00EF52A6">
        <w:rPr>
          <w:sz w:val="22"/>
          <w:szCs w:val="22"/>
          <w:lang w:val="sr-Latn-ME"/>
        </w:rPr>
        <w:t>ij</w:t>
      </w:r>
      <w:r w:rsidRPr="00EF52A6">
        <w:rPr>
          <w:sz w:val="22"/>
          <w:szCs w:val="22"/>
          <w:lang w:val="sr-Latn-ME"/>
        </w:rPr>
        <w:t>etk</w:t>
      </w:r>
      <w:r w:rsidR="005A2E4C" w:rsidRPr="00EF52A6">
        <w:rPr>
          <w:sz w:val="22"/>
          <w:szCs w:val="22"/>
          <w:lang w:val="sr-Latn-ME"/>
        </w:rPr>
        <w:t>o</w:t>
      </w:r>
      <w:r w:rsidRPr="00EF52A6">
        <w:rPr>
          <w:sz w:val="22"/>
          <w:szCs w:val="22"/>
          <w:lang w:val="sr-Latn-ME"/>
        </w:rPr>
        <w:t xml:space="preserve"> (&lt;</w:t>
      </w:r>
      <w:r w:rsidR="005A2E4C" w:rsidRPr="00EF52A6">
        <w:rPr>
          <w:sz w:val="22"/>
          <w:szCs w:val="22"/>
          <w:lang w:val="sr-Latn-ME"/>
        </w:rPr>
        <w:t xml:space="preserve"> </w:t>
      </w:r>
      <w:r w:rsidRPr="00EF52A6">
        <w:rPr>
          <w:sz w:val="22"/>
          <w:szCs w:val="22"/>
          <w:lang w:val="sr-Latn-ME"/>
        </w:rPr>
        <w:t>1/10000); i nepoznat</w:t>
      </w:r>
      <w:r w:rsidR="005A2E4C" w:rsidRPr="00EF52A6">
        <w:rPr>
          <w:sz w:val="22"/>
          <w:szCs w:val="22"/>
          <w:lang w:val="sr-Latn-ME"/>
        </w:rPr>
        <w:t>o</w:t>
      </w:r>
      <w:r w:rsidRPr="00EF52A6">
        <w:rPr>
          <w:sz w:val="22"/>
          <w:szCs w:val="22"/>
          <w:lang w:val="sr-Latn-ME"/>
        </w:rPr>
        <w:t xml:space="preserve"> (ne može se proc</w:t>
      </w:r>
      <w:r w:rsidR="00A90C8D" w:rsidRPr="00EF52A6">
        <w:rPr>
          <w:sz w:val="22"/>
          <w:szCs w:val="22"/>
          <w:lang w:val="sr-Latn-ME"/>
        </w:rPr>
        <w:t>ij</w:t>
      </w:r>
      <w:r w:rsidRPr="00EF52A6">
        <w:rPr>
          <w:sz w:val="22"/>
          <w:szCs w:val="22"/>
          <w:lang w:val="sr-Latn-ME"/>
        </w:rPr>
        <w:t xml:space="preserve">eniti na osnovu </w:t>
      </w:r>
      <w:r w:rsidR="005A2E4C" w:rsidRPr="00EF52A6">
        <w:rPr>
          <w:sz w:val="22"/>
          <w:szCs w:val="22"/>
          <w:lang w:val="sr-Latn-ME"/>
        </w:rPr>
        <w:t xml:space="preserve">dostupnih </w:t>
      </w:r>
      <w:r w:rsidRPr="00EF52A6">
        <w:rPr>
          <w:sz w:val="22"/>
          <w:szCs w:val="22"/>
          <w:lang w:val="sr-Latn-ME"/>
        </w:rPr>
        <w:t>podataka), uključujući izolovane prijave.</w:t>
      </w:r>
    </w:p>
    <w:p w14:paraId="6530E468" w14:textId="77777777" w:rsidR="00FF69F8" w:rsidRPr="00EF52A6" w:rsidRDefault="00FF69F8" w:rsidP="00DF11F1">
      <w:pPr>
        <w:tabs>
          <w:tab w:val="left" w:pos="540"/>
          <w:tab w:val="left" w:pos="569"/>
        </w:tabs>
        <w:jc w:val="both"/>
        <w:rPr>
          <w:sz w:val="22"/>
          <w:szCs w:val="22"/>
          <w:lang w:val="sr-Latn-ME"/>
        </w:rPr>
      </w:pPr>
    </w:p>
    <w:p w14:paraId="1FB765B7" w14:textId="728B15FA" w:rsidR="00FF69F8" w:rsidRPr="00EF52A6" w:rsidRDefault="00FF69F8" w:rsidP="00DF11F1">
      <w:pPr>
        <w:tabs>
          <w:tab w:val="left" w:pos="540"/>
          <w:tab w:val="left" w:pos="569"/>
        </w:tabs>
        <w:jc w:val="both"/>
        <w:rPr>
          <w:bCs/>
          <w:sz w:val="22"/>
          <w:szCs w:val="22"/>
          <w:lang w:val="sr-Latn-ME"/>
        </w:rPr>
      </w:pPr>
      <w:r w:rsidRPr="00EF52A6">
        <w:rPr>
          <w:b/>
          <w:bCs/>
          <w:sz w:val="22"/>
          <w:szCs w:val="22"/>
          <w:lang w:val="sr-Latn-ME"/>
        </w:rPr>
        <w:t>Tabela 5. Neželjen</w:t>
      </w:r>
      <w:r w:rsidR="005A2E4C" w:rsidRPr="00EF52A6">
        <w:rPr>
          <w:b/>
          <w:bCs/>
          <w:sz w:val="22"/>
          <w:szCs w:val="22"/>
          <w:lang w:val="sr-Latn-ME"/>
        </w:rPr>
        <w:t>a</w:t>
      </w:r>
      <w:r w:rsidRPr="00EF52A6">
        <w:rPr>
          <w:b/>
          <w:bCs/>
          <w:sz w:val="22"/>
          <w:szCs w:val="22"/>
          <w:lang w:val="sr-Latn-ME"/>
        </w:rPr>
        <w:t xml:space="preserve"> </w:t>
      </w:r>
      <w:r w:rsidR="005A2E4C" w:rsidRPr="00EF52A6">
        <w:rPr>
          <w:b/>
          <w:bCs/>
          <w:sz w:val="22"/>
          <w:szCs w:val="22"/>
          <w:lang w:val="sr-Latn-ME"/>
        </w:rPr>
        <w:t xml:space="preserve">dejstva </w:t>
      </w:r>
      <w:r w:rsidRPr="00EF52A6">
        <w:rPr>
          <w:b/>
          <w:bCs/>
          <w:sz w:val="22"/>
          <w:szCs w:val="22"/>
          <w:lang w:val="sr-Latn-ME"/>
        </w:rPr>
        <w:t>l</w:t>
      </w:r>
      <w:r w:rsidR="00A90C8D" w:rsidRPr="00EF52A6">
        <w:rPr>
          <w:b/>
          <w:bCs/>
          <w:sz w:val="22"/>
          <w:szCs w:val="22"/>
          <w:lang w:val="sr-Latn-ME"/>
        </w:rPr>
        <w:t>j</w:t>
      </w:r>
      <w:r w:rsidRPr="00EF52A6">
        <w:rPr>
          <w:b/>
          <w:bCs/>
          <w:sz w:val="22"/>
          <w:szCs w:val="22"/>
          <w:lang w:val="sr-Latn-ME"/>
        </w:rPr>
        <w:t>ek</w:t>
      </w:r>
      <w:r w:rsidR="005A2E4C" w:rsidRPr="00EF52A6">
        <w:rPr>
          <w:b/>
          <w:bCs/>
          <w:sz w:val="22"/>
          <w:szCs w:val="22"/>
          <w:lang w:val="sr-Latn-ME"/>
        </w:rPr>
        <w:t>ova</w:t>
      </w:r>
      <w:r w:rsidRPr="00EF52A6">
        <w:rPr>
          <w:b/>
          <w:bCs/>
          <w:sz w:val="22"/>
          <w:szCs w:val="22"/>
          <w:lang w:val="sr-Latn-ME"/>
        </w:rPr>
        <w:t xml:space="preserve"> zab</w:t>
      </w:r>
      <w:r w:rsidR="00A90C8D" w:rsidRPr="00EF52A6">
        <w:rPr>
          <w:b/>
          <w:bCs/>
          <w:sz w:val="22"/>
          <w:szCs w:val="22"/>
          <w:lang w:val="sr-Latn-ME"/>
        </w:rPr>
        <w:t>ilj</w:t>
      </w:r>
      <w:r w:rsidRPr="00EF52A6">
        <w:rPr>
          <w:b/>
          <w:bCs/>
          <w:sz w:val="22"/>
          <w:szCs w:val="22"/>
          <w:lang w:val="sr-Latn-ME"/>
        </w:rPr>
        <w:t>ežen</w:t>
      </w:r>
      <w:r w:rsidR="005A2E4C" w:rsidRPr="00EF52A6">
        <w:rPr>
          <w:b/>
          <w:bCs/>
          <w:sz w:val="22"/>
          <w:szCs w:val="22"/>
          <w:lang w:val="sr-Latn-ME"/>
        </w:rPr>
        <w:t>a</w:t>
      </w:r>
      <w:r w:rsidRPr="00EF52A6">
        <w:rPr>
          <w:b/>
          <w:bCs/>
          <w:sz w:val="22"/>
          <w:szCs w:val="22"/>
          <w:lang w:val="sr-Latn-ME"/>
        </w:rPr>
        <w:t xml:space="preserve"> kod pedijatrijskih pacijenata (pivotalni skup podataka prikupljenih u grupi 1 iz faze II ispitivanja SPRINT [N = 50] i prateći skup podataka prikupljenih tokom faze I ispitivanja SPRINT [N = 24]) i u drugim utvrđenim kliničkim ispitivanjima kod odraslih pacijenata (N = 347)</w:t>
      </w:r>
      <w:r w:rsidRPr="00EF52A6">
        <w:rPr>
          <w:sz w:val="22"/>
          <w:szCs w:val="22"/>
          <w:lang w:val="sr-Latn-ME"/>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126"/>
        <w:gridCol w:w="2410"/>
        <w:gridCol w:w="2552"/>
      </w:tblGrid>
      <w:tr w:rsidR="00FF69F8" w:rsidRPr="00EF52A6" w14:paraId="3C7E2DA0" w14:textId="77777777" w:rsidTr="00DF11F1">
        <w:trPr>
          <w:trHeight w:val="1526"/>
        </w:trPr>
        <w:tc>
          <w:tcPr>
            <w:tcW w:w="2410" w:type="dxa"/>
          </w:tcPr>
          <w:p w14:paraId="59C5E197"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MedDRA klasa sistema organa</w:t>
            </w:r>
          </w:p>
        </w:tc>
        <w:tc>
          <w:tcPr>
            <w:tcW w:w="2126" w:type="dxa"/>
          </w:tcPr>
          <w:p w14:paraId="176C3BF8"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MedDRA termin</w:t>
            </w:r>
          </w:p>
        </w:tc>
        <w:tc>
          <w:tcPr>
            <w:tcW w:w="2410" w:type="dxa"/>
          </w:tcPr>
          <w:p w14:paraId="2E4551F7"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Ukupna učestalost (svi CTCAE gradusi)</w:t>
            </w:r>
          </w:p>
          <w:p w14:paraId="34664567" w14:textId="77777777" w:rsidR="00FF69F8" w:rsidRPr="00EF52A6" w:rsidRDefault="00FF69F8" w:rsidP="00FF69F8">
            <w:pPr>
              <w:tabs>
                <w:tab w:val="left" w:pos="540"/>
                <w:tab w:val="left" w:pos="569"/>
              </w:tabs>
              <w:rPr>
                <w:sz w:val="22"/>
                <w:szCs w:val="22"/>
                <w:lang w:val="sr-Latn-ME"/>
              </w:rPr>
            </w:pPr>
          </w:p>
          <w:p w14:paraId="52813DA2"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Pedijatrijski pacijenti sa NF1</w:t>
            </w:r>
            <w:r w:rsidRPr="00EF52A6">
              <w:rPr>
                <w:sz w:val="22"/>
                <w:szCs w:val="22"/>
                <w:vertAlign w:val="superscript"/>
                <w:lang w:val="sr-Latn-ME"/>
              </w:rPr>
              <w:t>‡</w:t>
            </w:r>
            <w:r w:rsidRPr="00EF52A6">
              <w:rPr>
                <w:sz w:val="22"/>
                <w:szCs w:val="22"/>
                <w:lang w:val="sr-Latn-ME"/>
              </w:rPr>
              <w:t xml:space="preserve"> </w:t>
            </w:r>
            <w:r w:rsidRPr="00EF52A6">
              <w:rPr>
                <w:b/>
                <w:bCs/>
                <w:sz w:val="22"/>
                <w:szCs w:val="22"/>
                <w:lang w:val="sr-Latn-ME"/>
              </w:rPr>
              <w:t>(N = 74)</w:t>
            </w:r>
          </w:p>
        </w:tc>
        <w:tc>
          <w:tcPr>
            <w:tcW w:w="2552" w:type="dxa"/>
          </w:tcPr>
          <w:p w14:paraId="4326590D" w14:textId="33B23935" w:rsidR="00FF69F8" w:rsidRPr="00EF52A6" w:rsidRDefault="00FF69F8" w:rsidP="00FF69F8">
            <w:pPr>
              <w:tabs>
                <w:tab w:val="left" w:pos="540"/>
                <w:tab w:val="left" w:pos="569"/>
              </w:tabs>
              <w:rPr>
                <w:b/>
                <w:sz w:val="22"/>
                <w:szCs w:val="22"/>
                <w:lang w:val="sr-Latn-ME"/>
              </w:rPr>
            </w:pPr>
            <w:r w:rsidRPr="00EF52A6">
              <w:rPr>
                <w:b/>
                <w:bCs/>
                <w:sz w:val="22"/>
                <w:szCs w:val="22"/>
                <w:lang w:val="sr-Latn-ME"/>
              </w:rPr>
              <w:t>Učestalost 3. ili višeg gradusa CTCAE</w:t>
            </w:r>
          </w:p>
          <w:p w14:paraId="31332276" w14:textId="77777777" w:rsidR="00FF69F8" w:rsidRPr="00EF52A6" w:rsidRDefault="00FF69F8" w:rsidP="00FF69F8">
            <w:pPr>
              <w:tabs>
                <w:tab w:val="left" w:pos="540"/>
                <w:tab w:val="left" w:pos="569"/>
              </w:tabs>
              <w:rPr>
                <w:sz w:val="22"/>
                <w:szCs w:val="22"/>
                <w:lang w:val="sr-Latn-ME"/>
              </w:rPr>
            </w:pPr>
          </w:p>
          <w:p w14:paraId="11BDE170"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Pedijatrijski pacijenti sa NF1</w:t>
            </w:r>
            <w:r w:rsidRPr="00EF52A6">
              <w:rPr>
                <w:sz w:val="22"/>
                <w:szCs w:val="22"/>
                <w:vertAlign w:val="superscript"/>
                <w:lang w:val="sr-Latn-ME"/>
              </w:rPr>
              <w:t>‡</w:t>
            </w:r>
            <w:r w:rsidRPr="00EF52A6">
              <w:rPr>
                <w:sz w:val="22"/>
                <w:szCs w:val="22"/>
                <w:lang w:val="sr-Latn-ME"/>
              </w:rPr>
              <w:t xml:space="preserve"> </w:t>
            </w:r>
            <w:r w:rsidRPr="00EF52A6">
              <w:rPr>
                <w:b/>
                <w:bCs/>
                <w:sz w:val="22"/>
                <w:szCs w:val="22"/>
                <w:lang w:val="sr-Latn-ME"/>
              </w:rPr>
              <w:t>(N = 74)</w:t>
            </w:r>
          </w:p>
        </w:tc>
      </w:tr>
      <w:tr w:rsidR="00FF69F8" w:rsidRPr="00EF52A6" w14:paraId="0739794D" w14:textId="77777777" w:rsidTr="00DF11F1">
        <w:trPr>
          <w:trHeight w:val="249"/>
        </w:trPr>
        <w:tc>
          <w:tcPr>
            <w:tcW w:w="2410" w:type="dxa"/>
            <w:vMerge w:val="restart"/>
          </w:tcPr>
          <w:p w14:paraId="4FA925D8"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Poremećaji oka</w:t>
            </w:r>
          </w:p>
        </w:tc>
        <w:tc>
          <w:tcPr>
            <w:tcW w:w="2126" w:type="dxa"/>
          </w:tcPr>
          <w:p w14:paraId="271DBDB1"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Zamućen vid^</w:t>
            </w:r>
          </w:p>
        </w:tc>
        <w:tc>
          <w:tcPr>
            <w:tcW w:w="2410" w:type="dxa"/>
          </w:tcPr>
          <w:p w14:paraId="3B02EA32"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(15%)</w:t>
            </w:r>
          </w:p>
        </w:tc>
        <w:tc>
          <w:tcPr>
            <w:tcW w:w="2552" w:type="dxa"/>
          </w:tcPr>
          <w:p w14:paraId="79DF5129"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44959374" w14:textId="77777777" w:rsidTr="00DF11F1">
        <w:trPr>
          <w:trHeight w:val="1266"/>
        </w:trPr>
        <w:tc>
          <w:tcPr>
            <w:tcW w:w="2410" w:type="dxa"/>
            <w:vMerge/>
            <w:tcBorders>
              <w:top w:val="nil"/>
            </w:tcBorders>
          </w:tcPr>
          <w:p w14:paraId="42EF2590" w14:textId="77777777" w:rsidR="00FF69F8" w:rsidRPr="00EF52A6" w:rsidRDefault="00FF69F8" w:rsidP="00FF69F8">
            <w:pPr>
              <w:tabs>
                <w:tab w:val="left" w:pos="540"/>
                <w:tab w:val="left" w:pos="569"/>
              </w:tabs>
              <w:rPr>
                <w:sz w:val="22"/>
                <w:szCs w:val="22"/>
                <w:lang w:val="sr-Latn-ME"/>
              </w:rPr>
            </w:pPr>
          </w:p>
        </w:tc>
        <w:tc>
          <w:tcPr>
            <w:tcW w:w="2126" w:type="dxa"/>
          </w:tcPr>
          <w:p w14:paraId="475FEAF9" w14:textId="40223E16" w:rsidR="00FF69F8" w:rsidRPr="00EF52A6" w:rsidRDefault="00FF69F8" w:rsidP="00FF69F8">
            <w:pPr>
              <w:tabs>
                <w:tab w:val="left" w:pos="540"/>
                <w:tab w:val="left" w:pos="569"/>
              </w:tabs>
              <w:rPr>
                <w:sz w:val="22"/>
                <w:szCs w:val="22"/>
                <w:lang w:val="sr-Latn-ME"/>
              </w:rPr>
            </w:pPr>
            <w:r w:rsidRPr="00EF52A6">
              <w:rPr>
                <w:sz w:val="22"/>
                <w:szCs w:val="22"/>
                <w:lang w:val="sr-Latn-ME"/>
              </w:rPr>
              <w:t>Odvajanje pigmentnog epitela retine (RPED)/ centralna serozna retinopatija (CSR)* ††</w:t>
            </w:r>
          </w:p>
        </w:tc>
        <w:tc>
          <w:tcPr>
            <w:tcW w:w="2410" w:type="dxa"/>
          </w:tcPr>
          <w:p w14:paraId="45C62D0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Povremeno (0,6%)</w:t>
            </w:r>
          </w:p>
        </w:tc>
        <w:tc>
          <w:tcPr>
            <w:tcW w:w="2552" w:type="dxa"/>
          </w:tcPr>
          <w:p w14:paraId="5EBAEFF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1319BA34" w14:textId="77777777" w:rsidTr="00DF11F1">
        <w:trPr>
          <w:trHeight w:val="508"/>
        </w:trPr>
        <w:tc>
          <w:tcPr>
            <w:tcW w:w="2410" w:type="dxa"/>
            <w:vMerge/>
            <w:tcBorders>
              <w:top w:val="nil"/>
            </w:tcBorders>
          </w:tcPr>
          <w:p w14:paraId="39469B1D" w14:textId="77777777" w:rsidR="00FF69F8" w:rsidRPr="00EF52A6" w:rsidRDefault="00FF69F8" w:rsidP="00FF69F8">
            <w:pPr>
              <w:tabs>
                <w:tab w:val="left" w:pos="540"/>
                <w:tab w:val="left" w:pos="569"/>
              </w:tabs>
              <w:rPr>
                <w:sz w:val="22"/>
                <w:szCs w:val="22"/>
                <w:lang w:val="sr-Latn-ME"/>
              </w:rPr>
            </w:pPr>
          </w:p>
        </w:tc>
        <w:tc>
          <w:tcPr>
            <w:tcW w:w="2126" w:type="dxa"/>
          </w:tcPr>
          <w:p w14:paraId="64B9766F"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Okluzija retinalne</w:t>
            </w:r>
          </w:p>
          <w:p w14:paraId="3A01646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vene (RVO)* ††</w:t>
            </w:r>
          </w:p>
        </w:tc>
        <w:tc>
          <w:tcPr>
            <w:tcW w:w="2410" w:type="dxa"/>
          </w:tcPr>
          <w:p w14:paraId="62769D36"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Povremeno (0,3%)</w:t>
            </w:r>
          </w:p>
        </w:tc>
        <w:tc>
          <w:tcPr>
            <w:tcW w:w="2552" w:type="dxa"/>
          </w:tcPr>
          <w:p w14:paraId="7B7A04D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20A4FB39" w14:textId="77777777" w:rsidTr="00DF11F1">
        <w:trPr>
          <w:trHeight w:val="1007"/>
        </w:trPr>
        <w:tc>
          <w:tcPr>
            <w:tcW w:w="2410" w:type="dxa"/>
          </w:tcPr>
          <w:p w14:paraId="5D09129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Respiratorni, torakalni i</w:t>
            </w:r>
          </w:p>
          <w:p w14:paraId="401BF3F1"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medijastinalni poremećaji</w:t>
            </w:r>
          </w:p>
        </w:tc>
        <w:tc>
          <w:tcPr>
            <w:tcW w:w="2126" w:type="dxa"/>
          </w:tcPr>
          <w:p w14:paraId="0B6A3567"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Dispneja*</w:t>
            </w:r>
          </w:p>
        </w:tc>
        <w:tc>
          <w:tcPr>
            <w:tcW w:w="2410" w:type="dxa"/>
          </w:tcPr>
          <w:p w14:paraId="048F6386"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(8%)</w:t>
            </w:r>
          </w:p>
        </w:tc>
        <w:tc>
          <w:tcPr>
            <w:tcW w:w="2552" w:type="dxa"/>
          </w:tcPr>
          <w:p w14:paraId="0BE9BA83"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7E457D5A" w14:textId="77777777" w:rsidTr="00DF11F1">
        <w:trPr>
          <w:trHeight w:val="250"/>
        </w:trPr>
        <w:tc>
          <w:tcPr>
            <w:tcW w:w="2410" w:type="dxa"/>
            <w:vMerge w:val="restart"/>
          </w:tcPr>
          <w:p w14:paraId="7446860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Gastrointestinalni poremećaji</w:t>
            </w:r>
          </w:p>
        </w:tc>
        <w:tc>
          <w:tcPr>
            <w:tcW w:w="2126" w:type="dxa"/>
          </w:tcPr>
          <w:p w14:paraId="5091CACF"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Povraćanje^</w:t>
            </w:r>
          </w:p>
        </w:tc>
        <w:tc>
          <w:tcPr>
            <w:tcW w:w="2410" w:type="dxa"/>
          </w:tcPr>
          <w:p w14:paraId="041E4DA1"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(86%)</w:t>
            </w:r>
          </w:p>
        </w:tc>
        <w:tc>
          <w:tcPr>
            <w:tcW w:w="2552" w:type="dxa"/>
          </w:tcPr>
          <w:p w14:paraId="1994D895"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(9%)</w:t>
            </w:r>
          </w:p>
        </w:tc>
      </w:tr>
      <w:tr w:rsidR="00FF69F8" w:rsidRPr="00EF52A6" w14:paraId="67C7144E" w14:textId="77777777" w:rsidTr="00DF11F1">
        <w:trPr>
          <w:trHeight w:val="254"/>
        </w:trPr>
        <w:tc>
          <w:tcPr>
            <w:tcW w:w="2410" w:type="dxa"/>
            <w:vMerge/>
            <w:tcBorders>
              <w:top w:val="nil"/>
            </w:tcBorders>
          </w:tcPr>
          <w:p w14:paraId="4AE6F2DC" w14:textId="77777777" w:rsidR="00FF69F8" w:rsidRPr="00EF52A6" w:rsidRDefault="00FF69F8" w:rsidP="00FF69F8">
            <w:pPr>
              <w:tabs>
                <w:tab w:val="left" w:pos="540"/>
                <w:tab w:val="left" w:pos="569"/>
              </w:tabs>
              <w:rPr>
                <w:sz w:val="22"/>
                <w:szCs w:val="22"/>
                <w:lang w:val="sr-Latn-ME"/>
              </w:rPr>
            </w:pPr>
          </w:p>
        </w:tc>
        <w:tc>
          <w:tcPr>
            <w:tcW w:w="2126" w:type="dxa"/>
          </w:tcPr>
          <w:p w14:paraId="18FFC3DB"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Dijareja^</w:t>
            </w:r>
          </w:p>
        </w:tc>
        <w:tc>
          <w:tcPr>
            <w:tcW w:w="2410" w:type="dxa"/>
          </w:tcPr>
          <w:p w14:paraId="27096B8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(81%)</w:t>
            </w:r>
          </w:p>
        </w:tc>
        <w:tc>
          <w:tcPr>
            <w:tcW w:w="2552" w:type="dxa"/>
          </w:tcPr>
          <w:p w14:paraId="2F6F9C2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(15%)</w:t>
            </w:r>
          </w:p>
        </w:tc>
      </w:tr>
      <w:tr w:rsidR="00FF69F8" w:rsidRPr="00EF52A6" w14:paraId="184B341A" w14:textId="77777777" w:rsidTr="00DF11F1">
        <w:trPr>
          <w:trHeight w:val="253"/>
        </w:trPr>
        <w:tc>
          <w:tcPr>
            <w:tcW w:w="2410" w:type="dxa"/>
            <w:vMerge/>
            <w:tcBorders>
              <w:top w:val="nil"/>
            </w:tcBorders>
          </w:tcPr>
          <w:p w14:paraId="5B62E9BF" w14:textId="77777777" w:rsidR="00FF69F8" w:rsidRPr="00EF52A6" w:rsidRDefault="00FF69F8" w:rsidP="00FF69F8">
            <w:pPr>
              <w:tabs>
                <w:tab w:val="left" w:pos="540"/>
                <w:tab w:val="left" w:pos="569"/>
              </w:tabs>
              <w:rPr>
                <w:sz w:val="22"/>
                <w:szCs w:val="22"/>
                <w:lang w:val="sr-Latn-ME"/>
              </w:rPr>
            </w:pPr>
          </w:p>
        </w:tc>
        <w:tc>
          <w:tcPr>
            <w:tcW w:w="2126" w:type="dxa"/>
          </w:tcPr>
          <w:p w14:paraId="7CAE366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Mučnina^</w:t>
            </w:r>
          </w:p>
        </w:tc>
        <w:tc>
          <w:tcPr>
            <w:tcW w:w="2410" w:type="dxa"/>
          </w:tcPr>
          <w:p w14:paraId="426ADEF8"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(77%)</w:t>
            </w:r>
          </w:p>
        </w:tc>
        <w:tc>
          <w:tcPr>
            <w:tcW w:w="2552" w:type="dxa"/>
          </w:tcPr>
          <w:p w14:paraId="18F8B52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(3%)</w:t>
            </w:r>
          </w:p>
        </w:tc>
      </w:tr>
    </w:tbl>
    <w:p w14:paraId="181A7821" w14:textId="77777777" w:rsidR="00FF69F8" w:rsidRPr="00EF52A6" w:rsidRDefault="00FF69F8" w:rsidP="00FF69F8">
      <w:pPr>
        <w:tabs>
          <w:tab w:val="left" w:pos="540"/>
          <w:tab w:val="left" w:pos="569"/>
        </w:tabs>
        <w:rPr>
          <w:sz w:val="22"/>
          <w:szCs w:val="22"/>
          <w:lang w:val="sr-Latn-ME"/>
        </w:rPr>
        <w:sectPr w:rsidR="00FF69F8" w:rsidRPr="00EF52A6" w:rsidSect="00FF69F8">
          <w:pgSz w:w="11910" w:h="16840"/>
          <w:pgMar w:top="1040" w:right="1200" w:bottom="1180" w:left="1200" w:header="0" w:footer="905" w:gutter="0"/>
          <w:cols w:space="720"/>
        </w:sect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2122"/>
        <w:gridCol w:w="2415"/>
        <w:gridCol w:w="2410"/>
      </w:tblGrid>
      <w:tr w:rsidR="00FF69F8" w:rsidRPr="00EF52A6" w14:paraId="397F9EC2" w14:textId="77777777" w:rsidTr="00076F76">
        <w:trPr>
          <w:trHeight w:val="1525"/>
        </w:trPr>
        <w:tc>
          <w:tcPr>
            <w:tcW w:w="1992" w:type="dxa"/>
          </w:tcPr>
          <w:p w14:paraId="4A7F43AF"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lastRenderedPageBreak/>
              <w:t>MedDRA klasa sistema organa</w:t>
            </w:r>
          </w:p>
        </w:tc>
        <w:tc>
          <w:tcPr>
            <w:tcW w:w="2122" w:type="dxa"/>
          </w:tcPr>
          <w:p w14:paraId="0F54652C"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MedDRA termin</w:t>
            </w:r>
          </w:p>
        </w:tc>
        <w:tc>
          <w:tcPr>
            <w:tcW w:w="2415" w:type="dxa"/>
          </w:tcPr>
          <w:p w14:paraId="33B9FF3C"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Ukupna učestalost (svi CTCAE gradusi)</w:t>
            </w:r>
          </w:p>
          <w:p w14:paraId="018167C2" w14:textId="77777777" w:rsidR="00FF69F8" w:rsidRPr="00EF52A6" w:rsidRDefault="00FF69F8" w:rsidP="00FF69F8">
            <w:pPr>
              <w:tabs>
                <w:tab w:val="left" w:pos="540"/>
                <w:tab w:val="left" w:pos="569"/>
              </w:tabs>
              <w:rPr>
                <w:sz w:val="22"/>
                <w:szCs w:val="22"/>
                <w:lang w:val="sr-Latn-ME"/>
              </w:rPr>
            </w:pPr>
          </w:p>
          <w:p w14:paraId="5C76317A"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Pedijatrijski pacijenti sa NF1</w:t>
            </w:r>
            <w:r w:rsidRPr="00EF52A6">
              <w:rPr>
                <w:sz w:val="22"/>
                <w:szCs w:val="22"/>
                <w:vertAlign w:val="superscript"/>
                <w:lang w:val="sr-Latn-ME"/>
              </w:rPr>
              <w:t>‡</w:t>
            </w:r>
            <w:r w:rsidRPr="00EF52A6">
              <w:rPr>
                <w:sz w:val="22"/>
                <w:szCs w:val="22"/>
                <w:lang w:val="sr-Latn-ME"/>
              </w:rPr>
              <w:t xml:space="preserve"> </w:t>
            </w:r>
            <w:r w:rsidRPr="00EF52A6">
              <w:rPr>
                <w:b/>
                <w:bCs/>
                <w:sz w:val="22"/>
                <w:szCs w:val="22"/>
                <w:lang w:val="sr-Latn-ME"/>
              </w:rPr>
              <w:t>(N = 74)</w:t>
            </w:r>
          </w:p>
        </w:tc>
        <w:tc>
          <w:tcPr>
            <w:tcW w:w="2410" w:type="dxa"/>
          </w:tcPr>
          <w:p w14:paraId="3D54F169"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Učestalost 3. ili višeg gradusa CTCAE</w:t>
            </w:r>
          </w:p>
          <w:p w14:paraId="7EBE1126" w14:textId="77777777" w:rsidR="00FF69F8" w:rsidRPr="00EF52A6" w:rsidRDefault="00FF69F8" w:rsidP="00FF69F8">
            <w:pPr>
              <w:tabs>
                <w:tab w:val="left" w:pos="540"/>
                <w:tab w:val="left" w:pos="569"/>
              </w:tabs>
              <w:rPr>
                <w:sz w:val="22"/>
                <w:szCs w:val="22"/>
                <w:lang w:val="sr-Latn-ME"/>
              </w:rPr>
            </w:pPr>
          </w:p>
          <w:p w14:paraId="5CA4CDFF" w14:textId="77777777" w:rsidR="00FF69F8" w:rsidRPr="00EF52A6" w:rsidRDefault="00FF69F8" w:rsidP="00FF69F8">
            <w:pPr>
              <w:tabs>
                <w:tab w:val="left" w:pos="540"/>
                <w:tab w:val="left" w:pos="569"/>
              </w:tabs>
              <w:rPr>
                <w:b/>
                <w:sz w:val="22"/>
                <w:szCs w:val="22"/>
                <w:lang w:val="sr-Latn-ME"/>
              </w:rPr>
            </w:pPr>
            <w:r w:rsidRPr="00EF52A6">
              <w:rPr>
                <w:b/>
                <w:bCs/>
                <w:sz w:val="22"/>
                <w:szCs w:val="22"/>
                <w:lang w:val="sr-Latn-ME"/>
              </w:rPr>
              <w:t>Pedijatrijski pacijenti sa NF1</w:t>
            </w:r>
            <w:r w:rsidRPr="00EF52A6">
              <w:rPr>
                <w:sz w:val="22"/>
                <w:szCs w:val="22"/>
                <w:vertAlign w:val="superscript"/>
                <w:lang w:val="sr-Latn-ME"/>
              </w:rPr>
              <w:t>‡</w:t>
            </w:r>
            <w:r w:rsidRPr="00EF52A6">
              <w:rPr>
                <w:sz w:val="22"/>
                <w:szCs w:val="22"/>
                <w:lang w:val="sr-Latn-ME"/>
              </w:rPr>
              <w:t xml:space="preserve"> </w:t>
            </w:r>
            <w:r w:rsidRPr="00EF52A6">
              <w:rPr>
                <w:b/>
                <w:bCs/>
                <w:sz w:val="22"/>
                <w:szCs w:val="22"/>
                <w:lang w:val="sr-Latn-ME"/>
              </w:rPr>
              <w:t>(N = 74)</w:t>
            </w:r>
          </w:p>
        </w:tc>
      </w:tr>
      <w:tr w:rsidR="00FF69F8" w:rsidRPr="00EF52A6" w14:paraId="6C0B5623" w14:textId="77777777" w:rsidTr="00076F76">
        <w:trPr>
          <w:trHeight w:val="254"/>
        </w:trPr>
        <w:tc>
          <w:tcPr>
            <w:tcW w:w="1992" w:type="dxa"/>
            <w:vMerge w:val="restart"/>
          </w:tcPr>
          <w:p w14:paraId="6FFA3A43" w14:textId="77777777" w:rsidR="00FF69F8" w:rsidRPr="00EF52A6" w:rsidRDefault="00FF69F8" w:rsidP="00FF69F8">
            <w:pPr>
              <w:tabs>
                <w:tab w:val="left" w:pos="540"/>
                <w:tab w:val="left" w:pos="569"/>
              </w:tabs>
              <w:rPr>
                <w:sz w:val="22"/>
                <w:szCs w:val="22"/>
                <w:lang w:val="sr-Latn-ME"/>
              </w:rPr>
            </w:pPr>
          </w:p>
        </w:tc>
        <w:tc>
          <w:tcPr>
            <w:tcW w:w="2122" w:type="dxa"/>
          </w:tcPr>
          <w:p w14:paraId="6D9A089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Stomatitis^</w:t>
            </w:r>
          </w:p>
        </w:tc>
        <w:tc>
          <w:tcPr>
            <w:tcW w:w="2415" w:type="dxa"/>
          </w:tcPr>
          <w:p w14:paraId="494934A5"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(55%)</w:t>
            </w:r>
          </w:p>
        </w:tc>
        <w:tc>
          <w:tcPr>
            <w:tcW w:w="2410" w:type="dxa"/>
          </w:tcPr>
          <w:p w14:paraId="18756E0B"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(1%)</w:t>
            </w:r>
          </w:p>
        </w:tc>
      </w:tr>
      <w:tr w:rsidR="00FF69F8" w:rsidRPr="00EF52A6" w14:paraId="1E490DE8" w14:textId="77777777" w:rsidTr="00076F76">
        <w:trPr>
          <w:trHeight w:val="253"/>
        </w:trPr>
        <w:tc>
          <w:tcPr>
            <w:tcW w:w="1992" w:type="dxa"/>
            <w:vMerge/>
            <w:tcBorders>
              <w:top w:val="nil"/>
            </w:tcBorders>
          </w:tcPr>
          <w:p w14:paraId="09F47B1F" w14:textId="77777777" w:rsidR="00FF69F8" w:rsidRPr="00EF52A6" w:rsidRDefault="00FF69F8" w:rsidP="00FF69F8">
            <w:pPr>
              <w:tabs>
                <w:tab w:val="left" w:pos="540"/>
                <w:tab w:val="left" w:pos="569"/>
              </w:tabs>
              <w:rPr>
                <w:sz w:val="22"/>
                <w:szCs w:val="22"/>
                <w:lang w:val="sr-Latn-ME"/>
              </w:rPr>
            </w:pPr>
          </w:p>
        </w:tc>
        <w:tc>
          <w:tcPr>
            <w:tcW w:w="2122" w:type="dxa"/>
          </w:tcPr>
          <w:p w14:paraId="0324183A"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Suva usta</w:t>
            </w:r>
          </w:p>
        </w:tc>
        <w:tc>
          <w:tcPr>
            <w:tcW w:w="2415" w:type="dxa"/>
          </w:tcPr>
          <w:p w14:paraId="1AC212E2"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(5%)</w:t>
            </w:r>
          </w:p>
        </w:tc>
        <w:tc>
          <w:tcPr>
            <w:tcW w:w="2410" w:type="dxa"/>
          </w:tcPr>
          <w:p w14:paraId="225B2938"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12B11BDA" w14:textId="77777777" w:rsidTr="00076F76">
        <w:trPr>
          <w:trHeight w:val="757"/>
        </w:trPr>
        <w:tc>
          <w:tcPr>
            <w:tcW w:w="1992" w:type="dxa"/>
            <w:vMerge w:val="restart"/>
          </w:tcPr>
          <w:p w14:paraId="73A73879"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Poremećaji kože i potkožnog tkiva</w:t>
            </w:r>
          </w:p>
        </w:tc>
        <w:tc>
          <w:tcPr>
            <w:tcW w:w="2122" w:type="dxa"/>
          </w:tcPr>
          <w:p w14:paraId="712E66D3"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Suva koža</w:t>
            </w:r>
          </w:p>
        </w:tc>
        <w:tc>
          <w:tcPr>
            <w:tcW w:w="2415" w:type="dxa"/>
          </w:tcPr>
          <w:p w14:paraId="1C2BAA03"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(65%)</w:t>
            </w:r>
          </w:p>
        </w:tc>
        <w:tc>
          <w:tcPr>
            <w:tcW w:w="2410" w:type="dxa"/>
          </w:tcPr>
          <w:p w14:paraId="5225E438"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(1%)</w:t>
            </w:r>
          </w:p>
        </w:tc>
      </w:tr>
      <w:tr w:rsidR="00FF69F8" w:rsidRPr="00EF52A6" w14:paraId="7B1E0572" w14:textId="77777777" w:rsidTr="00076F76">
        <w:trPr>
          <w:trHeight w:val="503"/>
        </w:trPr>
        <w:tc>
          <w:tcPr>
            <w:tcW w:w="1992" w:type="dxa"/>
            <w:vMerge/>
            <w:tcBorders>
              <w:top w:val="nil"/>
            </w:tcBorders>
          </w:tcPr>
          <w:p w14:paraId="2F863610" w14:textId="77777777" w:rsidR="00FF69F8" w:rsidRPr="00EF52A6" w:rsidRDefault="00FF69F8" w:rsidP="00FF69F8">
            <w:pPr>
              <w:tabs>
                <w:tab w:val="left" w:pos="540"/>
                <w:tab w:val="left" w:pos="569"/>
              </w:tabs>
              <w:rPr>
                <w:sz w:val="22"/>
                <w:szCs w:val="22"/>
                <w:lang w:val="sr-Latn-ME"/>
              </w:rPr>
            </w:pPr>
          </w:p>
        </w:tc>
        <w:tc>
          <w:tcPr>
            <w:tcW w:w="2122" w:type="dxa"/>
          </w:tcPr>
          <w:p w14:paraId="4AD4E2A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Akneiformni dermatitis^</w:t>
            </w:r>
          </w:p>
        </w:tc>
        <w:tc>
          <w:tcPr>
            <w:tcW w:w="2415" w:type="dxa"/>
          </w:tcPr>
          <w:p w14:paraId="6408B8A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(61%)</w:t>
            </w:r>
          </w:p>
        </w:tc>
        <w:tc>
          <w:tcPr>
            <w:tcW w:w="2410" w:type="dxa"/>
          </w:tcPr>
          <w:p w14:paraId="3DA196AB"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(4%)</w:t>
            </w:r>
          </w:p>
        </w:tc>
      </w:tr>
      <w:tr w:rsidR="00FF69F8" w:rsidRPr="00EF52A6" w14:paraId="47EC970E" w14:textId="77777777" w:rsidTr="00076F76">
        <w:trPr>
          <w:trHeight w:val="254"/>
        </w:trPr>
        <w:tc>
          <w:tcPr>
            <w:tcW w:w="1992" w:type="dxa"/>
            <w:vMerge/>
            <w:tcBorders>
              <w:top w:val="nil"/>
            </w:tcBorders>
          </w:tcPr>
          <w:p w14:paraId="49C3D2C3" w14:textId="77777777" w:rsidR="00FF69F8" w:rsidRPr="00EF52A6" w:rsidRDefault="00FF69F8" w:rsidP="00FF69F8">
            <w:pPr>
              <w:tabs>
                <w:tab w:val="left" w:pos="540"/>
                <w:tab w:val="left" w:pos="569"/>
              </w:tabs>
              <w:rPr>
                <w:sz w:val="22"/>
                <w:szCs w:val="22"/>
                <w:lang w:val="sr-Latn-ME"/>
              </w:rPr>
            </w:pPr>
          </w:p>
        </w:tc>
        <w:tc>
          <w:tcPr>
            <w:tcW w:w="2122" w:type="dxa"/>
          </w:tcPr>
          <w:p w14:paraId="78794F7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Paronihija^</w:t>
            </w:r>
          </w:p>
        </w:tc>
        <w:tc>
          <w:tcPr>
            <w:tcW w:w="2415" w:type="dxa"/>
          </w:tcPr>
          <w:p w14:paraId="60EB67A4"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(57%)</w:t>
            </w:r>
          </w:p>
        </w:tc>
        <w:tc>
          <w:tcPr>
            <w:tcW w:w="2410" w:type="dxa"/>
          </w:tcPr>
          <w:p w14:paraId="41F3FAE2"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(14%)</w:t>
            </w:r>
          </w:p>
        </w:tc>
      </w:tr>
      <w:tr w:rsidR="00FF69F8" w:rsidRPr="00EF52A6" w14:paraId="29AB15B4" w14:textId="77777777" w:rsidTr="00076F76">
        <w:trPr>
          <w:trHeight w:val="508"/>
        </w:trPr>
        <w:tc>
          <w:tcPr>
            <w:tcW w:w="1992" w:type="dxa"/>
            <w:vMerge/>
            <w:tcBorders>
              <w:top w:val="nil"/>
            </w:tcBorders>
          </w:tcPr>
          <w:p w14:paraId="5A6BBD97" w14:textId="77777777" w:rsidR="00FF69F8" w:rsidRPr="00EF52A6" w:rsidRDefault="00FF69F8" w:rsidP="00FF69F8">
            <w:pPr>
              <w:tabs>
                <w:tab w:val="left" w:pos="540"/>
                <w:tab w:val="left" w:pos="569"/>
              </w:tabs>
              <w:rPr>
                <w:sz w:val="22"/>
                <w:szCs w:val="22"/>
                <w:lang w:val="sr-Latn-ME"/>
              </w:rPr>
            </w:pPr>
          </w:p>
        </w:tc>
        <w:tc>
          <w:tcPr>
            <w:tcW w:w="2122" w:type="dxa"/>
          </w:tcPr>
          <w:p w14:paraId="10A7D8D2" w14:textId="77777777" w:rsidR="00FD33E5" w:rsidRPr="00EF52A6" w:rsidRDefault="00FF69F8" w:rsidP="00004DE1">
            <w:pPr>
              <w:tabs>
                <w:tab w:val="left" w:pos="540"/>
                <w:tab w:val="left" w:pos="569"/>
              </w:tabs>
              <w:rPr>
                <w:sz w:val="22"/>
                <w:szCs w:val="22"/>
                <w:lang w:val="sr-Latn-ME"/>
              </w:rPr>
            </w:pPr>
            <w:r w:rsidRPr="00EF52A6">
              <w:rPr>
                <w:sz w:val="22"/>
                <w:szCs w:val="22"/>
                <w:lang w:val="sr-Latn-ME"/>
              </w:rPr>
              <w:t>Osipi</w:t>
            </w:r>
          </w:p>
          <w:p w14:paraId="485E08CB" w14:textId="404B0D1D" w:rsidR="00FF69F8" w:rsidRPr="00EF52A6" w:rsidRDefault="00FF69F8">
            <w:pPr>
              <w:tabs>
                <w:tab w:val="left" w:pos="540"/>
                <w:tab w:val="left" w:pos="569"/>
              </w:tabs>
              <w:rPr>
                <w:sz w:val="22"/>
                <w:szCs w:val="22"/>
                <w:lang w:val="sr-Latn-ME"/>
              </w:rPr>
            </w:pPr>
            <w:r w:rsidRPr="00EF52A6">
              <w:rPr>
                <w:sz w:val="22"/>
                <w:szCs w:val="22"/>
                <w:lang w:val="sr-Latn-ME"/>
              </w:rPr>
              <w:t>(neakneiformni)^ *</w:t>
            </w:r>
          </w:p>
        </w:tc>
        <w:tc>
          <w:tcPr>
            <w:tcW w:w="2415" w:type="dxa"/>
          </w:tcPr>
          <w:p w14:paraId="5A841D19"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(53%)</w:t>
            </w:r>
          </w:p>
        </w:tc>
        <w:tc>
          <w:tcPr>
            <w:tcW w:w="2410" w:type="dxa"/>
          </w:tcPr>
          <w:p w14:paraId="195D419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(3%)</w:t>
            </w:r>
          </w:p>
        </w:tc>
      </w:tr>
      <w:tr w:rsidR="00FF69F8" w:rsidRPr="00EF52A6" w14:paraId="606099A0" w14:textId="77777777" w:rsidTr="00076F76">
        <w:trPr>
          <w:trHeight w:val="249"/>
        </w:trPr>
        <w:tc>
          <w:tcPr>
            <w:tcW w:w="1992" w:type="dxa"/>
            <w:vMerge/>
            <w:tcBorders>
              <w:top w:val="nil"/>
            </w:tcBorders>
          </w:tcPr>
          <w:p w14:paraId="236C62EC" w14:textId="77777777" w:rsidR="00FF69F8" w:rsidRPr="00EF52A6" w:rsidRDefault="00FF69F8" w:rsidP="00FF69F8">
            <w:pPr>
              <w:tabs>
                <w:tab w:val="left" w:pos="540"/>
                <w:tab w:val="left" w:pos="569"/>
              </w:tabs>
              <w:rPr>
                <w:sz w:val="22"/>
                <w:szCs w:val="22"/>
                <w:lang w:val="sr-Latn-ME"/>
              </w:rPr>
            </w:pPr>
          </w:p>
        </w:tc>
        <w:tc>
          <w:tcPr>
            <w:tcW w:w="2122" w:type="dxa"/>
          </w:tcPr>
          <w:p w14:paraId="101BCAFC" w14:textId="3E8833A6" w:rsidR="00FF69F8" w:rsidRPr="00EF52A6" w:rsidRDefault="00FF69F8" w:rsidP="00FF69F8">
            <w:pPr>
              <w:tabs>
                <w:tab w:val="left" w:pos="540"/>
                <w:tab w:val="left" w:pos="569"/>
              </w:tabs>
              <w:rPr>
                <w:sz w:val="22"/>
                <w:szCs w:val="22"/>
                <w:lang w:val="sr-Latn-ME"/>
              </w:rPr>
            </w:pPr>
            <w:r w:rsidRPr="00EF52A6">
              <w:rPr>
                <w:sz w:val="22"/>
                <w:szCs w:val="22"/>
                <w:lang w:val="sr-Latn-ME"/>
              </w:rPr>
              <w:t>Prom</w:t>
            </w:r>
            <w:r w:rsidR="00A90C8D" w:rsidRPr="00EF52A6">
              <w:rPr>
                <w:sz w:val="22"/>
                <w:szCs w:val="22"/>
                <w:lang w:val="sr-Latn-ME"/>
              </w:rPr>
              <w:t>j</w:t>
            </w:r>
            <w:r w:rsidRPr="00EF52A6">
              <w:rPr>
                <w:sz w:val="22"/>
                <w:szCs w:val="22"/>
                <w:lang w:val="sr-Latn-ME"/>
              </w:rPr>
              <w:t>ene na kosi^ *</w:t>
            </w:r>
          </w:p>
        </w:tc>
        <w:tc>
          <w:tcPr>
            <w:tcW w:w="2415" w:type="dxa"/>
          </w:tcPr>
          <w:p w14:paraId="1546D175"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(39%)</w:t>
            </w:r>
          </w:p>
        </w:tc>
        <w:tc>
          <w:tcPr>
            <w:tcW w:w="2410" w:type="dxa"/>
          </w:tcPr>
          <w:p w14:paraId="58DE39EA"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2E166F73" w14:textId="77777777" w:rsidTr="00076F76">
        <w:trPr>
          <w:trHeight w:val="253"/>
        </w:trPr>
        <w:tc>
          <w:tcPr>
            <w:tcW w:w="1992" w:type="dxa"/>
            <w:vMerge w:val="restart"/>
          </w:tcPr>
          <w:p w14:paraId="74F2843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Opšti poremećaji</w:t>
            </w:r>
          </w:p>
        </w:tc>
        <w:tc>
          <w:tcPr>
            <w:tcW w:w="2122" w:type="dxa"/>
          </w:tcPr>
          <w:p w14:paraId="16C7EE55"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Pireksija</w:t>
            </w:r>
          </w:p>
        </w:tc>
        <w:tc>
          <w:tcPr>
            <w:tcW w:w="2415" w:type="dxa"/>
          </w:tcPr>
          <w:p w14:paraId="0F0EE229"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(61%)</w:t>
            </w:r>
          </w:p>
        </w:tc>
        <w:tc>
          <w:tcPr>
            <w:tcW w:w="2410" w:type="dxa"/>
          </w:tcPr>
          <w:p w14:paraId="490709F9"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(8%)</w:t>
            </w:r>
          </w:p>
        </w:tc>
      </w:tr>
      <w:tr w:rsidR="00FF69F8" w:rsidRPr="00EF52A6" w14:paraId="045713EC" w14:textId="77777777" w:rsidTr="00076F76">
        <w:trPr>
          <w:trHeight w:val="254"/>
        </w:trPr>
        <w:tc>
          <w:tcPr>
            <w:tcW w:w="1992" w:type="dxa"/>
            <w:vMerge/>
            <w:tcBorders>
              <w:top w:val="nil"/>
            </w:tcBorders>
          </w:tcPr>
          <w:p w14:paraId="2DBE4806" w14:textId="77777777" w:rsidR="00FF69F8" w:rsidRPr="00EF52A6" w:rsidRDefault="00FF69F8" w:rsidP="00FF69F8">
            <w:pPr>
              <w:tabs>
                <w:tab w:val="left" w:pos="540"/>
                <w:tab w:val="left" w:pos="569"/>
              </w:tabs>
              <w:rPr>
                <w:sz w:val="22"/>
                <w:szCs w:val="22"/>
                <w:lang w:val="sr-Latn-ME"/>
              </w:rPr>
            </w:pPr>
          </w:p>
        </w:tc>
        <w:tc>
          <w:tcPr>
            <w:tcW w:w="2122" w:type="dxa"/>
          </w:tcPr>
          <w:p w14:paraId="77DDDF53"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Astenijski događaji*</w:t>
            </w:r>
          </w:p>
        </w:tc>
        <w:tc>
          <w:tcPr>
            <w:tcW w:w="2415" w:type="dxa"/>
          </w:tcPr>
          <w:p w14:paraId="15CD687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(59%)</w:t>
            </w:r>
          </w:p>
        </w:tc>
        <w:tc>
          <w:tcPr>
            <w:tcW w:w="2410" w:type="dxa"/>
          </w:tcPr>
          <w:p w14:paraId="042E6EA3"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3D2F2747" w14:textId="77777777" w:rsidTr="00076F76">
        <w:trPr>
          <w:trHeight w:val="253"/>
        </w:trPr>
        <w:tc>
          <w:tcPr>
            <w:tcW w:w="1992" w:type="dxa"/>
            <w:vMerge/>
            <w:tcBorders>
              <w:top w:val="nil"/>
            </w:tcBorders>
          </w:tcPr>
          <w:p w14:paraId="1BA3FAC3" w14:textId="77777777" w:rsidR="00FF69F8" w:rsidRPr="00EF52A6" w:rsidRDefault="00FF69F8" w:rsidP="00FF69F8">
            <w:pPr>
              <w:tabs>
                <w:tab w:val="left" w:pos="540"/>
                <w:tab w:val="left" w:pos="569"/>
              </w:tabs>
              <w:rPr>
                <w:sz w:val="22"/>
                <w:szCs w:val="22"/>
                <w:lang w:val="sr-Latn-ME"/>
              </w:rPr>
            </w:pPr>
          </w:p>
        </w:tc>
        <w:tc>
          <w:tcPr>
            <w:tcW w:w="2122" w:type="dxa"/>
          </w:tcPr>
          <w:p w14:paraId="7CD7BCE3"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Periferni edem*</w:t>
            </w:r>
          </w:p>
        </w:tc>
        <w:tc>
          <w:tcPr>
            <w:tcW w:w="2415" w:type="dxa"/>
          </w:tcPr>
          <w:p w14:paraId="7B765D8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(31%)</w:t>
            </w:r>
          </w:p>
        </w:tc>
        <w:tc>
          <w:tcPr>
            <w:tcW w:w="2410" w:type="dxa"/>
          </w:tcPr>
          <w:p w14:paraId="06EFEBA1"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680CC257" w14:textId="77777777" w:rsidTr="00076F76">
        <w:trPr>
          <w:trHeight w:val="254"/>
        </w:trPr>
        <w:tc>
          <w:tcPr>
            <w:tcW w:w="1992" w:type="dxa"/>
            <w:vMerge/>
            <w:tcBorders>
              <w:top w:val="nil"/>
            </w:tcBorders>
          </w:tcPr>
          <w:p w14:paraId="55029394" w14:textId="77777777" w:rsidR="00FF69F8" w:rsidRPr="00EF52A6" w:rsidRDefault="00FF69F8" w:rsidP="00FF69F8">
            <w:pPr>
              <w:tabs>
                <w:tab w:val="left" w:pos="540"/>
                <w:tab w:val="left" w:pos="569"/>
              </w:tabs>
              <w:rPr>
                <w:sz w:val="22"/>
                <w:szCs w:val="22"/>
                <w:lang w:val="sr-Latn-ME"/>
              </w:rPr>
            </w:pPr>
          </w:p>
        </w:tc>
        <w:tc>
          <w:tcPr>
            <w:tcW w:w="2122" w:type="dxa"/>
          </w:tcPr>
          <w:p w14:paraId="5EE464D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Facijalni edem*</w:t>
            </w:r>
          </w:p>
        </w:tc>
        <w:tc>
          <w:tcPr>
            <w:tcW w:w="2415" w:type="dxa"/>
          </w:tcPr>
          <w:p w14:paraId="7AFE52CA"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(8%)</w:t>
            </w:r>
          </w:p>
        </w:tc>
        <w:tc>
          <w:tcPr>
            <w:tcW w:w="2410" w:type="dxa"/>
          </w:tcPr>
          <w:p w14:paraId="09BB0DCA"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22B448B6" w14:textId="77777777" w:rsidTr="00076F76">
        <w:trPr>
          <w:trHeight w:val="503"/>
        </w:trPr>
        <w:tc>
          <w:tcPr>
            <w:tcW w:w="1992" w:type="dxa"/>
            <w:vMerge w:val="restart"/>
          </w:tcPr>
          <w:p w14:paraId="4C887A24"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Ispitivanja</w:t>
            </w:r>
          </w:p>
        </w:tc>
        <w:tc>
          <w:tcPr>
            <w:tcW w:w="2122" w:type="dxa"/>
          </w:tcPr>
          <w:p w14:paraId="2AC29E8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Povišena CPK</w:t>
            </w:r>
          </w:p>
          <w:p w14:paraId="07498182"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u krvi^</w:t>
            </w:r>
          </w:p>
        </w:tc>
        <w:tc>
          <w:tcPr>
            <w:tcW w:w="2415" w:type="dxa"/>
          </w:tcPr>
          <w:p w14:paraId="29FA1C7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(77%)</w:t>
            </w:r>
          </w:p>
        </w:tc>
        <w:tc>
          <w:tcPr>
            <w:tcW w:w="2410" w:type="dxa"/>
          </w:tcPr>
          <w:p w14:paraId="7B23AD17"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(9%)</w:t>
            </w:r>
          </w:p>
        </w:tc>
      </w:tr>
      <w:tr w:rsidR="00FF69F8" w:rsidRPr="00EF52A6" w14:paraId="576AB52F" w14:textId="77777777" w:rsidTr="00076F76">
        <w:trPr>
          <w:trHeight w:val="503"/>
        </w:trPr>
        <w:tc>
          <w:tcPr>
            <w:tcW w:w="1992" w:type="dxa"/>
            <w:vMerge/>
            <w:tcBorders>
              <w:top w:val="nil"/>
            </w:tcBorders>
          </w:tcPr>
          <w:p w14:paraId="7956439B" w14:textId="77777777" w:rsidR="00FF69F8" w:rsidRPr="00EF52A6" w:rsidRDefault="00FF69F8" w:rsidP="00FF69F8">
            <w:pPr>
              <w:tabs>
                <w:tab w:val="left" w:pos="540"/>
                <w:tab w:val="left" w:pos="569"/>
              </w:tabs>
              <w:rPr>
                <w:sz w:val="22"/>
                <w:szCs w:val="22"/>
                <w:lang w:val="sr-Latn-ME"/>
              </w:rPr>
            </w:pPr>
          </w:p>
        </w:tc>
        <w:tc>
          <w:tcPr>
            <w:tcW w:w="2122" w:type="dxa"/>
          </w:tcPr>
          <w:p w14:paraId="7D6C9B2C" w14:textId="1A42DF77" w:rsidR="00FF69F8" w:rsidRPr="00EF52A6" w:rsidRDefault="00FD33E5" w:rsidP="00FF69F8">
            <w:pPr>
              <w:tabs>
                <w:tab w:val="left" w:pos="540"/>
                <w:tab w:val="left" w:pos="569"/>
              </w:tabs>
              <w:rPr>
                <w:sz w:val="22"/>
                <w:szCs w:val="22"/>
                <w:lang w:val="sr-Latn-ME"/>
              </w:rPr>
            </w:pPr>
            <w:r w:rsidRPr="00EF52A6">
              <w:rPr>
                <w:sz w:val="22"/>
                <w:szCs w:val="22"/>
                <w:lang w:val="sr-Latn-ME"/>
              </w:rPr>
              <w:t xml:space="preserve">Snižen </w:t>
            </w:r>
            <w:r w:rsidR="00FF69F8" w:rsidRPr="00EF52A6">
              <w:rPr>
                <w:sz w:val="22"/>
                <w:szCs w:val="22"/>
                <w:lang w:val="sr-Latn-ME"/>
              </w:rPr>
              <w:t>nivo hemoglobina*</w:t>
            </w:r>
          </w:p>
        </w:tc>
        <w:tc>
          <w:tcPr>
            <w:tcW w:w="2415" w:type="dxa"/>
          </w:tcPr>
          <w:p w14:paraId="4A89EF94"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(54%)</w:t>
            </w:r>
          </w:p>
        </w:tc>
        <w:tc>
          <w:tcPr>
            <w:tcW w:w="2410" w:type="dxa"/>
          </w:tcPr>
          <w:p w14:paraId="28B8DFB4"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(3%)</w:t>
            </w:r>
          </w:p>
        </w:tc>
      </w:tr>
      <w:tr w:rsidR="00FF69F8" w:rsidRPr="00EF52A6" w14:paraId="1F885BE3" w14:textId="77777777" w:rsidTr="00076F76">
        <w:trPr>
          <w:trHeight w:val="253"/>
        </w:trPr>
        <w:tc>
          <w:tcPr>
            <w:tcW w:w="1992" w:type="dxa"/>
            <w:vMerge/>
            <w:tcBorders>
              <w:top w:val="nil"/>
            </w:tcBorders>
          </w:tcPr>
          <w:p w14:paraId="33B5C024" w14:textId="77777777" w:rsidR="00FF69F8" w:rsidRPr="00EF52A6" w:rsidRDefault="00FF69F8" w:rsidP="00FF69F8">
            <w:pPr>
              <w:tabs>
                <w:tab w:val="left" w:pos="540"/>
                <w:tab w:val="left" w:pos="569"/>
              </w:tabs>
              <w:rPr>
                <w:sz w:val="22"/>
                <w:szCs w:val="22"/>
                <w:lang w:val="sr-Latn-ME"/>
              </w:rPr>
            </w:pPr>
          </w:p>
        </w:tc>
        <w:tc>
          <w:tcPr>
            <w:tcW w:w="2122" w:type="dxa"/>
          </w:tcPr>
          <w:p w14:paraId="5E98E66A"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Hipoalbuminemija</w:t>
            </w:r>
          </w:p>
        </w:tc>
        <w:tc>
          <w:tcPr>
            <w:tcW w:w="2415" w:type="dxa"/>
          </w:tcPr>
          <w:p w14:paraId="2ACC5956"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(51%)</w:t>
            </w:r>
          </w:p>
        </w:tc>
        <w:tc>
          <w:tcPr>
            <w:tcW w:w="2410" w:type="dxa"/>
          </w:tcPr>
          <w:p w14:paraId="7C8BF023"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r w:rsidR="00FF69F8" w:rsidRPr="00EF52A6" w14:paraId="0003ADB3" w14:textId="77777777" w:rsidTr="00076F76">
        <w:trPr>
          <w:trHeight w:val="253"/>
        </w:trPr>
        <w:tc>
          <w:tcPr>
            <w:tcW w:w="1992" w:type="dxa"/>
            <w:vMerge/>
            <w:tcBorders>
              <w:top w:val="nil"/>
            </w:tcBorders>
          </w:tcPr>
          <w:p w14:paraId="4D39DFF7" w14:textId="77777777" w:rsidR="00FF69F8" w:rsidRPr="00EF52A6" w:rsidRDefault="00FF69F8" w:rsidP="00FF69F8">
            <w:pPr>
              <w:tabs>
                <w:tab w:val="left" w:pos="540"/>
                <w:tab w:val="left" w:pos="569"/>
              </w:tabs>
              <w:rPr>
                <w:sz w:val="22"/>
                <w:szCs w:val="22"/>
                <w:lang w:val="sr-Latn-ME"/>
              </w:rPr>
            </w:pPr>
          </w:p>
        </w:tc>
        <w:tc>
          <w:tcPr>
            <w:tcW w:w="2122" w:type="dxa"/>
          </w:tcPr>
          <w:p w14:paraId="4051F207" w14:textId="1283881D" w:rsidR="00FF69F8" w:rsidRPr="00EF52A6" w:rsidRDefault="00FF69F8" w:rsidP="00FF69F8">
            <w:pPr>
              <w:tabs>
                <w:tab w:val="left" w:pos="540"/>
                <w:tab w:val="left" w:pos="569"/>
              </w:tabs>
              <w:rPr>
                <w:sz w:val="22"/>
                <w:szCs w:val="22"/>
                <w:lang w:val="sr-Latn-ME"/>
              </w:rPr>
            </w:pPr>
            <w:r w:rsidRPr="00EF52A6">
              <w:rPr>
                <w:sz w:val="22"/>
                <w:szCs w:val="22"/>
                <w:lang w:val="sr-Latn-ME"/>
              </w:rPr>
              <w:t>Povišen</w:t>
            </w:r>
            <w:r w:rsidR="00FD33E5" w:rsidRPr="00EF52A6">
              <w:rPr>
                <w:sz w:val="22"/>
                <w:szCs w:val="22"/>
                <w:lang w:val="sr-Latn-ME"/>
              </w:rPr>
              <w:t xml:space="preserve"> nivo</w:t>
            </w:r>
            <w:r w:rsidRPr="00EF52A6">
              <w:rPr>
                <w:sz w:val="22"/>
                <w:szCs w:val="22"/>
                <w:lang w:val="sr-Latn-ME"/>
              </w:rPr>
              <w:t xml:space="preserve"> AST</w:t>
            </w:r>
          </w:p>
        </w:tc>
        <w:tc>
          <w:tcPr>
            <w:tcW w:w="2415" w:type="dxa"/>
          </w:tcPr>
          <w:p w14:paraId="22BED495"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(51%)</w:t>
            </w:r>
          </w:p>
        </w:tc>
        <w:tc>
          <w:tcPr>
            <w:tcW w:w="2410" w:type="dxa"/>
          </w:tcPr>
          <w:p w14:paraId="0DEE0A09"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(1%)</w:t>
            </w:r>
          </w:p>
        </w:tc>
      </w:tr>
      <w:tr w:rsidR="00FF69F8" w:rsidRPr="00EF52A6" w14:paraId="5E12A7F7" w14:textId="77777777" w:rsidTr="00076F76">
        <w:trPr>
          <w:trHeight w:val="253"/>
        </w:trPr>
        <w:tc>
          <w:tcPr>
            <w:tcW w:w="1992" w:type="dxa"/>
            <w:vMerge/>
            <w:tcBorders>
              <w:top w:val="nil"/>
            </w:tcBorders>
          </w:tcPr>
          <w:p w14:paraId="282B68DF" w14:textId="77777777" w:rsidR="00FF69F8" w:rsidRPr="00EF52A6" w:rsidRDefault="00FF69F8" w:rsidP="00FF69F8">
            <w:pPr>
              <w:tabs>
                <w:tab w:val="left" w:pos="540"/>
                <w:tab w:val="left" w:pos="569"/>
              </w:tabs>
              <w:rPr>
                <w:sz w:val="22"/>
                <w:szCs w:val="22"/>
                <w:lang w:val="sr-Latn-ME"/>
              </w:rPr>
            </w:pPr>
          </w:p>
        </w:tc>
        <w:tc>
          <w:tcPr>
            <w:tcW w:w="2122" w:type="dxa"/>
          </w:tcPr>
          <w:p w14:paraId="2462F95F" w14:textId="5B0976A2" w:rsidR="00FF69F8" w:rsidRPr="00EF52A6" w:rsidRDefault="00FF69F8" w:rsidP="00FF69F8">
            <w:pPr>
              <w:tabs>
                <w:tab w:val="left" w:pos="540"/>
                <w:tab w:val="left" w:pos="569"/>
              </w:tabs>
              <w:rPr>
                <w:sz w:val="22"/>
                <w:szCs w:val="22"/>
                <w:lang w:val="sr-Latn-ME"/>
              </w:rPr>
            </w:pPr>
            <w:r w:rsidRPr="00EF52A6">
              <w:rPr>
                <w:sz w:val="22"/>
                <w:szCs w:val="22"/>
                <w:lang w:val="sr-Latn-ME"/>
              </w:rPr>
              <w:t>Povišen</w:t>
            </w:r>
            <w:r w:rsidR="00FD33E5" w:rsidRPr="00EF52A6">
              <w:rPr>
                <w:sz w:val="22"/>
                <w:szCs w:val="22"/>
                <w:lang w:val="sr-Latn-ME"/>
              </w:rPr>
              <w:t xml:space="preserve"> nivo</w:t>
            </w:r>
            <w:r w:rsidRPr="00EF52A6">
              <w:rPr>
                <w:sz w:val="22"/>
                <w:szCs w:val="22"/>
                <w:lang w:val="sr-Latn-ME"/>
              </w:rPr>
              <w:t xml:space="preserve"> ALT</w:t>
            </w:r>
          </w:p>
        </w:tc>
        <w:tc>
          <w:tcPr>
            <w:tcW w:w="2415" w:type="dxa"/>
          </w:tcPr>
          <w:p w14:paraId="04058852"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(39%)</w:t>
            </w:r>
          </w:p>
        </w:tc>
        <w:tc>
          <w:tcPr>
            <w:tcW w:w="2410" w:type="dxa"/>
          </w:tcPr>
          <w:p w14:paraId="634B629A"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(3%)</w:t>
            </w:r>
          </w:p>
        </w:tc>
      </w:tr>
      <w:tr w:rsidR="00FF69F8" w:rsidRPr="00EF52A6" w14:paraId="5EBAF229" w14:textId="77777777" w:rsidTr="00076F76">
        <w:trPr>
          <w:trHeight w:val="503"/>
        </w:trPr>
        <w:tc>
          <w:tcPr>
            <w:tcW w:w="1992" w:type="dxa"/>
            <w:vMerge/>
            <w:tcBorders>
              <w:top w:val="nil"/>
            </w:tcBorders>
          </w:tcPr>
          <w:p w14:paraId="0CC29430" w14:textId="77777777" w:rsidR="00FF69F8" w:rsidRPr="00EF52A6" w:rsidRDefault="00FF69F8" w:rsidP="00FF69F8">
            <w:pPr>
              <w:tabs>
                <w:tab w:val="left" w:pos="540"/>
                <w:tab w:val="left" w:pos="569"/>
              </w:tabs>
              <w:rPr>
                <w:sz w:val="22"/>
                <w:szCs w:val="22"/>
                <w:lang w:val="sr-Latn-ME"/>
              </w:rPr>
            </w:pPr>
          </w:p>
        </w:tc>
        <w:tc>
          <w:tcPr>
            <w:tcW w:w="2122" w:type="dxa"/>
          </w:tcPr>
          <w:p w14:paraId="1FBBA6AB"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Povišen nivo kreatinina u krvi</w:t>
            </w:r>
          </w:p>
        </w:tc>
        <w:tc>
          <w:tcPr>
            <w:tcW w:w="2415" w:type="dxa"/>
          </w:tcPr>
          <w:p w14:paraId="7CF5AE8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(32%)</w:t>
            </w:r>
          </w:p>
        </w:tc>
        <w:tc>
          <w:tcPr>
            <w:tcW w:w="2410" w:type="dxa"/>
          </w:tcPr>
          <w:p w14:paraId="783685E1"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(1%)</w:t>
            </w:r>
          </w:p>
        </w:tc>
      </w:tr>
      <w:tr w:rsidR="00FF69F8" w:rsidRPr="00EF52A6" w14:paraId="3451CBBC" w14:textId="77777777" w:rsidTr="00076F76">
        <w:trPr>
          <w:trHeight w:val="508"/>
        </w:trPr>
        <w:tc>
          <w:tcPr>
            <w:tcW w:w="1992" w:type="dxa"/>
            <w:vMerge/>
            <w:tcBorders>
              <w:top w:val="nil"/>
            </w:tcBorders>
          </w:tcPr>
          <w:p w14:paraId="44E8FE9D" w14:textId="77777777" w:rsidR="00FF69F8" w:rsidRPr="00EF52A6" w:rsidRDefault="00FF69F8" w:rsidP="00FF69F8">
            <w:pPr>
              <w:tabs>
                <w:tab w:val="left" w:pos="540"/>
                <w:tab w:val="left" w:pos="569"/>
              </w:tabs>
              <w:rPr>
                <w:sz w:val="22"/>
                <w:szCs w:val="22"/>
                <w:lang w:val="sr-Latn-ME"/>
              </w:rPr>
            </w:pPr>
          </w:p>
        </w:tc>
        <w:tc>
          <w:tcPr>
            <w:tcW w:w="2122" w:type="dxa"/>
          </w:tcPr>
          <w:p w14:paraId="397CA035"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Smanjena ejekciona</w:t>
            </w:r>
          </w:p>
          <w:p w14:paraId="7D1ADC8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frakcija^</w:t>
            </w:r>
          </w:p>
        </w:tc>
        <w:tc>
          <w:tcPr>
            <w:tcW w:w="2415" w:type="dxa"/>
          </w:tcPr>
          <w:p w14:paraId="0A8C227C"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(28%)</w:t>
            </w:r>
          </w:p>
        </w:tc>
        <w:tc>
          <w:tcPr>
            <w:tcW w:w="2410" w:type="dxa"/>
          </w:tcPr>
          <w:p w14:paraId="3D139BEE"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Često (1%)</w:t>
            </w:r>
          </w:p>
        </w:tc>
      </w:tr>
      <w:tr w:rsidR="00FF69F8" w:rsidRPr="00EF52A6" w14:paraId="7F49999B" w14:textId="77777777" w:rsidTr="00076F76">
        <w:trPr>
          <w:trHeight w:val="503"/>
        </w:trPr>
        <w:tc>
          <w:tcPr>
            <w:tcW w:w="1992" w:type="dxa"/>
            <w:vMerge/>
            <w:tcBorders>
              <w:top w:val="nil"/>
            </w:tcBorders>
          </w:tcPr>
          <w:p w14:paraId="4101AFB5" w14:textId="77777777" w:rsidR="00FF69F8" w:rsidRPr="00EF52A6" w:rsidRDefault="00FF69F8" w:rsidP="00FF69F8">
            <w:pPr>
              <w:tabs>
                <w:tab w:val="left" w:pos="540"/>
                <w:tab w:val="left" w:pos="569"/>
              </w:tabs>
              <w:rPr>
                <w:sz w:val="22"/>
                <w:szCs w:val="22"/>
                <w:lang w:val="sr-Latn-ME"/>
              </w:rPr>
            </w:pPr>
          </w:p>
        </w:tc>
        <w:tc>
          <w:tcPr>
            <w:tcW w:w="2122" w:type="dxa"/>
          </w:tcPr>
          <w:p w14:paraId="78BE865F"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Povišen krvni pritisak*</w:t>
            </w:r>
          </w:p>
        </w:tc>
        <w:tc>
          <w:tcPr>
            <w:tcW w:w="2415" w:type="dxa"/>
          </w:tcPr>
          <w:p w14:paraId="4035DFA0"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Veoma često (18%)</w:t>
            </w:r>
          </w:p>
        </w:tc>
        <w:tc>
          <w:tcPr>
            <w:tcW w:w="2410" w:type="dxa"/>
          </w:tcPr>
          <w:p w14:paraId="6DD0D35D" w14:textId="77777777" w:rsidR="00FF69F8" w:rsidRPr="00EF52A6" w:rsidRDefault="00FF69F8" w:rsidP="00FF69F8">
            <w:pPr>
              <w:tabs>
                <w:tab w:val="left" w:pos="540"/>
                <w:tab w:val="left" w:pos="569"/>
              </w:tabs>
              <w:rPr>
                <w:sz w:val="22"/>
                <w:szCs w:val="22"/>
                <w:lang w:val="sr-Latn-ME"/>
              </w:rPr>
            </w:pPr>
            <w:r w:rsidRPr="00EF52A6">
              <w:rPr>
                <w:sz w:val="22"/>
                <w:szCs w:val="22"/>
                <w:lang w:val="sr-Latn-ME"/>
              </w:rPr>
              <w:t>-</w:t>
            </w:r>
          </w:p>
        </w:tc>
      </w:tr>
    </w:tbl>
    <w:p w14:paraId="4596D535" w14:textId="77777777" w:rsidR="00FF69F8" w:rsidRPr="00EF52A6" w:rsidRDefault="00FF69F8" w:rsidP="00DF11F1">
      <w:pPr>
        <w:tabs>
          <w:tab w:val="left" w:pos="540"/>
          <w:tab w:val="left" w:pos="569"/>
        </w:tabs>
        <w:ind w:left="238" w:right="816"/>
        <w:jc w:val="both"/>
        <w:rPr>
          <w:sz w:val="22"/>
          <w:szCs w:val="22"/>
          <w:lang w:val="sr-Latn-ME"/>
        </w:rPr>
      </w:pPr>
      <w:r w:rsidRPr="00EF52A6">
        <w:rPr>
          <w:sz w:val="22"/>
          <w:szCs w:val="22"/>
          <w:lang w:val="sr-Latn-ME"/>
        </w:rPr>
        <w:t>Prema verziji 4.03 CTCAE Nacionalnog instituta za karcinom</w:t>
      </w:r>
    </w:p>
    <w:p w14:paraId="467E1C82" w14:textId="77777777" w:rsidR="00FF69F8" w:rsidRPr="00EF52A6" w:rsidRDefault="00FF69F8" w:rsidP="00DF11F1">
      <w:pPr>
        <w:tabs>
          <w:tab w:val="left" w:pos="540"/>
          <w:tab w:val="left" w:pos="569"/>
        </w:tabs>
        <w:ind w:left="238" w:right="816"/>
        <w:jc w:val="both"/>
        <w:rPr>
          <w:sz w:val="22"/>
          <w:szCs w:val="22"/>
          <w:lang w:val="sr-Latn-ME"/>
        </w:rPr>
      </w:pPr>
      <w:r w:rsidRPr="00EF52A6">
        <w:rPr>
          <w:sz w:val="22"/>
          <w:szCs w:val="22"/>
          <w:lang w:val="sr-Latn-ME"/>
        </w:rPr>
        <w:t>CPK = kreatin fosfokinaza; AST = aspartat aminotransferaza; ALT = alanin aminotransferaza</w:t>
      </w:r>
    </w:p>
    <w:p w14:paraId="6F18814A" w14:textId="1519043D" w:rsidR="00FF69F8" w:rsidRPr="00EF52A6" w:rsidRDefault="00FF69F8" w:rsidP="00DF11F1">
      <w:pPr>
        <w:tabs>
          <w:tab w:val="left" w:pos="540"/>
          <w:tab w:val="left" w:pos="569"/>
        </w:tabs>
        <w:ind w:left="238" w:right="816"/>
        <w:jc w:val="both"/>
        <w:rPr>
          <w:sz w:val="22"/>
          <w:szCs w:val="22"/>
          <w:lang w:val="sr-Latn-ME"/>
        </w:rPr>
      </w:pPr>
      <w:r w:rsidRPr="00EF52A6">
        <w:rPr>
          <w:sz w:val="22"/>
          <w:szCs w:val="22"/>
          <w:vertAlign w:val="superscript"/>
          <w:lang w:val="sr-Latn-ME"/>
        </w:rPr>
        <w:t>^</w:t>
      </w:r>
      <w:r w:rsidRPr="00EF52A6">
        <w:rPr>
          <w:sz w:val="22"/>
          <w:szCs w:val="22"/>
          <w:lang w:val="sr-Latn-ME"/>
        </w:rPr>
        <w:t xml:space="preserve"> Pogledajte </w:t>
      </w:r>
      <w:r w:rsidR="00004DE1" w:rsidRPr="00EF52A6">
        <w:rPr>
          <w:sz w:val="22"/>
          <w:szCs w:val="22"/>
          <w:lang w:val="sr-Latn-ME"/>
        </w:rPr>
        <w:t>„</w:t>
      </w:r>
      <w:r w:rsidRPr="00EF52A6">
        <w:rPr>
          <w:sz w:val="22"/>
          <w:szCs w:val="22"/>
          <w:lang w:val="sr-Latn-ME"/>
        </w:rPr>
        <w:t xml:space="preserve">Opis odabranih neželjenih </w:t>
      </w:r>
      <w:r w:rsidR="00004DE1" w:rsidRPr="00EF52A6">
        <w:rPr>
          <w:sz w:val="22"/>
          <w:szCs w:val="22"/>
          <w:lang w:val="sr-Latn-ME"/>
        </w:rPr>
        <w:t>dejstava“.</w:t>
      </w:r>
    </w:p>
    <w:p w14:paraId="1A24DA76" w14:textId="35E6CEC2" w:rsidR="00FF69F8" w:rsidRPr="00EF52A6" w:rsidRDefault="00FF69F8" w:rsidP="00DF11F1">
      <w:pPr>
        <w:tabs>
          <w:tab w:val="left" w:pos="540"/>
          <w:tab w:val="left" w:pos="569"/>
        </w:tabs>
        <w:ind w:left="238" w:right="816"/>
        <w:jc w:val="both"/>
        <w:rPr>
          <w:sz w:val="22"/>
          <w:szCs w:val="22"/>
          <w:lang w:val="sr-Latn-ME"/>
        </w:rPr>
      </w:pPr>
      <w:r w:rsidRPr="00EF52A6">
        <w:rPr>
          <w:sz w:val="22"/>
          <w:szCs w:val="22"/>
          <w:vertAlign w:val="superscript"/>
          <w:lang w:val="sr-Latn-ME"/>
        </w:rPr>
        <w:t>†</w:t>
      </w:r>
      <w:r w:rsidRPr="00EF52A6">
        <w:rPr>
          <w:sz w:val="22"/>
          <w:szCs w:val="22"/>
          <w:lang w:val="sr-Latn-ME"/>
        </w:rPr>
        <w:t xml:space="preserve"> Sve reakcije su bile 3. gradusa CTCAE, osim jednog događaja </w:t>
      </w:r>
      <w:r w:rsidR="00004DE1" w:rsidRPr="00EF52A6">
        <w:rPr>
          <w:sz w:val="22"/>
          <w:szCs w:val="22"/>
          <w:lang w:val="sr-Latn-ME"/>
        </w:rPr>
        <w:t xml:space="preserve">povišenog nivoa CPK u krvi </w:t>
      </w:r>
      <w:r w:rsidRPr="00EF52A6">
        <w:rPr>
          <w:sz w:val="22"/>
          <w:szCs w:val="22"/>
          <w:lang w:val="sr-Latn-ME"/>
        </w:rPr>
        <w:t xml:space="preserve">4. gradusa CTCAE i jednog događaja </w:t>
      </w:r>
      <w:r w:rsidR="00004DE1" w:rsidRPr="00EF52A6">
        <w:rPr>
          <w:sz w:val="22"/>
          <w:szCs w:val="22"/>
          <w:lang w:val="sr-Latn-ME"/>
        </w:rPr>
        <w:t xml:space="preserve">povišenog nivoa kreatinina u krvi </w:t>
      </w:r>
      <w:r w:rsidRPr="00EF52A6">
        <w:rPr>
          <w:sz w:val="22"/>
          <w:szCs w:val="22"/>
          <w:lang w:val="sr-Latn-ME"/>
        </w:rPr>
        <w:t>4. gradusa CTCAE. Nije bilo smrti.</w:t>
      </w:r>
    </w:p>
    <w:p w14:paraId="12DDADF9" w14:textId="17C9330C" w:rsidR="00FF69F8" w:rsidRPr="00EF52A6" w:rsidRDefault="00FF69F8" w:rsidP="00DF11F1">
      <w:pPr>
        <w:tabs>
          <w:tab w:val="left" w:pos="540"/>
          <w:tab w:val="left" w:pos="569"/>
        </w:tabs>
        <w:ind w:left="238" w:right="816"/>
        <w:jc w:val="both"/>
        <w:rPr>
          <w:sz w:val="22"/>
          <w:szCs w:val="22"/>
          <w:lang w:val="sr-Latn-ME"/>
        </w:rPr>
      </w:pPr>
      <w:r w:rsidRPr="00EF52A6">
        <w:rPr>
          <w:sz w:val="22"/>
          <w:szCs w:val="22"/>
          <w:vertAlign w:val="superscript"/>
          <w:lang w:val="sr-Latn-ME"/>
        </w:rPr>
        <w:t xml:space="preserve">†† </w:t>
      </w:r>
      <w:r w:rsidRPr="00EF52A6">
        <w:rPr>
          <w:sz w:val="22"/>
          <w:szCs w:val="22"/>
          <w:lang w:val="sr-Latn-ME"/>
        </w:rPr>
        <w:t>Neželjen</w:t>
      </w:r>
      <w:r w:rsidR="00004DE1" w:rsidRPr="00EF52A6">
        <w:rPr>
          <w:sz w:val="22"/>
          <w:szCs w:val="22"/>
          <w:lang w:val="sr-Latn-ME"/>
        </w:rPr>
        <w:t>a</w:t>
      </w:r>
      <w:r w:rsidRPr="00EF52A6">
        <w:rPr>
          <w:sz w:val="22"/>
          <w:szCs w:val="22"/>
          <w:lang w:val="sr-Latn-ME"/>
        </w:rPr>
        <w:t xml:space="preserve"> </w:t>
      </w:r>
      <w:r w:rsidR="00004DE1" w:rsidRPr="00EF52A6">
        <w:rPr>
          <w:sz w:val="22"/>
          <w:szCs w:val="22"/>
          <w:lang w:val="sr-Latn-ME"/>
        </w:rPr>
        <w:t>dejstva</w:t>
      </w:r>
      <w:r w:rsidRPr="00EF52A6">
        <w:rPr>
          <w:sz w:val="22"/>
          <w:szCs w:val="22"/>
          <w:lang w:val="sr-Latn-ME"/>
        </w:rPr>
        <w:t xml:space="preserve"> utvrđen</w:t>
      </w:r>
      <w:r w:rsidR="00004DE1" w:rsidRPr="00EF52A6">
        <w:rPr>
          <w:sz w:val="22"/>
          <w:szCs w:val="22"/>
          <w:lang w:val="sr-Latn-ME"/>
        </w:rPr>
        <w:t>a</w:t>
      </w:r>
      <w:r w:rsidRPr="00EF52A6">
        <w:rPr>
          <w:sz w:val="22"/>
          <w:szCs w:val="22"/>
          <w:lang w:val="sr-Latn-ME"/>
        </w:rPr>
        <w:t xml:space="preserve"> u drugim kliničkim ispitivanjima kod odraslih pacijenata (N = 347) sa različitim vrstama tumora koji su primali selumetinib (75 mg dva puta dnevno). Ov</w:t>
      </w:r>
      <w:r w:rsidR="00004DE1" w:rsidRPr="00EF52A6">
        <w:rPr>
          <w:sz w:val="22"/>
          <w:szCs w:val="22"/>
          <w:lang w:val="sr-Latn-ME"/>
        </w:rPr>
        <w:t>a</w:t>
      </w:r>
      <w:r w:rsidRPr="00EF52A6">
        <w:rPr>
          <w:sz w:val="22"/>
          <w:szCs w:val="22"/>
          <w:lang w:val="sr-Latn-ME"/>
        </w:rPr>
        <w:t xml:space="preserve"> neželjen</w:t>
      </w:r>
      <w:r w:rsidR="00004DE1" w:rsidRPr="00EF52A6">
        <w:rPr>
          <w:sz w:val="22"/>
          <w:szCs w:val="22"/>
          <w:lang w:val="sr-Latn-ME"/>
        </w:rPr>
        <w:t>a</w:t>
      </w:r>
      <w:r w:rsidRPr="00EF52A6">
        <w:rPr>
          <w:sz w:val="22"/>
          <w:szCs w:val="22"/>
          <w:lang w:val="sr-Latn-ME"/>
        </w:rPr>
        <w:t xml:space="preserve"> </w:t>
      </w:r>
      <w:r w:rsidR="00004DE1" w:rsidRPr="00EF52A6">
        <w:rPr>
          <w:sz w:val="22"/>
          <w:szCs w:val="22"/>
          <w:lang w:val="sr-Latn-ME"/>
        </w:rPr>
        <w:t>dejstva</w:t>
      </w:r>
      <w:r w:rsidRPr="00EF52A6">
        <w:rPr>
          <w:sz w:val="22"/>
          <w:szCs w:val="22"/>
          <w:lang w:val="sr-Latn-ME"/>
        </w:rPr>
        <w:t xml:space="preserve"> ni</w:t>
      </w:r>
      <w:r w:rsidR="00004DE1" w:rsidRPr="00EF52A6">
        <w:rPr>
          <w:sz w:val="22"/>
          <w:szCs w:val="22"/>
          <w:lang w:val="sr-Latn-ME"/>
        </w:rPr>
        <w:t>je</w:t>
      </w:r>
      <w:r w:rsidRPr="00EF52A6">
        <w:rPr>
          <w:sz w:val="22"/>
          <w:szCs w:val="22"/>
          <w:lang w:val="sr-Latn-ME"/>
        </w:rPr>
        <w:t>su zab</w:t>
      </w:r>
      <w:r w:rsidR="00A90C8D" w:rsidRPr="00EF52A6">
        <w:rPr>
          <w:sz w:val="22"/>
          <w:szCs w:val="22"/>
          <w:lang w:val="sr-Latn-ME"/>
        </w:rPr>
        <w:t>ilj</w:t>
      </w:r>
      <w:r w:rsidRPr="00EF52A6">
        <w:rPr>
          <w:sz w:val="22"/>
          <w:szCs w:val="22"/>
          <w:lang w:val="sr-Latn-ME"/>
        </w:rPr>
        <w:t>ežen</w:t>
      </w:r>
      <w:r w:rsidR="00004DE1" w:rsidRPr="00EF52A6">
        <w:rPr>
          <w:sz w:val="22"/>
          <w:szCs w:val="22"/>
          <w:lang w:val="sr-Latn-ME"/>
        </w:rPr>
        <w:t>a</w:t>
      </w:r>
      <w:r w:rsidRPr="00EF52A6">
        <w:rPr>
          <w:sz w:val="22"/>
          <w:szCs w:val="22"/>
          <w:lang w:val="sr-Latn-ME"/>
        </w:rPr>
        <w:t xml:space="preserve"> u pedijatrijskoj populaciji sa NF1 i neoperabilnim PN.</w:t>
      </w:r>
    </w:p>
    <w:p w14:paraId="5D67D969" w14:textId="77777777" w:rsidR="00FF69F8" w:rsidRPr="00EF52A6" w:rsidRDefault="00FF69F8" w:rsidP="00DF11F1">
      <w:pPr>
        <w:tabs>
          <w:tab w:val="left" w:pos="540"/>
          <w:tab w:val="left" w:pos="569"/>
        </w:tabs>
        <w:ind w:left="238" w:right="816"/>
        <w:jc w:val="both"/>
        <w:rPr>
          <w:sz w:val="22"/>
          <w:szCs w:val="22"/>
          <w:lang w:val="sr-Latn-ME"/>
        </w:rPr>
      </w:pPr>
      <w:r w:rsidRPr="00EF52A6">
        <w:rPr>
          <w:sz w:val="22"/>
          <w:szCs w:val="22"/>
          <w:vertAlign w:val="superscript"/>
          <w:lang w:val="sr-Latn-ME"/>
        </w:rPr>
        <w:t>‡</w:t>
      </w:r>
      <w:r w:rsidRPr="00EF52A6">
        <w:rPr>
          <w:sz w:val="22"/>
          <w:szCs w:val="22"/>
          <w:lang w:val="sr-Latn-ME"/>
        </w:rPr>
        <w:t xml:space="preserve"> Procenat pedijatrijskih pacijenata (N = 74) zaokružen na najbližu decimalu.</w:t>
      </w:r>
    </w:p>
    <w:p w14:paraId="7FFA0A47" w14:textId="6AF212B8" w:rsidR="00004DE1" w:rsidRPr="00EF52A6" w:rsidRDefault="00FF69F8" w:rsidP="00DF11F1">
      <w:pPr>
        <w:tabs>
          <w:tab w:val="left" w:pos="540"/>
          <w:tab w:val="left" w:pos="569"/>
        </w:tabs>
        <w:ind w:left="238" w:right="816"/>
        <w:jc w:val="both"/>
        <w:rPr>
          <w:sz w:val="22"/>
          <w:szCs w:val="22"/>
          <w:lang w:val="sr-Latn-ME"/>
        </w:rPr>
      </w:pPr>
      <w:r w:rsidRPr="00EF52A6">
        <w:rPr>
          <w:sz w:val="22"/>
          <w:szCs w:val="22"/>
          <w:vertAlign w:val="superscript"/>
          <w:lang w:val="sr-Latn-ME"/>
        </w:rPr>
        <w:t>‡</w:t>
      </w:r>
      <w:r w:rsidRPr="00EF52A6">
        <w:rPr>
          <w:sz w:val="22"/>
          <w:szCs w:val="22"/>
          <w:lang w:val="sr-Latn-ME"/>
        </w:rPr>
        <w:t xml:space="preserve"> Neželjen</w:t>
      </w:r>
      <w:r w:rsidR="00004DE1" w:rsidRPr="00EF52A6">
        <w:rPr>
          <w:sz w:val="22"/>
          <w:szCs w:val="22"/>
          <w:lang w:val="sr-Latn-ME"/>
        </w:rPr>
        <w:t>a</w:t>
      </w:r>
      <w:r w:rsidRPr="00EF52A6">
        <w:rPr>
          <w:sz w:val="22"/>
          <w:szCs w:val="22"/>
          <w:lang w:val="sr-Latn-ME"/>
        </w:rPr>
        <w:t xml:space="preserve"> </w:t>
      </w:r>
      <w:r w:rsidR="00004DE1" w:rsidRPr="00EF52A6">
        <w:rPr>
          <w:sz w:val="22"/>
          <w:szCs w:val="22"/>
          <w:lang w:val="sr-Latn-ME"/>
        </w:rPr>
        <w:t xml:space="preserve">dejstva </w:t>
      </w:r>
      <w:r w:rsidRPr="00EF52A6">
        <w:rPr>
          <w:sz w:val="22"/>
          <w:szCs w:val="22"/>
          <w:lang w:val="sr-Latn-ME"/>
        </w:rPr>
        <w:t xml:space="preserve">na osnovu grupisanja pojedinačnih </w:t>
      </w:r>
      <w:r w:rsidR="00B93791" w:rsidRPr="00EF52A6">
        <w:rPr>
          <w:sz w:val="22"/>
          <w:szCs w:val="22"/>
          <w:lang w:val="sr-Latn-ME"/>
        </w:rPr>
        <w:t xml:space="preserve">preferiranih </w:t>
      </w:r>
      <w:r w:rsidRPr="00EF52A6">
        <w:rPr>
          <w:sz w:val="22"/>
          <w:szCs w:val="22"/>
          <w:lang w:val="sr-Latn-ME"/>
        </w:rPr>
        <w:t>termina (PT):</w:t>
      </w:r>
    </w:p>
    <w:p w14:paraId="740C7492" w14:textId="63C505BE" w:rsidR="00FF69F8"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Astenijski događaji: astenija, umor</w:t>
      </w:r>
    </w:p>
    <w:p w14:paraId="44DCE449" w14:textId="187A2F41" w:rsidR="00A90C8D"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 xml:space="preserve">CSR/RPED: </w:t>
      </w:r>
      <w:r w:rsidR="00004DE1" w:rsidRPr="00EF52A6">
        <w:rPr>
          <w:sz w:val="22"/>
          <w:szCs w:val="22"/>
          <w:lang w:val="sr-Latn-ME"/>
        </w:rPr>
        <w:t>o</w:t>
      </w:r>
      <w:r w:rsidRPr="00EF52A6">
        <w:rPr>
          <w:sz w:val="22"/>
          <w:szCs w:val="22"/>
          <w:lang w:val="sr-Latn-ME"/>
        </w:rPr>
        <w:t xml:space="preserve">dvajanje retinalnog pigmentnog epitela makule, korioretinopatija </w:t>
      </w:r>
    </w:p>
    <w:p w14:paraId="1CE106AB" w14:textId="38FFB559" w:rsidR="00FF69F8"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Dispneja: dispneja pri naporu, dispneja, dispneja u mirovanju</w:t>
      </w:r>
    </w:p>
    <w:p w14:paraId="39E03F3A" w14:textId="77777777" w:rsidR="00A90C8D"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 xml:space="preserve">Facijalni edem: edem lica, periorbitalni edem </w:t>
      </w:r>
    </w:p>
    <w:p w14:paraId="7FC98AE2" w14:textId="1669AC9A" w:rsidR="00FF69F8"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Snižene vr</w:t>
      </w:r>
      <w:r w:rsidR="00A90C8D" w:rsidRPr="00EF52A6">
        <w:rPr>
          <w:sz w:val="22"/>
          <w:szCs w:val="22"/>
          <w:lang w:val="sr-Latn-ME"/>
        </w:rPr>
        <w:t>ij</w:t>
      </w:r>
      <w:r w:rsidRPr="00EF52A6">
        <w:rPr>
          <w:sz w:val="22"/>
          <w:szCs w:val="22"/>
          <w:lang w:val="sr-Latn-ME"/>
        </w:rPr>
        <w:t>ednosti hemoglobina: anemija, snižene vr</w:t>
      </w:r>
      <w:r w:rsidR="00A90C8D" w:rsidRPr="00EF52A6">
        <w:rPr>
          <w:sz w:val="22"/>
          <w:szCs w:val="22"/>
          <w:lang w:val="sr-Latn-ME"/>
        </w:rPr>
        <w:t>ij</w:t>
      </w:r>
      <w:r w:rsidRPr="00EF52A6">
        <w:rPr>
          <w:sz w:val="22"/>
          <w:szCs w:val="22"/>
          <w:lang w:val="sr-Latn-ME"/>
        </w:rPr>
        <w:t>ednosti hemoglobina</w:t>
      </w:r>
    </w:p>
    <w:p w14:paraId="6F0F3B40" w14:textId="451C733E" w:rsidR="00675448" w:rsidRPr="00EF52A6" w:rsidRDefault="00675448" w:rsidP="00DF11F1">
      <w:pPr>
        <w:tabs>
          <w:tab w:val="left" w:pos="540"/>
          <w:tab w:val="left" w:pos="569"/>
        </w:tabs>
        <w:ind w:left="567" w:right="816"/>
        <w:jc w:val="both"/>
        <w:rPr>
          <w:sz w:val="22"/>
          <w:szCs w:val="22"/>
          <w:lang w:val="sr-Latn-ME"/>
        </w:rPr>
      </w:pPr>
      <w:r w:rsidRPr="00EF52A6">
        <w:rPr>
          <w:sz w:val="22"/>
          <w:szCs w:val="22"/>
          <w:lang w:val="sr-Latn-ME"/>
        </w:rPr>
        <w:t>Promjene na kosi: alopecija, promjena boje kose</w:t>
      </w:r>
    </w:p>
    <w:p w14:paraId="71E20C37" w14:textId="77777777" w:rsidR="00FF69F8"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Povišen krvni pritisak: povišen krvni pritisak, hipertenzija</w:t>
      </w:r>
    </w:p>
    <w:p w14:paraId="07FB8D99" w14:textId="77777777" w:rsidR="00FF69F8"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Periferni edem: periferni edem, edem, lokalizovani edem, periferni otok</w:t>
      </w:r>
    </w:p>
    <w:p w14:paraId="5873E48C" w14:textId="77777777" w:rsidR="00FF69F8"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Osipi (neakneiformni): pruritusni osip, makulo-papularni osip, papularni osip, osip, eritematozni osip, makularni osip</w:t>
      </w:r>
    </w:p>
    <w:p w14:paraId="7113B103" w14:textId="77777777" w:rsidR="00FF69F8" w:rsidRPr="00EF52A6" w:rsidRDefault="00FF69F8" w:rsidP="00DF11F1">
      <w:pPr>
        <w:tabs>
          <w:tab w:val="left" w:pos="540"/>
          <w:tab w:val="left" w:pos="569"/>
        </w:tabs>
        <w:ind w:left="567" w:right="816"/>
        <w:jc w:val="both"/>
        <w:rPr>
          <w:sz w:val="22"/>
          <w:szCs w:val="22"/>
          <w:lang w:val="sr-Latn-ME"/>
        </w:rPr>
      </w:pPr>
      <w:r w:rsidRPr="00EF52A6">
        <w:rPr>
          <w:sz w:val="22"/>
          <w:szCs w:val="22"/>
          <w:lang w:val="sr-Latn-ME"/>
        </w:rPr>
        <w:t>RVO: retinalni vaskularni poremećaj, okluzija retinalne vene, tromboza retinalne vene</w:t>
      </w:r>
    </w:p>
    <w:p w14:paraId="1B7ABE59" w14:textId="77777777" w:rsidR="00FF69F8" w:rsidRPr="00EF52A6" w:rsidRDefault="00FF69F8" w:rsidP="00FF69F8">
      <w:pPr>
        <w:tabs>
          <w:tab w:val="left" w:pos="540"/>
          <w:tab w:val="left" w:pos="569"/>
        </w:tabs>
        <w:rPr>
          <w:sz w:val="22"/>
          <w:szCs w:val="22"/>
          <w:lang w:val="sr-Latn-ME"/>
        </w:rPr>
        <w:sectPr w:rsidR="00FF69F8" w:rsidRPr="00EF52A6" w:rsidSect="00FF69F8">
          <w:pgSz w:w="11910" w:h="16840"/>
          <w:pgMar w:top="1120" w:right="711" w:bottom="1180" w:left="1200" w:header="0" w:footer="905" w:gutter="0"/>
          <w:cols w:space="720"/>
        </w:sectPr>
      </w:pPr>
    </w:p>
    <w:p w14:paraId="4EE5125B" w14:textId="2273934D" w:rsidR="00FF69F8" w:rsidRPr="00EF52A6" w:rsidRDefault="00FF69F8" w:rsidP="00DF11F1">
      <w:pPr>
        <w:tabs>
          <w:tab w:val="left" w:pos="540"/>
          <w:tab w:val="left" w:pos="569"/>
        </w:tabs>
        <w:jc w:val="both"/>
        <w:rPr>
          <w:sz w:val="22"/>
          <w:szCs w:val="22"/>
          <w:lang w:val="sr-Latn-ME"/>
        </w:rPr>
      </w:pPr>
      <w:r w:rsidRPr="00EF52A6">
        <w:rPr>
          <w:sz w:val="22"/>
          <w:szCs w:val="22"/>
          <w:u w:val="single"/>
          <w:lang w:val="sr-Latn-ME"/>
        </w:rPr>
        <w:lastRenderedPageBreak/>
        <w:t xml:space="preserve">Opis odabranih neželjenih </w:t>
      </w:r>
      <w:r w:rsidR="00675448" w:rsidRPr="00EF52A6">
        <w:rPr>
          <w:sz w:val="22"/>
          <w:szCs w:val="22"/>
          <w:u w:val="single"/>
          <w:lang w:val="sr-Latn-ME"/>
        </w:rPr>
        <w:t>dejstava</w:t>
      </w:r>
    </w:p>
    <w:p w14:paraId="44FE0579" w14:textId="77777777" w:rsidR="00FF69F8" w:rsidRPr="00EF52A6" w:rsidRDefault="00FF69F8" w:rsidP="00DF11F1">
      <w:pPr>
        <w:tabs>
          <w:tab w:val="left" w:pos="540"/>
          <w:tab w:val="left" w:pos="569"/>
        </w:tabs>
        <w:jc w:val="both"/>
        <w:rPr>
          <w:sz w:val="22"/>
          <w:szCs w:val="22"/>
          <w:lang w:val="sr-Latn-ME"/>
        </w:rPr>
      </w:pPr>
    </w:p>
    <w:p w14:paraId="6024D9AF" w14:textId="79A97C12" w:rsidR="00FF69F8" w:rsidRPr="00EF52A6" w:rsidRDefault="00FF69F8" w:rsidP="00DF11F1">
      <w:pPr>
        <w:tabs>
          <w:tab w:val="left" w:pos="540"/>
          <w:tab w:val="left" w:pos="569"/>
        </w:tabs>
        <w:jc w:val="both"/>
        <w:rPr>
          <w:i/>
          <w:sz w:val="22"/>
          <w:szCs w:val="22"/>
          <w:lang w:val="sr-Latn-ME"/>
        </w:rPr>
      </w:pPr>
      <w:r w:rsidRPr="00EF52A6">
        <w:rPr>
          <w:i/>
          <w:iCs/>
          <w:sz w:val="22"/>
          <w:szCs w:val="22"/>
          <w:u w:val="single"/>
          <w:lang w:val="sr-Latn-ME"/>
        </w:rPr>
        <w:t>Smanjena ejekciona frakcija l</w:t>
      </w:r>
      <w:r w:rsidR="00A90C8D" w:rsidRPr="00EF52A6">
        <w:rPr>
          <w:i/>
          <w:iCs/>
          <w:sz w:val="22"/>
          <w:szCs w:val="22"/>
          <w:u w:val="single"/>
          <w:lang w:val="sr-Latn-ME"/>
        </w:rPr>
        <w:t>ij</w:t>
      </w:r>
      <w:r w:rsidRPr="00EF52A6">
        <w:rPr>
          <w:i/>
          <w:iCs/>
          <w:sz w:val="22"/>
          <w:szCs w:val="22"/>
          <w:u w:val="single"/>
          <w:lang w:val="sr-Latn-ME"/>
        </w:rPr>
        <w:t>eve komore (LVEF)</w:t>
      </w:r>
    </w:p>
    <w:p w14:paraId="5D6F1A3D" w14:textId="1F07304F" w:rsidR="00FF69F8" w:rsidRPr="00EF52A6" w:rsidRDefault="00FF69F8" w:rsidP="00DF11F1">
      <w:pPr>
        <w:tabs>
          <w:tab w:val="left" w:pos="540"/>
          <w:tab w:val="left" w:pos="569"/>
        </w:tabs>
        <w:jc w:val="both"/>
        <w:rPr>
          <w:sz w:val="22"/>
          <w:szCs w:val="22"/>
          <w:lang w:val="sr-Latn-ME"/>
        </w:rPr>
      </w:pPr>
      <w:r w:rsidRPr="00EF52A6">
        <w:rPr>
          <w:sz w:val="22"/>
          <w:szCs w:val="22"/>
          <w:lang w:val="sr-Latn-ME"/>
        </w:rPr>
        <w:t>U grupi 1 iz faze II ispitivanja SPRINT kod 13 (26%) pacijenata prijavljeno je smanjenje LVEF (</w:t>
      </w:r>
      <w:r w:rsidR="00B93791" w:rsidRPr="00EF52A6">
        <w:rPr>
          <w:sz w:val="22"/>
          <w:szCs w:val="22"/>
          <w:lang w:val="sr-Latn-ME"/>
        </w:rPr>
        <w:t xml:space="preserve">preferirani </w:t>
      </w:r>
      <w:r w:rsidRPr="00EF52A6">
        <w:rPr>
          <w:sz w:val="22"/>
          <w:szCs w:val="22"/>
          <w:lang w:val="sr-Latn-ME"/>
        </w:rPr>
        <w:t>termin: smanjenje ejekcione frakcije), koje je u svim slučajevima bilo 2. gradusa težine, asimptomatsko i nije dovelo do trajnog prekida primene l</w:t>
      </w:r>
      <w:r w:rsidR="00A90C8D" w:rsidRPr="00EF52A6">
        <w:rPr>
          <w:sz w:val="22"/>
          <w:szCs w:val="22"/>
          <w:lang w:val="sr-Latn-ME"/>
        </w:rPr>
        <w:t>ij</w:t>
      </w:r>
      <w:r w:rsidRPr="00EF52A6">
        <w:rPr>
          <w:sz w:val="22"/>
          <w:szCs w:val="22"/>
          <w:lang w:val="sr-Latn-ME"/>
        </w:rPr>
        <w:t>eka;</w:t>
      </w:r>
      <w:r w:rsidR="00675448" w:rsidRPr="00EF52A6">
        <w:rPr>
          <w:sz w:val="22"/>
          <w:szCs w:val="22"/>
          <w:lang w:val="sr-Latn-ME"/>
        </w:rPr>
        <w:t xml:space="preserve"> </w:t>
      </w:r>
      <w:r w:rsidRPr="00EF52A6">
        <w:rPr>
          <w:sz w:val="22"/>
          <w:szCs w:val="22"/>
          <w:lang w:val="sr-Latn-ME"/>
        </w:rPr>
        <w:t>jedan (2%) slučaj doveo je do privremenog prekida, a onda i smanjenja doze. Od 13 pacijenata, 11 pacijenata se oporavilo, a za 2 pacijenta ishod nije prijavljen. Medijana vremena do prve pojave smanjenja LVEF bila je 232 dana (medijana trajanja 252 dana). U većini slučajeva smanjenja LVEF neželjen</w:t>
      </w:r>
      <w:r w:rsidR="00675448" w:rsidRPr="00EF52A6">
        <w:rPr>
          <w:sz w:val="22"/>
          <w:szCs w:val="22"/>
          <w:lang w:val="sr-Latn-ME"/>
        </w:rPr>
        <w:t>a</w:t>
      </w:r>
      <w:r w:rsidRPr="00EF52A6">
        <w:rPr>
          <w:sz w:val="22"/>
          <w:szCs w:val="22"/>
          <w:lang w:val="sr-Latn-ME"/>
        </w:rPr>
        <w:t xml:space="preserve"> </w:t>
      </w:r>
      <w:r w:rsidR="00675448" w:rsidRPr="00EF52A6">
        <w:rPr>
          <w:sz w:val="22"/>
          <w:szCs w:val="22"/>
          <w:lang w:val="sr-Latn-ME"/>
        </w:rPr>
        <w:t xml:space="preserve">dejstva </w:t>
      </w:r>
      <w:r w:rsidRPr="00EF52A6">
        <w:rPr>
          <w:sz w:val="22"/>
          <w:szCs w:val="22"/>
          <w:lang w:val="sr-Latn-ME"/>
        </w:rPr>
        <w:t>su prijavljen</w:t>
      </w:r>
      <w:r w:rsidR="00675448" w:rsidRPr="00EF52A6">
        <w:rPr>
          <w:sz w:val="22"/>
          <w:szCs w:val="22"/>
          <w:lang w:val="sr-Latn-ME"/>
        </w:rPr>
        <w:t>a</w:t>
      </w:r>
      <w:r w:rsidRPr="00EF52A6">
        <w:rPr>
          <w:sz w:val="22"/>
          <w:szCs w:val="22"/>
          <w:lang w:val="sr-Latn-ME"/>
        </w:rPr>
        <w:t xml:space="preserve"> kao smanjenje u odnosu na početnu vr</w:t>
      </w:r>
      <w:r w:rsidR="00A90C8D" w:rsidRPr="00EF52A6">
        <w:rPr>
          <w:sz w:val="22"/>
          <w:szCs w:val="22"/>
          <w:lang w:val="sr-Latn-ME"/>
        </w:rPr>
        <w:t>ij</w:t>
      </w:r>
      <w:r w:rsidRPr="00EF52A6">
        <w:rPr>
          <w:sz w:val="22"/>
          <w:szCs w:val="22"/>
          <w:lang w:val="sr-Latn-ME"/>
        </w:rPr>
        <w:t>ednost (za ≥ 10%), ali je LVEF ostala unutar normalnog raspona. Pacijenti kojima je na početku ispitivanja LVEF bila ispod donje granice normale koju propisuje ustanova ni</w:t>
      </w:r>
      <w:r w:rsidR="00675448" w:rsidRPr="00EF52A6">
        <w:rPr>
          <w:sz w:val="22"/>
          <w:szCs w:val="22"/>
          <w:lang w:val="sr-Latn-ME"/>
        </w:rPr>
        <w:t>je</w:t>
      </w:r>
      <w:r w:rsidRPr="00EF52A6">
        <w:rPr>
          <w:sz w:val="22"/>
          <w:szCs w:val="22"/>
          <w:lang w:val="sr-Latn-ME"/>
        </w:rPr>
        <w:t>su bili uključeni u pivotalno ispitivanje. Osim toga, mali broj ozbiljnih slučajeva smanjenja LVEF povezanog sa selumetinibom prijavljen je kod pedijatrijskih pacijenata koji su učestvovali u programu proširenog pristupa l</w:t>
      </w:r>
      <w:r w:rsidR="00A90C8D" w:rsidRPr="00EF52A6">
        <w:rPr>
          <w:sz w:val="22"/>
          <w:szCs w:val="22"/>
          <w:lang w:val="sr-Latn-ME"/>
        </w:rPr>
        <w:t>ij</w:t>
      </w:r>
      <w:r w:rsidRPr="00EF52A6">
        <w:rPr>
          <w:sz w:val="22"/>
          <w:szCs w:val="22"/>
          <w:lang w:val="sr-Latn-ME"/>
        </w:rPr>
        <w:t>eku. Za kliničko l</w:t>
      </w:r>
      <w:r w:rsidR="00A90C8D" w:rsidRPr="00EF52A6">
        <w:rPr>
          <w:sz w:val="22"/>
          <w:szCs w:val="22"/>
          <w:lang w:val="sr-Latn-ME"/>
        </w:rPr>
        <w:t>ij</w:t>
      </w:r>
      <w:r w:rsidRPr="00EF52A6">
        <w:rPr>
          <w:sz w:val="22"/>
          <w:szCs w:val="22"/>
          <w:lang w:val="sr-Latn-ME"/>
        </w:rPr>
        <w:t>ečenje smanjenja LVEF vid</w:t>
      </w:r>
      <w:r w:rsidR="00A90C8D" w:rsidRPr="00EF52A6">
        <w:rPr>
          <w:sz w:val="22"/>
          <w:szCs w:val="22"/>
          <w:lang w:val="sr-Latn-ME"/>
        </w:rPr>
        <w:t>j</w:t>
      </w:r>
      <w:r w:rsidRPr="00EF52A6">
        <w:rPr>
          <w:sz w:val="22"/>
          <w:szCs w:val="22"/>
          <w:lang w:val="sr-Latn-ME"/>
        </w:rPr>
        <w:t xml:space="preserve">eti </w:t>
      </w:r>
      <w:r w:rsidR="00A90C8D" w:rsidRPr="00EF52A6">
        <w:rPr>
          <w:sz w:val="22"/>
          <w:szCs w:val="22"/>
          <w:lang w:val="sr-Latn-ME"/>
        </w:rPr>
        <w:t>djelove</w:t>
      </w:r>
      <w:r w:rsidRPr="00EF52A6">
        <w:rPr>
          <w:sz w:val="22"/>
          <w:szCs w:val="22"/>
          <w:lang w:val="sr-Latn-ME"/>
        </w:rPr>
        <w:t xml:space="preserve"> 4.2</w:t>
      </w:r>
      <w:r w:rsidR="00675448" w:rsidRPr="00EF52A6">
        <w:rPr>
          <w:sz w:val="22"/>
          <w:szCs w:val="22"/>
          <w:lang w:val="sr-Latn-ME"/>
        </w:rPr>
        <w:t>.</w:t>
      </w:r>
      <w:r w:rsidRPr="00EF52A6">
        <w:rPr>
          <w:sz w:val="22"/>
          <w:szCs w:val="22"/>
          <w:lang w:val="sr-Latn-ME"/>
        </w:rPr>
        <w:t xml:space="preserve"> i 4.4.</w:t>
      </w:r>
    </w:p>
    <w:p w14:paraId="0A4E7E77" w14:textId="77777777" w:rsidR="00FF69F8" w:rsidRPr="00EF52A6" w:rsidRDefault="00FF69F8" w:rsidP="00DF11F1">
      <w:pPr>
        <w:tabs>
          <w:tab w:val="left" w:pos="540"/>
          <w:tab w:val="left" w:pos="569"/>
        </w:tabs>
        <w:jc w:val="both"/>
        <w:rPr>
          <w:sz w:val="22"/>
          <w:szCs w:val="22"/>
          <w:lang w:val="sr-Latn-ME"/>
        </w:rPr>
      </w:pPr>
    </w:p>
    <w:p w14:paraId="0056542E" w14:textId="77777777" w:rsidR="00FF69F8" w:rsidRPr="00EF52A6" w:rsidRDefault="00FF69F8" w:rsidP="00DF11F1">
      <w:pPr>
        <w:tabs>
          <w:tab w:val="left" w:pos="540"/>
          <w:tab w:val="left" w:pos="569"/>
        </w:tabs>
        <w:jc w:val="both"/>
        <w:rPr>
          <w:i/>
          <w:sz w:val="22"/>
          <w:szCs w:val="22"/>
          <w:lang w:val="sr-Latn-ME"/>
        </w:rPr>
      </w:pPr>
      <w:r w:rsidRPr="00EF52A6">
        <w:rPr>
          <w:i/>
          <w:iCs/>
          <w:sz w:val="22"/>
          <w:szCs w:val="22"/>
          <w:u w:val="single"/>
          <w:lang w:val="sr-Latn-ME"/>
        </w:rPr>
        <w:t>Okularna toksičnost</w:t>
      </w:r>
    </w:p>
    <w:p w14:paraId="05D32C03" w14:textId="070C4B69" w:rsidR="00FF69F8" w:rsidRPr="00EF52A6" w:rsidRDefault="00FF69F8" w:rsidP="00DF11F1">
      <w:pPr>
        <w:tabs>
          <w:tab w:val="left" w:pos="540"/>
          <w:tab w:val="left" w:pos="569"/>
        </w:tabs>
        <w:jc w:val="both"/>
        <w:rPr>
          <w:sz w:val="22"/>
          <w:szCs w:val="22"/>
          <w:lang w:val="sr-Latn-ME"/>
        </w:rPr>
      </w:pPr>
      <w:r w:rsidRPr="00EF52A6">
        <w:rPr>
          <w:sz w:val="22"/>
          <w:szCs w:val="22"/>
          <w:lang w:val="sr-Latn-ME"/>
        </w:rPr>
        <w:t>Kod 7 (14%) pacijenata u grupi 1 iz faze II ispitivanja SPRINT prijavljen je zamagljen vid 1. i 2. gradusa. Kod dva pacijenta je bio neophodan privremeni prekid doze. Sv</w:t>
      </w:r>
      <w:r w:rsidR="00675448" w:rsidRPr="00EF52A6">
        <w:rPr>
          <w:sz w:val="22"/>
          <w:szCs w:val="22"/>
          <w:lang w:val="sr-Latn-ME"/>
        </w:rPr>
        <w:t>a</w:t>
      </w:r>
      <w:r w:rsidRPr="00EF52A6">
        <w:rPr>
          <w:sz w:val="22"/>
          <w:szCs w:val="22"/>
          <w:lang w:val="sr-Latn-ME"/>
        </w:rPr>
        <w:t xml:space="preserve"> neželjen</w:t>
      </w:r>
      <w:r w:rsidR="00675448" w:rsidRPr="00EF52A6">
        <w:rPr>
          <w:sz w:val="22"/>
          <w:szCs w:val="22"/>
          <w:lang w:val="sr-Latn-ME"/>
        </w:rPr>
        <w:t>a</w:t>
      </w:r>
      <w:r w:rsidRPr="00EF52A6">
        <w:rPr>
          <w:sz w:val="22"/>
          <w:szCs w:val="22"/>
          <w:lang w:val="sr-Latn-ME"/>
        </w:rPr>
        <w:t xml:space="preserve"> </w:t>
      </w:r>
      <w:r w:rsidR="00675448" w:rsidRPr="00EF52A6">
        <w:rPr>
          <w:sz w:val="22"/>
          <w:szCs w:val="22"/>
          <w:lang w:val="sr-Latn-ME"/>
        </w:rPr>
        <w:t xml:space="preserve">dejstva </w:t>
      </w:r>
      <w:r w:rsidRPr="00EF52A6">
        <w:rPr>
          <w:sz w:val="22"/>
          <w:szCs w:val="22"/>
          <w:lang w:val="sr-Latn-ME"/>
        </w:rPr>
        <w:t>bil</w:t>
      </w:r>
      <w:r w:rsidR="00675448" w:rsidRPr="00EF52A6">
        <w:rPr>
          <w:sz w:val="22"/>
          <w:szCs w:val="22"/>
          <w:lang w:val="sr-Latn-ME"/>
        </w:rPr>
        <w:t>a</w:t>
      </w:r>
      <w:r w:rsidRPr="00EF52A6">
        <w:rPr>
          <w:sz w:val="22"/>
          <w:szCs w:val="22"/>
          <w:lang w:val="sr-Latn-ME"/>
        </w:rPr>
        <w:t xml:space="preserve"> su zbrinut</w:t>
      </w:r>
      <w:r w:rsidR="00675448" w:rsidRPr="00EF52A6">
        <w:rPr>
          <w:sz w:val="22"/>
          <w:szCs w:val="22"/>
          <w:lang w:val="sr-Latn-ME"/>
        </w:rPr>
        <w:t>a</w:t>
      </w:r>
      <w:r w:rsidR="00A90C8D" w:rsidRPr="00EF52A6">
        <w:rPr>
          <w:sz w:val="22"/>
          <w:szCs w:val="22"/>
          <w:lang w:val="sr-Latn-ME"/>
        </w:rPr>
        <w:t xml:space="preserve"> </w:t>
      </w:r>
      <w:r w:rsidRPr="00EF52A6">
        <w:rPr>
          <w:sz w:val="22"/>
          <w:szCs w:val="22"/>
          <w:lang w:val="sr-Latn-ME"/>
        </w:rPr>
        <w:t>bez smanjenja doze. Za kliničko l</w:t>
      </w:r>
      <w:r w:rsidR="00A90C8D" w:rsidRPr="00EF52A6">
        <w:rPr>
          <w:sz w:val="22"/>
          <w:szCs w:val="22"/>
          <w:lang w:val="sr-Latn-ME"/>
        </w:rPr>
        <w:t>ij</w:t>
      </w:r>
      <w:r w:rsidRPr="00EF52A6">
        <w:rPr>
          <w:sz w:val="22"/>
          <w:szCs w:val="22"/>
          <w:lang w:val="sr-Latn-ME"/>
        </w:rPr>
        <w:t>ečenje novih poremećaja vida vid</w:t>
      </w:r>
      <w:r w:rsidR="00A90C8D" w:rsidRPr="00EF52A6">
        <w:rPr>
          <w:sz w:val="22"/>
          <w:szCs w:val="22"/>
          <w:lang w:val="sr-Latn-ME"/>
        </w:rPr>
        <w:t>j</w:t>
      </w:r>
      <w:r w:rsidRPr="00EF52A6">
        <w:rPr>
          <w:sz w:val="22"/>
          <w:szCs w:val="22"/>
          <w:lang w:val="sr-Latn-ME"/>
        </w:rPr>
        <w:t xml:space="preserve">eti </w:t>
      </w:r>
      <w:r w:rsidR="00A90C8D" w:rsidRPr="00EF52A6">
        <w:rPr>
          <w:sz w:val="22"/>
          <w:szCs w:val="22"/>
          <w:lang w:val="sr-Latn-ME"/>
        </w:rPr>
        <w:t>djelove</w:t>
      </w:r>
      <w:r w:rsidRPr="00EF52A6">
        <w:rPr>
          <w:sz w:val="22"/>
          <w:szCs w:val="22"/>
          <w:lang w:val="sr-Latn-ME"/>
        </w:rPr>
        <w:t xml:space="preserve"> 4.2</w:t>
      </w:r>
      <w:r w:rsidR="00675448" w:rsidRPr="00EF52A6">
        <w:rPr>
          <w:sz w:val="22"/>
          <w:szCs w:val="22"/>
          <w:lang w:val="sr-Latn-ME"/>
        </w:rPr>
        <w:t>.</w:t>
      </w:r>
      <w:r w:rsidRPr="00EF52A6">
        <w:rPr>
          <w:sz w:val="22"/>
          <w:szCs w:val="22"/>
          <w:lang w:val="sr-Latn-ME"/>
        </w:rPr>
        <w:t xml:space="preserve"> i 4.4.</w:t>
      </w:r>
    </w:p>
    <w:p w14:paraId="114C1A51" w14:textId="77777777" w:rsidR="00FF69F8" w:rsidRPr="00EF52A6" w:rsidRDefault="00FF69F8" w:rsidP="00DF11F1">
      <w:pPr>
        <w:tabs>
          <w:tab w:val="left" w:pos="540"/>
          <w:tab w:val="left" w:pos="569"/>
        </w:tabs>
        <w:jc w:val="both"/>
        <w:rPr>
          <w:sz w:val="22"/>
          <w:szCs w:val="22"/>
          <w:lang w:val="sr-Latn-ME"/>
        </w:rPr>
      </w:pPr>
    </w:p>
    <w:p w14:paraId="2F9A5897" w14:textId="5D15A9A7" w:rsidR="00FF69F8" w:rsidRPr="00EF52A6" w:rsidRDefault="00FF69F8" w:rsidP="00DF11F1">
      <w:pPr>
        <w:tabs>
          <w:tab w:val="left" w:pos="540"/>
          <w:tab w:val="left" w:pos="569"/>
        </w:tabs>
        <w:jc w:val="both"/>
        <w:rPr>
          <w:sz w:val="22"/>
          <w:szCs w:val="22"/>
          <w:lang w:val="sr-Latn-ME"/>
        </w:rPr>
      </w:pPr>
      <w:r w:rsidRPr="00EF52A6">
        <w:rPr>
          <w:sz w:val="22"/>
          <w:szCs w:val="22"/>
          <w:lang w:val="sr-Latn-ME"/>
        </w:rPr>
        <w:t>Osim toga</w:t>
      </w:r>
      <w:r w:rsidR="00675448" w:rsidRPr="00EF52A6">
        <w:rPr>
          <w:sz w:val="22"/>
          <w:szCs w:val="22"/>
          <w:lang w:val="sr-Latn-ME"/>
        </w:rPr>
        <w:t>,</w:t>
      </w:r>
      <w:r w:rsidRPr="00EF52A6">
        <w:rPr>
          <w:sz w:val="22"/>
          <w:szCs w:val="22"/>
          <w:lang w:val="sr-Latn-ME"/>
        </w:rPr>
        <w:t xml:space="preserve"> prijavljen je i jedan slučaj RPED kod pedijatrijskog pacijenta koji je primao monoterapiju selumetinibom (25 mg/m</w:t>
      </w:r>
      <w:r w:rsidRPr="00EF52A6">
        <w:rPr>
          <w:sz w:val="22"/>
          <w:szCs w:val="22"/>
          <w:vertAlign w:val="superscript"/>
          <w:lang w:val="sr-Latn-ME"/>
        </w:rPr>
        <w:t>2</w:t>
      </w:r>
      <w:r w:rsidRPr="00EF52A6">
        <w:rPr>
          <w:sz w:val="22"/>
          <w:szCs w:val="22"/>
          <w:lang w:val="sr-Latn-ME"/>
        </w:rPr>
        <w:t xml:space="preserve"> dva puta dnevno) za l</w:t>
      </w:r>
      <w:r w:rsidR="00A90C8D" w:rsidRPr="00EF52A6">
        <w:rPr>
          <w:sz w:val="22"/>
          <w:szCs w:val="22"/>
          <w:lang w:val="sr-Latn-ME"/>
        </w:rPr>
        <w:t>ij</w:t>
      </w:r>
      <w:r w:rsidRPr="00EF52A6">
        <w:rPr>
          <w:sz w:val="22"/>
          <w:szCs w:val="22"/>
          <w:lang w:val="sr-Latn-ME"/>
        </w:rPr>
        <w:t>ečenje pilocitnog astrocitoma koji je zahvatao optički put, a koji je zab</w:t>
      </w:r>
      <w:r w:rsidR="00A90C8D" w:rsidRPr="00EF52A6">
        <w:rPr>
          <w:sz w:val="22"/>
          <w:szCs w:val="22"/>
          <w:lang w:val="sr-Latn-ME"/>
        </w:rPr>
        <w:t>ilj</w:t>
      </w:r>
      <w:r w:rsidRPr="00EF52A6">
        <w:rPr>
          <w:sz w:val="22"/>
          <w:szCs w:val="22"/>
          <w:lang w:val="sr-Latn-ME"/>
        </w:rPr>
        <w:t>ežen u pedijatrijskom ispitivanju eksternog sponzora (vid</w:t>
      </w:r>
      <w:r w:rsidR="00A90C8D" w:rsidRPr="00EF52A6">
        <w:rPr>
          <w:sz w:val="22"/>
          <w:szCs w:val="22"/>
          <w:lang w:val="sr-Latn-ME"/>
        </w:rPr>
        <w:t>j</w:t>
      </w:r>
      <w:r w:rsidRPr="00EF52A6">
        <w:rPr>
          <w:sz w:val="22"/>
          <w:szCs w:val="22"/>
          <w:lang w:val="sr-Latn-ME"/>
        </w:rPr>
        <w:t xml:space="preserve">eti </w:t>
      </w:r>
      <w:r w:rsidR="00A90C8D" w:rsidRPr="00EF52A6">
        <w:rPr>
          <w:sz w:val="22"/>
          <w:szCs w:val="22"/>
          <w:lang w:val="sr-Latn-ME"/>
        </w:rPr>
        <w:t>djelove</w:t>
      </w:r>
      <w:r w:rsidRPr="00EF52A6">
        <w:rPr>
          <w:sz w:val="22"/>
          <w:szCs w:val="22"/>
          <w:lang w:val="sr-Latn-ME"/>
        </w:rPr>
        <w:t xml:space="preserve"> 4.2</w:t>
      </w:r>
      <w:r w:rsidR="00745829" w:rsidRPr="00EF52A6">
        <w:rPr>
          <w:sz w:val="22"/>
          <w:szCs w:val="22"/>
          <w:lang w:val="sr-Latn-ME"/>
        </w:rPr>
        <w:t>.</w:t>
      </w:r>
      <w:r w:rsidRPr="00EF52A6">
        <w:rPr>
          <w:sz w:val="22"/>
          <w:szCs w:val="22"/>
          <w:lang w:val="sr-Latn-ME"/>
        </w:rPr>
        <w:t xml:space="preserve"> i 4.4).</w:t>
      </w:r>
    </w:p>
    <w:p w14:paraId="4F457085" w14:textId="77777777" w:rsidR="00FF69F8" w:rsidRPr="00EF52A6" w:rsidRDefault="00FF69F8" w:rsidP="00DF11F1">
      <w:pPr>
        <w:tabs>
          <w:tab w:val="left" w:pos="540"/>
          <w:tab w:val="left" w:pos="569"/>
        </w:tabs>
        <w:jc w:val="both"/>
        <w:rPr>
          <w:sz w:val="22"/>
          <w:szCs w:val="22"/>
          <w:lang w:val="sr-Latn-ME"/>
        </w:rPr>
      </w:pPr>
    </w:p>
    <w:p w14:paraId="35FA8C16" w14:textId="77777777" w:rsidR="00FF69F8" w:rsidRPr="00EF52A6" w:rsidRDefault="00FF69F8" w:rsidP="00DF11F1">
      <w:pPr>
        <w:tabs>
          <w:tab w:val="left" w:pos="540"/>
          <w:tab w:val="left" w:pos="569"/>
        </w:tabs>
        <w:jc w:val="both"/>
        <w:rPr>
          <w:i/>
          <w:sz w:val="22"/>
          <w:szCs w:val="22"/>
          <w:lang w:val="sr-Latn-ME"/>
        </w:rPr>
      </w:pPr>
      <w:r w:rsidRPr="00EF52A6">
        <w:rPr>
          <w:i/>
          <w:iCs/>
          <w:sz w:val="22"/>
          <w:szCs w:val="22"/>
          <w:u w:val="single"/>
          <w:lang w:val="sr-Latn-ME"/>
        </w:rPr>
        <w:t>Paronihija</w:t>
      </w:r>
    </w:p>
    <w:p w14:paraId="67DD05CD" w14:textId="08ABDD99" w:rsidR="00FF69F8" w:rsidRPr="00EF52A6" w:rsidRDefault="00FF69F8" w:rsidP="00DF11F1">
      <w:pPr>
        <w:tabs>
          <w:tab w:val="left" w:pos="540"/>
          <w:tab w:val="left" w:pos="569"/>
        </w:tabs>
        <w:jc w:val="both"/>
        <w:rPr>
          <w:sz w:val="22"/>
          <w:szCs w:val="22"/>
          <w:lang w:val="sr-Latn-ME"/>
        </w:rPr>
      </w:pPr>
      <w:r w:rsidRPr="00EF52A6">
        <w:rPr>
          <w:sz w:val="22"/>
          <w:szCs w:val="22"/>
          <w:lang w:val="sr-Latn-ME"/>
        </w:rPr>
        <w:t xml:space="preserve">Kod 28 (56%) pacijenata u grupi 1 iz faze II ispitivanja SPRINT prijavljena je paronihija. Medijana vremena do prve pojave paronihije najvišeg gradusa iznosila je 423 dana, a medijana trajanja neželjenih </w:t>
      </w:r>
      <w:r w:rsidR="00745829" w:rsidRPr="00EF52A6">
        <w:rPr>
          <w:sz w:val="22"/>
          <w:szCs w:val="22"/>
          <w:lang w:val="sr-Latn-ME"/>
        </w:rPr>
        <w:t xml:space="preserve">dejstava </w:t>
      </w:r>
      <w:r w:rsidRPr="00EF52A6">
        <w:rPr>
          <w:sz w:val="22"/>
          <w:szCs w:val="22"/>
          <w:lang w:val="sr-Latn-ME"/>
        </w:rPr>
        <w:t>51 dan. U većini slučajeva se radilo o neželjeno</w:t>
      </w:r>
      <w:r w:rsidR="00745829" w:rsidRPr="00EF52A6">
        <w:rPr>
          <w:sz w:val="22"/>
          <w:szCs w:val="22"/>
          <w:lang w:val="sr-Latn-ME"/>
        </w:rPr>
        <w:t>m</w:t>
      </w:r>
      <w:r w:rsidRPr="00EF52A6">
        <w:rPr>
          <w:sz w:val="22"/>
          <w:szCs w:val="22"/>
          <w:lang w:val="sr-Latn-ME"/>
        </w:rPr>
        <w:t xml:space="preserve"> </w:t>
      </w:r>
      <w:r w:rsidR="00745829" w:rsidRPr="00EF52A6">
        <w:rPr>
          <w:sz w:val="22"/>
          <w:szCs w:val="22"/>
          <w:lang w:val="sr-Latn-ME"/>
        </w:rPr>
        <w:t xml:space="preserve">dejstvu </w:t>
      </w:r>
      <w:r w:rsidRPr="00EF52A6">
        <w:rPr>
          <w:sz w:val="22"/>
          <w:szCs w:val="22"/>
          <w:lang w:val="sr-Latn-ME"/>
        </w:rPr>
        <w:t>1. ili 2. gradusa težine koj</w:t>
      </w:r>
      <w:r w:rsidR="00745829" w:rsidRPr="00EF52A6">
        <w:rPr>
          <w:sz w:val="22"/>
          <w:szCs w:val="22"/>
          <w:lang w:val="sr-Latn-ME"/>
        </w:rPr>
        <w:t>e</w:t>
      </w:r>
      <w:r w:rsidRPr="00EF52A6">
        <w:rPr>
          <w:sz w:val="22"/>
          <w:szCs w:val="22"/>
          <w:lang w:val="sr-Latn-ME"/>
        </w:rPr>
        <w:t xml:space="preserve"> je l</w:t>
      </w:r>
      <w:r w:rsidR="00A90C8D" w:rsidRPr="00EF52A6">
        <w:rPr>
          <w:sz w:val="22"/>
          <w:szCs w:val="22"/>
          <w:lang w:val="sr-Latn-ME"/>
        </w:rPr>
        <w:t>ij</w:t>
      </w:r>
      <w:r w:rsidRPr="00EF52A6">
        <w:rPr>
          <w:sz w:val="22"/>
          <w:szCs w:val="22"/>
          <w:lang w:val="sr-Latn-ME"/>
        </w:rPr>
        <w:t>ečen</w:t>
      </w:r>
      <w:r w:rsidR="00745829" w:rsidRPr="00EF52A6">
        <w:rPr>
          <w:sz w:val="22"/>
          <w:szCs w:val="22"/>
          <w:lang w:val="sr-Latn-ME"/>
        </w:rPr>
        <w:t>o</w:t>
      </w:r>
      <w:r w:rsidRPr="00EF52A6">
        <w:rPr>
          <w:sz w:val="22"/>
          <w:szCs w:val="22"/>
          <w:lang w:val="sr-Latn-ME"/>
        </w:rPr>
        <w:t xml:space="preserve"> suportivnom ili simptomatskom terapijom i/ili modifikacijom doze. Kod 4 (8%) pacijenta zab</w:t>
      </w:r>
      <w:r w:rsidR="00A90C8D" w:rsidRPr="00EF52A6">
        <w:rPr>
          <w:sz w:val="22"/>
          <w:szCs w:val="22"/>
          <w:lang w:val="sr-Latn-ME"/>
        </w:rPr>
        <w:t>ilj</w:t>
      </w:r>
      <w:r w:rsidRPr="00EF52A6">
        <w:rPr>
          <w:sz w:val="22"/>
          <w:szCs w:val="22"/>
          <w:lang w:val="sr-Latn-ME"/>
        </w:rPr>
        <w:t xml:space="preserve">eženi su događaji ≥ 3. gradusa. Kod deset pacijenata (3 pacijenta kod kojih je najviši gradus bio 3. gradus i 7 </w:t>
      </w:r>
      <w:r w:rsidR="00745829" w:rsidRPr="00EF52A6">
        <w:rPr>
          <w:sz w:val="22"/>
          <w:szCs w:val="22"/>
          <w:lang w:val="sr-Latn-ME"/>
        </w:rPr>
        <w:t xml:space="preserve">pacijenata </w:t>
      </w:r>
      <w:r w:rsidRPr="00EF52A6">
        <w:rPr>
          <w:sz w:val="22"/>
          <w:szCs w:val="22"/>
          <w:lang w:val="sr-Latn-ME"/>
        </w:rPr>
        <w:t>kod kojih je najviši gradus bio 2. gradus) došlo je do privremenog prekida prim</w:t>
      </w:r>
      <w:r w:rsidR="00A90C8D" w:rsidRPr="00EF52A6">
        <w:rPr>
          <w:sz w:val="22"/>
          <w:szCs w:val="22"/>
          <w:lang w:val="sr-Latn-ME"/>
        </w:rPr>
        <w:t>j</w:t>
      </w:r>
      <w:r w:rsidRPr="00EF52A6">
        <w:rPr>
          <w:sz w:val="22"/>
          <w:szCs w:val="22"/>
          <w:lang w:val="sr-Latn-ME"/>
        </w:rPr>
        <w:t>ene selumetiniba zbog paronihije, a kod 5 od njih je nakon privremenog prekida prim</w:t>
      </w:r>
      <w:r w:rsidR="00A90C8D" w:rsidRPr="00EF52A6">
        <w:rPr>
          <w:sz w:val="22"/>
          <w:szCs w:val="22"/>
          <w:lang w:val="sr-Latn-ME"/>
        </w:rPr>
        <w:t>j</w:t>
      </w:r>
      <w:r w:rsidRPr="00EF52A6">
        <w:rPr>
          <w:sz w:val="22"/>
          <w:szCs w:val="22"/>
          <w:lang w:val="sr-Latn-ME"/>
        </w:rPr>
        <w:t>ene usl</w:t>
      </w:r>
      <w:r w:rsidR="00A90C8D" w:rsidRPr="00EF52A6">
        <w:rPr>
          <w:sz w:val="22"/>
          <w:szCs w:val="22"/>
          <w:lang w:val="sr-Latn-ME"/>
        </w:rPr>
        <w:t>ij</w:t>
      </w:r>
      <w:r w:rsidRPr="00EF52A6">
        <w:rPr>
          <w:sz w:val="22"/>
          <w:szCs w:val="22"/>
          <w:lang w:val="sr-Latn-ME"/>
        </w:rPr>
        <w:t>edilo smanjenje doze (kod 2 pacijenta bilo je potrebno dva puta smanjiti dozu). Kod jednog pacijenta (2%) ovaj događaj doveo je do prekida l</w:t>
      </w:r>
      <w:r w:rsidR="00A90C8D" w:rsidRPr="00EF52A6">
        <w:rPr>
          <w:sz w:val="22"/>
          <w:szCs w:val="22"/>
          <w:lang w:val="sr-Latn-ME"/>
        </w:rPr>
        <w:t>ij</w:t>
      </w:r>
      <w:r w:rsidRPr="00EF52A6">
        <w:rPr>
          <w:sz w:val="22"/>
          <w:szCs w:val="22"/>
          <w:lang w:val="sr-Latn-ME"/>
        </w:rPr>
        <w:t>ečenja.</w:t>
      </w:r>
    </w:p>
    <w:p w14:paraId="25347333" w14:textId="77777777" w:rsidR="00FF69F8" w:rsidRPr="00EF52A6" w:rsidRDefault="00FF69F8" w:rsidP="00DF11F1">
      <w:pPr>
        <w:tabs>
          <w:tab w:val="left" w:pos="540"/>
          <w:tab w:val="left" w:pos="569"/>
        </w:tabs>
        <w:jc w:val="both"/>
        <w:rPr>
          <w:sz w:val="22"/>
          <w:szCs w:val="22"/>
          <w:lang w:val="sr-Latn-ME"/>
        </w:rPr>
      </w:pPr>
    </w:p>
    <w:p w14:paraId="68342A51" w14:textId="77777777" w:rsidR="00FF69F8" w:rsidRPr="00EF52A6" w:rsidRDefault="00FF69F8" w:rsidP="00DF11F1">
      <w:pPr>
        <w:tabs>
          <w:tab w:val="left" w:pos="540"/>
          <w:tab w:val="left" w:pos="569"/>
        </w:tabs>
        <w:jc w:val="both"/>
        <w:rPr>
          <w:i/>
          <w:sz w:val="22"/>
          <w:szCs w:val="22"/>
          <w:lang w:val="sr-Latn-ME"/>
        </w:rPr>
      </w:pPr>
      <w:r w:rsidRPr="00EF52A6">
        <w:rPr>
          <w:i/>
          <w:iCs/>
          <w:sz w:val="22"/>
          <w:szCs w:val="22"/>
          <w:u w:val="single"/>
          <w:lang w:val="sr-Latn-ME"/>
        </w:rPr>
        <w:t>Povišen nivo kreatin fosfokinaze (CPK) u krvi</w:t>
      </w:r>
    </w:p>
    <w:p w14:paraId="53EC1726" w14:textId="29527467" w:rsidR="00FF69F8" w:rsidRPr="00EF52A6" w:rsidRDefault="00FF69F8" w:rsidP="00DF11F1">
      <w:pPr>
        <w:tabs>
          <w:tab w:val="left" w:pos="540"/>
          <w:tab w:val="left" w:pos="569"/>
        </w:tabs>
        <w:jc w:val="both"/>
        <w:rPr>
          <w:sz w:val="22"/>
          <w:szCs w:val="22"/>
          <w:lang w:val="sr-Latn-ME"/>
        </w:rPr>
      </w:pPr>
      <w:r w:rsidRPr="00EF52A6">
        <w:rPr>
          <w:sz w:val="22"/>
          <w:szCs w:val="22"/>
          <w:lang w:val="sr-Latn-ME"/>
        </w:rPr>
        <w:t>Neželjen</w:t>
      </w:r>
      <w:r w:rsidR="00745829" w:rsidRPr="00EF52A6">
        <w:rPr>
          <w:sz w:val="22"/>
          <w:szCs w:val="22"/>
          <w:lang w:val="sr-Latn-ME"/>
        </w:rPr>
        <w:t>a</w:t>
      </w:r>
      <w:r w:rsidRPr="00EF52A6">
        <w:rPr>
          <w:sz w:val="22"/>
          <w:szCs w:val="22"/>
          <w:lang w:val="sr-Latn-ME"/>
        </w:rPr>
        <w:t xml:space="preserve"> </w:t>
      </w:r>
      <w:r w:rsidR="00745829" w:rsidRPr="00EF52A6">
        <w:rPr>
          <w:sz w:val="22"/>
          <w:szCs w:val="22"/>
          <w:lang w:val="sr-Latn-ME"/>
        </w:rPr>
        <w:t xml:space="preserve">dejstva </w:t>
      </w:r>
      <w:r w:rsidRPr="00EF52A6">
        <w:rPr>
          <w:sz w:val="22"/>
          <w:szCs w:val="22"/>
          <w:lang w:val="sr-Latn-ME"/>
        </w:rPr>
        <w:t xml:space="preserve">povišenog nivoa CPK u krvi </w:t>
      </w:r>
      <w:r w:rsidR="00745829" w:rsidRPr="00EF52A6">
        <w:rPr>
          <w:sz w:val="22"/>
          <w:szCs w:val="22"/>
          <w:lang w:val="sr-Latn-ME"/>
        </w:rPr>
        <w:t xml:space="preserve">javila </w:t>
      </w:r>
      <w:r w:rsidRPr="00EF52A6">
        <w:rPr>
          <w:sz w:val="22"/>
          <w:szCs w:val="22"/>
          <w:lang w:val="sr-Latn-ME"/>
        </w:rPr>
        <w:t>su se kod 39 (78%) pacijenata u grupi 1 faze II ispitivanja STRATUM. Medijana vremena do prve pojave porasta vr</w:t>
      </w:r>
      <w:r w:rsidR="00A90C8D" w:rsidRPr="00EF52A6">
        <w:rPr>
          <w:sz w:val="22"/>
          <w:szCs w:val="22"/>
          <w:lang w:val="sr-Latn-ME"/>
        </w:rPr>
        <w:t>ij</w:t>
      </w:r>
      <w:r w:rsidRPr="00EF52A6">
        <w:rPr>
          <w:sz w:val="22"/>
          <w:szCs w:val="22"/>
          <w:lang w:val="sr-Latn-ME"/>
        </w:rPr>
        <w:t xml:space="preserve">ednosti CPK najvišeg </w:t>
      </w:r>
      <w:r w:rsidR="00745829" w:rsidRPr="00EF52A6">
        <w:rPr>
          <w:sz w:val="22"/>
          <w:szCs w:val="22"/>
          <w:lang w:val="sr-Latn-ME"/>
        </w:rPr>
        <w:t xml:space="preserve">gradusa </w:t>
      </w:r>
      <w:r w:rsidRPr="00EF52A6">
        <w:rPr>
          <w:sz w:val="22"/>
          <w:szCs w:val="22"/>
          <w:lang w:val="sr-Latn-ME"/>
        </w:rPr>
        <w:t>težine iznosila je 112 dana, a medijana trajanja neželjen</w:t>
      </w:r>
      <w:r w:rsidR="00745829" w:rsidRPr="00EF52A6">
        <w:rPr>
          <w:sz w:val="22"/>
          <w:szCs w:val="22"/>
          <w:lang w:val="sr-Latn-ME"/>
        </w:rPr>
        <w:t>ih</w:t>
      </w:r>
      <w:r w:rsidRPr="00EF52A6">
        <w:rPr>
          <w:sz w:val="22"/>
          <w:szCs w:val="22"/>
          <w:lang w:val="sr-Latn-ME"/>
        </w:rPr>
        <w:t xml:space="preserve"> </w:t>
      </w:r>
      <w:r w:rsidR="00745829" w:rsidRPr="00EF52A6">
        <w:rPr>
          <w:sz w:val="22"/>
          <w:szCs w:val="22"/>
          <w:lang w:val="sr-Latn-ME"/>
        </w:rPr>
        <w:t xml:space="preserve">dejstava </w:t>
      </w:r>
      <w:r w:rsidRPr="00EF52A6">
        <w:rPr>
          <w:sz w:val="22"/>
          <w:szCs w:val="22"/>
          <w:lang w:val="sr-Latn-ME"/>
        </w:rPr>
        <w:t>153 dana. U većini slučajeva neželjen</w:t>
      </w:r>
      <w:r w:rsidR="00745829" w:rsidRPr="00EF52A6">
        <w:rPr>
          <w:sz w:val="22"/>
          <w:szCs w:val="22"/>
          <w:lang w:val="sr-Latn-ME"/>
        </w:rPr>
        <w:t>a</w:t>
      </w:r>
      <w:r w:rsidRPr="00EF52A6">
        <w:rPr>
          <w:sz w:val="22"/>
          <w:szCs w:val="22"/>
          <w:lang w:val="sr-Latn-ME"/>
        </w:rPr>
        <w:t xml:space="preserve"> </w:t>
      </w:r>
      <w:r w:rsidR="00745829" w:rsidRPr="00EF52A6">
        <w:rPr>
          <w:sz w:val="22"/>
          <w:szCs w:val="22"/>
          <w:lang w:val="sr-Latn-ME"/>
        </w:rPr>
        <w:t xml:space="preserve">dejstva </w:t>
      </w:r>
      <w:r w:rsidRPr="00EF52A6">
        <w:rPr>
          <w:sz w:val="22"/>
          <w:szCs w:val="22"/>
          <w:lang w:val="sr-Latn-ME"/>
        </w:rPr>
        <w:t>bil</w:t>
      </w:r>
      <w:r w:rsidR="00745829" w:rsidRPr="00EF52A6">
        <w:rPr>
          <w:sz w:val="22"/>
          <w:szCs w:val="22"/>
          <w:lang w:val="sr-Latn-ME"/>
        </w:rPr>
        <w:t>a</w:t>
      </w:r>
      <w:r w:rsidRPr="00EF52A6">
        <w:rPr>
          <w:sz w:val="22"/>
          <w:szCs w:val="22"/>
          <w:lang w:val="sr-Latn-ME"/>
        </w:rPr>
        <w:t xml:space="preserve"> su 1. ili 2. gradusa i prošl</w:t>
      </w:r>
      <w:r w:rsidR="00745829" w:rsidRPr="00EF52A6">
        <w:rPr>
          <w:sz w:val="22"/>
          <w:szCs w:val="22"/>
          <w:lang w:val="sr-Latn-ME"/>
        </w:rPr>
        <w:t>a</w:t>
      </w:r>
      <w:r w:rsidRPr="00EF52A6">
        <w:rPr>
          <w:sz w:val="22"/>
          <w:szCs w:val="22"/>
          <w:lang w:val="sr-Latn-ME"/>
        </w:rPr>
        <w:t xml:space="preserve"> su bez prom</w:t>
      </w:r>
      <w:r w:rsidR="00A90C8D" w:rsidRPr="00EF52A6">
        <w:rPr>
          <w:sz w:val="22"/>
          <w:szCs w:val="22"/>
          <w:lang w:val="sr-Latn-ME"/>
        </w:rPr>
        <w:t>j</w:t>
      </w:r>
      <w:r w:rsidRPr="00EF52A6">
        <w:rPr>
          <w:sz w:val="22"/>
          <w:szCs w:val="22"/>
          <w:lang w:val="sr-Latn-ME"/>
        </w:rPr>
        <w:t>ene u dozi selumetiniba. Neželjen</w:t>
      </w:r>
      <w:r w:rsidR="00745829" w:rsidRPr="00EF52A6">
        <w:rPr>
          <w:sz w:val="22"/>
          <w:szCs w:val="22"/>
          <w:lang w:val="sr-Latn-ME"/>
        </w:rPr>
        <w:t>a</w:t>
      </w:r>
      <w:r w:rsidRPr="00EF52A6">
        <w:rPr>
          <w:sz w:val="22"/>
          <w:szCs w:val="22"/>
          <w:lang w:val="sr-Latn-ME"/>
        </w:rPr>
        <w:t xml:space="preserve"> </w:t>
      </w:r>
      <w:r w:rsidR="00745829" w:rsidRPr="00EF52A6">
        <w:rPr>
          <w:sz w:val="22"/>
          <w:szCs w:val="22"/>
          <w:lang w:val="sr-Latn-ME"/>
        </w:rPr>
        <w:t xml:space="preserve">dejstva </w:t>
      </w:r>
      <w:r w:rsidRPr="00EF52A6">
        <w:rPr>
          <w:sz w:val="22"/>
          <w:szCs w:val="22"/>
          <w:lang w:val="sr-Latn-ME"/>
        </w:rPr>
        <w:t>gradusa ≥</w:t>
      </w:r>
      <w:r w:rsidR="00745829" w:rsidRPr="00EF52A6">
        <w:rPr>
          <w:sz w:val="22"/>
          <w:szCs w:val="22"/>
          <w:lang w:val="sr-Latn-ME"/>
        </w:rPr>
        <w:t xml:space="preserve"> </w:t>
      </w:r>
      <w:r w:rsidRPr="00EF52A6">
        <w:rPr>
          <w:sz w:val="22"/>
          <w:szCs w:val="22"/>
          <w:lang w:val="sr-Latn-ME"/>
        </w:rPr>
        <w:t>3 javil</w:t>
      </w:r>
      <w:r w:rsidR="00745829" w:rsidRPr="00EF52A6">
        <w:rPr>
          <w:sz w:val="22"/>
          <w:szCs w:val="22"/>
          <w:lang w:val="sr-Latn-ME"/>
        </w:rPr>
        <w:t>a</w:t>
      </w:r>
      <w:r w:rsidRPr="00EF52A6">
        <w:rPr>
          <w:sz w:val="22"/>
          <w:szCs w:val="22"/>
          <w:lang w:val="sr-Latn-ME"/>
        </w:rPr>
        <w:t xml:space="preserve"> su se kod</w:t>
      </w:r>
      <w:r w:rsidR="00A90C8D" w:rsidRPr="00EF52A6">
        <w:rPr>
          <w:sz w:val="22"/>
          <w:szCs w:val="22"/>
          <w:lang w:val="sr-Latn-ME"/>
        </w:rPr>
        <w:t xml:space="preserve"> </w:t>
      </w:r>
      <w:r w:rsidRPr="00EF52A6">
        <w:rPr>
          <w:sz w:val="22"/>
          <w:szCs w:val="22"/>
          <w:lang w:val="sr-Latn-ME"/>
        </w:rPr>
        <w:t>3 (6%) pacijenta. Jedn</w:t>
      </w:r>
      <w:r w:rsidR="00745829" w:rsidRPr="00EF52A6">
        <w:rPr>
          <w:sz w:val="22"/>
          <w:szCs w:val="22"/>
          <w:lang w:val="sr-Latn-ME"/>
        </w:rPr>
        <w:t>o</w:t>
      </w:r>
      <w:r w:rsidRPr="00EF52A6">
        <w:rPr>
          <w:sz w:val="22"/>
          <w:szCs w:val="22"/>
          <w:lang w:val="sr-Latn-ME"/>
        </w:rPr>
        <w:t xml:space="preserve"> neželjen</w:t>
      </w:r>
      <w:r w:rsidR="00745829" w:rsidRPr="00EF52A6">
        <w:rPr>
          <w:sz w:val="22"/>
          <w:szCs w:val="22"/>
          <w:lang w:val="sr-Latn-ME"/>
        </w:rPr>
        <w:t>o</w:t>
      </w:r>
      <w:r w:rsidRPr="00EF52A6">
        <w:rPr>
          <w:sz w:val="22"/>
          <w:szCs w:val="22"/>
          <w:lang w:val="sr-Latn-ME"/>
        </w:rPr>
        <w:t xml:space="preserve"> </w:t>
      </w:r>
      <w:r w:rsidR="00745829" w:rsidRPr="00EF52A6">
        <w:rPr>
          <w:sz w:val="22"/>
          <w:szCs w:val="22"/>
          <w:lang w:val="sr-Latn-ME"/>
        </w:rPr>
        <w:t xml:space="preserve">dejstvo </w:t>
      </w:r>
      <w:r w:rsidRPr="00EF52A6">
        <w:rPr>
          <w:sz w:val="22"/>
          <w:szCs w:val="22"/>
          <w:lang w:val="sr-Latn-ME"/>
        </w:rPr>
        <w:t>4. gradusa dovel</w:t>
      </w:r>
      <w:r w:rsidR="00745829" w:rsidRPr="00EF52A6">
        <w:rPr>
          <w:sz w:val="22"/>
          <w:szCs w:val="22"/>
          <w:lang w:val="sr-Latn-ME"/>
        </w:rPr>
        <w:t>o</w:t>
      </w:r>
      <w:r w:rsidRPr="00EF52A6">
        <w:rPr>
          <w:sz w:val="22"/>
          <w:szCs w:val="22"/>
          <w:lang w:val="sr-Latn-ME"/>
        </w:rPr>
        <w:t xml:space="preserve"> je do privremenog prekida prim</w:t>
      </w:r>
      <w:r w:rsidR="00A90C8D" w:rsidRPr="00EF52A6">
        <w:rPr>
          <w:sz w:val="22"/>
          <w:szCs w:val="22"/>
          <w:lang w:val="sr-Latn-ME"/>
        </w:rPr>
        <w:t>j</w:t>
      </w:r>
      <w:r w:rsidRPr="00EF52A6">
        <w:rPr>
          <w:sz w:val="22"/>
          <w:szCs w:val="22"/>
          <w:lang w:val="sr-Latn-ME"/>
        </w:rPr>
        <w:t>ene l</w:t>
      </w:r>
      <w:r w:rsidR="00A90C8D" w:rsidRPr="00EF52A6">
        <w:rPr>
          <w:sz w:val="22"/>
          <w:szCs w:val="22"/>
          <w:lang w:val="sr-Latn-ME"/>
        </w:rPr>
        <w:t>ij</w:t>
      </w:r>
      <w:r w:rsidRPr="00EF52A6">
        <w:rPr>
          <w:sz w:val="22"/>
          <w:szCs w:val="22"/>
          <w:lang w:val="sr-Latn-ME"/>
        </w:rPr>
        <w:t xml:space="preserve">eka, nakon </w:t>
      </w:r>
      <w:r w:rsidR="00745829" w:rsidRPr="00EF52A6">
        <w:rPr>
          <w:sz w:val="22"/>
          <w:szCs w:val="22"/>
          <w:lang w:val="sr-Latn-ME"/>
        </w:rPr>
        <w:t xml:space="preserve">čega </w:t>
      </w:r>
      <w:r w:rsidRPr="00EF52A6">
        <w:rPr>
          <w:sz w:val="22"/>
          <w:szCs w:val="22"/>
          <w:lang w:val="sr-Latn-ME"/>
        </w:rPr>
        <w:t>je usl</w:t>
      </w:r>
      <w:r w:rsidR="00A90C8D" w:rsidRPr="00EF52A6">
        <w:rPr>
          <w:sz w:val="22"/>
          <w:szCs w:val="22"/>
          <w:lang w:val="sr-Latn-ME"/>
        </w:rPr>
        <w:t>ij</w:t>
      </w:r>
      <w:r w:rsidRPr="00EF52A6">
        <w:rPr>
          <w:sz w:val="22"/>
          <w:szCs w:val="22"/>
          <w:lang w:val="sr-Latn-ME"/>
        </w:rPr>
        <w:t>edilo smanjenje doze.</w:t>
      </w:r>
    </w:p>
    <w:p w14:paraId="2340ED3D" w14:textId="77777777" w:rsidR="00FF69F8" w:rsidRPr="00EF52A6" w:rsidRDefault="00FF69F8" w:rsidP="00DF11F1">
      <w:pPr>
        <w:tabs>
          <w:tab w:val="left" w:pos="540"/>
          <w:tab w:val="left" w:pos="569"/>
        </w:tabs>
        <w:jc w:val="both"/>
        <w:rPr>
          <w:sz w:val="22"/>
          <w:szCs w:val="22"/>
          <w:lang w:val="sr-Latn-ME"/>
        </w:rPr>
      </w:pPr>
    </w:p>
    <w:p w14:paraId="0CDA0E3C" w14:textId="77777777" w:rsidR="00FF69F8" w:rsidRPr="00EF52A6" w:rsidRDefault="00FF69F8" w:rsidP="00DF11F1">
      <w:pPr>
        <w:tabs>
          <w:tab w:val="left" w:pos="540"/>
          <w:tab w:val="left" w:pos="569"/>
        </w:tabs>
        <w:jc w:val="both"/>
        <w:rPr>
          <w:i/>
          <w:sz w:val="22"/>
          <w:szCs w:val="22"/>
          <w:lang w:val="sr-Latn-ME"/>
        </w:rPr>
      </w:pPr>
      <w:r w:rsidRPr="00EF52A6">
        <w:rPr>
          <w:i/>
          <w:iCs/>
          <w:sz w:val="22"/>
          <w:szCs w:val="22"/>
          <w:u w:val="single"/>
          <w:lang w:val="sr-Latn-ME"/>
        </w:rPr>
        <w:t>Gastrointestinalne toksičnosti</w:t>
      </w:r>
    </w:p>
    <w:p w14:paraId="32DD36AB" w14:textId="74AE7772" w:rsidR="00FF69F8" w:rsidRPr="00EF52A6" w:rsidRDefault="00FF69F8" w:rsidP="00DF11F1">
      <w:pPr>
        <w:tabs>
          <w:tab w:val="left" w:pos="540"/>
          <w:tab w:val="left" w:pos="569"/>
        </w:tabs>
        <w:jc w:val="both"/>
        <w:rPr>
          <w:sz w:val="22"/>
          <w:szCs w:val="22"/>
          <w:lang w:val="sr-Latn-ME"/>
        </w:rPr>
      </w:pPr>
      <w:r w:rsidRPr="00EF52A6">
        <w:rPr>
          <w:sz w:val="22"/>
          <w:szCs w:val="22"/>
          <w:lang w:val="sr-Latn-ME"/>
        </w:rPr>
        <w:t>U grupi 1 iz faze II ispitivanja SPRINT najčešće prijavljen</w:t>
      </w:r>
      <w:r w:rsidR="00745829" w:rsidRPr="00EF52A6">
        <w:rPr>
          <w:sz w:val="22"/>
          <w:szCs w:val="22"/>
          <w:lang w:val="sr-Latn-ME"/>
        </w:rPr>
        <w:t>a</w:t>
      </w:r>
      <w:r w:rsidRPr="00EF52A6">
        <w:rPr>
          <w:sz w:val="22"/>
          <w:szCs w:val="22"/>
          <w:lang w:val="sr-Latn-ME"/>
        </w:rPr>
        <w:t xml:space="preserve"> neželjen</w:t>
      </w:r>
      <w:r w:rsidR="00745829" w:rsidRPr="00EF52A6">
        <w:rPr>
          <w:sz w:val="22"/>
          <w:szCs w:val="22"/>
          <w:lang w:val="sr-Latn-ME"/>
        </w:rPr>
        <w:t>a</w:t>
      </w:r>
      <w:r w:rsidRPr="00EF52A6">
        <w:rPr>
          <w:sz w:val="22"/>
          <w:szCs w:val="22"/>
          <w:lang w:val="sr-Latn-ME"/>
        </w:rPr>
        <w:t xml:space="preserve"> </w:t>
      </w:r>
      <w:r w:rsidR="00745829" w:rsidRPr="00EF52A6">
        <w:rPr>
          <w:sz w:val="22"/>
          <w:szCs w:val="22"/>
          <w:lang w:val="sr-Latn-ME"/>
        </w:rPr>
        <w:t xml:space="preserve">dejstva </w:t>
      </w:r>
      <w:r w:rsidRPr="00EF52A6">
        <w:rPr>
          <w:sz w:val="22"/>
          <w:szCs w:val="22"/>
          <w:lang w:val="sr-Latn-ME"/>
        </w:rPr>
        <w:t>u gastrointestinalnom sistemu bil</w:t>
      </w:r>
      <w:r w:rsidR="00745829" w:rsidRPr="00EF52A6">
        <w:rPr>
          <w:sz w:val="22"/>
          <w:szCs w:val="22"/>
          <w:lang w:val="sr-Latn-ME"/>
        </w:rPr>
        <w:t>a</w:t>
      </w:r>
      <w:r w:rsidRPr="00EF52A6">
        <w:rPr>
          <w:sz w:val="22"/>
          <w:szCs w:val="22"/>
          <w:lang w:val="sr-Latn-ME"/>
        </w:rPr>
        <w:t xml:space="preserve"> su povraćanje (43 pacijenta, 86%</w:t>
      </w:r>
      <w:r w:rsidR="00745829" w:rsidRPr="00EF52A6">
        <w:rPr>
          <w:sz w:val="22"/>
          <w:szCs w:val="22"/>
          <w:lang w:val="sr-Latn-ME"/>
        </w:rPr>
        <w:t>;</w:t>
      </w:r>
      <w:r w:rsidRPr="00EF52A6">
        <w:rPr>
          <w:sz w:val="22"/>
          <w:szCs w:val="22"/>
          <w:lang w:val="sr-Latn-ME"/>
        </w:rPr>
        <w:t xml:space="preserve"> medijana trajanja 3 dana), dijareja</w:t>
      </w:r>
      <w:r w:rsidR="00A90C8D" w:rsidRPr="00EF52A6">
        <w:rPr>
          <w:sz w:val="22"/>
          <w:szCs w:val="22"/>
          <w:lang w:val="sr-Latn-ME"/>
        </w:rPr>
        <w:t xml:space="preserve"> </w:t>
      </w:r>
      <w:r w:rsidRPr="00EF52A6">
        <w:rPr>
          <w:sz w:val="22"/>
          <w:szCs w:val="22"/>
          <w:lang w:val="sr-Latn-ME"/>
        </w:rPr>
        <w:t>(37 pacijenata, 74%</w:t>
      </w:r>
      <w:r w:rsidR="00745829" w:rsidRPr="00EF52A6">
        <w:rPr>
          <w:sz w:val="22"/>
          <w:szCs w:val="22"/>
          <w:lang w:val="sr-Latn-ME"/>
        </w:rPr>
        <w:t>;</w:t>
      </w:r>
      <w:r w:rsidRPr="00EF52A6">
        <w:rPr>
          <w:sz w:val="22"/>
          <w:szCs w:val="22"/>
          <w:lang w:val="sr-Latn-ME"/>
        </w:rPr>
        <w:t xml:space="preserve"> medijana trajanja 6 dana), mučnina (36 pacijenata, 72%</w:t>
      </w:r>
      <w:r w:rsidR="00745829" w:rsidRPr="00EF52A6">
        <w:rPr>
          <w:sz w:val="22"/>
          <w:szCs w:val="22"/>
          <w:lang w:val="sr-Latn-ME"/>
        </w:rPr>
        <w:t>;</w:t>
      </w:r>
      <w:r w:rsidRPr="00EF52A6">
        <w:rPr>
          <w:sz w:val="22"/>
          <w:szCs w:val="22"/>
          <w:lang w:val="sr-Latn-ME"/>
        </w:rPr>
        <w:t xml:space="preserve"> medijana trajanja 15 dana) i stomatitis (26 pacijenata, 52%</w:t>
      </w:r>
      <w:r w:rsidR="00745829" w:rsidRPr="00EF52A6">
        <w:rPr>
          <w:sz w:val="22"/>
          <w:szCs w:val="22"/>
          <w:lang w:val="sr-Latn-ME"/>
        </w:rPr>
        <w:t>;</w:t>
      </w:r>
      <w:r w:rsidRPr="00EF52A6">
        <w:rPr>
          <w:sz w:val="22"/>
          <w:szCs w:val="22"/>
          <w:lang w:val="sr-Latn-ME"/>
        </w:rPr>
        <w:t xml:space="preserve"> medijana trajanja 27 dana). Većina tih slučajeva bila je 1. ili 2. gradusa i nije zaht</w:t>
      </w:r>
      <w:r w:rsidR="00745829" w:rsidRPr="00EF52A6">
        <w:rPr>
          <w:sz w:val="22"/>
          <w:szCs w:val="22"/>
          <w:lang w:val="sr-Latn-ME"/>
        </w:rPr>
        <w:t>ij</w:t>
      </w:r>
      <w:r w:rsidRPr="00EF52A6">
        <w:rPr>
          <w:sz w:val="22"/>
          <w:szCs w:val="22"/>
          <w:lang w:val="sr-Latn-ME"/>
        </w:rPr>
        <w:t>evala privremeni prekid ni smanjenje doze.</w:t>
      </w:r>
    </w:p>
    <w:p w14:paraId="6B8706E0" w14:textId="77777777" w:rsidR="00FF69F8" w:rsidRPr="00EF52A6" w:rsidRDefault="00FF69F8" w:rsidP="00DF11F1">
      <w:pPr>
        <w:tabs>
          <w:tab w:val="left" w:pos="540"/>
          <w:tab w:val="left" w:pos="569"/>
        </w:tabs>
        <w:jc w:val="both"/>
        <w:rPr>
          <w:sz w:val="22"/>
          <w:szCs w:val="22"/>
          <w:lang w:val="sr-Latn-ME"/>
        </w:rPr>
      </w:pPr>
    </w:p>
    <w:p w14:paraId="361FA787" w14:textId="445C8B1D" w:rsidR="00FF69F8" w:rsidRPr="00EF52A6" w:rsidRDefault="00FF69F8" w:rsidP="00DF11F1">
      <w:pPr>
        <w:tabs>
          <w:tab w:val="left" w:pos="540"/>
          <w:tab w:val="left" w:pos="569"/>
        </w:tabs>
        <w:jc w:val="both"/>
        <w:rPr>
          <w:sz w:val="22"/>
          <w:szCs w:val="22"/>
          <w:lang w:val="sr-Latn-ME"/>
        </w:rPr>
      </w:pPr>
      <w:r w:rsidRPr="00EF52A6">
        <w:rPr>
          <w:sz w:val="22"/>
          <w:szCs w:val="22"/>
          <w:lang w:val="sr-Latn-ME"/>
        </w:rPr>
        <w:t>Neželjen</w:t>
      </w:r>
      <w:r w:rsidR="00745829" w:rsidRPr="00EF52A6">
        <w:rPr>
          <w:sz w:val="22"/>
          <w:szCs w:val="22"/>
          <w:lang w:val="sr-Latn-ME"/>
        </w:rPr>
        <w:t>a</w:t>
      </w:r>
      <w:r w:rsidRPr="00EF52A6">
        <w:rPr>
          <w:sz w:val="22"/>
          <w:szCs w:val="22"/>
          <w:lang w:val="sr-Latn-ME"/>
        </w:rPr>
        <w:t xml:space="preserve"> </w:t>
      </w:r>
      <w:r w:rsidR="00745829" w:rsidRPr="00EF52A6">
        <w:rPr>
          <w:sz w:val="22"/>
          <w:szCs w:val="22"/>
          <w:lang w:val="sr-Latn-ME"/>
        </w:rPr>
        <w:t xml:space="preserve">dejstva </w:t>
      </w:r>
      <w:r w:rsidRPr="00EF52A6">
        <w:rPr>
          <w:sz w:val="22"/>
          <w:szCs w:val="22"/>
          <w:lang w:val="sr-Latn-ME"/>
        </w:rPr>
        <w:t>3. gradusa prijavljen</w:t>
      </w:r>
      <w:r w:rsidR="00745829" w:rsidRPr="00EF52A6">
        <w:rPr>
          <w:sz w:val="22"/>
          <w:szCs w:val="22"/>
          <w:lang w:val="sr-Latn-ME"/>
        </w:rPr>
        <w:t>a</w:t>
      </w:r>
      <w:r w:rsidRPr="00EF52A6">
        <w:rPr>
          <w:sz w:val="22"/>
          <w:szCs w:val="22"/>
          <w:lang w:val="sr-Latn-ME"/>
        </w:rPr>
        <w:t xml:space="preserve"> su za dijareju (8 pacijenata, 16%), mučnin</w:t>
      </w:r>
      <w:r w:rsidR="00745829" w:rsidRPr="00EF52A6">
        <w:rPr>
          <w:sz w:val="22"/>
          <w:szCs w:val="22"/>
          <w:lang w:val="sr-Latn-ME"/>
        </w:rPr>
        <w:t>u</w:t>
      </w:r>
      <w:r w:rsidRPr="00EF52A6">
        <w:rPr>
          <w:sz w:val="22"/>
          <w:szCs w:val="22"/>
          <w:lang w:val="sr-Latn-ME"/>
        </w:rPr>
        <w:t xml:space="preserve"> (2 pacijenta, 4%) i povraćanje (4 pacijenta, 8%). Kod jednog pacijenta dijareja je dovela do smanjenja doze, a zatim i trajnog prekida prim</w:t>
      </w:r>
      <w:r w:rsidR="00A90C8D" w:rsidRPr="00EF52A6">
        <w:rPr>
          <w:sz w:val="22"/>
          <w:szCs w:val="22"/>
          <w:lang w:val="sr-Latn-ME"/>
        </w:rPr>
        <w:t>j</w:t>
      </w:r>
      <w:r w:rsidRPr="00EF52A6">
        <w:rPr>
          <w:sz w:val="22"/>
          <w:szCs w:val="22"/>
          <w:lang w:val="sr-Latn-ME"/>
        </w:rPr>
        <w:t>ene. Mučnina, povraćanje i stomatitis ni</w:t>
      </w:r>
      <w:r w:rsidR="00745829" w:rsidRPr="00EF52A6">
        <w:rPr>
          <w:sz w:val="22"/>
          <w:szCs w:val="22"/>
          <w:lang w:val="sr-Latn-ME"/>
        </w:rPr>
        <w:t>je</w:t>
      </w:r>
      <w:r w:rsidRPr="00EF52A6">
        <w:rPr>
          <w:sz w:val="22"/>
          <w:szCs w:val="22"/>
          <w:lang w:val="sr-Latn-ME"/>
        </w:rPr>
        <w:t>su zaht</w:t>
      </w:r>
      <w:r w:rsidR="00A90C8D" w:rsidRPr="00EF52A6">
        <w:rPr>
          <w:sz w:val="22"/>
          <w:szCs w:val="22"/>
          <w:lang w:val="sr-Latn-ME"/>
        </w:rPr>
        <w:t>ij</w:t>
      </w:r>
      <w:r w:rsidRPr="00EF52A6">
        <w:rPr>
          <w:sz w:val="22"/>
          <w:szCs w:val="22"/>
          <w:lang w:val="sr-Latn-ME"/>
        </w:rPr>
        <w:t>evali smanjenje doze ni trajan prekid prim</w:t>
      </w:r>
      <w:r w:rsidR="00A90C8D" w:rsidRPr="00EF52A6">
        <w:rPr>
          <w:sz w:val="22"/>
          <w:szCs w:val="22"/>
          <w:lang w:val="sr-Latn-ME"/>
        </w:rPr>
        <w:t>j</w:t>
      </w:r>
      <w:r w:rsidRPr="00EF52A6">
        <w:rPr>
          <w:sz w:val="22"/>
          <w:szCs w:val="22"/>
          <w:lang w:val="sr-Latn-ME"/>
        </w:rPr>
        <w:t>ene.</w:t>
      </w:r>
    </w:p>
    <w:p w14:paraId="776AAC19" w14:textId="77777777" w:rsidR="00FF69F8" w:rsidRPr="00EF52A6" w:rsidRDefault="00FF69F8" w:rsidP="00DF11F1">
      <w:pPr>
        <w:tabs>
          <w:tab w:val="left" w:pos="540"/>
          <w:tab w:val="left" w:pos="569"/>
        </w:tabs>
        <w:jc w:val="both"/>
        <w:rPr>
          <w:sz w:val="22"/>
          <w:szCs w:val="22"/>
          <w:lang w:val="sr-Latn-ME"/>
        </w:rPr>
      </w:pPr>
    </w:p>
    <w:p w14:paraId="525934EA" w14:textId="77777777" w:rsidR="00FF69F8" w:rsidRPr="00EF52A6" w:rsidRDefault="00FF69F8" w:rsidP="00DF11F1">
      <w:pPr>
        <w:tabs>
          <w:tab w:val="left" w:pos="540"/>
          <w:tab w:val="left" w:pos="569"/>
        </w:tabs>
        <w:jc w:val="both"/>
        <w:rPr>
          <w:i/>
          <w:sz w:val="22"/>
          <w:szCs w:val="22"/>
          <w:lang w:val="sr-Latn-ME"/>
        </w:rPr>
      </w:pPr>
      <w:r w:rsidRPr="00EF52A6">
        <w:rPr>
          <w:i/>
          <w:iCs/>
          <w:sz w:val="22"/>
          <w:szCs w:val="22"/>
          <w:u w:val="single"/>
          <w:lang w:val="sr-Latn-ME"/>
        </w:rPr>
        <w:t>Toksičnosti kože</w:t>
      </w:r>
    </w:p>
    <w:p w14:paraId="434FDC56" w14:textId="2CC73FA2" w:rsidR="00FF69F8" w:rsidRPr="00EF52A6" w:rsidRDefault="00FF69F8" w:rsidP="00DF11F1">
      <w:pPr>
        <w:widowControl w:val="0"/>
        <w:tabs>
          <w:tab w:val="left" w:pos="540"/>
          <w:tab w:val="left" w:pos="569"/>
        </w:tabs>
        <w:jc w:val="both"/>
        <w:rPr>
          <w:sz w:val="22"/>
          <w:szCs w:val="22"/>
          <w:lang w:val="sr-Latn-ME"/>
        </w:rPr>
      </w:pPr>
      <w:r w:rsidRPr="00EF52A6">
        <w:rPr>
          <w:sz w:val="22"/>
          <w:szCs w:val="22"/>
          <w:lang w:val="sr-Latn-ME"/>
        </w:rPr>
        <w:t>U grupi 1 iz faze II ispitivanja SPRINT zab</w:t>
      </w:r>
      <w:r w:rsidR="00A90C8D" w:rsidRPr="00EF52A6">
        <w:rPr>
          <w:sz w:val="22"/>
          <w:szCs w:val="22"/>
          <w:lang w:val="sr-Latn-ME"/>
        </w:rPr>
        <w:t>ilj</w:t>
      </w:r>
      <w:r w:rsidRPr="00EF52A6">
        <w:rPr>
          <w:sz w:val="22"/>
          <w:szCs w:val="22"/>
          <w:lang w:val="sr-Latn-ME"/>
        </w:rPr>
        <w:t xml:space="preserve">ežen je akneiformni dermatitis kod 28 (56%) pacijenata </w:t>
      </w:r>
      <w:r w:rsidRPr="00EF52A6">
        <w:rPr>
          <w:sz w:val="22"/>
          <w:szCs w:val="22"/>
          <w:lang w:val="sr-Latn-ME"/>
        </w:rPr>
        <w:lastRenderedPageBreak/>
        <w:t xml:space="preserve">(medijana vremena do prve pojave iznosila je 43 dana, a medijana trajanja 202 dana za događaj maksimalnog </w:t>
      </w:r>
      <w:r w:rsidR="001A60FF" w:rsidRPr="00EF52A6">
        <w:rPr>
          <w:sz w:val="22"/>
          <w:szCs w:val="22"/>
          <w:lang w:val="sr-Latn-ME"/>
        </w:rPr>
        <w:t xml:space="preserve">CTCAE </w:t>
      </w:r>
      <w:r w:rsidRPr="00EF52A6">
        <w:rPr>
          <w:sz w:val="22"/>
          <w:szCs w:val="22"/>
          <w:lang w:val="sr-Latn-ME"/>
        </w:rPr>
        <w:t xml:space="preserve">gradusa). Većina tih slučajeva bila je 1. ili 2. gradusa, </w:t>
      </w:r>
      <w:r w:rsidR="001A60FF" w:rsidRPr="00EF52A6">
        <w:rPr>
          <w:sz w:val="22"/>
          <w:szCs w:val="22"/>
          <w:lang w:val="sr-Latn-ME"/>
        </w:rPr>
        <w:t xml:space="preserve">a </w:t>
      </w:r>
      <w:r w:rsidRPr="00EF52A6">
        <w:rPr>
          <w:sz w:val="22"/>
          <w:szCs w:val="22"/>
          <w:lang w:val="sr-Latn-ME"/>
        </w:rPr>
        <w:t>zab</w:t>
      </w:r>
      <w:r w:rsidR="00A90C8D" w:rsidRPr="00EF52A6">
        <w:rPr>
          <w:sz w:val="22"/>
          <w:szCs w:val="22"/>
          <w:lang w:val="sr-Latn-ME"/>
        </w:rPr>
        <w:t>ilj</w:t>
      </w:r>
      <w:r w:rsidRPr="00EF52A6">
        <w:rPr>
          <w:sz w:val="22"/>
          <w:szCs w:val="22"/>
          <w:lang w:val="sr-Latn-ME"/>
        </w:rPr>
        <w:t>ežen</w:t>
      </w:r>
      <w:r w:rsidR="001A60FF" w:rsidRPr="00EF52A6">
        <w:rPr>
          <w:sz w:val="22"/>
          <w:szCs w:val="22"/>
          <w:lang w:val="sr-Latn-ME"/>
        </w:rPr>
        <w:t>a</w:t>
      </w:r>
      <w:r w:rsidRPr="00EF52A6">
        <w:rPr>
          <w:sz w:val="22"/>
          <w:szCs w:val="22"/>
          <w:lang w:val="sr-Latn-ME"/>
        </w:rPr>
        <w:t xml:space="preserve"> </w:t>
      </w:r>
      <w:r w:rsidR="001A60FF" w:rsidRPr="00EF52A6">
        <w:rPr>
          <w:sz w:val="22"/>
          <w:szCs w:val="22"/>
          <w:lang w:val="sr-Latn-ME"/>
        </w:rPr>
        <w:t>je</w:t>
      </w:r>
      <w:r w:rsidRPr="00EF52A6">
        <w:rPr>
          <w:sz w:val="22"/>
          <w:szCs w:val="22"/>
          <w:lang w:val="sr-Latn-ME"/>
        </w:rPr>
        <w:t xml:space="preserve"> kod pacijenata nakon puberteta (&gt; 12 godina) i nije zaht</w:t>
      </w:r>
      <w:r w:rsidR="00A90C8D" w:rsidRPr="00EF52A6">
        <w:rPr>
          <w:sz w:val="22"/>
          <w:szCs w:val="22"/>
          <w:lang w:val="sr-Latn-ME"/>
        </w:rPr>
        <w:t>ij</w:t>
      </w:r>
      <w:r w:rsidRPr="00EF52A6">
        <w:rPr>
          <w:sz w:val="22"/>
          <w:szCs w:val="22"/>
          <w:lang w:val="sr-Latn-ME"/>
        </w:rPr>
        <w:t>evala privremeni prekid ni smanjenje doze. Neželjen</w:t>
      </w:r>
      <w:r w:rsidR="001A60FF" w:rsidRPr="00EF52A6">
        <w:rPr>
          <w:sz w:val="22"/>
          <w:szCs w:val="22"/>
          <w:lang w:val="sr-Latn-ME"/>
        </w:rPr>
        <w:t>a</w:t>
      </w:r>
      <w:r w:rsidRPr="00EF52A6">
        <w:rPr>
          <w:sz w:val="22"/>
          <w:szCs w:val="22"/>
          <w:lang w:val="sr-Latn-ME"/>
        </w:rPr>
        <w:t xml:space="preserve"> </w:t>
      </w:r>
      <w:r w:rsidR="001A60FF" w:rsidRPr="00EF52A6">
        <w:rPr>
          <w:sz w:val="22"/>
          <w:szCs w:val="22"/>
          <w:lang w:val="sr-Latn-ME"/>
        </w:rPr>
        <w:t xml:space="preserve">dejstva </w:t>
      </w:r>
      <w:r w:rsidRPr="00EF52A6">
        <w:rPr>
          <w:sz w:val="22"/>
          <w:szCs w:val="22"/>
          <w:lang w:val="sr-Latn-ME"/>
        </w:rPr>
        <w:t>3. gradusa zab</w:t>
      </w:r>
      <w:r w:rsidR="00A90C8D" w:rsidRPr="00EF52A6">
        <w:rPr>
          <w:sz w:val="22"/>
          <w:szCs w:val="22"/>
          <w:lang w:val="sr-Latn-ME"/>
        </w:rPr>
        <w:t>ilj</w:t>
      </w:r>
      <w:r w:rsidRPr="00EF52A6">
        <w:rPr>
          <w:sz w:val="22"/>
          <w:szCs w:val="22"/>
          <w:lang w:val="sr-Latn-ME"/>
        </w:rPr>
        <w:t>ežen</w:t>
      </w:r>
      <w:r w:rsidR="001A60FF" w:rsidRPr="00EF52A6">
        <w:rPr>
          <w:sz w:val="22"/>
          <w:szCs w:val="22"/>
          <w:lang w:val="sr-Latn-ME"/>
        </w:rPr>
        <w:t>a</w:t>
      </w:r>
      <w:r w:rsidRPr="00EF52A6">
        <w:rPr>
          <w:sz w:val="22"/>
          <w:szCs w:val="22"/>
          <w:lang w:val="sr-Latn-ME"/>
        </w:rPr>
        <w:t xml:space="preserve"> su kod 3 (6%) pacijenta.</w:t>
      </w:r>
    </w:p>
    <w:p w14:paraId="69C49539" w14:textId="26FE27E8" w:rsidR="00FF69F8" w:rsidRPr="00EF52A6" w:rsidRDefault="00FF69F8" w:rsidP="00DF11F1">
      <w:pPr>
        <w:widowControl w:val="0"/>
        <w:tabs>
          <w:tab w:val="left" w:pos="540"/>
          <w:tab w:val="left" w:pos="569"/>
        </w:tabs>
        <w:jc w:val="both"/>
        <w:rPr>
          <w:sz w:val="22"/>
          <w:szCs w:val="22"/>
          <w:lang w:val="sr-Latn-ME"/>
        </w:rPr>
      </w:pPr>
      <w:r w:rsidRPr="00EF52A6">
        <w:rPr>
          <w:sz w:val="22"/>
          <w:szCs w:val="22"/>
          <w:lang w:val="sr-Latn-ME"/>
        </w:rPr>
        <w:t>Kod 27 (54%) pacijenata iz pivotalnog ispitivanja zab</w:t>
      </w:r>
      <w:r w:rsidR="00A90C8D" w:rsidRPr="00EF52A6">
        <w:rPr>
          <w:sz w:val="22"/>
          <w:szCs w:val="22"/>
          <w:lang w:val="sr-Latn-ME"/>
        </w:rPr>
        <w:t>ilj</w:t>
      </w:r>
      <w:r w:rsidRPr="00EF52A6">
        <w:rPr>
          <w:sz w:val="22"/>
          <w:szCs w:val="22"/>
          <w:lang w:val="sr-Latn-ME"/>
        </w:rPr>
        <w:t>ežene su druge vrste osipa (neakneiformnog), i to prvenstveno 1. ili 2. gradusa.</w:t>
      </w:r>
    </w:p>
    <w:p w14:paraId="359D9E93" w14:textId="77777777" w:rsidR="00FF69F8" w:rsidRPr="00EF52A6" w:rsidRDefault="00FF69F8" w:rsidP="00DF11F1">
      <w:pPr>
        <w:tabs>
          <w:tab w:val="left" w:pos="540"/>
          <w:tab w:val="left" w:pos="569"/>
        </w:tabs>
        <w:jc w:val="both"/>
        <w:rPr>
          <w:sz w:val="22"/>
          <w:szCs w:val="22"/>
          <w:lang w:val="sr-Latn-ME"/>
        </w:rPr>
      </w:pPr>
    </w:p>
    <w:p w14:paraId="7AD93255" w14:textId="7F4DA6F3" w:rsidR="00FF69F8" w:rsidRPr="00EF52A6" w:rsidRDefault="00FF69F8" w:rsidP="00DF11F1">
      <w:pPr>
        <w:tabs>
          <w:tab w:val="left" w:pos="540"/>
          <w:tab w:val="left" w:pos="569"/>
        </w:tabs>
        <w:jc w:val="both"/>
        <w:rPr>
          <w:i/>
          <w:sz w:val="22"/>
          <w:szCs w:val="22"/>
          <w:lang w:val="sr-Latn-ME"/>
        </w:rPr>
      </w:pPr>
      <w:r w:rsidRPr="00EF52A6">
        <w:rPr>
          <w:i/>
          <w:iCs/>
          <w:sz w:val="22"/>
          <w:szCs w:val="22"/>
          <w:u w:val="single"/>
          <w:lang w:val="sr-Latn-ME"/>
        </w:rPr>
        <w:t>Prom</w:t>
      </w:r>
      <w:r w:rsidR="00A90C8D" w:rsidRPr="00EF52A6">
        <w:rPr>
          <w:i/>
          <w:iCs/>
          <w:sz w:val="22"/>
          <w:szCs w:val="22"/>
          <w:u w:val="single"/>
          <w:lang w:val="sr-Latn-ME"/>
        </w:rPr>
        <w:t>j</w:t>
      </w:r>
      <w:r w:rsidRPr="00EF52A6">
        <w:rPr>
          <w:i/>
          <w:iCs/>
          <w:sz w:val="22"/>
          <w:szCs w:val="22"/>
          <w:u w:val="single"/>
          <w:lang w:val="sr-Latn-ME"/>
        </w:rPr>
        <w:t>ene na kosi</w:t>
      </w:r>
    </w:p>
    <w:p w14:paraId="35B240B8" w14:textId="3D600E96" w:rsidR="00FF69F8" w:rsidRPr="00EF52A6" w:rsidRDefault="00FF69F8" w:rsidP="00DF11F1">
      <w:pPr>
        <w:tabs>
          <w:tab w:val="left" w:pos="540"/>
          <w:tab w:val="left" w:pos="569"/>
        </w:tabs>
        <w:jc w:val="both"/>
        <w:rPr>
          <w:sz w:val="22"/>
          <w:szCs w:val="22"/>
          <w:lang w:val="sr-Latn-ME"/>
        </w:rPr>
      </w:pPr>
      <w:r w:rsidRPr="00EF52A6">
        <w:rPr>
          <w:sz w:val="22"/>
          <w:szCs w:val="22"/>
          <w:lang w:val="sr-Latn-ME"/>
        </w:rPr>
        <w:t>U grupi 1 iz faze II ispitivanja SPRINT, kod 16 (32%) pacijenata zab</w:t>
      </w:r>
      <w:r w:rsidR="00A90C8D" w:rsidRPr="00EF52A6">
        <w:rPr>
          <w:sz w:val="22"/>
          <w:szCs w:val="22"/>
          <w:lang w:val="sr-Latn-ME"/>
        </w:rPr>
        <w:t>ilj</w:t>
      </w:r>
      <w:r w:rsidRPr="00EF52A6">
        <w:rPr>
          <w:sz w:val="22"/>
          <w:szCs w:val="22"/>
          <w:lang w:val="sr-Latn-ME"/>
        </w:rPr>
        <w:t>ežene su prom</w:t>
      </w:r>
      <w:r w:rsidR="00A90C8D" w:rsidRPr="00EF52A6">
        <w:rPr>
          <w:sz w:val="22"/>
          <w:szCs w:val="22"/>
          <w:lang w:val="sr-Latn-ME"/>
        </w:rPr>
        <w:t>j</w:t>
      </w:r>
      <w:r w:rsidRPr="00EF52A6">
        <w:rPr>
          <w:sz w:val="22"/>
          <w:szCs w:val="22"/>
          <w:lang w:val="sr-Latn-ME"/>
        </w:rPr>
        <w:t>ene na kosi (prijavljene kao posv</w:t>
      </w:r>
      <w:r w:rsidR="00A90C8D" w:rsidRPr="00EF52A6">
        <w:rPr>
          <w:sz w:val="22"/>
          <w:szCs w:val="22"/>
          <w:lang w:val="sr-Latn-ME"/>
        </w:rPr>
        <w:t>j</w:t>
      </w:r>
      <w:r w:rsidRPr="00EF52A6">
        <w:rPr>
          <w:sz w:val="22"/>
          <w:szCs w:val="22"/>
          <w:lang w:val="sr-Latn-ME"/>
        </w:rPr>
        <w:t>etljivanje kose [</w:t>
      </w:r>
      <w:r w:rsidR="00B93791" w:rsidRPr="00EF52A6">
        <w:rPr>
          <w:sz w:val="22"/>
          <w:szCs w:val="22"/>
          <w:lang w:val="sr-Latn-ME"/>
        </w:rPr>
        <w:t xml:space="preserve">preferirani </w:t>
      </w:r>
      <w:r w:rsidRPr="00EF52A6">
        <w:rPr>
          <w:sz w:val="22"/>
          <w:szCs w:val="22"/>
          <w:lang w:val="sr-Latn-ME"/>
        </w:rPr>
        <w:t>termin: prom</w:t>
      </w:r>
      <w:r w:rsidR="00A90C8D" w:rsidRPr="00EF52A6">
        <w:rPr>
          <w:sz w:val="22"/>
          <w:szCs w:val="22"/>
          <w:lang w:val="sr-Latn-ME"/>
        </w:rPr>
        <w:t>j</w:t>
      </w:r>
      <w:r w:rsidRPr="00EF52A6">
        <w:rPr>
          <w:sz w:val="22"/>
          <w:szCs w:val="22"/>
          <w:lang w:val="sr-Latn-ME"/>
        </w:rPr>
        <w:t>ene boje kose] kod 12 pacijenata (24%) i proređivanje kose [</w:t>
      </w:r>
      <w:r w:rsidR="00B93791" w:rsidRPr="00EF52A6">
        <w:rPr>
          <w:sz w:val="22"/>
          <w:szCs w:val="22"/>
          <w:lang w:val="sr-Latn-ME"/>
        </w:rPr>
        <w:t xml:space="preserve">preferirani </w:t>
      </w:r>
      <w:r w:rsidRPr="00EF52A6">
        <w:rPr>
          <w:sz w:val="22"/>
          <w:szCs w:val="22"/>
          <w:lang w:val="sr-Latn-ME"/>
        </w:rPr>
        <w:t>termin: alopecija]</w:t>
      </w:r>
      <w:r w:rsidR="000F0647" w:rsidRPr="00EF52A6">
        <w:rPr>
          <w:sz w:val="22"/>
          <w:szCs w:val="22"/>
          <w:lang w:val="sr-Latn-ME"/>
        </w:rPr>
        <w:t xml:space="preserve"> </w:t>
      </w:r>
      <w:r w:rsidRPr="00EF52A6">
        <w:rPr>
          <w:sz w:val="22"/>
          <w:szCs w:val="22"/>
          <w:lang w:val="sr-Latn-ME"/>
        </w:rPr>
        <w:t>kod 12 pacijenata (24%)); kod 8 pacijenata (16%) prijavljeni su i alopecija i prom</w:t>
      </w:r>
      <w:r w:rsidR="000F0647" w:rsidRPr="00EF52A6">
        <w:rPr>
          <w:sz w:val="22"/>
          <w:szCs w:val="22"/>
          <w:lang w:val="sr-Latn-ME"/>
        </w:rPr>
        <w:t>j</w:t>
      </w:r>
      <w:r w:rsidRPr="00EF52A6">
        <w:rPr>
          <w:sz w:val="22"/>
          <w:szCs w:val="22"/>
          <w:lang w:val="sr-Latn-ME"/>
        </w:rPr>
        <w:t>ene boje kose tokom l</w:t>
      </w:r>
      <w:r w:rsidR="000F0647" w:rsidRPr="00EF52A6">
        <w:rPr>
          <w:sz w:val="22"/>
          <w:szCs w:val="22"/>
          <w:lang w:val="sr-Latn-ME"/>
        </w:rPr>
        <w:t>ij</w:t>
      </w:r>
      <w:r w:rsidRPr="00EF52A6">
        <w:rPr>
          <w:sz w:val="22"/>
          <w:szCs w:val="22"/>
          <w:lang w:val="sr-Latn-ME"/>
        </w:rPr>
        <w:t>ečenja. Svi su slučajevi bili 1. gradusa i ni</w:t>
      </w:r>
      <w:r w:rsidR="001A60FF" w:rsidRPr="00EF52A6">
        <w:rPr>
          <w:sz w:val="22"/>
          <w:szCs w:val="22"/>
          <w:lang w:val="sr-Latn-ME"/>
        </w:rPr>
        <w:t>je</w:t>
      </w:r>
      <w:r w:rsidRPr="00EF52A6">
        <w:rPr>
          <w:sz w:val="22"/>
          <w:szCs w:val="22"/>
          <w:lang w:val="sr-Latn-ME"/>
        </w:rPr>
        <w:t>su zaht</w:t>
      </w:r>
      <w:r w:rsidR="000F0647" w:rsidRPr="00EF52A6">
        <w:rPr>
          <w:sz w:val="22"/>
          <w:szCs w:val="22"/>
          <w:lang w:val="sr-Latn-ME"/>
        </w:rPr>
        <w:t>ij</w:t>
      </w:r>
      <w:r w:rsidRPr="00EF52A6">
        <w:rPr>
          <w:sz w:val="22"/>
          <w:szCs w:val="22"/>
          <w:lang w:val="sr-Latn-ME"/>
        </w:rPr>
        <w:t>evali privremeni prekid ni smanjenje doze.</w:t>
      </w:r>
    </w:p>
    <w:p w14:paraId="7A632F22" w14:textId="77777777" w:rsidR="00FF69F8" w:rsidRPr="00EF52A6" w:rsidRDefault="00FF69F8" w:rsidP="00480FB1">
      <w:pPr>
        <w:tabs>
          <w:tab w:val="left" w:pos="540"/>
          <w:tab w:val="left" w:pos="569"/>
        </w:tabs>
        <w:rPr>
          <w:b/>
          <w:bCs/>
          <w:sz w:val="22"/>
          <w:szCs w:val="22"/>
          <w:lang w:val="sr-Latn-ME"/>
        </w:rPr>
      </w:pPr>
    </w:p>
    <w:p w14:paraId="30BE9866" w14:textId="77777777" w:rsidR="005A23D2" w:rsidRPr="00EF52A6" w:rsidRDefault="005A23D2" w:rsidP="00A46C9A">
      <w:pPr>
        <w:spacing w:after="200" w:line="276" w:lineRule="auto"/>
        <w:rPr>
          <w:rFonts w:eastAsia="Calibri"/>
          <w:sz w:val="22"/>
          <w:szCs w:val="22"/>
          <w:u w:val="single"/>
          <w:lang w:val="sr-Latn-ME"/>
        </w:rPr>
      </w:pPr>
      <w:r w:rsidRPr="00EF52A6">
        <w:rPr>
          <w:rFonts w:eastAsia="Calibri"/>
          <w:sz w:val="22"/>
          <w:szCs w:val="22"/>
          <w:u w:val="single"/>
          <w:lang w:val="sr-Latn-ME"/>
        </w:rPr>
        <w:t>Prijavljivanje sumnji na neželjena dejstva</w:t>
      </w:r>
    </w:p>
    <w:p w14:paraId="1AE93FEC" w14:textId="77777777" w:rsidR="005A23D2" w:rsidRPr="00EF52A6" w:rsidRDefault="005A23D2" w:rsidP="00A46C9A">
      <w:pPr>
        <w:spacing w:after="200"/>
        <w:jc w:val="both"/>
        <w:rPr>
          <w:rFonts w:eastAsia="Calibri"/>
          <w:sz w:val="22"/>
          <w:szCs w:val="22"/>
          <w:lang w:val="sr-Latn-ME"/>
        </w:rPr>
      </w:pPr>
      <w:r w:rsidRPr="00EF52A6">
        <w:rPr>
          <w:rFonts w:eastAsia="Calibri"/>
          <w:sz w:val="22"/>
          <w:szCs w:val="22"/>
          <w:lang w:val="sr-Latn-ME"/>
        </w:rPr>
        <w:t>Prijavljivanje neželjenih dejstava nakon dobijanja dozvole je od velikog značaja jer obezbjeđuje kont</w:t>
      </w:r>
      <w:r w:rsidR="00EA5765" w:rsidRPr="00EF52A6">
        <w:rPr>
          <w:rFonts w:eastAsia="Calibri"/>
          <w:sz w:val="22"/>
          <w:szCs w:val="22"/>
          <w:lang w:val="sr-Latn-ME"/>
        </w:rPr>
        <w:t>inuirano praćenje odnosa korist</w:t>
      </w:r>
      <w:r w:rsidRPr="00EF52A6">
        <w:rPr>
          <w:rFonts w:eastAsia="Calibri"/>
          <w:sz w:val="22"/>
          <w:szCs w:val="22"/>
          <w:lang w:val="sr-Latn-ME"/>
        </w:rPr>
        <w:t>/rizik primjene lijeka. Zdravstveni radnici treba da prijave svaku sumnju na neželjeno</w:t>
      </w:r>
      <w:r w:rsidR="009B062A" w:rsidRPr="00EF52A6">
        <w:rPr>
          <w:rFonts w:eastAsia="Calibri"/>
          <w:sz w:val="22"/>
          <w:szCs w:val="22"/>
          <w:lang w:val="sr-Latn-ME"/>
        </w:rPr>
        <w:t xml:space="preserve"> </w:t>
      </w:r>
      <w:r w:rsidRPr="00EF52A6">
        <w:rPr>
          <w:rFonts w:eastAsia="Calibri"/>
          <w:sz w:val="22"/>
          <w:szCs w:val="22"/>
          <w:lang w:val="sr-Latn-ME"/>
        </w:rPr>
        <w:t xml:space="preserve">dejstvo ovog lijeka </w:t>
      </w:r>
      <w:r w:rsidR="004E70AD" w:rsidRPr="00EF52A6">
        <w:rPr>
          <w:rFonts w:eastAsia="Calibri"/>
          <w:sz w:val="22"/>
          <w:szCs w:val="22"/>
          <w:lang w:val="sr-Latn-ME"/>
        </w:rPr>
        <w:t>Institutu</w:t>
      </w:r>
      <w:r w:rsidRPr="00EF52A6">
        <w:rPr>
          <w:rFonts w:eastAsia="Calibri"/>
          <w:sz w:val="22"/>
          <w:szCs w:val="22"/>
          <w:lang w:val="sr-Latn-ME"/>
        </w:rPr>
        <w:t xml:space="preserve"> za ljekove i medicinska sredstva</w:t>
      </w:r>
      <w:r w:rsidR="004E70AD" w:rsidRPr="00EF52A6">
        <w:rPr>
          <w:rFonts w:eastAsia="Calibri"/>
          <w:sz w:val="22"/>
          <w:szCs w:val="22"/>
          <w:lang w:val="sr-Latn-ME"/>
        </w:rPr>
        <w:t xml:space="preserve"> </w:t>
      </w:r>
      <w:r w:rsidRPr="00EF52A6">
        <w:rPr>
          <w:rFonts w:eastAsia="Calibri"/>
          <w:sz w:val="22"/>
          <w:szCs w:val="22"/>
          <w:lang w:val="sr-Latn-ME"/>
        </w:rPr>
        <w:t>(</w:t>
      </w:r>
      <w:r w:rsidR="004E70AD" w:rsidRPr="00EF52A6">
        <w:rPr>
          <w:rFonts w:eastAsia="Calibri"/>
          <w:sz w:val="22"/>
          <w:szCs w:val="22"/>
          <w:lang w:val="sr-Latn-ME"/>
        </w:rPr>
        <w:t>CInMED</w:t>
      </w:r>
      <w:r w:rsidRPr="00EF52A6">
        <w:rPr>
          <w:rFonts w:eastAsia="Calibri"/>
          <w:sz w:val="22"/>
          <w:szCs w:val="22"/>
          <w:lang w:val="sr-Latn-ME"/>
        </w:rPr>
        <w:t>):</w:t>
      </w:r>
    </w:p>
    <w:p w14:paraId="0146036D" w14:textId="77777777" w:rsidR="005A23D2" w:rsidRPr="00EF52A6" w:rsidRDefault="004E70AD" w:rsidP="00A46C9A">
      <w:pPr>
        <w:pStyle w:val="NoSpacing"/>
        <w:jc w:val="both"/>
        <w:rPr>
          <w:rFonts w:eastAsia="Calibri"/>
          <w:sz w:val="22"/>
          <w:szCs w:val="22"/>
          <w:lang w:val="sr-Latn-ME"/>
        </w:rPr>
      </w:pPr>
      <w:r w:rsidRPr="00EF52A6">
        <w:rPr>
          <w:rFonts w:eastAsia="Calibri"/>
          <w:sz w:val="22"/>
          <w:szCs w:val="22"/>
          <w:lang w:val="sr-Latn-ME"/>
        </w:rPr>
        <w:t xml:space="preserve">Institut </w:t>
      </w:r>
      <w:r w:rsidR="005A23D2" w:rsidRPr="00EF52A6">
        <w:rPr>
          <w:rFonts w:eastAsia="Calibri"/>
          <w:sz w:val="22"/>
          <w:szCs w:val="22"/>
          <w:lang w:val="sr-Latn-ME"/>
        </w:rPr>
        <w:t xml:space="preserve">za ljekove i medicinska sredstva </w:t>
      </w:r>
    </w:p>
    <w:p w14:paraId="75FE1308" w14:textId="77777777" w:rsidR="005A23D2" w:rsidRPr="00EF52A6" w:rsidRDefault="005A23D2" w:rsidP="00A46C9A">
      <w:pPr>
        <w:pStyle w:val="NoSpacing"/>
        <w:jc w:val="both"/>
        <w:rPr>
          <w:rFonts w:eastAsia="Calibri"/>
          <w:sz w:val="22"/>
          <w:szCs w:val="22"/>
          <w:lang w:val="sr-Latn-ME"/>
        </w:rPr>
      </w:pPr>
      <w:r w:rsidRPr="00EF52A6">
        <w:rPr>
          <w:rFonts w:eastAsia="Calibri"/>
          <w:sz w:val="22"/>
          <w:szCs w:val="22"/>
          <w:lang w:val="sr-Latn-ME"/>
        </w:rPr>
        <w:t>Odjeljenje za farmakovigilancu</w:t>
      </w:r>
    </w:p>
    <w:p w14:paraId="2F2D2114" w14:textId="77777777" w:rsidR="00EA5765" w:rsidRPr="00EF52A6" w:rsidRDefault="005A23D2" w:rsidP="00A46C9A">
      <w:pPr>
        <w:pStyle w:val="NoSpacing"/>
        <w:jc w:val="both"/>
        <w:rPr>
          <w:rFonts w:eastAsia="Calibri"/>
          <w:sz w:val="22"/>
          <w:szCs w:val="22"/>
          <w:lang w:val="sr-Latn-ME"/>
        </w:rPr>
      </w:pPr>
      <w:r w:rsidRPr="00EF52A6">
        <w:rPr>
          <w:rFonts w:eastAsia="Calibri"/>
          <w:sz w:val="22"/>
          <w:szCs w:val="22"/>
          <w:lang w:val="sr-Latn-ME"/>
        </w:rPr>
        <w:t>Bulevar Ivana Crnojevića 64a, 81000 Podgorica</w:t>
      </w:r>
    </w:p>
    <w:p w14:paraId="715AD55A" w14:textId="77777777" w:rsidR="00EA5765" w:rsidRPr="00EF52A6" w:rsidRDefault="00EA5765" w:rsidP="00A46C9A">
      <w:pPr>
        <w:pStyle w:val="NoSpacing"/>
        <w:rPr>
          <w:rFonts w:eastAsia="Calibri"/>
          <w:sz w:val="22"/>
          <w:szCs w:val="22"/>
          <w:lang w:val="sr-Latn-ME"/>
        </w:rPr>
      </w:pPr>
    </w:p>
    <w:p w14:paraId="44B7DCC6" w14:textId="77777777" w:rsidR="005A23D2" w:rsidRPr="00EF52A6" w:rsidRDefault="005A23D2" w:rsidP="00A46C9A">
      <w:pPr>
        <w:pStyle w:val="NoSpacing"/>
        <w:jc w:val="both"/>
        <w:rPr>
          <w:rFonts w:eastAsia="Calibri"/>
          <w:sz w:val="22"/>
          <w:szCs w:val="22"/>
          <w:lang w:val="sr-Latn-ME"/>
        </w:rPr>
      </w:pPr>
      <w:r w:rsidRPr="00EF52A6">
        <w:rPr>
          <w:rFonts w:eastAsia="Calibri"/>
          <w:sz w:val="22"/>
          <w:szCs w:val="22"/>
          <w:lang w:val="sr-Latn-ME"/>
        </w:rPr>
        <w:t>tel: +382 (0) 20 310 280</w:t>
      </w:r>
    </w:p>
    <w:p w14:paraId="5C9D742A" w14:textId="77777777" w:rsidR="00EA5765" w:rsidRPr="00EF52A6" w:rsidRDefault="005A23D2" w:rsidP="00FF3EDF">
      <w:pPr>
        <w:pStyle w:val="NoSpacing"/>
        <w:tabs>
          <w:tab w:val="left" w:pos="6720"/>
        </w:tabs>
        <w:jc w:val="both"/>
        <w:rPr>
          <w:rFonts w:eastAsia="Calibri"/>
          <w:sz w:val="22"/>
          <w:szCs w:val="22"/>
          <w:lang w:val="sr-Latn-ME"/>
        </w:rPr>
      </w:pPr>
      <w:r w:rsidRPr="00EF52A6">
        <w:rPr>
          <w:rFonts w:eastAsia="Calibri"/>
          <w:sz w:val="22"/>
          <w:szCs w:val="22"/>
          <w:lang w:val="sr-Latn-ME"/>
        </w:rPr>
        <w:t>fax:</w:t>
      </w:r>
      <w:r w:rsidR="00EA5765" w:rsidRPr="00EF52A6">
        <w:rPr>
          <w:rFonts w:eastAsia="Calibri"/>
          <w:sz w:val="22"/>
          <w:szCs w:val="22"/>
          <w:lang w:val="sr-Latn-ME"/>
        </w:rPr>
        <w:t xml:space="preserve"> </w:t>
      </w:r>
      <w:r w:rsidRPr="00EF52A6">
        <w:rPr>
          <w:rFonts w:eastAsia="Calibri"/>
          <w:sz w:val="22"/>
          <w:szCs w:val="22"/>
          <w:lang w:val="sr-Latn-ME"/>
        </w:rPr>
        <w:t>+382 (0) 20 310 581</w:t>
      </w:r>
      <w:r w:rsidR="00FF3EDF" w:rsidRPr="00EF52A6">
        <w:rPr>
          <w:rFonts w:eastAsia="Calibri"/>
          <w:sz w:val="22"/>
          <w:szCs w:val="22"/>
          <w:lang w:val="sr-Latn-ME"/>
        </w:rPr>
        <w:tab/>
      </w:r>
    </w:p>
    <w:p w14:paraId="1F7E601A" w14:textId="77777777" w:rsidR="005A23D2" w:rsidRPr="00EF52A6" w:rsidRDefault="00D156BF" w:rsidP="00A46C9A">
      <w:pPr>
        <w:pStyle w:val="NoSpacing"/>
        <w:jc w:val="both"/>
        <w:rPr>
          <w:rFonts w:eastAsia="Calibri"/>
          <w:sz w:val="22"/>
          <w:szCs w:val="22"/>
          <w:lang w:val="sr-Latn-ME"/>
        </w:rPr>
      </w:pPr>
      <w:hyperlink r:id="rId10" w:history="1">
        <w:r w:rsidR="004E70AD" w:rsidRPr="00EF52A6">
          <w:rPr>
            <w:rStyle w:val="Hyperlink"/>
            <w:rFonts w:eastAsia="Calibri"/>
            <w:sz w:val="22"/>
            <w:szCs w:val="22"/>
            <w:lang w:val="sr-Latn-ME"/>
          </w:rPr>
          <w:t>www.cinmed.me</w:t>
        </w:r>
      </w:hyperlink>
    </w:p>
    <w:p w14:paraId="4E398E0D" w14:textId="77777777" w:rsidR="00EA5765" w:rsidRPr="00EF52A6" w:rsidRDefault="00D156BF" w:rsidP="00A46C9A">
      <w:pPr>
        <w:pStyle w:val="NoSpacing"/>
        <w:jc w:val="both"/>
        <w:rPr>
          <w:rFonts w:eastAsia="Calibri"/>
          <w:color w:val="0000FF"/>
          <w:sz w:val="22"/>
          <w:szCs w:val="22"/>
          <w:u w:val="single"/>
          <w:lang w:val="sr-Latn-ME"/>
        </w:rPr>
      </w:pPr>
      <w:hyperlink r:id="rId11" w:history="1">
        <w:r w:rsidR="004E70AD" w:rsidRPr="00EF52A6">
          <w:rPr>
            <w:rStyle w:val="Hyperlink"/>
            <w:rFonts w:eastAsia="Calibri"/>
            <w:sz w:val="22"/>
            <w:szCs w:val="22"/>
            <w:lang w:val="sr-Latn-ME"/>
          </w:rPr>
          <w:t>nezeljenadejstva@cinmed.me</w:t>
        </w:r>
      </w:hyperlink>
    </w:p>
    <w:p w14:paraId="110B62F1" w14:textId="77777777" w:rsidR="005A23D2" w:rsidRPr="00EF52A6" w:rsidRDefault="005A23D2" w:rsidP="00A46C9A">
      <w:pPr>
        <w:pStyle w:val="NoSpacing"/>
        <w:jc w:val="both"/>
        <w:rPr>
          <w:rFonts w:eastAsia="Calibri"/>
          <w:sz w:val="22"/>
          <w:szCs w:val="22"/>
          <w:lang w:val="sr-Latn-ME"/>
        </w:rPr>
      </w:pPr>
      <w:r w:rsidRPr="00EF52A6">
        <w:rPr>
          <w:rFonts w:eastAsia="Calibri"/>
          <w:sz w:val="22"/>
          <w:szCs w:val="22"/>
          <w:lang w:val="sr-Latn-ME"/>
        </w:rPr>
        <w:t>putem IS zdravstvene zaštite</w:t>
      </w:r>
    </w:p>
    <w:p w14:paraId="7CDF5F56" w14:textId="77777777" w:rsidR="007E31E9" w:rsidRPr="00EF52A6" w:rsidRDefault="007E31E9" w:rsidP="00A46C9A">
      <w:pPr>
        <w:pStyle w:val="NoSpacing"/>
        <w:jc w:val="both"/>
        <w:rPr>
          <w:rFonts w:eastAsia="Calibri"/>
          <w:sz w:val="22"/>
          <w:szCs w:val="22"/>
          <w:lang w:val="sr-Latn-ME"/>
        </w:rPr>
      </w:pPr>
      <w:r w:rsidRPr="00EF52A6">
        <w:rPr>
          <w:rFonts w:eastAsia="Calibri"/>
          <w:sz w:val="22"/>
          <w:szCs w:val="22"/>
          <w:lang w:val="sr-Latn-ME"/>
        </w:rPr>
        <w:t>QR kod za online prijavu</w:t>
      </w:r>
      <w:r w:rsidR="00D74CD2" w:rsidRPr="00EF52A6">
        <w:rPr>
          <w:rFonts w:eastAsia="Calibri"/>
          <w:sz w:val="22"/>
          <w:szCs w:val="22"/>
          <w:lang w:val="sr-Latn-ME"/>
        </w:rPr>
        <w:t xml:space="preserve"> sumnje na neželjeno dejstvo lijeka</w:t>
      </w:r>
      <w:r w:rsidRPr="00EF52A6">
        <w:rPr>
          <w:rFonts w:eastAsia="Calibri"/>
          <w:sz w:val="22"/>
          <w:szCs w:val="22"/>
          <w:lang w:val="sr-Latn-ME"/>
        </w:rPr>
        <w:t>:</w:t>
      </w:r>
    </w:p>
    <w:p w14:paraId="20595164" w14:textId="77777777" w:rsidR="007E31E9" w:rsidRPr="00EF52A6" w:rsidRDefault="007E31E9" w:rsidP="00A46C9A">
      <w:pPr>
        <w:pStyle w:val="NoSpacing"/>
        <w:jc w:val="both"/>
        <w:rPr>
          <w:rFonts w:eastAsia="Calibri"/>
          <w:sz w:val="22"/>
          <w:szCs w:val="22"/>
          <w:lang w:val="sr-Latn-ME"/>
        </w:rPr>
      </w:pPr>
    </w:p>
    <w:p w14:paraId="1D943994" w14:textId="291C5D98" w:rsidR="004F17E2" w:rsidRPr="00EF52A6" w:rsidRDefault="001A60FF" w:rsidP="007E31E9">
      <w:pPr>
        <w:pStyle w:val="NoSpacing"/>
        <w:rPr>
          <w:rFonts w:eastAsia="Calibri"/>
          <w:sz w:val="22"/>
          <w:szCs w:val="22"/>
          <w:lang w:val="sr-Latn-ME"/>
        </w:rPr>
      </w:pPr>
      <w:r w:rsidRPr="00EF52A6">
        <w:rPr>
          <w:b/>
          <w:bCs/>
          <w:noProof/>
          <w:sz w:val="22"/>
          <w:szCs w:val="22"/>
        </w:rPr>
        <w:drawing>
          <wp:inline distT="0" distB="0" distL="0" distR="0" wp14:anchorId="5A1AEAE0" wp14:editId="7CD1DE39">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A71AAD8" w14:textId="77777777" w:rsidR="00836B35" w:rsidRPr="00EF52A6" w:rsidRDefault="00836B35" w:rsidP="00480FB1">
      <w:pPr>
        <w:tabs>
          <w:tab w:val="left" w:pos="540"/>
          <w:tab w:val="left" w:pos="569"/>
        </w:tabs>
        <w:rPr>
          <w:b/>
          <w:bCs/>
          <w:sz w:val="22"/>
          <w:szCs w:val="22"/>
          <w:lang w:val="sr-Latn-ME"/>
        </w:rPr>
      </w:pPr>
    </w:p>
    <w:p w14:paraId="55B416A1" w14:textId="77777777" w:rsidR="00CD6F02"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4.9. </w:t>
      </w:r>
      <w:r w:rsidR="00480FB1" w:rsidRPr="00EF52A6">
        <w:rPr>
          <w:b/>
          <w:bCs/>
          <w:sz w:val="22"/>
          <w:szCs w:val="22"/>
          <w:lang w:val="sr-Latn-ME"/>
        </w:rPr>
        <w:tab/>
      </w:r>
      <w:r w:rsidRPr="00EF52A6">
        <w:rPr>
          <w:b/>
          <w:bCs/>
          <w:sz w:val="22"/>
          <w:szCs w:val="22"/>
          <w:lang w:val="sr-Latn-ME"/>
        </w:rPr>
        <w:t>Predoziranje</w:t>
      </w:r>
      <w:r w:rsidR="002846DB" w:rsidRPr="00EF52A6">
        <w:rPr>
          <w:b/>
          <w:bCs/>
          <w:sz w:val="22"/>
          <w:szCs w:val="22"/>
          <w:lang w:val="sr-Latn-ME"/>
        </w:rPr>
        <w:t xml:space="preserve"> </w:t>
      </w:r>
    </w:p>
    <w:p w14:paraId="78D5097C" w14:textId="77777777" w:rsidR="00CD6F02" w:rsidRPr="00EF52A6" w:rsidRDefault="00CD6F02" w:rsidP="00480FB1">
      <w:pPr>
        <w:tabs>
          <w:tab w:val="left" w:pos="540"/>
          <w:tab w:val="left" w:pos="569"/>
        </w:tabs>
        <w:rPr>
          <w:b/>
          <w:bCs/>
          <w:sz w:val="22"/>
          <w:szCs w:val="22"/>
          <w:lang w:val="sr-Latn-ME"/>
        </w:rPr>
      </w:pPr>
    </w:p>
    <w:p w14:paraId="66D4D1B8" w14:textId="35EFF6D0" w:rsidR="00FF69F8" w:rsidRPr="00EF52A6" w:rsidRDefault="00FF69F8" w:rsidP="00DF11F1">
      <w:pPr>
        <w:tabs>
          <w:tab w:val="left" w:pos="540"/>
          <w:tab w:val="left" w:pos="569"/>
        </w:tabs>
        <w:jc w:val="both"/>
        <w:rPr>
          <w:sz w:val="22"/>
          <w:szCs w:val="22"/>
          <w:lang w:val="sr-Latn-ME"/>
        </w:rPr>
      </w:pPr>
      <w:r w:rsidRPr="00EF52A6">
        <w:rPr>
          <w:sz w:val="22"/>
          <w:szCs w:val="22"/>
          <w:lang w:val="sr-Latn-ME"/>
        </w:rPr>
        <w:t xml:space="preserve">Ne postoji specifična terapija za predoziranje. Ukoliko dođe do predoziranja, pacijente treba pažljivo pratiti zbog </w:t>
      </w:r>
      <w:r w:rsidR="001A60FF" w:rsidRPr="00EF52A6">
        <w:rPr>
          <w:sz w:val="22"/>
          <w:szCs w:val="22"/>
          <w:lang w:val="sr-Latn-ME"/>
        </w:rPr>
        <w:t xml:space="preserve">mogućih </w:t>
      </w:r>
      <w:r w:rsidRPr="00EF52A6">
        <w:rPr>
          <w:sz w:val="22"/>
          <w:szCs w:val="22"/>
          <w:lang w:val="sr-Latn-ME"/>
        </w:rPr>
        <w:t xml:space="preserve">znaka i simptoma neželjenih </w:t>
      </w:r>
      <w:r w:rsidR="001A60FF" w:rsidRPr="00EF52A6">
        <w:rPr>
          <w:sz w:val="22"/>
          <w:szCs w:val="22"/>
          <w:lang w:val="sr-Latn-ME"/>
        </w:rPr>
        <w:t xml:space="preserve">dejstava </w:t>
      </w:r>
      <w:r w:rsidRPr="00EF52A6">
        <w:rPr>
          <w:sz w:val="22"/>
          <w:szCs w:val="22"/>
          <w:lang w:val="sr-Latn-ME"/>
        </w:rPr>
        <w:t>i suportivno l</w:t>
      </w:r>
      <w:r w:rsidR="000F0647" w:rsidRPr="00EF52A6">
        <w:rPr>
          <w:sz w:val="22"/>
          <w:szCs w:val="22"/>
          <w:lang w:val="sr-Latn-ME"/>
        </w:rPr>
        <w:t>ij</w:t>
      </w:r>
      <w:r w:rsidRPr="00EF52A6">
        <w:rPr>
          <w:sz w:val="22"/>
          <w:szCs w:val="22"/>
          <w:lang w:val="sr-Latn-ME"/>
        </w:rPr>
        <w:t>ečiti uz odgovarajuće praćenje</w:t>
      </w:r>
      <w:r w:rsidR="001A60FF" w:rsidRPr="00EF52A6">
        <w:rPr>
          <w:sz w:val="22"/>
          <w:szCs w:val="22"/>
          <w:lang w:val="sr-Latn-ME"/>
        </w:rPr>
        <w:t>,</w:t>
      </w:r>
      <w:r w:rsidRPr="00EF52A6">
        <w:rPr>
          <w:sz w:val="22"/>
          <w:szCs w:val="22"/>
          <w:lang w:val="sr-Latn-ME"/>
        </w:rPr>
        <w:t xml:space="preserve"> po potrebi. Dijaliza nije d</w:t>
      </w:r>
      <w:r w:rsidR="001A60FF" w:rsidRPr="00EF52A6">
        <w:rPr>
          <w:sz w:val="22"/>
          <w:szCs w:val="22"/>
          <w:lang w:val="sr-Latn-ME"/>
        </w:rPr>
        <w:t>j</w:t>
      </w:r>
      <w:r w:rsidRPr="00EF52A6">
        <w:rPr>
          <w:sz w:val="22"/>
          <w:szCs w:val="22"/>
          <w:lang w:val="sr-Latn-ME"/>
        </w:rPr>
        <w:t>elotvorna u l</w:t>
      </w:r>
      <w:r w:rsidR="000F0647" w:rsidRPr="00EF52A6">
        <w:rPr>
          <w:sz w:val="22"/>
          <w:szCs w:val="22"/>
          <w:lang w:val="sr-Latn-ME"/>
        </w:rPr>
        <w:t>ij</w:t>
      </w:r>
      <w:r w:rsidRPr="00EF52A6">
        <w:rPr>
          <w:sz w:val="22"/>
          <w:szCs w:val="22"/>
          <w:lang w:val="sr-Latn-ME"/>
        </w:rPr>
        <w:t>ečenju predoziranja.</w:t>
      </w:r>
    </w:p>
    <w:p w14:paraId="1FD9C293" w14:textId="0592690C" w:rsidR="00227BDB" w:rsidRPr="00EF52A6" w:rsidRDefault="00227BDB" w:rsidP="00DF11F1">
      <w:pPr>
        <w:tabs>
          <w:tab w:val="left" w:pos="540"/>
          <w:tab w:val="left" w:pos="569"/>
        </w:tabs>
        <w:jc w:val="both"/>
        <w:rPr>
          <w:b/>
          <w:bCs/>
          <w:sz w:val="22"/>
          <w:szCs w:val="22"/>
          <w:lang w:val="sr-Latn-ME"/>
        </w:rPr>
      </w:pPr>
    </w:p>
    <w:p w14:paraId="5CD4A92E" w14:textId="77777777" w:rsidR="00EF7810" w:rsidRPr="00EF52A6" w:rsidRDefault="00EF7810" w:rsidP="00480FB1">
      <w:pPr>
        <w:tabs>
          <w:tab w:val="left" w:pos="540"/>
          <w:tab w:val="left" w:pos="569"/>
        </w:tabs>
        <w:rPr>
          <w:b/>
          <w:bCs/>
          <w:sz w:val="22"/>
          <w:szCs w:val="22"/>
          <w:lang w:val="sr-Latn-ME"/>
        </w:rPr>
      </w:pPr>
    </w:p>
    <w:p w14:paraId="000A43DE"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5. </w:t>
      </w:r>
      <w:r w:rsidR="00480FB1" w:rsidRPr="00EF52A6">
        <w:rPr>
          <w:b/>
          <w:bCs/>
          <w:sz w:val="22"/>
          <w:szCs w:val="22"/>
          <w:lang w:val="sr-Latn-ME"/>
        </w:rPr>
        <w:tab/>
      </w:r>
      <w:r w:rsidRPr="00EF52A6">
        <w:rPr>
          <w:b/>
          <w:bCs/>
          <w:sz w:val="22"/>
          <w:szCs w:val="22"/>
          <w:lang w:val="sr-Latn-ME"/>
        </w:rPr>
        <w:t>FARMAKOLOŠK</w:t>
      </w:r>
      <w:r w:rsidR="000D425A" w:rsidRPr="00EF52A6">
        <w:rPr>
          <w:b/>
          <w:bCs/>
          <w:sz w:val="22"/>
          <w:szCs w:val="22"/>
          <w:lang w:val="sr-Latn-ME"/>
        </w:rPr>
        <w:t>I</w:t>
      </w:r>
      <w:r w:rsidRPr="00EF52A6">
        <w:rPr>
          <w:b/>
          <w:bCs/>
          <w:sz w:val="22"/>
          <w:szCs w:val="22"/>
          <w:lang w:val="sr-Latn-ME"/>
        </w:rPr>
        <w:t xml:space="preserve"> PODACI</w:t>
      </w:r>
    </w:p>
    <w:p w14:paraId="24DA538C" w14:textId="77777777" w:rsidR="0072020E" w:rsidRPr="00EF52A6" w:rsidRDefault="0072020E" w:rsidP="00480FB1">
      <w:pPr>
        <w:tabs>
          <w:tab w:val="left" w:pos="540"/>
          <w:tab w:val="left" w:pos="569"/>
        </w:tabs>
        <w:rPr>
          <w:b/>
          <w:bCs/>
          <w:sz w:val="22"/>
          <w:szCs w:val="22"/>
          <w:lang w:val="sr-Latn-ME"/>
        </w:rPr>
      </w:pPr>
    </w:p>
    <w:p w14:paraId="66C3E8AA"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5.1. </w:t>
      </w:r>
      <w:r w:rsidR="00480FB1" w:rsidRPr="00EF52A6">
        <w:rPr>
          <w:b/>
          <w:bCs/>
          <w:sz w:val="22"/>
          <w:szCs w:val="22"/>
          <w:lang w:val="sr-Latn-ME"/>
        </w:rPr>
        <w:tab/>
      </w:r>
      <w:r w:rsidRPr="00EF52A6">
        <w:rPr>
          <w:b/>
          <w:bCs/>
          <w:sz w:val="22"/>
          <w:szCs w:val="22"/>
          <w:lang w:val="sr-Latn-ME"/>
        </w:rPr>
        <w:t>Farmakodinamski podaci</w:t>
      </w:r>
      <w:r w:rsidR="003A7059" w:rsidRPr="00EF52A6">
        <w:rPr>
          <w:b/>
          <w:bCs/>
          <w:sz w:val="22"/>
          <w:szCs w:val="22"/>
          <w:lang w:val="sr-Latn-ME"/>
        </w:rPr>
        <w:t xml:space="preserve"> </w:t>
      </w:r>
    </w:p>
    <w:p w14:paraId="04C1C230" w14:textId="77777777" w:rsidR="00F45F77" w:rsidRPr="00EF52A6" w:rsidRDefault="00F45F77" w:rsidP="00480FB1">
      <w:pPr>
        <w:tabs>
          <w:tab w:val="left" w:pos="540"/>
          <w:tab w:val="left" w:pos="569"/>
        </w:tabs>
        <w:rPr>
          <w:b/>
          <w:bCs/>
          <w:sz w:val="22"/>
          <w:szCs w:val="22"/>
          <w:lang w:val="sr-Latn-ME"/>
        </w:rPr>
      </w:pPr>
    </w:p>
    <w:p w14:paraId="18436BA7" w14:textId="3A78EA46" w:rsidR="0072020E" w:rsidRPr="00EF52A6" w:rsidRDefault="0072020E" w:rsidP="00480FB1">
      <w:pPr>
        <w:tabs>
          <w:tab w:val="left" w:pos="540"/>
          <w:tab w:val="left" w:pos="569"/>
        </w:tabs>
        <w:rPr>
          <w:bCs/>
          <w:sz w:val="22"/>
          <w:szCs w:val="22"/>
          <w:lang w:val="sr-Latn-ME"/>
        </w:rPr>
      </w:pPr>
      <w:r w:rsidRPr="00EF52A6">
        <w:rPr>
          <w:bCs/>
          <w:sz w:val="22"/>
          <w:szCs w:val="22"/>
          <w:lang w:val="sr-Latn-ME"/>
        </w:rPr>
        <w:t>Farmakoterapijska grupa:</w:t>
      </w:r>
      <w:r w:rsidR="009C5288" w:rsidRPr="00EF52A6">
        <w:rPr>
          <w:sz w:val="22"/>
          <w:szCs w:val="22"/>
          <w:lang w:val="sr-Latn-ME"/>
        </w:rPr>
        <w:t xml:space="preserve"> </w:t>
      </w:r>
      <w:r w:rsidR="009C5288" w:rsidRPr="00EF52A6">
        <w:rPr>
          <w:bCs/>
          <w:sz w:val="22"/>
          <w:szCs w:val="22"/>
          <w:lang w:val="sr-Latn-ME"/>
        </w:rPr>
        <w:t>Antineoplastici, inhibitor proteinske kinaze</w:t>
      </w:r>
    </w:p>
    <w:p w14:paraId="6D85B2B1" w14:textId="77777777" w:rsidR="0072020E" w:rsidRPr="00EF52A6" w:rsidRDefault="0072020E" w:rsidP="00480FB1">
      <w:pPr>
        <w:tabs>
          <w:tab w:val="left" w:pos="540"/>
          <w:tab w:val="left" w:pos="569"/>
        </w:tabs>
        <w:rPr>
          <w:bCs/>
          <w:sz w:val="22"/>
          <w:szCs w:val="22"/>
          <w:lang w:val="sr-Latn-ME"/>
        </w:rPr>
      </w:pPr>
    </w:p>
    <w:p w14:paraId="3D252603" w14:textId="75217D07" w:rsidR="0072020E" w:rsidRPr="00EF52A6" w:rsidRDefault="0072020E" w:rsidP="00480FB1">
      <w:pPr>
        <w:tabs>
          <w:tab w:val="left" w:pos="540"/>
          <w:tab w:val="left" w:pos="569"/>
        </w:tabs>
        <w:rPr>
          <w:bCs/>
          <w:sz w:val="22"/>
          <w:szCs w:val="22"/>
          <w:lang w:val="sr-Latn-ME"/>
        </w:rPr>
      </w:pPr>
      <w:r w:rsidRPr="00EF52A6">
        <w:rPr>
          <w:bCs/>
          <w:sz w:val="22"/>
          <w:szCs w:val="22"/>
          <w:lang w:val="sr-Latn-ME"/>
        </w:rPr>
        <w:t>ATC kod:</w:t>
      </w:r>
      <w:r w:rsidR="009C5288" w:rsidRPr="00EF52A6">
        <w:rPr>
          <w:sz w:val="22"/>
          <w:szCs w:val="22"/>
          <w:lang w:val="sr-Latn-ME"/>
        </w:rPr>
        <w:t xml:space="preserve"> </w:t>
      </w:r>
      <w:r w:rsidR="009C5288" w:rsidRPr="00EF52A6">
        <w:rPr>
          <w:bCs/>
          <w:sz w:val="22"/>
          <w:szCs w:val="22"/>
          <w:lang w:val="sr-Latn-ME"/>
        </w:rPr>
        <w:t>L01EE04</w:t>
      </w:r>
    </w:p>
    <w:p w14:paraId="54CEA014" w14:textId="77777777" w:rsidR="009C5288" w:rsidRPr="00EF52A6" w:rsidRDefault="009C5288" w:rsidP="00480FB1">
      <w:pPr>
        <w:tabs>
          <w:tab w:val="left" w:pos="540"/>
          <w:tab w:val="left" w:pos="569"/>
        </w:tabs>
        <w:rPr>
          <w:bCs/>
          <w:sz w:val="22"/>
          <w:szCs w:val="22"/>
          <w:lang w:val="sr-Latn-ME"/>
        </w:rPr>
      </w:pPr>
    </w:p>
    <w:p w14:paraId="3469C3D9"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Mehanizam dejstva</w:t>
      </w:r>
    </w:p>
    <w:p w14:paraId="588B21E4"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Selumetinib je selektivan inhibitor kinaza 1 i 2 mitogenom aktivirane proteinske kinaze (MEK 1/2). Selumetinib blokira aktivnost MEK i putanju RAF-MEK-ERK. Zato inhibicija MEK može onemogućiti proliferaciju i preživljavanje tumorskih ćelija kod kojih je aktivirana putanja RAF-MEK-ERK.</w:t>
      </w:r>
    </w:p>
    <w:p w14:paraId="53EAF215"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lastRenderedPageBreak/>
        <w:t>Klinička efikasnost</w:t>
      </w:r>
    </w:p>
    <w:p w14:paraId="7755EEDC" w14:textId="00BC3674"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Efikasnost l</w:t>
      </w:r>
      <w:r w:rsidR="000F0647" w:rsidRPr="00EF52A6">
        <w:rPr>
          <w:bCs/>
          <w:sz w:val="22"/>
          <w:szCs w:val="22"/>
          <w:lang w:val="sr-Latn-ME"/>
        </w:rPr>
        <w:t>ij</w:t>
      </w:r>
      <w:r w:rsidRPr="00EF52A6">
        <w:rPr>
          <w:bCs/>
          <w:sz w:val="22"/>
          <w:szCs w:val="22"/>
          <w:lang w:val="sr-Latn-ME"/>
        </w:rPr>
        <w:t>eka Koselugo oc</w:t>
      </w:r>
      <w:r w:rsidR="000F0647" w:rsidRPr="00EF52A6">
        <w:rPr>
          <w:bCs/>
          <w:sz w:val="22"/>
          <w:szCs w:val="22"/>
          <w:lang w:val="sr-Latn-ME"/>
        </w:rPr>
        <w:t>j</w:t>
      </w:r>
      <w:r w:rsidRPr="00EF52A6">
        <w:rPr>
          <w:bCs/>
          <w:sz w:val="22"/>
          <w:szCs w:val="22"/>
          <w:lang w:val="sr-Latn-ME"/>
        </w:rPr>
        <w:t>enjivana je u otvorenoj, multicentričnoj studiji sa jednom grupom (SPRINT), u kojoj je grupa 1 u fazi II uključivala 50 pedijatrijskih pacijenata sa NF1 i inoperabilnim PN koji je doveo do značajnog morbiditeta. Neoperabilni PN definisan je kao PN koji nije mogao biti potpuno hirurški odstranjen bez rizika od značajnog morbiditeta zbog zahvaćenosti ili neposredne blizine vitalnih struktura, invazivnosti ili velike vaskularnosti PN. Pacijenti ni</w:t>
      </w:r>
      <w:r w:rsidR="001F25D1" w:rsidRPr="00EF52A6">
        <w:rPr>
          <w:bCs/>
          <w:sz w:val="22"/>
          <w:szCs w:val="22"/>
          <w:lang w:val="sr-Latn-ME"/>
        </w:rPr>
        <w:t>je</w:t>
      </w:r>
      <w:r w:rsidRPr="00EF52A6">
        <w:rPr>
          <w:bCs/>
          <w:sz w:val="22"/>
          <w:szCs w:val="22"/>
          <w:lang w:val="sr-Latn-ME"/>
        </w:rPr>
        <w:t>su mogli da učestvuju u ispitivanju ako su imali sl</w:t>
      </w:r>
      <w:r w:rsidR="000F0647" w:rsidRPr="00EF52A6">
        <w:rPr>
          <w:bCs/>
          <w:sz w:val="22"/>
          <w:szCs w:val="22"/>
          <w:lang w:val="sr-Latn-ME"/>
        </w:rPr>
        <w:t>j</w:t>
      </w:r>
      <w:r w:rsidRPr="00EF52A6">
        <w:rPr>
          <w:bCs/>
          <w:sz w:val="22"/>
          <w:szCs w:val="22"/>
          <w:lang w:val="sr-Latn-ME"/>
        </w:rPr>
        <w:t>edeće o</w:t>
      </w:r>
      <w:r w:rsidR="001F25D1" w:rsidRPr="00EF52A6">
        <w:rPr>
          <w:bCs/>
          <w:sz w:val="22"/>
          <w:szCs w:val="22"/>
          <w:lang w:val="sr-Latn-ME"/>
        </w:rPr>
        <w:t>kularne</w:t>
      </w:r>
      <w:r w:rsidRPr="00EF52A6">
        <w:rPr>
          <w:bCs/>
          <w:sz w:val="22"/>
          <w:szCs w:val="22"/>
          <w:lang w:val="sr-Latn-ME"/>
        </w:rPr>
        <w:t xml:space="preserve"> toksičnosti: trenutni CSR ili CSR u anamnezi, trenutni RVO ili RVO u anamnezi, potvrđen intraokularni pritisak &gt; 21 mmHg (ili iznad gornje granice normale prilagođene za uzrast) ili nekontrolisani glaukom. Pacijenti su primali dozu od 25 mg/m</w:t>
      </w:r>
      <w:r w:rsidRPr="00EF52A6">
        <w:rPr>
          <w:bCs/>
          <w:sz w:val="22"/>
          <w:szCs w:val="22"/>
          <w:vertAlign w:val="superscript"/>
          <w:lang w:val="sr-Latn-ME"/>
        </w:rPr>
        <w:t>2</w:t>
      </w:r>
      <w:r w:rsidRPr="00EF52A6">
        <w:rPr>
          <w:bCs/>
          <w:sz w:val="22"/>
          <w:szCs w:val="22"/>
          <w:lang w:val="sr-Latn-ME"/>
        </w:rPr>
        <w:t xml:space="preserve"> t</w:t>
      </w:r>
      <w:r w:rsidR="000F0647" w:rsidRPr="00EF52A6">
        <w:rPr>
          <w:bCs/>
          <w:sz w:val="22"/>
          <w:szCs w:val="22"/>
          <w:lang w:val="sr-Latn-ME"/>
        </w:rPr>
        <w:t>j</w:t>
      </w:r>
      <w:r w:rsidRPr="00EF52A6">
        <w:rPr>
          <w:bCs/>
          <w:sz w:val="22"/>
          <w:szCs w:val="22"/>
          <w:lang w:val="sr-Latn-ME"/>
        </w:rPr>
        <w:t>elesne površine dva puta dnevno toko 28 dana (1 ciklus l</w:t>
      </w:r>
      <w:r w:rsidR="000F0647" w:rsidRPr="00EF52A6">
        <w:rPr>
          <w:bCs/>
          <w:sz w:val="22"/>
          <w:szCs w:val="22"/>
          <w:lang w:val="sr-Latn-ME"/>
        </w:rPr>
        <w:t>ij</w:t>
      </w:r>
      <w:r w:rsidRPr="00EF52A6">
        <w:rPr>
          <w:bCs/>
          <w:sz w:val="22"/>
          <w:szCs w:val="22"/>
          <w:lang w:val="sr-Latn-ME"/>
        </w:rPr>
        <w:t>ečenja) prema rasporedu kontinuirane prim</w:t>
      </w:r>
      <w:r w:rsidR="000F0647" w:rsidRPr="00EF52A6">
        <w:rPr>
          <w:bCs/>
          <w:sz w:val="22"/>
          <w:szCs w:val="22"/>
          <w:lang w:val="sr-Latn-ME"/>
        </w:rPr>
        <w:t>j</w:t>
      </w:r>
      <w:r w:rsidRPr="00EF52A6">
        <w:rPr>
          <w:bCs/>
          <w:sz w:val="22"/>
          <w:szCs w:val="22"/>
          <w:lang w:val="sr-Latn-ME"/>
        </w:rPr>
        <w:t>ene. L</w:t>
      </w:r>
      <w:r w:rsidR="000F0647" w:rsidRPr="00EF52A6">
        <w:rPr>
          <w:bCs/>
          <w:sz w:val="22"/>
          <w:szCs w:val="22"/>
          <w:lang w:val="sr-Latn-ME"/>
        </w:rPr>
        <w:t>ij</w:t>
      </w:r>
      <w:r w:rsidRPr="00EF52A6">
        <w:rPr>
          <w:bCs/>
          <w:sz w:val="22"/>
          <w:szCs w:val="22"/>
          <w:lang w:val="sr-Latn-ME"/>
        </w:rPr>
        <w:t xml:space="preserve">ečenje se prekidalo ako pacijent više nije ostvarivao kliničku korist ili ako je došlo do neprihvatljive toksičnosti ili progresije PN, </w:t>
      </w:r>
      <w:r w:rsidR="001F25D1" w:rsidRPr="00EF52A6">
        <w:rPr>
          <w:bCs/>
          <w:sz w:val="22"/>
          <w:szCs w:val="22"/>
          <w:lang w:val="sr-Latn-ME"/>
        </w:rPr>
        <w:t xml:space="preserve">ili </w:t>
      </w:r>
      <w:r w:rsidRPr="00EF52A6">
        <w:rPr>
          <w:bCs/>
          <w:sz w:val="22"/>
          <w:szCs w:val="22"/>
          <w:lang w:val="sr-Latn-ME"/>
        </w:rPr>
        <w:t xml:space="preserve">prema odluci </w:t>
      </w:r>
      <w:r w:rsidR="001F25D1" w:rsidRPr="00EF52A6">
        <w:rPr>
          <w:bCs/>
          <w:sz w:val="22"/>
          <w:szCs w:val="22"/>
          <w:lang w:val="sr-Latn-ME"/>
        </w:rPr>
        <w:t>ispitivača</w:t>
      </w:r>
      <w:r w:rsidRPr="00EF52A6">
        <w:rPr>
          <w:bCs/>
          <w:sz w:val="22"/>
          <w:szCs w:val="22"/>
          <w:lang w:val="sr-Latn-ME"/>
        </w:rPr>
        <w:t>.</w:t>
      </w:r>
    </w:p>
    <w:p w14:paraId="36B968F4" w14:textId="77777777" w:rsidR="009C5288" w:rsidRPr="00EF52A6" w:rsidRDefault="009C5288" w:rsidP="00DF11F1">
      <w:pPr>
        <w:tabs>
          <w:tab w:val="left" w:pos="540"/>
          <w:tab w:val="left" w:pos="569"/>
        </w:tabs>
        <w:jc w:val="both"/>
        <w:rPr>
          <w:bCs/>
          <w:sz w:val="22"/>
          <w:szCs w:val="22"/>
          <w:lang w:val="sr-Latn-ME"/>
        </w:rPr>
      </w:pPr>
    </w:p>
    <w:p w14:paraId="01FC3C60" w14:textId="61317746"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Stopa odgovora ciljnog PN, tj. PN koji je uzrokovao značajne kliničke simptome ili komplikacije (tegobe koje uzrokuje PN), oc</w:t>
      </w:r>
      <w:r w:rsidR="000F0647" w:rsidRPr="00EF52A6">
        <w:rPr>
          <w:bCs/>
          <w:sz w:val="22"/>
          <w:szCs w:val="22"/>
          <w:lang w:val="sr-Latn-ME"/>
        </w:rPr>
        <w:t>j</w:t>
      </w:r>
      <w:r w:rsidRPr="00EF52A6">
        <w:rPr>
          <w:bCs/>
          <w:sz w:val="22"/>
          <w:szCs w:val="22"/>
          <w:lang w:val="sr-Latn-ME"/>
        </w:rPr>
        <w:t>enjivana je volumetrijskom analizom centralno očitanih nalaza snimanja magnetnom rezonancom na osnovu Kriterijuma za oc</w:t>
      </w:r>
      <w:r w:rsidR="000F0647" w:rsidRPr="00EF52A6">
        <w:rPr>
          <w:bCs/>
          <w:sz w:val="22"/>
          <w:szCs w:val="22"/>
          <w:lang w:val="sr-Latn-ME"/>
        </w:rPr>
        <w:t>j</w:t>
      </w:r>
      <w:r w:rsidRPr="00EF52A6">
        <w:rPr>
          <w:bCs/>
          <w:sz w:val="22"/>
          <w:szCs w:val="22"/>
          <w:lang w:val="sr-Latn-ME"/>
        </w:rPr>
        <w:t>enu odgovora kod neurofibromatoze i švanomatoze</w:t>
      </w:r>
      <w:r w:rsidR="0014290E" w:rsidRPr="00EF52A6">
        <w:rPr>
          <w:bCs/>
          <w:sz w:val="22"/>
          <w:szCs w:val="22"/>
          <w:lang w:val="sr-Latn-ME"/>
        </w:rPr>
        <w:t xml:space="preserve"> (engl. </w:t>
      </w:r>
      <w:r w:rsidR="0014290E" w:rsidRPr="00EF52A6">
        <w:rPr>
          <w:bCs/>
          <w:i/>
          <w:sz w:val="22"/>
          <w:szCs w:val="22"/>
          <w:lang w:val="sr-Latn-ME"/>
        </w:rPr>
        <w:t>Response Evaluation in Neurofibromatosis and Schwannomatosis</w:t>
      </w:r>
      <w:r w:rsidR="0014290E" w:rsidRPr="00EF52A6">
        <w:rPr>
          <w:bCs/>
          <w:sz w:val="22"/>
          <w:szCs w:val="22"/>
          <w:lang w:val="sr-Latn-ME"/>
        </w:rPr>
        <w:t>, REiNS)</w:t>
      </w:r>
      <w:r w:rsidRPr="00EF52A6">
        <w:rPr>
          <w:bCs/>
          <w:sz w:val="22"/>
          <w:szCs w:val="22"/>
          <w:lang w:val="sr-Latn-ME"/>
        </w:rPr>
        <w:t>. Tumorski odgovor proc</w:t>
      </w:r>
      <w:r w:rsidR="000F0647" w:rsidRPr="00EF52A6">
        <w:rPr>
          <w:bCs/>
          <w:sz w:val="22"/>
          <w:szCs w:val="22"/>
          <w:lang w:val="sr-Latn-ME"/>
        </w:rPr>
        <w:t>j</w:t>
      </w:r>
      <w:r w:rsidRPr="00EF52A6">
        <w:rPr>
          <w:bCs/>
          <w:sz w:val="22"/>
          <w:szCs w:val="22"/>
          <w:lang w:val="sr-Latn-ME"/>
        </w:rPr>
        <w:t>enjivan je na početku ispitivanja i tokom l</w:t>
      </w:r>
      <w:r w:rsidR="000F0647" w:rsidRPr="00EF52A6">
        <w:rPr>
          <w:bCs/>
          <w:sz w:val="22"/>
          <w:szCs w:val="22"/>
          <w:lang w:val="sr-Latn-ME"/>
        </w:rPr>
        <w:t>ij</w:t>
      </w:r>
      <w:r w:rsidRPr="00EF52A6">
        <w:rPr>
          <w:bCs/>
          <w:sz w:val="22"/>
          <w:szCs w:val="22"/>
          <w:lang w:val="sr-Latn-ME"/>
        </w:rPr>
        <w:t>ečenja, i to nakon svaka 4 ciklusa tokom prve 2 godine, a zatim nakon svakih 6 ciklusa.</w:t>
      </w:r>
    </w:p>
    <w:p w14:paraId="44A4D949" w14:textId="77777777" w:rsidR="009C5288" w:rsidRPr="00EF52A6" w:rsidRDefault="009C5288" w:rsidP="00DF11F1">
      <w:pPr>
        <w:tabs>
          <w:tab w:val="left" w:pos="540"/>
          <w:tab w:val="left" w:pos="569"/>
        </w:tabs>
        <w:jc w:val="both"/>
        <w:rPr>
          <w:bCs/>
          <w:sz w:val="22"/>
          <w:szCs w:val="22"/>
          <w:lang w:val="sr-Latn-ME"/>
        </w:rPr>
      </w:pPr>
    </w:p>
    <w:p w14:paraId="03309806" w14:textId="58A7BD98" w:rsidR="009C5288" w:rsidRPr="00EF52A6" w:rsidRDefault="0014290E" w:rsidP="00DF11F1">
      <w:pPr>
        <w:tabs>
          <w:tab w:val="left" w:pos="540"/>
          <w:tab w:val="left" w:pos="569"/>
        </w:tabs>
        <w:jc w:val="both"/>
        <w:rPr>
          <w:bCs/>
          <w:sz w:val="22"/>
          <w:szCs w:val="22"/>
          <w:lang w:val="sr-Latn-ME"/>
        </w:rPr>
      </w:pPr>
      <w:r w:rsidRPr="00EF52A6">
        <w:rPr>
          <w:bCs/>
          <w:sz w:val="22"/>
          <w:szCs w:val="22"/>
          <w:lang w:val="sr-Latn-ME"/>
        </w:rPr>
        <w:t>Kod p</w:t>
      </w:r>
      <w:r w:rsidR="009C5288" w:rsidRPr="00EF52A6">
        <w:rPr>
          <w:bCs/>
          <w:sz w:val="22"/>
          <w:szCs w:val="22"/>
          <w:lang w:val="sr-Latn-ME"/>
        </w:rPr>
        <w:t>acijen</w:t>
      </w:r>
      <w:r w:rsidRPr="00EF52A6">
        <w:rPr>
          <w:bCs/>
          <w:sz w:val="22"/>
          <w:szCs w:val="22"/>
          <w:lang w:val="sr-Latn-ME"/>
        </w:rPr>
        <w:t>ata</w:t>
      </w:r>
      <w:r w:rsidR="009C5288" w:rsidRPr="00EF52A6">
        <w:rPr>
          <w:bCs/>
          <w:sz w:val="22"/>
          <w:szCs w:val="22"/>
          <w:lang w:val="sr-Latn-ME"/>
        </w:rPr>
        <w:t xml:space="preserve"> su </w:t>
      </w:r>
      <w:r w:rsidRPr="00EF52A6">
        <w:rPr>
          <w:bCs/>
          <w:sz w:val="22"/>
          <w:szCs w:val="22"/>
          <w:lang w:val="sr-Latn-ME"/>
        </w:rPr>
        <w:t xml:space="preserve">sprovođene </w:t>
      </w:r>
      <w:r w:rsidR="009C5288" w:rsidRPr="00EF52A6">
        <w:rPr>
          <w:bCs/>
          <w:sz w:val="22"/>
          <w:szCs w:val="22"/>
          <w:lang w:val="sr-Latn-ME"/>
        </w:rPr>
        <w:t xml:space="preserve">ciljne </w:t>
      </w:r>
      <w:r w:rsidRPr="00EF52A6">
        <w:rPr>
          <w:bCs/>
          <w:sz w:val="22"/>
          <w:szCs w:val="22"/>
          <w:lang w:val="sr-Latn-ME"/>
        </w:rPr>
        <w:t xml:space="preserve">volumetrijske ocjene nalaza MR snimanja ciljnog </w:t>
      </w:r>
      <w:r w:rsidR="009C5288" w:rsidRPr="00EF52A6">
        <w:rPr>
          <w:bCs/>
          <w:sz w:val="22"/>
          <w:szCs w:val="22"/>
          <w:lang w:val="sr-Latn-ME"/>
        </w:rPr>
        <w:t>PN i proc</w:t>
      </w:r>
      <w:r w:rsidR="000F0647" w:rsidRPr="00EF52A6">
        <w:rPr>
          <w:bCs/>
          <w:sz w:val="22"/>
          <w:szCs w:val="22"/>
          <w:lang w:val="sr-Latn-ME"/>
        </w:rPr>
        <w:t>j</w:t>
      </w:r>
      <w:r w:rsidR="009C5288" w:rsidRPr="00EF52A6">
        <w:rPr>
          <w:bCs/>
          <w:sz w:val="22"/>
          <w:szCs w:val="22"/>
          <w:lang w:val="sr-Latn-ME"/>
        </w:rPr>
        <w:t>ene kliničkog ishoda</w:t>
      </w:r>
      <w:r w:rsidRPr="00EF52A6">
        <w:rPr>
          <w:bCs/>
          <w:sz w:val="22"/>
          <w:szCs w:val="22"/>
          <w:lang w:val="sr-Latn-ME"/>
        </w:rPr>
        <w:t>,</w:t>
      </w:r>
      <w:r w:rsidR="009C5288" w:rsidRPr="00EF52A6">
        <w:rPr>
          <w:bCs/>
          <w:sz w:val="22"/>
          <w:szCs w:val="22"/>
          <w:lang w:val="sr-Latn-ME"/>
        </w:rPr>
        <w:t xml:space="preserve"> koje su obuhvat</w:t>
      </w:r>
      <w:r w:rsidRPr="00EF52A6">
        <w:rPr>
          <w:bCs/>
          <w:sz w:val="22"/>
          <w:szCs w:val="22"/>
          <w:lang w:val="sr-Latn-ME"/>
        </w:rPr>
        <w:t>a</w:t>
      </w:r>
      <w:r w:rsidR="009C5288" w:rsidRPr="00EF52A6">
        <w:rPr>
          <w:bCs/>
          <w:sz w:val="22"/>
          <w:szCs w:val="22"/>
          <w:lang w:val="sr-Latn-ME"/>
        </w:rPr>
        <w:t>le funkcionalne proc</w:t>
      </w:r>
      <w:r w:rsidR="000F0647" w:rsidRPr="00EF52A6">
        <w:rPr>
          <w:bCs/>
          <w:sz w:val="22"/>
          <w:szCs w:val="22"/>
          <w:lang w:val="sr-Latn-ME"/>
        </w:rPr>
        <w:t>j</w:t>
      </w:r>
      <w:r w:rsidR="009C5288" w:rsidRPr="00EF52A6">
        <w:rPr>
          <w:bCs/>
          <w:sz w:val="22"/>
          <w:szCs w:val="22"/>
          <w:lang w:val="sr-Latn-ME"/>
        </w:rPr>
        <w:t>ene i ishode koje prijavljuju pacijenti.</w:t>
      </w:r>
    </w:p>
    <w:p w14:paraId="5A9ED3C3" w14:textId="77777777" w:rsidR="0014290E" w:rsidRPr="00EF52A6" w:rsidRDefault="0014290E" w:rsidP="00DF11F1">
      <w:pPr>
        <w:tabs>
          <w:tab w:val="left" w:pos="540"/>
          <w:tab w:val="left" w:pos="569"/>
        </w:tabs>
        <w:jc w:val="both"/>
        <w:rPr>
          <w:bCs/>
          <w:sz w:val="22"/>
          <w:szCs w:val="22"/>
          <w:lang w:val="sr-Latn-ME"/>
        </w:rPr>
      </w:pPr>
    </w:p>
    <w:p w14:paraId="7A44C1C4" w14:textId="6C3EA152" w:rsidR="009C5288" w:rsidRPr="00EF52A6" w:rsidRDefault="0014290E" w:rsidP="00DF11F1">
      <w:pPr>
        <w:tabs>
          <w:tab w:val="left" w:pos="540"/>
          <w:tab w:val="left" w:pos="569"/>
        </w:tabs>
        <w:jc w:val="both"/>
        <w:rPr>
          <w:bCs/>
          <w:sz w:val="22"/>
          <w:szCs w:val="22"/>
          <w:lang w:val="sr-Latn-ME"/>
        </w:rPr>
      </w:pPr>
      <w:r w:rsidRPr="00EF52A6">
        <w:rPr>
          <w:bCs/>
          <w:sz w:val="22"/>
          <w:szCs w:val="22"/>
          <w:lang w:val="sr-Latn-ME"/>
        </w:rPr>
        <w:t xml:space="preserve">U trenutku </w:t>
      </w:r>
      <w:r w:rsidR="009C5288" w:rsidRPr="00EF52A6">
        <w:rPr>
          <w:bCs/>
          <w:sz w:val="22"/>
          <w:szCs w:val="22"/>
          <w:lang w:val="sr-Latn-ME"/>
        </w:rPr>
        <w:t>uključivanj</w:t>
      </w:r>
      <w:r w:rsidRPr="00EF52A6">
        <w:rPr>
          <w:bCs/>
          <w:sz w:val="22"/>
          <w:szCs w:val="22"/>
          <w:lang w:val="sr-Latn-ME"/>
        </w:rPr>
        <w:t>a</w:t>
      </w:r>
      <w:r w:rsidR="009C5288" w:rsidRPr="00EF52A6">
        <w:rPr>
          <w:bCs/>
          <w:sz w:val="22"/>
          <w:szCs w:val="22"/>
          <w:lang w:val="sr-Latn-ME"/>
        </w:rPr>
        <w:t xml:space="preserve"> u studiju</w:t>
      </w:r>
      <w:r w:rsidRPr="00EF52A6">
        <w:rPr>
          <w:bCs/>
          <w:sz w:val="22"/>
          <w:szCs w:val="22"/>
          <w:lang w:val="sr-Latn-ME"/>
        </w:rPr>
        <w:t>,</w:t>
      </w:r>
      <w:r w:rsidR="009C5288" w:rsidRPr="00EF52A6">
        <w:rPr>
          <w:bCs/>
          <w:sz w:val="22"/>
          <w:szCs w:val="22"/>
          <w:lang w:val="sr-Latn-ME"/>
        </w:rPr>
        <w:t xml:space="preserve"> medijana uzrasta pacijenata bila je 10,2 godine (raspon: 3,5 </w:t>
      </w:r>
      <w:r w:rsidRPr="00EF52A6">
        <w:rPr>
          <w:bCs/>
          <w:sz w:val="22"/>
          <w:szCs w:val="22"/>
          <w:lang w:val="sr-Latn-ME"/>
        </w:rPr>
        <w:t>–</w:t>
      </w:r>
      <w:r w:rsidR="009C5288" w:rsidRPr="00EF52A6">
        <w:rPr>
          <w:bCs/>
          <w:sz w:val="22"/>
          <w:szCs w:val="22"/>
          <w:lang w:val="sr-Latn-ME"/>
        </w:rPr>
        <w:t xml:space="preserve"> 17,4 godine), 60% </w:t>
      </w:r>
      <w:r w:rsidRPr="00EF52A6">
        <w:rPr>
          <w:bCs/>
          <w:sz w:val="22"/>
          <w:szCs w:val="22"/>
          <w:lang w:val="sr-Latn-ME"/>
        </w:rPr>
        <w:t>je</w:t>
      </w:r>
      <w:r w:rsidR="009C5288" w:rsidRPr="00EF52A6">
        <w:rPr>
          <w:bCs/>
          <w:sz w:val="22"/>
          <w:szCs w:val="22"/>
          <w:lang w:val="sr-Latn-ME"/>
        </w:rPr>
        <w:t xml:space="preserve"> bil</w:t>
      </w:r>
      <w:r w:rsidRPr="00EF52A6">
        <w:rPr>
          <w:bCs/>
          <w:sz w:val="22"/>
          <w:szCs w:val="22"/>
          <w:lang w:val="sr-Latn-ME"/>
        </w:rPr>
        <w:t>o</w:t>
      </w:r>
      <w:r w:rsidR="009C5288" w:rsidRPr="00EF52A6">
        <w:rPr>
          <w:bCs/>
          <w:sz w:val="22"/>
          <w:szCs w:val="22"/>
          <w:lang w:val="sr-Latn-ME"/>
        </w:rPr>
        <w:t xml:space="preserve"> muškog pola, a 84% b</w:t>
      </w:r>
      <w:r w:rsidR="000F0647" w:rsidRPr="00EF52A6">
        <w:rPr>
          <w:bCs/>
          <w:sz w:val="22"/>
          <w:szCs w:val="22"/>
          <w:lang w:val="sr-Latn-ME"/>
        </w:rPr>
        <w:t>ij</w:t>
      </w:r>
      <w:r w:rsidR="009C5288" w:rsidRPr="00EF52A6">
        <w:rPr>
          <w:bCs/>
          <w:sz w:val="22"/>
          <w:szCs w:val="22"/>
          <w:lang w:val="sr-Latn-ME"/>
        </w:rPr>
        <w:t>elci.</w:t>
      </w:r>
    </w:p>
    <w:p w14:paraId="3ACA8720" w14:textId="77777777" w:rsidR="009C5288" w:rsidRPr="00EF52A6" w:rsidRDefault="009C5288" w:rsidP="00DF11F1">
      <w:pPr>
        <w:tabs>
          <w:tab w:val="left" w:pos="540"/>
          <w:tab w:val="left" w:pos="569"/>
        </w:tabs>
        <w:jc w:val="both"/>
        <w:rPr>
          <w:bCs/>
          <w:sz w:val="22"/>
          <w:szCs w:val="22"/>
          <w:lang w:val="sr-Latn-ME"/>
        </w:rPr>
      </w:pPr>
    </w:p>
    <w:p w14:paraId="06AE980B" w14:textId="6B4A96A2"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Medijana ciljnog volumena PN na početku bila je 487,5 ml (raspon: 5,6 – 3820 ml). Morbiditeti povezani sa PN koji su bili prisutni kod ≥ 20% pacijenata obuhvatili su izobličenje, motornu disfunkciju, bol, disfunkciju disajnih puteva, oštećenje vida i disfunkciju bešike/cr</w:t>
      </w:r>
      <w:r w:rsidR="000F0647" w:rsidRPr="00EF52A6">
        <w:rPr>
          <w:bCs/>
          <w:sz w:val="22"/>
          <w:szCs w:val="22"/>
          <w:lang w:val="sr-Latn-ME"/>
        </w:rPr>
        <w:t>ij</w:t>
      </w:r>
      <w:r w:rsidRPr="00EF52A6">
        <w:rPr>
          <w:bCs/>
          <w:sz w:val="22"/>
          <w:szCs w:val="22"/>
          <w:lang w:val="sr-Latn-ME"/>
        </w:rPr>
        <w:t>eva.</w:t>
      </w:r>
    </w:p>
    <w:p w14:paraId="730B810F" w14:textId="77777777" w:rsidR="009C5288" w:rsidRPr="00EF52A6" w:rsidRDefault="009C5288" w:rsidP="00DF11F1">
      <w:pPr>
        <w:tabs>
          <w:tab w:val="left" w:pos="540"/>
          <w:tab w:val="left" w:pos="569"/>
        </w:tabs>
        <w:jc w:val="both"/>
        <w:rPr>
          <w:bCs/>
          <w:sz w:val="22"/>
          <w:szCs w:val="22"/>
          <w:lang w:val="sr-Latn-ME"/>
        </w:rPr>
      </w:pPr>
    </w:p>
    <w:p w14:paraId="1B631CF4" w14:textId="5C4523D7"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Primarn</w:t>
      </w:r>
      <w:r w:rsidR="0014290E" w:rsidRPr="00EF52A6">
        <w:rPr>
          <w:bCs/>
          <w:sz w:val="22"/>
          <w:szCs w:val="22"/>
          <w:lang w:val="sr-Latn-ME"/>
        </w:rPr>
        <w:t>i</w:t>
      </w:r>
      <w:r w:rsidRPr="00EF52A6">
        <w:rPr>
          <w:bCs/>
          <w:sz w:val="22"/>
          <w:szCs w:val="22"/>
          <w:lang w:val="sr-Latn-ME"/>
        </w:rPr>
        <w:t xml:space="preserve"> </w:t>
      </w:r>
      <w:r w:rsidR="0014290E" w:rsidRPr="00EF52A6">
        <w:rPr>
          <w:bCs/>
          <w:sz w:val="22"/>
          <w:szCs w:val="22"/>
          <w:lang w:val="sr-Latn-ME"/>
        </w:rPr>
        <w:t>parametar praćenja</w:t>
      </w:r>
      <w:r w:rsidRPr="00EF52A6">
        <w:rPr>
          <w:bCs/>
          <w:sz w:val="22"/>
          <w:szCs w:val="22"/>
          <w:lang w:val="sr-Latn-ME"/>
        </w:rPr>
        <w:t xml:space="preserve"> efikasnosti bila je stopa objektivnog odgovora (</w:t>
      </w:r>
      <w:r w:rsidR="00AA3B03" w:rsidRPr="00EF52A6">
        <w:rPr>
          <w:bCs/>
          <w:sz w:val="22"/>
          <w:szCs w:val="22"/>
          <w:lang w:val="sr-Latn-ME"/>
        </w:rPr>
        <w:t xml:space="preserve">engl. </w:t>
      </w:r>
      <w:r w:rsidR="00AA3B03" w:rsidRPr="00EF52A6">
        <w:rPr>
          <w:bCs/>
          <w:i/>
          <w:sz w:val="22"/>
          <w:szCs w:val="22"/>
          <w:lang w:val="sr-Latn-ME"/>
        </w:rPr>
        <w:t>objective response rate</w:t>
      </w:r>
      <w:r w:rsidR="00AA3B03" w:rsidRPr="00EF52A6">
        <w:rPr>
          <w:bCs/>
          <w:sz w:val="22"/>
          <w:szCs w:val="22"/>
          <w:lang w:val="sr-Latn-ME"/>
        </w:rPr>
        <w:t xml:space="preserve">, </w:t>
      </w:r>
      <w:r w:rsidRPr="00EF52A6">
        <w:rPr>
          <w:bCs/>
          <w:sz w:val="22"/>
          <w:szCs w:val="22"/>
          <w:lang w:val="sr-Latn-ME"/>
        </w:rPr>
        <w:t>ORR), definisana kao procenat pacijenata sa potpunim odgovorom (definisanim kao nestanak ciljnog PN) ili potvrđenim d</w:t>
      </w:r>
      <w:r w:rsidR="00AA3B03" w:rsidRPr="00EF52A6">
        <w:rPr>
          <w:bCs/>
          <w:sz w:val="22"/>
          <w:szCs w:val="22"/>
          <w:lang w:val="sr-Latn-ME"/>
        </w:rPr>
        <w:t>j</w:t>
      </w:r>
      <w:r w:rsidRPr="00EF52A6">
        <w:rPr>
          <w:bCs/>
          <w:sz w:val="22"/>
          <w:szCs w:val="22"/>
          <w:lang w:val="sr-Latn-ME"/>
        </w:rPr>
        <w:t>elimičnim odgovorom (definisanim kao smanjenje zapremine PN</w:t>
      </w:r>
      <w:r w:rsidR="00AA3B03" w:rsidRPr="00EF52A6">
        <w:rPr>
          <w:bCs/>
          <w:sz w:val="22"/>
          <w:szCs w:val="22"/>
          <w:lang w:val="sr-Latn-ME"/>
        </w:rPr>
        <w:t xml:space="preserve"> za ≥ 20%</w:t>
      </w:r>
      <w:r w:rsidRPr="00EF52A6">
        <w:rPr>
          <w:bCs/>
          <w:sz w:val="22"/>
          <w:szCs w:val="22"/>
          <w:lang w:val="sr-Latn-ME"/>
        </w:rPr>
        <w:t>, potvrđeno na sl</w:t>
      </w:r>
      <w:r w:rsidR="000F0647" w:rsidRPr="00EF52A6">
        <w:rPr>
          <w:bCs/>
          <w:sz w:val="22"/>
          <w:szCs w:val="22"/>
          <w:lang w:val="sr-Latn-ME"/>
        </w:rPr>
        <w:t>j</w:t>
      </w:r>
      <w:r w:rsidRPr="00EF52A6">
        <w:rPr>
          <w:bCs/>
          <w:sz w:val="22"/>
          <w:szCs w:val="22"/>
          <w:lang w:val="sr-Latn-ME"/>
        </w:rPr>
        <w:t>edećoj proc</w:t>
      </w:r>
      <w:r w:rsidR="000F0647" w:rsidRPr="00EF52A6">
        <w:rPr>
          <w:bCs/>
          <w:sz w:val="22"/>
          <w:szCs w:val="22"/>
          <w:lang w:val="sr-Latn-ME"/>
        </w:rPr>
        <w:t>j</w:t>
      </w:r>
      <w:r w:rsidRPr="00EF52A6">
        <w:rPr>
          <w:bCs/>
          <w:sz w:val="22"/>
          <w:szCs w:val="22"/>
          <w:lang w:val="sr-Latn-ME"/>
        </w:rPr>
        <w:t>eni tumora u roku od 3 do 6 m</w:t>
      </w:r>
      <w:r w:rsidR="000F0647" w:rsidRPr="00EF52A6">
        <w:rPr>
          <w:bCs/>
          <w:sz w:val="22"/>
          <w:szCs w:val="22"/>
          <w:lang w:val="sr-Latn-ME"/>
        </w:rPr>
        <w:t>j</w:t>
      </w:r>
      <w:r w:rsidRPr="00EF52A6">
        <w:rPr>
          <w:bCs/>
          <w:sz w:val="22"/>
          <w:szCs w:val="22"/>
          <w:lang w:val="sr-Latn-ME"/>
        </w:rPr>
        <w:t>eseci), na osnovu centralizovanog pregleda Nacionalnog instituta za karcinom (</w:t>
      </w:r>
      <w:r w:rsidR="00AA3B03" w:rsidRPr="00EF52A6">
        <w:rPr>
          <w:bCs/>
          <w:sz w:val="22"/>
          <w:szCs w:val="22"/>
          <w:lang w:val="sr-Latn-ME"/>
        </w:rPr>
        <w:t xml:space="preserve">engl. </w:t>
      </w:r>
      <w:r w:rsidR="00AA3B03" w:rsidRPr="00EF52A6">
        <w:rPr>
          <w:bCs/>
          <w:i/>
          <w:sz w:val="22"/>
          <w:szCs w:val="22"/>
          <w:lang w:val="sr-Latn-ME"/>
        </w:rPr>
        <w:t>National Cancer Institute</w:t>
      </w:r>
      <w:r w:rsidR="00AA3B03" w:rsidRPr="00EF52A6">
        <w:rPr>
          <w:bCs/>
          <w:sz w:val="22"/>
          <w:szCs w:val="22"/>
          <w:lang w:val="sr-Latn-ME"/>
        </w:rPr>
        <w:t xml:space="preserve">, </w:t>
      </w:r>
      <w:r w:rsidRPr="00EF52A6">
        <w:rPr>
          <w:bCs/>
          <w:sz w:val="22"/>
          <w:szCs w:val="22"/>
          <w:lang w:val="sr-Latn-ME"/>
        </w:rPr>
        <w:t>NCI). Proc</w:t>
      </w:r>
      <w:r w:rsidR="000F0647" w:rsidRPr="00EF52A6">
        <w:rPr>
          <w:bCs/>
          <w:sz w:val="22"/>
          <w:szCs w:val="22"/>
          <w:lang w:val="sr-Latn-ME"/>
        </w:rPr>
        <w:t>j</w:t>
      </w:r>
      <w:r w:rsidRPr="00EF52A6">
        <w:rPr>
          <w:bCs/>
          <w:sz w:val="22"/>
          <w:szCs w:val="22"/>
          <w:lang w:val="sr-Latn-ME"/>
        </w:rPr>
        <w:t>enjivano je i trajanje odgovora (</w:t>
      </w:r>
      <w:r w:rsidR="00AA3B03" w:rsidRPr="00EF52A6">
        <w:rPr>
          <w:bCs/>
          <w:sz w:val="22"/>
          <w:szCs w:val="22"/>
          <w:lang w:val="sr-Latn-ME"/>
        </w:rPr>
        <w:t xml:space="preserve">engl. </w:t>
      </w:r>
      <w:r w:rsidR="00AA3B03" w:rsidRPr="00EF52A6">
        <w:rPr>
          <w:bCs/>
          <w:i/>
          <w:sz w:val="22"/>
          <w:szCs w:val="22"/>
          <w:lang w:val="sr-Latn-ME"/>
        </w:rPr>
        <w:t>duration of response</w:t>
      </w:r>
      <w:r w:rsidR="00AA3B03" w:rsidRPr="00EF52A6">
        <w:rPr>
          <w:bCs/>
          <w:sz w:val="22"/>
          <w:szCs w:val="22"/>
          <w:lang w:val="sr-Latn-ME"/>
        </w:rPr>
        <w:t xml:space="preserve">, </w:t>
      </w:r>
      <w:r w:rsidRPr="00EF52A6">
        <w:rPr>
          <w:bCs/>
          <w:sz w:val="22"/>
          <w:szCs w:val="22"/>
          <w:lang w:val="sr-Latn-ME"/>
        </w:rPr>
        <w:t>DoR).</w:t>
      </w:r>
    </w:p>
    <w:p w14:paraId="445A83E6" w14:textId="77777777" w:rsidR="009C5288" w:rsidRPr="00EF52A6" w:rsidRDefault="009C5288" w:rsidP="00DF11F1">
      <w:pPr>
        <w:tabs>
          <w:tab w:val="left" w:pos="540"/>
          <w:tab w:val="left" w:pos="569"/>
        </w:tabs>
        <w:jc w:val="both"/>
        <w:rPr>
          <w:bCs/>
          <w:sz w:val="22"/>
          <w:szCs w:val="22"/>
          <w:lang w:val="sr-Latn-ME"/>
        </w:rPr>
      </w:pPr>
    </w:p>
    <w:p w14:paraId="5F82DE6D" w14:textId="5F83B4DA"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Rezultati efikasnosti navedeni su na osnovu pres</w:t>
      </w:r>
      <w:r w:rsidR="000F0647" w:rsidRPr="00EF52A6">
        <w:rPr>
          <w:bCs/>
          <w:sz w:val="22"/>
          <w:szCs w:val="22"/>
          <w:lang w:val="sr-Latn-ME"/>
        </w:rPr>
        <w:t>j</w:t>
      </w:r>
      <w:r w:rsidRPr="00EF52A6">
        <w:rPr>
          <w:bCs/>
          <w:sz w:val="22"/>
          <w:szCs w:val="22"/>
          <w:lang w:val="sr-Latn-ME"/>
        </w:rPr>
        <w:t>eka podataka u martu 2021, osim ako nije drugačije navedeno.</w:t>
      </w:r>
    </w:p>
    <w:p w14:paraId="3A9BED90" w14:textId="77777777" w:rsidR="009C5288" w:rsidRPr="00EF52A6" w:rsidRDefault="009C5288" w:rsidP="009C5288">
      <w:pPr>
        <w:tabs>
          <w:tab w:val="left" w:pos="540"/>
          <w:tab w:val="left" w:pos="569"/>
        </w:tabs>
        <w:rPr>
          <w:bCs/>
          <w:sz w:val="22"/>
          <w:szCs w:val="22"/>
          <w:lang w:val="sr-Latn-ME"/>
        </w:rPr>
      </w:pPr>
    </w:p>
    <w:p w14:paraId="0AF591B8" w14:textId="77777777" w:rsidR="009C5288" w:rsidRPr="00EF52A6" w:rsidRDefault="009C5288" w:rsidP="009C5288">
      <w:pPr>
        <w:tabs>
          <w:tab w:val="left" w:pos="540"/>
          <w:tab w:val="left" w:pos="569"/>
        </w:tabs>
        <w:rPr>
          <w:b/>
          <w:bCs/>
          <w:sz w:val="22"/>
          <w:szCs w:val="22"/>
          <w:lang w:val="sr-Latn-ME"/>
        </w:rPr>
      </w:pPr>
      <w:r w:rsidRPr="00EF52A6">
        <w:rPr>
          <w:b/>
          <w:bCs/>
          <w:sz w:val="22"/>
          <w:szCs w:val="22"/>
          <w:lang w:val="sr-Latn-ME"/>
        </w:rPr>
        <w:t>Tabela 6. Rezultati efikasnosti iz grupe 1 faze II ispitivanja SPRINT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536"/>
      </w:tblGrid>
      <w:tr w:rsidR="009C5288" w:rsidRPr="00EF52A6" w14:paraId="68BC83F3" w14:textId="77777777" w:rsidTr="00DF11F1">
        <w:trPr>
          <w:trHeight w:val="503"/>
        </w:trPr>
        <w:tc>
          <w:tcPr>
            <w:tcW w:w="4536" w:type="dxa"/>
          </w:tcPr>
          <w:p w14:paraId="09E4029C" w14:textId="77777777" w:rsidR="009C5288" w:rsidRPr="00EF52A6" w:rsidRDefault="009C5288" w:rsidP="009C5288">
            <w:pPr>
              <w:tabs>
                <w:tab w:val="left" w:pos="540"/>
                <w:tab w:val="left" w:pos="569"/>
              </w:tabs>
              <w:rPr>
                <w:b/>
                <w:bCs/>
                <w:sz w:val="22"/>
                <w:szCs w:val="22"/>
                <w:lang w:val="sr-Latn-ME"/>
              </w:rPr>
            </w:pPr>
            <w:r w:rsidRPr="00EF52A6">
              <w:rPr>
                <w:b/>
                <w:bCs/>
                <w:sz w:val="22"/>
                <w:szCs w:val="22"/>
                <w:lang w:val="sr-Latn-ME"/>
              </w:rPr>
              <w:t>Parametar efikasnosti</w:t>
            </w:r>
          </w:p>
        </w:tc>
        <w:tc>
          <w:tcPr>
            <w:tcW w:w="4536" w:type="dxa"/>
          </w:tcPr>
          <w:p w14:paraId="0B44C815" w14:textId="77777777" w:rsidR="009C5288" w:rsidRPr="00EF52A6" w:rsidRDefault="009C5288" w:rsidP="009C5288">
            <w:pPr>
              <w:tabs>
                <w:tab w:val="left" w:pos="540"/>
                <w:tab w:val="left" w:pos="569"/>
              </w:tabs>
              <w:rPr>
                <w:b/>
                <w:bCs/>
                <w:sz w:val="22"/>
                <w:szCs w:val="22"/>
                <w:lang w:val="sr-Latn-ME"/>
              </w:rPr>
            </w:pPr>
            <w:r w:rsidRPr="00EF52A6">
              <w:rPr>
                <w:b/>
                <w:bCs/>
                <w:sz w:val="22"/>
                <w:szCs w:val="22"/>
                <w:lang w:val="sr-Latn-ME"/>
              </w:rPr>
              <w:t>SPRINT (N = 50)</w:t>
            </w:r>
          </w:p>
        </w:tc>
      </w:tr>
      <w:tr w:rsidR="009C5288" w:rsidRPr="00EF52A6" w14:paraId="75BF91EA" w14:textId="77777777" w:rsidTr="00DF11F1">
        <w:trPr>
          <w:trHeight w:val="254"/>
        </w:trPr>
        <w:tc>
          <w:tcPr>
            <w:tcW w:w="9072" w:type="dxa"/>
            <w:gridSpan w:val="2"/>
          </w:tcPr>
          <w:p w14:paraId="231EF591" w14:textId="77777777" w:rsidR="009C5288" w:rsidRPr="00EF52A6" w:rsidRDefault="009C5288" w:rsidP="009C5288">
            <w:pPr>
              <w:tabs>
                <w:tab w:val="left" w:pos="540"/>
                <w:tab w:val="left" w:pos="569"/>
              </w:tabs>
              <w:rPr>
                <w:b/>
                <w:bCs/>
                <w:sz w:val="22"/>
                <w:szCs w:val="22"/>
                <w:lang w:val="sr-Latn-ME"/>
              </w:rPr>
            </w:pPr>
            <w:r w:rsidRPr="00EF52A6">
              <w:rPr>
                <w:b/>
                <w:bCs/>
                <w:sz w:val="22"/>
                <w:szCs w:val="22"/>
                <w:lang w:val="sr-Latn-ME"/>
              </w:rPr>
              <w:t xml:space="preserve">Stopa objektivnog odgovora </w:t>
            </w:r>
            <w:r w:rsidRPr="00EF52A6">
              <w:rPr>
                <w:b/>
                <w:bCs/>
                <w:sz w:val="22"/>
                <w:szCs w:val="22"/>
                <w:vertAlign w:val="superscript"/>
                <w:lang w:val="sr-Latn-ME"/>
              </w:rPr>
              <w:t>a,</w:t>
            </w:r>
            <w:r w:rsidRPr="00EF52A6">
              <w:rPr>
                <w:b/>
                <w:bCs/>
                <w:sz w:val="22"/>
                <w:szCs w:val="22"/>
                <w:lang w:val="sr-Latn-ME"/>
              </w:rPr>
              <w:t xml:space="preserve"> </w:t>
            </w:r>
            <w:r w:rsidRPr="00EF52A6">
              <w:rPr>
                <w:b/>
                <w:bCs/>
                <w:sz w:val="22"/>
                <w:szCs w:val="22"/>
                <w:vertAlign w:val="superscript"/>
                <w:lang w:val="sr-Latn-ME"/>
              </w:rPr>
              <w:t>b</w:t>
            </w:r>
          </w:p>
        </w:tc>
      </w:tr>
      <w:tr w:rsidR="009C5288" w:rsidRPr="00EF52A6" w14:paraId="1D3CFD30" w14:textId="77777777" w:rsidTr="00DF11F1">
        <w:trPr>
          <w:trHeight w:val="253"/>
        </w:trPr>
        <w:tc>
          <w:tcPr>
            <w:tcW w:w="4536" w:type="dxa"/>
          </w:tcPr>
          <w:p w14:paraId="514DC0D5"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Stopa objektivnog odgovora, % (95% CI)</w:t>
            </w:r>
          </w:p>
        </w:tc>
        <w:tc>
          <w:tcPr>
            <w:tcW w:w="4536" w:type="dxa"/>
          </w:tcPr>
          <w:p w14:paraId="2EEB8AEA"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34 (68%) (53,3 – 80,5)</w:t>
            </w:r>
          </w:p>
        </w:tc>
      </w:tr>
      <w:tr w:rsidR="009C5288" w:rsidRPr="00EF52A6" w14:paraId="2BF58976" w14:textId="77777777" w:rsidTr="00DF11F1">
        <w:trPr>
          <w:trHeight w:val="254"/>
        </w:trPr>
        <w:tc>
          <w:tcPr>
            <w:tcW w:w="4536" w:type="dxa"/>
          </w:tcPr>
          <w:p w14:paraId="47C9ED88"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Potpuni odgovor</w:t>
            </w:r>
          </w:p>
        </w:tc>
        <w:tc>
          <w:tcPr>
            <w:tcW w:w="4536" w:type="dxa"/>
          </w:tcPr>
          <w:p w14:paraId="28AA651B"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0</w:t>
            </w:r>
          </w:p>
        </w:tc>
      </w:tr>
      <w:tr w:rsidR="009C5288" w:rsidRPr="00EF52A6" w14:paraId="3E05B928" w14:textId="77777777" w:rsidTr="00DF11F1">
        <w:trPr>
          <w:trHeight w:val="253"/>
        </w:trPr>
        <w:tc>
          <w:tcPr>
            <w:tcW w:w="4536" w:type="dxa"/>
          </w:tcPr>
          <w:p w14:paraId="05A746BE" w14:textId="7B8D3EFB" w:rsidR="009C5288" w:rsidRPr="00EF52A6" w:rsidRDefault="009C5288" w:rsidP="009C5288">
            <w:pPr>
              <w:tabs>
                <w:tab w:val="left" w:pos="540"/>
                <w:tab w:val="left" w:pos="569"/>
              </w:tabs>
              <w:rPr>
                <w:bCs/>
                <w:sz w:val="22"/>
                <w:szCs w:val="22"/>
                <w:lang w:val="sr-Latn-ME"/>
              </w:rPr>
            </w:pPr>
            <w:r w:rsidRPr="00EF52A6">
              <w:rPr>
                <w:bCs/>
                <w:sz w:val="22"/>
                <w:szCs w:val="22"/>
                <w:lang w:val="sr-Latn-ME"/>
              </w:rPr>
              <w:t>Potvrđeni d</w:t>
            </w:r>
            <w:r w:rsidR="00AA3B03" w:rsidRPr="00EF52A6">
              <w:rPr>
                <w:bCs/>
                <w:sz w:val="22"/>
                <w:szCs w:val="22"/>
                <w:lang w:val="sr-Latn-ME"/>
              </w:rPr>
              <w:t>j</w:t>
            </w:r>
            <w:r w:rsidRPr="00EF52A6">
              <w:rPr>
                <w:bCs/>
                <w:sz w:val="22"/>
                <w:szCs w:val="22"/>
                <w:lang w:val="sr-Latn-ME"/>
              </w:rPr>
              <w:t>elimičan odgovor n (%)</w:t>
            </w:r>
            <w:r w:rsidRPr="00EF52A6">
              <w:rPr>
                <w:bCs/>
                <w:sz w:val="22"/>
                <w:szCs w:val="22"/>
                <w:vertAlign w:val="superscript"/>
                <w:lang w:val="sr-Latn-ME"/>
              </w:rPr>
              <w:t>b</w:t>
            </w:r>
          </w:p>
        </w:tc>
        <w:tc>
          <w:tcPr>
            <w:tcW w:w="4536" w:type="dxa"/>
          </w:tcPr>
          <w:p w14:paraId="7D519673"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34(68%)</w:t>
            </w:r>
          </w:p>
        </w:tc>
      </w:tr>
      <w:tr w:rsidR="009C5288" w:rsidRPr="00EF52A6" w14:paraId="2EE05527" w14:textId="77777777" w:rsidTr="00DF11F1">
        <w:trPr>
          <w:trHeight w:val="249"/>
        </w:trPr>
        <w:tc>
          <w:tcPr>
            <w:tcW w:w="9072" w:type="dxa"/>
            <w:gridSpan w:val="2"/>
          </w:tcPr>
          <w:p w14:paraId="7C9D0546" w14:textId="77777777" w:rsidR="009C5288" w:rsidRPr="00EF52A6" w:rsidRDefault="009C5288" w:rsidP="009C5288">
            <w:pPr>
              <w:tabs>
                <w:tab w:val="left" w:pos="540"/>
                <w:tab w:val="left" w:pos="569"/>
              </w:tabs>
              <w:rPr>
                <w:b/>
                <w:bCs/>
                <w:sz w:val="22"/>
                <w:szCs w:val="22"/>
                <w:lang w:val="sr-Latn-ME"/>
              </w:rPr>
            </w:pPr>
            <w:r w:rsidRPr="00EF52A6">
              <w:rPr>
                <w:b/>
                <w:bCs/>
                <w:sz w:val="22"/>
                <w:szCs w:val="22"/>
                <w:lang w:val="sr-Latn-ME"/>
              </w:rPr>
              <w:t>Trajanje odgovora</w:t>
            </w:r>
          </w:p>
        </w:tc>
      </w:tr>
      <w:tr w:rsidR="009C5288" w:rsidRPr="00EF52A6" w14:paraId="60FF6A56" w14:textId="77777777" w:rsidTr="00DF11F1">
        <w:trPr>
          <w:trHeight w:val="253"/>
        </w:trPr>
        <w:tc>
          <w:tcPr>
            <w:tcW w:w="4536" w:type="dxa"/>
          </w:tcPr>
          <w:p w14:paraId="6F2F836B" w14:textId="5ABDFA6B" w:rsidR="009C5288" w:rsidRPr="00EF52A6" w:rsidRDefault="009C5288" w:rsidP="009C5288">
            <w:pPr>
              <w:tabs>
                <w:tab w:val="left" w:pos="540"/>
                <w:tab w:val="left" w:pos="569"/>
              </w:tabs>
              <w:rPr>
                <w:bCs/>
                <w:sz w:val="22"/>
                <w:szCs w:val="22"/>
                <w:lang w:val="sr-Latn-ME"/>
              </w:rPr>
            </w:pPr>
            <w:r w:rsidRPr="00EF52A6">
              <w:rPr>
                <w:bCs/>
                <w:sz w:val="22"/>
                <w:szCs w:val="22"/>
                <w:lang w:val="sr-Latn-ME"/>
              </w:rPr>
              <w:t>DoR ≥ 12 m</w:t>
            </w:r>
            <w:r w:rsidR="000F0647" w:rsidRPr="00EF52A6">
              <w:rPr>
                <w:bCs/>
                <w:sz w:val="22"/>
                <w:szCs w:val="22"/>
                <w:lang w:val="sr-Latn-ME"/>
              </w:rPr>
              <w:t>j</w:t>
            </w:r>
            <w:r w:rsidRPr="00EF52A6">
              <w:rPr>
                <w:bCs/>
                <w:sz w:val="22"/>
                <w:szCs w:val="22"/>
                <w:lang w:val="sr-Latn-ME"/>
              </w:rPr>
              <w:t>eseci, n (%)</w:t>
            </w:r>
          </w:p>
        </w:tc>
        <w:tc>
          <w:tcPr>
            <w:tcW w:w="4536" w:type="dxa"/>
          </w:tcPr>
          <w:p w14:paraId="0CD1A04D"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31 (91,2%)</w:t>
            </w:r>
          </w:p>
        </w:tc>
      </w:tr>
      <w:tr w:rsidR="009C5288" w:rsidRPr="00EF52A6" w14:paraId="5D3AC9B8" w14:textId="77777777" w:rsidTr="00DF11F1">
        <w:trPr>
          <w:trHeight w:val="253"/>
        </w:trPr>
        <w:tc>
          <w:tcPr>
            <w:tcW w:w="4536" w:type="dxa"/>
          </w:tcPr>
          <w:p w14:paraId="419F4035" w14:textId="453CB1F0" w:rsidR="009C5288" w:rsidRPr="00EF52A6" w:rsidRDefault="009C5288" w:rsidP="009C5288">
            <w:pPr>
              <w:tabs>
                <w:tab w:val="left" w:pos="540"/>
                <w:tab w:val="left" w:pos="569"/>
              </w:tabs>
              <w:rPr>
                <w:bCs/>
                <w:sz w:val="22"/>
                <w:szCs w:val="22"/>
                <w:lang w:val="sr-Latn-ME"/>
              </w:rPr>
            </w:pPr>
            <w:r w:rsidRPr="00EF52A6">
              <w:rPr>
                <w:bCs/>
                <w:sz w:val="22"/>
                <w:szCs w:val="22"/>
                <w:lang w:val="sr-Latn-ME"/>
              </w:rPr>
              <w:t>DoR ≥ 24 m</w:t>
            </w:r>
            <w:r w:rsidR="000F0647" w:rsidRPr="00EF52A6">
              <w:rPr>
                <w:bCs/>
                <w:sz w:val="22"/>
                <w:szCs w:val="22"/>
                <w:lang w:val="sr-Latn-ME"/>
              </w:rPr>
              <w:t>j</w:t>
            </w:r>
            <w:r w:rsidRPr="00EF52A6">
              <w:rPr>
                <w:bCs/>
                <w:sz w:val="22"/>
                <w:szCs w:val="22"/>
                <w:lang w:val="sr-Latn-ME"/>
              </w:rPr>
              <w:t>eseca, n (%)</w:t>
            </w:r>
          </w:p>
        </w:tc>
        <w:tc>
          <w:tcPr>
            <w:tcW w:w="4536" w:type="dxa"/>
          </w:tcPr>
          <w:p w14:paraId="156EF85D"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26 (76,5%)</w:t>
            </w:r>
          </w:p>
        </w:tc>
      </w:tr>
      <w:tr w:rsidR="009C5288" w:rsidRPr="00EF52A6" w14:paraId="0360B30C" w14:textId="77777777" w:rsidTr="00DF11F1">
        <w:trPr>
          <w:trHeight w:val="253"/>
        </w:trPr>
        <w:tc>
          <w:tcPr>
            <w:tcW w:w="4536" w:type="dxa"/>
          </w:tcPr>
          <w:p w14:paraId="3359920E" w14:textId="44832093" w:rsidR="009C5288" w:rsidRPr="00EF52A6" w:rsidRDefault="009C5288" w:rsidP="009C5288">
            <w:pPr>
              <w:tabs>
                <w:tab w:val="left" w:pos="540"/>
                <w:tab w:val="left" w:pos="569"/>
              </w:tabs>
              <w:rPr>
                <w:bCs/>
                <w:sz w:val="22"/>
                <w:szCs w:val="22"/>
                <w:lang w:val="sr-Latn-ME"/>
              </w:rPr>
            </w:pPr>
            <w:r w:rsidRPr="00EF52A6">
              <w:rPr>
                <w:bCs/>
                <w:sz w:val="22"/>
                <w:szCs w:val="22"/>
                <w:lang w:val="sr-Latn-ME"/>
              </w:rPr>
              <w:t>DoR ≥ 36 m</w:t>
            </w:r>
            <w:r w:rsidR="000F0647" w:rsidRPr="00EF52A6">
              <w:rPr>
                <w:bCs/>
                <w:sz w:val="22"/>
                <w:szCs w:val="22"/>
                <w:lang w:val="sr-Latn-ME"/>
              </w:rPr>
              <w:t>j</w:t>
            </w:r>
            <w:r w:rsidRPr="00EF52A6">
              <w:rPr>
                <w:bCs/>
                <w:sz w:val="22"/>
                <w:szCs w:val="22"/>
                <w:lang w:val="sr-Latn-ME"/>
              </w:rPr>
              <w:t>eseci, n (%)</w:t>
            </w:r>
          </w:p>
        </w:tc>
        <w:tc>
          <w:tcPr>
            <w:tcW w:w="4536" w:type="dxa"/>
          </w:tcPr>
          <w:p w14:paraId="0E44E061" w14:textId="77777777" w:rsidR="009C5288" w:rsidRPr="00EF52A6" w:rsidRDefault="009C5288" w:rsidP="009C5288">
            <w:pPr>
              <w:tabs>
                <w:tab w:val="left" w:pos="540"/>
                <w:tab w:val="left" w:pos="569"/>
              </w:tabs>
              <w:rPr>
                <w:bCs/>
                <w:sz w:val="22"/>
                <w:szCs w:val="22"/>
                <w:lang w:val="sr-Latn-ME"/>
              </w:rPr>
            </w:pPr>
            <w:r w:rsidRPr="00EF52A6">
              <w:rPr>
                <w:bCs/>
                <w:sz w:val="22"/>
                <w:szCs w:val="22"/>
                <w:lang w:val="sr-Latn-ME"/>
              </w:rPr>
              <w:t>21 (61,8%)</w:t>
            </w:r>
          </w:p>
        </w:tc>
      </w:tr>
    </w:tbl>
    <w:p w14:paraId="2FC1839D" w14:textId="04901147"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CI</w:t>
      </w:r>
      <w:r w:rsidR="00AA3B03" w:rsidRPr="00EF52A6">
        <w:rPr>
          <w:bCs/>
          <w:sz w:val="22"/>
          <w:szCs w:val="22"/>
          <w:lang w:val="sr-Latn-ME"/>
        </w:rPr>
        <w:t xml:space="preserve"> (engl. </w:t>
      </w:r>
      <w:r w:rsidR="00AA3B03" w:rsidRPr="00EF52A6">
        <w:rPr>
          <w:bCs/>
          <w:i/>
          <w:sz w:val="22"/>
          <w:szCs w:val="22"/>
          <w:lang w:val="sr-Latn-ME"/>
        </w:rPr>
        <w:t>confidence interval</w:t>
      </w:r>
      <w:r w:rsidR="00AA3B03" w:rsidRPr="00EF52A6">
        <w:rPr>
          <w:bCs/>
          <w:sz w:val="22"/>
          <w:szCs w:val="22"/>
          <w:lang w:val="sr-Latn-ME"/>
        </w:rPr>
        <w:t>)</w:t>
      </w:r>
      <w:r w:rsidRPr="00EF52A6">
        <w:rPr>
          <w:bCs/>
          <w:sz w:val="22"/>
          <w:szCs w:val="22"/>
          <w:lang w:val="sr-Latn-ME"/>
        </w:rPr>
        <w:t xml:space="preserve"> – interval pouzdanosti, DoR – trajanje odgovora.</w:t>
      </w:r>
    </w:p>
    <w:p w14:paraId="2DE2F6FA" w14:textId="1D855BA8" w:rsidR="009C5288" w:rsidRPr="00EF52A6" w:rsidRDefault="009C5288" w:rsidP="00DF11F1">
      <w:pPr>
        <w:tabs>
          <w:tab w:val="left" w:pos="540"/>
          <w:tab w:val="left" w:pos="569"/>
        </w:tabs>
        <w:jc w:val="both"/>
        <w:rPr>
          <w:bCs/>
          <w:sz w:val="22"/>
          <w:szCs w:val="22"/>
          <w:lang w:val="sr-Latn-ME"/>
        </w:rPr>
      </w:pPr>
      <w:r w:rsidRPr="00EF52A6">
        <w:rPr>
          <w:bCs/>
          <w:sz w:val="22"/>
          <w:szCs w:val="22"/>
          <w:vertAlign w:val="superscript"/>
          <w:lang w:val="sr-Latn-ME"/>
        </w:rPr>
        <w:t>a</w:t>
      </w:r>
      <w:r w:rsidRPr="00EF52A6">
        <w:rPr>
          <w:bCs/>
          <w:sz w:val="22"/>
          <w:szCs w:val="22"/>
          <w:lang w:val="sr-Latn-ME"/>
        </w:rPr>
        <w:t xml:space="preserve"> Odgovor se morao potvrditi najmanje 3 m</w:t>
      </w:r>
      <w:r w:rsidR="000F0647" w:rsidRPr="00EF52A6">
        <w:rPr>
          <w:bCs/>
          <w:sz w:val="22"/>
          <w:szCs w:val="22"/>
          <w:lang w:val="sr-Latn-ME"/>
        </w:rPr>
        <w:t>j</w:t>
      </w:r>
      <w:r w:rsidRPr="00EF52A6">
        <w:rPr>
          <w:bCs/>
          <w:sz w:val="22"/>
          <w:szCs w:val="22"/>
          <w:lang w:val="sr-Latn-ME"/>
        </w:rPr>
        <w:t>eseca nakon što su ispunjeni kriterijumi za prvi d</w:t>
      </w:r>
      <w:r w:rsidR="000F0647" w:rsidRPr="00EF52A6">
        <w:rPr>
          <w:bCs/>
          <w:sz w:val="22"/>
          <w:szCs w:val="22"/>
          <w:lang w:val="sr-Latn-ME"/>
        </w:rPr>
        <w:t>j</w:t>
      </w:r>
      <w:r w:rsidRPr="00EF52A6">
        <w:rPr>
          <w:bCs/>
          <w:sz w:val="22"/>
          <w:szCs w:val="22"/>
          <w:lang w:val="sr-Latn-ME"/>
        </w:rPr>
        <w:t>elimičan odgovor.</w:t>
      </w:r>
    </w:p>
    <w:p w14:paraId="77299F99" w14:textId="2019F0B5" w:rsidR="009C5288" w:rsidRPr="00EF52A6" w:rsidRDefault="009C5288" w:rsidP="00DF11F1">
      <w:pPr>
        <w:tabs>
          <w:tab w:val="left" w:pos="540"/>
          <w:tab w:val="left" w:pos="569"/>
        </w:tabs>
        <w:jc w:val="both"/>
        <w:rPr>
          <w:bCs/>
          <w:sz w:val="22"/>
          <w:szCs w:val="22"/>
          <w:lang w:val="sr-Latn-ME"/>
        </w:rPr>
      </w:pPr>
      <w:r w:rsidRPr="00EF52A6">
        <w:rPr>
          <w:bCs/>
          <w:sz w:val="22"/>
          <w:szCs w:val="22"/>
          <w:vertAlign w:val="superscript"/>
          <w:lang w:val="sr-Latn-ME"/>
        </w:rPr>
        <w:t>b</w:t>
      </w:r>
      <w:r w:rsidRPr="00EF52A6">
        <w:rPr>
          <w:bCs/>
          <w:sz w:val="22"/>
          <w:szCs w:val="22"/>
          <w:lang w:val="sr-Latn-ME"/>
        </w:rPr>
        <w:t xml:space="preserve"> Potpun odgovor: nestanak ciljne lezije; d</w:t>
      </w:r>
      <w:r w:rsidR="000F0647" w:rsidRPr="00EF52A6">
        <w:rPr>
          <w:bCs/>
          <w:sz w:val="22"/>
          <w:szCs w:val="22"/>
          <w:lang w:val="sr-Latn-ME"/>
        </w:rPr>
        <w:t>j</w:t>
      </w:r>
      <w:r w:rsidRPr="00EF52A6">
        <w:rPr>
          <w:bCs/>
          <w:sz w:val="22"/>
          <w:szCs w:val="22"/>
          <w:lang w:val="sr-Latn-ME"/>
        </w:rPr>
        <w:t>elimičan odgovor: smanjenje volumena ciljnog PN za</w:t>
      </w:r>
    </w:p>
    <w:p w14:paraId="12DC9510" w14:textId="50693232"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 20% u odnosu na početnu vr</w:t>
      </w:r>
      <w:r w:rsidR="000F0647" w:rsidRPr="00EF52A6">
        <w:rPr>
          <w:bCs/>
          <w:sz w:val="22"/>
          <w:szCs w:val="22"/>
          <w:lang w:val="sr-Latn-ME"/>
        </w:rPr>
        <w:t>ij</w:t>
      </w:r>
      <w:r w:rsidRPr="00EF52A6">
        <w:rPr>
          <w:bCs/>
          <w:sz w:val="22"/>
          <w:szCs w:val="22"/>
          <w:lang w:val="sr-Latn-ME"/>
        </w:rPr>
        <w:t>ednost.</w:t>
      </w:r>
    </w:p>
    <w:p w14:paraId="04D49405" w14:textId="6951FA48"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lastRenderedPageBreak/>
        <w:t>Prema nezavisnom centralizovanom pregledu tumorskog odgovora na osnovu REiNS kriterijuma (pres</w:t>
      </w:r>
      <w:r w:rsidR="000F0647" w:rsidRPr="00EF52A6">
        <w:rPr>
          <w:bCs/>
          <w:sz w:val="22"/>
          <w:szCs w:val="22"/>
          <w:lang w:val="sr-Latn-ME"/>
        </w:rPr>
        <w:t>j</w:t>
      </w:r>
      <w:r w:rsidRPr="00EF52A6">
        <w:rPr>
          <w:bCs/>
          <w:sz w:val="22"/>
          <w:szCs w:val="22"/>
          <w:lang w:val="sr-Latn-ME"/>
        </w:rPr>
        <w:t>ek podataka iz juna 2018. godine)</w:t>
      </w:r>
      <w:r w:rsidR="00AA3B03" w:rsidRPr="00EF52A6">
        <w:rPr>
          <w:bCs/>
          <w:sz w:val="22"/>
          <w:szCs w:val="22"/>
          <w:lang w:val="sr-Latn-ME"/>
        </w:rPr>
        <w:t>,</w:t>
      </w:r>
      <w:r w:rsidRPr="00EF52A6">
        <w:rPr>
          <w:bCs/>
          <w:sz w:val="22"/>
          <w:szCs w:val="22"/>
          <w:lang w:val="sr-Latn-ME"/>
        </w:rPr>
        <w:t xml:space="preserve"> ORR je iznosio 44% (95% CI: 30,0; 58,7).</w:t>
      </w:r>
    </w:p>
    <w:p w14:paraId="6A3F3664" w14:textId="77777777" w:rsidR="009C5288" w:rsidRPr="00EF52A6" w:rsidRDefault="009C5288" w:rsidP="00DF11F1">
      <w:pPr>
        <w:tabs>
          <w:tab w:val="left" w:pos="540"/>
          <w:tab w:val="left" w:pos="569"/>
        </w:tabs>
        <w:jc w:val="both"/>
        <w:rPr>
          <w:bCs/>
          <w:sz w:val="22"/>
          <w:szCs w:val="22"/>
          <w:lang w:val="sr-Latn-ME"/>
        </w:rPr>
      </w:pPr>
    </w:p>
    <w:p w14:paraId="79F15F12" w14:textId="637CC798"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Medijana vremena do početka odgovora bila je 7,2 m</w:t>
      </w:r>
      <w:r w:rsidR="000F0647" w:rsidRPr="00EF52A6">
        <w:rPr>
          <w:bCs/>
          <w:sz w:val="22"/>
          <w:szCs w:val="22"/>
          <w:lang w:val="sr-Latn-ME"/>
        </w:rPr>
        <w:t>j</w:t>
      </w:r>
      <w:r w:rsidRPr="00EF52A6">
        <w:rPr>
          <w:bCs/>
          <w:sz w:val="22"/>
          <w:szCs w:val="22"/>
          <w:lang w:val="sr-Latn-ME"/>
        </w:rPr>
        <w:t xml:space="preserve">eseca (raspon: </w:t>
      </w:r>
      <w:r w:rsidR="00AA3B03" w:rsidRPr="00EF52A6">
        <w:rPr>
          <w:bCs/>
          <w:sz w:val="22"/>
          <w:szCs w:val="22"/>
          <w:lang w:val="sr-Latn-ME"/>
        </w:rPr>
        <w:t xml:space="preserve">od </w:t>
      </w:r>
      <w:r w:rsidRPr="00EF52A6">
        <w:rPr>
          <w:bCs/>
          <w:sz w:val="22"/>
          <w:szCs w:val="22"/>
          <w:lang w:val="sr-Latn-ME"/>
        </w:rPr>
        <w:t>3,3 m</w:t>
      </w:r>
      <w:r w:rsidR="000F0647" w:rsidRPr="00EF52A6">
        <w:rPr>
          <w:bCs/>
          <w:sz w:val="22"/>
          <w:szCs w:val="22"/>
          <w:lang w:val="sr-Latn-ME"/>
        </w:rPr>
        <w:t>j</w:t>
      </w:r>
      <w:r w:rsidRPr="00EF52A6">
        <w:rPr>
          <w:bCs/>
          <w:sz w:val="22"/>
          <w:szCs w:val="22"/>
          <w:lang w:val="sr-Latn-ME"/>
        </w:rPr>
        <w:t>eseca do 3,2 godine). Medijana (min–max) vremena do maksimalnog skupljanja PN u odnosu na početnu vr</w:t>
      </w:r>
      <w:r w:rsidR="000F0647" w:rsidRPr="00EF52A6">
        <w:rPr>
          <w:bCs/>
          <w:sz w:val="22"/>
          <w:szCs w:val="22"/>
          <w:lang w:val="sr-Latn-ME"/>
        </w:rPr>
        <w:t>ij</w:t>
      </w:r>
      <w:r w:rsidRPr="00EF52A6">
        <w:rPr>
          <w:bCs/>
          <w:sz w:val="22"/>
          <w:szCs w:val="22"/>
          <w:lang w:val="sr-Latn-ME"/>
        </w:rPr>
        <w:t>ednost bila je 15,1 m</w:t>
      </w:r>
      <w:r w:rsidR="000F0647" w:rsidRPr="00EF52A6">
        <w:rPr>
          <w:bCs/>
          <w:sz w:val="22"/>
          <w:szCs w:val="22"/>
          <w:lang w:val="sr-Latn-ME"/>
        </w:rPr>
        <w:t>j</w:t>
      </w:r>
      <w:r w:rsidRPr="00EF52A6">
        <w:rPr>
          <w:bCs/>
          <w:sz w:val="22"/>
          <w:szCs w:val="22"/>
          <w:lang w:val="sr-Latn-ME"/>
        </w:rPr>
        <w:t xml:space="preserve">esec (raspon: </w:t>
      </w:r>
      <w:r w:rsidR="00AA3B03" w:rsidRPr="00EF52A6">
        <w:rPr>
          <w:bCs/>
          <w:sz w:val="22"/>
          <w:szCs w:val="22"/>
          <w:lang w:val="sr-Latn-ME"/>
        </w:rPr>
        <w:t xml:space="preserve">od </w:t>
      </w:r>
      <w:r w:rsidRPr="00EF52A6">
        <w:rPr>
          <w:bCs/>
          <w:sz w:val="22"/>
          <w:szCs w:val="22"/>
          <w:lang w:val="sr-Latn-ME"/>
        </w:rPr>
        <w:t>3,3 m</w:t>
      </w:r>
      <w:r w:rsidR="000F0647" w:rsidRPr="00EF52A6">
        <w:rPr>
          <w:bCs/>
          <w:sz w:val="22"/>
          <w:szCs w:val="22"/>
          <w:lang w:val="sr-Latn-ME"/>
        </w:rPr>
        <w:t>j</w:t>
      </w:r>
      <w:r w:rsidRPr="00EF52A6">
        <w:rPr>
          <w:bCs/>
          <w:sz w:val="22"/>
          <w:szCs w:val="22"/>
          <w:lang w:val="sr-Latn-ME"/>
        </w:rPr>
        <w:t>eseca do</w:t>
      </w:r>
      <w:r w:rsidR="000F0647" w:rsidRPr="00EF52A6">
        <w:rPr>
          <w:bCs/>
          <w:sz w:val="22"/>
          <w:szCs w:val="22"/>
          <w:lang w:val="sr-Latn-ME"/>
        </w:rPr>
        <w:t xml:space="preserve"> 5,2 </w:t>
      </w:r>
      <w:r w:rsidRPr="00EF52A6">
        <w:rPr>
          <w:bCs/>
          <w:sz w:val="22"/>
          <w:szCs w:val="22"/>
          <w:lang w:val="sr-Latn-ME"/>
        </w:rPr>
        <w:t>godin</w:t>
      </w:r>
      <w:r w:rsidR="00AA3B03" w:rsidRPr="00EF52A6">
        <w:rPr>
          <w:bCs/>
          <w:sz w:val="22"/>
          <w:szCs w:val="22"/>
          <w:lang w:val="sr-Latn-ME"/>
        </w:rPr>
        <w:t>e</w:t>
      </w:r>
      <w:r w:rsidRPr="00EF52A6">
        <w:rPr>
          <w:bCs/>
          <w:sz w:val="22"/>
          <w:szCs w:val="22"/>
          <w:lang w:val="sr-Latn-ME"/>
        </w:rPr>
        <w:t>). Medijana DoR od početka odgovora nije postignuta; u vr</w:t>
      </w:r>
      <w:r w:rsidR="000F0647" w:rsidRPr="00EF52A6">
        <w:rPr>
          <w:bCs/>
          <w:sz w:val="22"/>
          <w:szCs w:val="22"/>
          <w:lang w:val="sr-Latn-ME"/>
        </w:rPr>
        <w:t>ij</w:t>
      </w:r>
      <w:r w:rsidRPr="00EF52A6">
        <w:rPr>
          <w:bCs/>
          <w:sz w:val="22"/>
          <w:szCs w:val="22"/>
          <w:lang w:val="sr-Latn-ME"/>
        </w:rPr>
        <w:t>eme pres</w:t>
      </w:r>
      <w:r w:rsidR="000F0647" w:rsidRPr="00EF52A6">
        <w:rPr>
          <w:bCs/>
          <w:sz w:val="22"/>
          <w:szCs w:val="22"/>
          <w:lang w:val="sr-Latn-ME"/>
        </w:rPr>
        <w:t>j</w:t>
      </w:r>
      <w:r w:rsidRPr="00EF52A6">
        <w:rPr>
          <w:bCs/>
          <w:sz w:val="22"/>
          <w:szCs w:val="22"/>
          <w:lang w:val="sr-Latn-ME"/>
        </w:rPr>
        <w:t>eka podataka medijana praćenja bila je 41,3 m</w:t>
      </w:r>
      <w:r w:rsidR="000F0647" w:rsidRPr="00EF52A6">
        <w:rPr>
          <w:bCs/>
          <w:sz w:val="22"/>
          <w:szCs w:val="22"/>
          <w:lang w:val="sr-Latn-ME"/>
        </w:rPr>
        <w:t>j</w:t>
      </w:r>
      <w:r w:rsidRPr="00EF52A6">
        <w:rPr>
          <w:bCs/>
          <w:sz w:val="22"/>
          <w:szCs w:val="22"/>
          <w:lang w:val="sr-Latn-ME"/>
        </w:rPr>
        <w:t>eseca. Medijana vremena od početka l</w:t>
      </w:r>
      <w:r w:rsidR="000F0647" w:rsidRPr="00EF52A6">
        <w:rPr>
          <w:bCs/>
          <w:sz w:val="22"/>
          <w:szCs w:val="22"/>
          <w:lang w:val="sr-Latn-ME"/>
        </w:rPr>
        <w:t>ij</w:t>
      </w:r>
      <w:r w:rsidRPr="00EF52A6">
        <w:rPr>
          <w:bCs/>
          <w:sz w:val="22"/>
          <w:szCs w:val="22"/>
          <w:lang w:val="sr-Latn-ME"/>
        </w:rPr>
        <w:t>ečenja do progresije bolesti tokom l</w:t>
      </w:r>
      <w:r w:rsidR="000F0647" w:rsidRPr="00EF52A6">
        <w:rPr>
          <w:bCs/>
          <w:sz w:val="22"/>
          <w:szCs w:val="22"/>
          <w:lang w:val="sr-Latn-ME"/>
        </w:rPr>
        <w:t>ij</w:t>
      </w:r>
      <w:r w:rsidRPr="00EF52A6">
        <w:rPr>
          <w:bCs/>
          <w:sz w:val="22"/>
          <w:szCs w:val="22"/>
          <w:lang w:val="sr-Latn-ME"/>
        </w:rPr>
        <w:t>ečenja nije postignuta.</w:t>
      </w:r>
    </w:p>
    <w:p w14:paraId="14858781" w14:textId="11D26F91"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U vr</w:t>
      </w:r>
      <w:r w:rsidR="000F0647" w:rsidRPr="00EF52A6">
        <w:rPr>
          <w:bCs/>
          <w:sz w:val="22"/>
          <w:szCs w:val="22"/>
          <w:lang w:val="sr-Latn-ME"/>
        </w:rPr>
        <w:t>ij</w:t>
      </w:r>
      <w:r w:rsidRPr="00EF52A6">
        <w:rPr>
          <w:bCs/>
          <w:sz w:val="22"/>
          <w:szCs w:val="22"/>
          <w:lang w:val="sr-Latn-ME"/>
        </w:rPr>
        <w:t>eme pres</w:t>
      </w:r>
      <w:r w:rsidR="00AA3B03" w:rsidRPr="00EF52A6">
        <w:rPr>
          <w:bCs/>
          <w:sz w:val="22"/>
          <w:szCs w:val="22"/>
          <w:lang w:val="sr-Latn-ME"/>
        </w:rPr>
        <w:t>j</w:t>
      </w:r>
      <w:r w:rsidRPr="00EF52A6">
        <w:rPr>
          <w:bCs/>
          <w:sz w:val="22"/>
          <w:szCs w:val="22"/>
          <w:lang w:val="sr-Latn-ME"/>
        </w:rPr>
        <w:t>eka podataka ili posl</w:t>
      </w:r>
      <w:r w:rsidR="000F0647" w:rsidRPr="00EF52A6">
        <w:rPr>
          <w:bCs/>
          <w:sz w:val="22"/>
          <w:szCs w:val="22"/>
          <w:lang w:val="sr-Latn-ME"/>
        </w:rPr>
        <w:t>j</w:t>
      </w:r>
      <w:r w:rsidRPr="00EF52A6">
        <w:rPr>
          <w:bCs/>
          <w:sz w:val="22"/>
          <w:szCs w:val="22"/>
          <w:lang w:val="sr-Latn-ME"/>
        </w:rPr>
        <w:t>ednjeg snimanja tokom terapije za pacijente koji su trajno prekinuli da primaju terapiju,</w:t>
      </w:r>
      <w:r w:rsidR="000F0647" w:rsidRPr="00EF52A6">
        <w:rPr>
          <w:bCs/>
          <w:sz w:val="22"/>
          <w:szCs w:val="22"/>
          <w:lang w:val="sr-Latn-ME"/>
        </w:rPr>
        <w:t xml:space="preserve"> </w:t>
      </w:r>
      <w:r w:rsidRPr="00EF52A6">
        <w:rPr>
          <w:bCs/>
          <w:sz w:val="22"/>
          <w:szCs w:val="22"/>
          <w:lang w:val="sr-Latn-ME"/>
        </w:rPr>
        <w:t>25 (50%) pacijenata je ostalo u potvrđenom d</w:t>
      </w:r>
      <w:r w:rsidR="00FC12B1" w:rsidRPr="00EF52A6">
        <w:rPr>
          <w:bCs/>
          <w:sz w:val="22"/>
          <w:szCs w:val="22"/>
          <w:lang w:val="sr-Latn-ME"/>
        </w:rPr>
        <w:t>j</w:t>
      </w:r>
      <w:r w:rsidRPr="00EF52A6">
        <w:rPr>
          <w:bCs/>
          <w:sz w:val="22"/>
          <w:szCs w:val="22"/>
          <w:lang w:val="sr-Latn-ME"/>
        </w:rPr>
        <w:t>elimičnom odgovoru, 1 (2%) je imao nepotvrđeni d</w:t>
      </w:r>
      <w:r w:rsidR="00FC12B1" w:rsidRPr="00EF52A6">
        <w:rPr>
          <w:bCs/>
          <w:sz w:val="22"/>
          <w:szCs w:val="22"/>
          <w:lang w:val="sr-Latn-ME"/>
        </w:rPr>
        <w:t>j</w:t>
      </w:r>
      <w:r w:rsidRPr="00EF52A6">
        <w:rPr>
          <w:bCs/>
          <w:sz w:val="22"/>
          <w:szCs w:val="22"/>
          <w:lang w:val="sr-Latn-ME"/>
        </w:rPr>
        <w:t>elimičan odgovor, 12 (24%) je imalo stabilnu bolest, a 10 (20%) je imalo progresivnu bolest.</w:t>
      </w:r>
    </w:p>
    <w:p w14:paraId="61AC168F" w14:textId="77777777" w:rsidR="009C5288" w:rsidRPr="00EF52A6" w:rsidRDefault="009C5288" w:rsidP="00DF11F1">
      <w:pPr>
        <w:tabs>
          <w:tab w:val="left" w:pos="540"/>
          <w:tab w:val="left" w:pos="569"/>
        </w:tabs>
        <w:jc w:val="both"/>
        <w:rPr>
          <w:bCs/>
          <w:sz w:val="22"/>
          <w:szCs w:val="22"/>
          <w:lang w:val="sr-Latn-ME"/>
        </w:rPr>
      </w:pPr>
    </w:p>
    <w:p w14:paraId="21EA5CB8"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Pedijatrijska populacija</w:t>
      </w:r>
    </w:p>
    <w:p w14:paraId="36F3C07B" w14:textId="78C38AD9"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Evropska agencija za l</w:t>
      </w:r>
      <w:r w:rsidR="000F0647" w:rsidRPr="00EF52A6">
        <w:rPr>
          <w:bCs/>
          <w:sz w:val="22"/>
          <w:szCs w:val="22"/>
          <w:lang w:val="sr-Latn-ME"/>
        </w:rPr>
        <w:t>j</w:t>
      </w:r>
      <w:r w:rsidRPr="00EF52A6">
        <w:rPr>
          <w:bCs/>
          <w:sz w:val="22"/>
          <w:szCs w:val="22"/>
          <w:lang w:val="sr-Latn-ME"/>
        </w:rPr>
        <w:t>ekove oslobodila je proizvođača obaveze da dostavi rezultate ispitivanja sa l</w:t>
      </w:r>
      <w:r w:rsidR="000F0647" w:rsidRPr="00EF52A6">
        <w:rPr>
          <w:bCs/>
          <w:sz w:val="22"/>
          <w:szCs w:val="22"/>
          <w:lang w:val="sr-Latn-ME"/>
        </w:rPr>
        <w:t>ij</w:t>
      </w:r>
      <w:r w:rsidRPr="00EF52A6">
        <w:rPr>
          <w:bCs/>
          <w:sz w:val="22"/>
          <w:szCs w:val="22"/>
          <w:lang w:val="sr-Latn-ME"/>
        </w:rPr>
        <w:t xml:space="preserve">ekom Koselugo za jednu ili više podgrupa pedijatrijske populacije </w:t>
      </w:r>
      <w:r w:rsidR="00FC12B1" w:rsidRPr="00EF52A6">
        <w:rPr>
          <w:bCs/>
          <w:sz w:val="22"/>
          <w:szCs w:val="22"/>
          <w:lang w:val="sr-Latn-ME"/>
        </w:rPr>
        <w:t xml:space="preserve">za liječenje PN povezanog sa </w:t>
      </w:r>
      <w:r w:rsidRPr="00EF52A6">
        <w:rPr>
          <w:bCs/>
          <w:sz w:val="22"/>
          <w:szCs w:val="22"/>
          <w:lang w:val="sr-Latn-ME"/>
        </w:rPr>
        <w:t>NF1 (vid</w:t>
      </w:r>
      <w:r w:rsidR="000F0647" w:rsidRPr="00EF52A6">
        <w:rPr>
          <w:bCs/>
          <w:sz w:val="22"/>
          <w:szCs w:val="22"/>
          <w:lang w:val="sr-Latn-ME"/>
        </w:rPr>
        <w:t>j</w:t>
      </w:r>
      <w:r w:rsidRPr="00EF52A6">
        <w:rPr>
          <w:bCs/>
          <w:sz w:val="22"/>
          <w:szCs w:val="22"/>
          <w:lang w:val="sr-Latn-ME"/>
        </w:rPr>
        <w:t xml:space="preserve">eti </w:t>
      </w:r>
      <w:r w:rsidR="000F0647" w:rsidRPr="00EF52A6">
        <w:rPr>
          <w:bCs/>
          <w:sz w:val="22"/>
          <w:szCs w:val="22"/>
          <w:lang w:val="sr-Latn-ME"/>
        </w:rPr>
        <w:t>dio</w:t>
      </w:r>
      <w:r w:rsidRPr="00EF52A6">
        <w:rPr>
          <w:bCs/>
          <w:sz w:val="22"/>
          <w:szCs w:val="22"/>
          <w:lang w:val="sr-Latn-ME"/>
        </w:rPr>
        <w:t xml:space="preserve"> 4.2</w:t>
      </w:r>
      <w:r w:rsidR="00FC12B1" w:rsidRPr="00EF52A6">
        <w:rPr>
          <w:bCs/>
          <w:sz w:val="22"/>
          <w:szCs w:val="22"/>
          <w:lang w:val="sr-Latn-ME"/>
        </w:rPr>
        <w:t>.</w:t>
      </w:r>
      <w:r w:rsidRPr="00EF52A6">
        <w:rPr>
          <w:bCs/>
          <w:sz w:val="22"/>
          <w:szCs w:val="22"/>
          <w:lang w:val="sr-Latn-ME"/>
        </w:rPr>
        <w:t xml:space="preserve"> za informacije o pedijatrijskoj prim</w:t>
      </w:r>
      <w:r w:rsidR="000F0647" w:rsidRPr="00EF52A6">
        <w:rPr>
          <w:bCs/>
          <w:sz w:val="22"/>
          <w:szCs w:val="22"/>
          <w:lang w:val="sr-Latn-ME"/>
        </w:rPr>
        <w:t>j</w:t>
      </w:r>
      <w:r w:rsidRPr="00EF52A6">
        <w:rPr>
          <w:bCs/>
          <w:sz w:val="22"/>
          <w:szCs w:val="22"/>
          <w:lang w:val="sr-Latn-ME"/>
        </w:rPr>
        <w:t>eni).</w:t>
      </w:r>
    </w:p>
    <w:p w14:paraId="402C0D05" w14:textId="77777777" w:rsidR="009C5288" w:rsidRPr="00EF52A6" w:rsidRDefault="009C5288" w:rsidP="00DF11F1">
      <w:pPr>
        <w:tabs>
          <w:tab w:val="left" w:pos="540"/>
          <w:tab w:val="left" w:pos="569"/>
        </w:tabs>
        <w:jc w:val="both"/>
        <w:rPr>
          <w:bCs/>
          <w:sz w:val="22"/>
          <w:szCs w:val="22"/>
          <w:lang w:val="sr-Latn-ME"/>
        </w:rPr>
      </w:pPr>
    </w:p>
    <w:p w14:paraId="74FC4697" w14:textId="5DFE95C6"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Ovaj l</w:t>
      </w:r>
      <w:r w:rsidR="000F0647" w:rsidRPr="00EF52A6">
        <w:rPr>
          <w:bCs/>
          <w:sz w:val="22"/>
          <w:szCs w:val="22"/>
          <w:lang w:val="sr-Latn-ME"/>
        </w:rPr>
        <w:t>ij</w:t>
      </w:r>
      <w:r w:rsidRPr="00EF52A6">
        <w:rPr>
          <w:bCs/>
          <w:sz w:val="22"/>
          <w:szCs w:val="22"/>
          <w:lang w:val="sr-Latn-ME"/>
        </w:rPr>
        <w:t xml:space="preserve">ek je odobren po šemi takozvanog </w:t>
      </w:r>
      <w:r w:rsidR="00FC12B1" w:rsidRPr="00EF52A6">
        <w:rPr>
          <w:bCs/>
          <w:sz w:val="22"/>
          <w:szCs w:val="22"/>
          <w:lang w:val="sr-Latn-ME"/>
        </w:rPr>
        <w:t>„</w:t>
      </w:r>
      <w:r w:rsidRPr="00EF52A6">
        <w:rPr>
          <w:bCs/>
          <w:sz w:val="22"/>
          <w:szCs w:val="22"/>
          <w:lang w:val="sr-Latn-ME"/>
        </w:rPr>
        <w:t>uslovnog odobrenja</w:t>
      </w:r>
      <w:r w:rsidR="00FC12B1" w:rsidRPr="00EF52A6">
        <w:rPr>
          <w:bCs/>
          <w:sz w:val="22"/>
          <w:szCs w:val="22"/>
          <w:lang w:val="sr-Latn-ME"/>
        </w:rPr>
        <w:t>“</w:t>
      </w:r>
      <w:r w:rsidRPr="00EF52A6">
        <w:rPr>
          <w:bCs/>
          <w:sz w:val="22"/>
          <w:szCs w:val="22"/>
          <w:lang w:val="sr-Latn-ME"/>
        </w:rPr>
        <w:t>. To znači da se očekuju dodatni podaci o ovom l</w:t>
      </w:r>
      <w:r w:rsidR="000F0647" w:rsidRPr="00EF52A6">
        <w:rPr>
          <w:bCs/>
          <w:sz w:val="22"/>
          <w:szCs w:val="22"/>
          <w:lang w:val="sr-Latn-ME"/>
        </w:rPr>
        <w:t>ij</w:t>
      </w:r>
      <w:r w:rsidRPr="00EF52A6">
        <w:rPr>
          <w:bCs/>
          <w:sz w:val="22"/>
          <w:szCs w:val="22"/>
          <w:lang w:val="sr-Latn-ME"/>
        </w:rPr>
        <w:t>eku. Evropska agencija za l</w:t>
      </w:r>
      <w:r w:rsidR="000F0647" w:rsidRPr="00EF52A6">
        <w:rPr>
          <w:bCs/>
          <w:sz w:val="22"/>
          <w:szCs w:val="22"/>
          <w:lang w:val="sr-Latn-ME"/>
        </w:rPr>
        <w:t>j</w:t>
      </w:r>
      <w:r w:rsidRPr="00EF52A6">
        <w:rPr>
          <w:bCs/>
          <w:sz w:val="22"/>
          <w:szCs w:val="22"/>
          <w:lang w:val="sr-Latn-ME"/>
        </w:rPr>
        <w:t>ekove pregledaće nove informacije o ovom l</w:t>
      </w:r>
      <w:r w:rsidR="000F0647" w:rsidRPr="00EF52A6">
        <w:rPr>
          <w:bCs/>
          <w:sz w:val="22"/>
          <w:szCs w:val="22"/>
          <w:lang w:val="sr-Latn-ME"/>
        </w:rPr>
        <w:t>ij</w:t>
      </w:r>
      <w:r w:rsidRPr="00EF52A6">
        <w:rPr>
          <w:bCs/>
          <w:sz w:val="22"/>
          <w:szCs w:val="22"/>
          <w:lang w:val="sr-Latn-ME"/>
        </w:rPr>
        <w:t>eku najmanje jednom godišnje</w:t>
      </w:r>
      <w:r w:rsidR="00FC12B1" w:rsidRPr="00EF52A6">
        <w:rPr>
          <w:bCs/>
          <w:sz w:val="22"/>
          <w:szCs w:val="22"/>
          <w:lang w:val="sr-Latn-ME"/>
        </w:rPr>
        <w:t>, pa će tekst sažetka karakteristika lijeka</w:t>
      </w:r>
      <w:r w:rsidRPr="00EF52A6">
        <w:rPr>
          <w:bCs/>
          <w:sz w:val="22"/>
          <w:szCs w:val="22"/>
          <w:lang w:val="sr-Latn-ME"/>
        </w:rPr>
        <w:t xml:space="preserve"> biti ažuriran po potrebi.</w:t>
      </w:r>
    </w:p>
    <w:p w14:paraId="553028B7" w14:textId="77777777" w:rsidR="002E37A5" w:rsidRPr="00EF52A6" w:rsidRDefault="002E37A5" w:rsidP="00480FB1">
      <w:pPr>
        <w:tabs>
          <w:tab w:val="left" w:pos="540"/>
          <w:tab w:val="left" w:pos="569"/>
        </w:tabs>
        <w:rPr>
          <w:b/>
          <w:bCs/>
          <w:sz w:val="22"/>
          <w:szCs w:val="22"/>
          <w:lang w:val="sr-Latn-ME"/>
        </w:rPr>
      </w:pPr>
    </w:p>
    <w:p w14:paraId="3396D657"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5.2. </w:t>
      </w:r>
      <w:r w:rsidR="00480FB1" w:rsidRPr="00EF52A6">
        <w:rPr>
          <w:b/>
          <w:bCs/>
          <w:sz w:val="22"/>
          <w:szCs w:val="22"/>
          <w:lang w:val="sr-Latn-ME"/>
        </w:rPr>
        <w:tab/>
      </w:r>
      <w:r w:rsidRPr="00EF52A6">
        <w:rPr>
          <w:b/>
          <w:bCs/>
          <w:sz w:val="22"/>
          <w:szCs w:val="22"/>
          <w:lang w:val="sr-Latn-ME"/>
        </w:rPr>
        <w:t>Farmakokinetički podaci</w:t>
      </w:r>
      <w:r w:rsidR="003A7059" w:rsidRPr="00EF52A6">
        <w:rPr>
          <w:b/>
          <w:bCs/>
          <w:sz w:val="22"/>
          <w:szCs w:val="22"/>
          <w:lang w:val="sr-Latn-ME"/>
        </w:rPr>
        <w:t xml:space="preserve"> </w:t>
      </w:r>
    </w:p>
    <w:p w14:paraId="3CA983A0" w14:textId="77777777" w:rsidR="0072020E" w:rsidRPr="00EF52A6" w:rsidRDefault="0072020E" w:rsidP="00480FB1">
      <w:pPr>
        <w:tabs>
          <w:tab w:val="left" w:pos="540"/>
          <w:tab w:val="left" w:pos="569"/>
        </w:tabs>
        <w:rPr>
          <w:bCs/>
          <w:sz w:val="22"/>
          <w:szCs w:val="22"/>
          <w:lang w:val="sr-Latn-ME"/>
        </w:rPr>
      </w:pPr>
    </w:p>
    <w:p w14:paraId="3E2634D5" w14:textId="2FB8F677"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Kod prim</w:t>
      </w:r>
      <w:r w:rsidR="000F0647" w:rsidRPr="00EF52A6">
        <w:rPr>
          <w:bCs/>
          <w:sz w:val="22"/>
          <w:szCs w:val="22"/>
          <w:lang w:val="sr-Latn-ME"/>
        </w:rPr>
        <w:t>j</w:t>
      </w:r>
      <w:r w:rsidRPr="00EF52A6">
        <w:rPr>
          <w:bCs/>
          <w:sz w:val="22"/>
          <w:szCs w:val="22"/>
          <w:lang w:val="sr-Latn-ME"/>
        </w:rPr>
        <w:t>ene preporučene doze od 25 mg/m</w:t>
      </w:r>
      <w:r w:rsidRPr="00EF52A6">
        <w:rPr>
          <w:bCs/>
          <w:sz w:val="22"/>
          <w:szCs w:val="22"/>
          <w:vertAlign w:val="superscript"/>
          <w:lang w:val="sr-Latn-ME"/>
        </w:rPr>
        <w:t>2</w:t>
      </w:r>
      <w:r w:rsidRPr="00EF52A6">
        <w:rPr>
          <w:bCs/>
          <w:sz w:val="22"/>
          <w:szCs w:val="22"/>
          <w:lang w:val="sr-Latn-ME"/>
        </w:rPr>
        <w:t xml:space="preserve"> dva</w:t>
      </w:r>
      <w:r w:rsidR="00B07325" w:rsidRPr="00EF52A6">
        <w:rPr>
          <w:bCs/>
          <w:sz w:val="22"/>
          <w:szCs w:val="22"/>
          <w:lang w:val="sr-Latn-ME"/>
        </w:rPr>
        <w:t xml:space="preserve"> </w:t>
      </w:r>
      <w:r w:rsidRPr="00EF52A6">
        <w:rPr>
          <w:bCs/>
          <w:sz w:val="22"/>
          <w:szCs w:val="22"/>
          <w:lang w:val="sr-Latn-ME"/>
        </w:rPr>
        <w:t>put</w:t>
      </w:r>
      <w:r w:rsidR="00B07325" w:rsidRPr="00EF52A6">
        <w:rPr>
          <w:bCs/>
          <w:sz w:val="22"/>
          <w:szCs w:val="22"/>
          <w:lang w:val="sr-Latn-ME"/>
        </w:rPr>
        <w:t>a</w:t>
      </w:r>
      <w:r w:rsidRPr="00EF52A6">
        <w:rPr>
          <w:bCs/>
          <w:sz w:val="22"/>
          <w:szCs w:val="22"/>
          <w:lang w:val="sr-Latn-ME"/>
        </w:rPr>
        <w:t xml:space="preserve"> dnevno kod pedijatrijskih pacijenata (u uzrastu od 3 do ≤ 18 godina), geometrijska srednja vr</w:t>
      </w:r>
      <w:r w:rsidR="000F0647" w:rsidRPr="00EF52A6">
        <w:rPr>
          <w:bCs/>
          <w:sz w:val="22"/>
          <w:szCs w:val="22"/>
          <w:lang w:val="sr-Latn-ME"/>
        </w:rPr>
        <w:t>ij</w:t>
      </w:r>
      <w:r w:rsidRPr="00EF52A6">
        <w:rPr>
          <w:bCs/>
          <w:sz w:val="22"/>
          <w:szCs w:val="22"/>
          <w:lang w:val="sr-Latn-ME"/>
        </w:rPr>
        <w:t>ednost (koeficijent varijacije [CV%]) maksimalne koncentracije (C</w:t>
      </w:r>
      <w:r w:rsidRPr="00EF52A6">
        <w:rPr>
          <w:bCs/>
          <w:sz w:val="22"/>
          <w:szCs w:val="22"/>
          <w:vertAlign w:val="subscript"/>
          <w:lang w:val="sr-Latn-ME"/>
        </w:rPr>
        <w:t>max</w:t>
      </w:r>
      <w:r w:rsidRPr="00EF52A6">
        <w:rPr>
          <w:bCs/>
          <w:sz w:val="22"/>
          <w:szCs w:val="22"/>
          <w:lang w:val="sr-Latn-ME"/>
        </w:rPr>
        <w:t>) l</w:t>
      </w:r>
      <w:r w:rsidR="000F0647" w:rsidRPr="00EF52A6">
        <w:rPr>
          <w:bCs/>
          <w:sz w:val="22"/>
          <w:szCs w:val="22"/>
          <w:lang w:val="sr-Latn-ME"/>
        </w:rPr>
        <w:t>ij</w:t>
      </w:r>
      <w:r w:rsidRPr="00EF52A6">
        <w:rPr>
          <w:bCs/>
          <w:sz w:val="22"/>
          <w:szCs w:val="22"/>
          <w:lang w:val="sr-Latn-ME"/>
        </w:rPr>
        <w:t>eka u plazmi iznosila je</w:t>
      </w:r>
      <w:r w:rsidR="000F0647" w:rsidRPr="00EF52A6">
        <w:rPr>
          <w:bCs/>
          <w:sz w:val="22"/>
          <w:szCs w:val="22"/>
          <w:lang w:val="sr-Latn-ME"/>
        </w:rPr>
        <w:t xml:space="preserve"> </w:t>
      </w:r>
      <w:r w:rsidRPr="00EF52A6">
        <w:rPr>
          <w:bCs/>
          <w:sz w:val="22"/>
          <w:szCs w:val="22"/>
          <w:lang w:val="sr-Latn-ME"/>
        </w:rPr>
        <w:t>731 (62%) ng/ml, dok je geometrijska srednja vr</w:t>
      </w:r>
      <w:r w:rsidR="000F0647" w:rsidRPr="00EF52A6">
        <w:rPr>
          <w:bCs/>
          <w:sz w:val="22"/>
          <w:szCs w:val="22"/>
          <w:lang w:val="sr-Latn-ME"/>
        </w:rPr>
        <w:t>ij</w:t>
      </w:r>
      <w:r w:rsidRPr="00EF52A6">
        <w:rPr>
          <w:bCs/>
          <w:sz w:val="22"/>
          <w:szCs w:val="22"/>
          <w:lang w:val="sr-Latn-ME"/>
        </w:rPr>
        <w:t>ednost (CV%) površine ispod krive koncentracije l</w:t>
      </w:r>
      <w:r w:rsidR="000F0647" w:rsidRPr="00EF52A6">
        <w:rPr>
          <w:bCs/>
          <w:sz w:val="22"/>
          <w:szCs w:val="22"/>
          <w:lang w:val="sr-Latn-ME"/>
        </w:rPr>
        <w:t>ij</w:t>
      </w:r>
      <w:r w:rsidRPr="00EF52A6">
        <w:rPr>
          <w:bCs/>
          <w:sz w:val="22"/>
          <w:szCs w:val="22"/>
          <w:lang w:val="sr-Latn-ME"/>
        </w:rPr>
        <w:t>eka u plazmi (AUC</w:t>
      </w:r>
      <w:r w:rsidRPr="00EF52A6">
        <w:rPr>
          <w:bCs/>
          <w:sz w:val="22"/>
          <w:szCs w:val="22"/>
          <w:vertAlign w:val="subscript"/>
          <w:lang w:val="sr-Latn-ME"/>
        </w:rPr>
        <w:t>0-12</w:t>
      </w:r>
      <w:r w:rsidRPr="00EF52A6">
        <w:rPr>
          <w:bCs/>
          <w:sz w:val="22"/>
          <w:szCs w:val="22"/>
          <w:lang w:val="sr-Latn-ME"/>
        </w:rPr>
        <w:t>) nakon prim</w:t>
      </w:r>
      <w:r w:rsidR="000F0647" w:rsidRPr="00EF52A6">
        <w:rPr>
          <w:bCs/>
          <w:sz w:val="22"/>
          <w:szCs w:val="22"/>
          <w:lang w:val="sr-Latn-ME"/>
        </w:rPr>
        <w:t>j</w:t>
      </w:r>
      <w:r w:rsidRPr="00EF52A6">
        <w:rPr>
          <w:bCs/>
          <w:sz w:val="22"/>
          <w:szCs w:val="22"/>
          <w:lang w:val="sr-Latn-ME"/>
        </w:rPr>
        <w:t>ene prve doze iznosila 2009 (35%) ng·h/ml. Nakon prim</w:t>
      </w:r>
      <w:r w:rsidR="000F0647" w:rsidRPr="00EF52A6">
        <w:rPr>
          <w:bCs/>
          <w:sz w:val="22"/>
          <w:szCs w:val="22"/>
          <w:lang w:val="sr-Latn-ME"/>
        </w:rPr>
        <w:t>j</w:t>
      </w:r>
      <w:r w:rsidRPr="00EF52A6">
        <w:rPr>
          <w:bCs/>
          <w:sz w:val="22"/>
          <w:szCs w:val="22"/>
          <w:lang w:val="sr-Latn-ME"/>
        </w:rPr>
        <w:t>ene dva puta dnevno u stanju dinamičke ravnoteže zab</w:t>
      </w:r>
      <w:r w:rsidR="000F0647" w:rsidRPr="00EF52A6">
        <w:rPr>
          <w:bCs/>
          <w:sz w:val="22"/>
          <w:szCs w:val="22"/>
          <w:lang w:val="sr-Latn-ME"/>
        </w:rPr>
        <w:t>ilj</w:t>
      </w:r>
      <w:r w:rsidRPr="00EF52A6">
        <w:rPr>
          <w:bCs/>
          <w:sz w:val="22"/>
          <w:szCs w:val="22"/>
          <w:lang w:val="sr-Latn-ME"/>
        </w:rPr>
        <w:t>ežena je minimalna akumulacija od ~1,1 put</w:t>
      </w:r>
      <w:r w:rsidR="00B07325" w:rsidRPr="00EF52A6">
        <w:rPr>
          <w:bCs/>
          <w:sz w:val="22"/>
          <w:szCs w:val="22"/>
          <w:lang w:val="sr-Latn-ME"/>
        </w:rPr>
        <w:t>a</w:t>
      </w:r>
      <w:r w:rsidRPr="00EF52A6">
        <w:rPr>
          <w:bCs/>
          <w:sz w:val="22"/>
          <w:szCs w:val="22"/>
          <w:lang w:val="sr-Latn-ME"/>
        </w:rPr>
        <w:t>.</w:t>
      </w:r>
    </w:p>
    <w:p w14:paraId="5AC5A9AB" w14:textId="77777777" w:rsidR="009C5288" w:rsidRPr="00EF52A6" w:rsidRDefault="009C5288" w:rsidP="00DF11F1">
      <w:pPr>
        <w:tabs>
          <w:tab w:val="left" w:pos="540"/>
          <w:tab w:val="left" w:pos="569"/>
        </w:tabs>
        <w:jc w:val="both"/>
        <w:rPr>
          <w:bCs/>
          <w:sz w:val="22"/>
          <w:szCs w:val="22"/>
          <w:lang w:val="sr-Latn-ME"/>
        </w:rPr>
      </w:pPr>
    </w:p>
    <w:p w14:paraId="352F2AFD" w14:textId="62889C94"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Kod pedijatrijskih pacijenata pri nivou doze od 25 mg/m</w:t>
      </w:r>
      <w:r w:rsidRPr="00EF52A6">
        <w:rPr>
          <w:bCs/>
          <w:sz w:val="22"/>
          <w:szCs w:val="22"/>
          <w:vertAlign w:val="superscript"/>
          <w:lang w:val="sr-Latn-ME"/>
        </w:rPr>
        <w:t>2</w:t>
      </w:r>
      <w:r w:rsidRPr="00EF52A6">
        <w:rPr>
          <w:bCs/>
          <w:sz w:val="22"/>
          <w:szCs w:val="22"/>
          <w:lang w:val="sr-Latn-ME"/>
        </w:rPr>
        <w:t>, prividni klirens selumetiniba nakon peroralne prim</w:t>
      </w:r>
      <w:r w:rsidR="000F0647" w:rsidRPr="00EF52A6">
        <w:rPr>
          <w:bCs/>
          <w:sz w:val="22"/>
          <w:szCs w:val="22"/>
          <w:lang w:val="sr-Latn-ME"/>
        </w:rPr>
        <w:t>j</w:t>
      </w:r>
      <w:r w:rsidRPr="00EF52A6">
        <w:rPr>
          <w:bCs/>
          <w:sz w:val="22"/>
          <w:szCs w:val="22"/>
          <w:lang w:val="sr-Latn-ME"/>
        </w:rPr>
        <w:t>ene iznosi</w:t>
      </w:r>
      <w:r w:rsidR="000F0647" w:rsidRPr="00EF52A6">
        <w:rPr>
          <w:bCs/>
          <w:sz w:val="22"/>
          <w:szCs w:val="22"/>
          <w:lang w:val="sr-Latn-ME"/>
        </w:rPr>
        <w:t xml:space="preserve"> </w:t>
      </w:r>
      <w:r w:rsidRPr="00EF52A6">
        <w:rPr>
          <w:bCs/>
          <w:sz w:val="22"/>
          <w:szCs w:val="22"/>
          <w:lang w:val="sr-Latn-ME"/>
        </w:rPr>
        <w:t>8,8 l/h, srednja vr</w:t>
      </w:r>
      <w:r w:rsidR="000F0647" w:rsidRPr="00EF52A6">
        <w:rPr>
          <w:bCs/>
          <w:sz w:val="22"/>
          <w:szCs w:val="22"/>
          <w:lang w:val="sr-Latn-ME"/>
        </w:rPr>
        <w:t>ij</w:t>
      </w:r>
      <w:r w:rsidRPr="00EF52A6">
        <w:rPr>
          <w:bCs/>
          <w:sz w:val="22"/>
          <w:szCs w:val="22"/>
          <w:lang w:val="sr-Latn-ME"/>
        </w:rPr>
        <w:t>ednost prividnog volumena distribucije u stanju dinamičke ravnoteže 78 l, a srednja vr</w:t>
      </w:r>
      <w:r w:rsidR="000F0647" w:rsidRPr="00EF52A6">
        <w:rPr>
          <w:bCs/>
          <w:sz w:val="22"/>
          <w:szCs w:val="22"/>
          <w:lang w:val="sr-Latn-ME"/>
        </w:rPr>
        <w:t>ij</w:t>
      </w:r>
      <w:r w:rsidRPr="00EF52A6">
        <w:rPr>
          <w:bCs/>
          <w:sz w:val="22"/>
          <w:szCs w:val="22"/>
          <w:lang w:val="sr-Latn-ME"/>
        </w:rPr>
        <w:t>ednost poluvremena eliminacije</w:t>
      </w:r>
      <w:r w:rsidR="000F0647" w:rsidRPr="00EF52A6">
        <w:rPr>
          <w:bCs/>
          <w:sz w:val="22"/>
          <w:szCs w:val="22"/>
          <w:lang w:val="sr-Latn-ME"/>
        </w:rPr>
        <w:t xml:space="preserve"> </w:t>
      </w:r>
      <w:r w:rsidRPr="00EF52A6">
        <w:rPr>
          <w:bCs/>
          <w:sz w:val="22"/>
          <w:szCs w:val="22"/>
          <w:lang w:val="sr-Latn-ME"/>
        </w:rPr>
        <w:t>~6,2 sata.</w:t>
      </w:r>
    </w:p>
    <w:p w14:paraId="6D90E993" w14:textId="77777777" w:rsidR="009C5288" w:rsidRPr="00EF52A6" w:rsidRDefault="009C5288" w:rsidP="00DF11F1">
      <w:pPr>
        <w:tabs>
          <w:tab w:val="left" w:pos="540"/>
          <w:tab w:val="left" w:pos="569"/>
        </w:tabs>
        <w:jc w:val="both"/>
        <w:rPr>
          <w:bCs/>
          <w:sz w:val="22"/>
          <w:szCs w:val="22"/>
          <w:lang w:val="sr-Latn-ME"/>
        </w:rPr>
      </w:pPr>
    </w:p>
    <w:p w14:paraId="6B5D990C"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Resorpcija</w:t>
      </w:r>
    </w:p>
    <w:p w14:paraId="00C549E3" w14:textId="0AC4C079"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Kod zdravih odraslih pacijenata srednja vr</w:t>
      </w:r>
      <w:r w:rsidR="000F0647" w:rsidRPr="00EF52A6">
        <w:rPr>
          <w:bCs/>
          <w:sz w:val="22"/>
          <w:szCs w:val="22"/>
          <w:lang w:val="sr-Latn-ME"/>
        </w:rPr>
        <w:t>ij</w:t>
      </w:r>
      <w:r w:rsidRPr="00EF52A6">
        <w:rPr>
          <w:bCs/>
          <w:sz w:val="22"/>
          <w:szCs w:val="22"/>
          <w:lang w:val="sr-Latn-ME"/>
        </w:rPr>
        <w:t>ednost apsolutne bioraspoloživosti selumetiniba nakon peroralne prim</w:t>
      </w:r>
      <w:r w:rsidR="000F0647" w:rsidRPr="00EF52A6">
        <w:rPr>
          <w:bCs/>
          <w:sz w:val="22"/>
          <w:szCs w:val="22"/>
          <w:lang w:val="sr-Latn-ME"/>
        </w:rPr>
        <w:t>j</w:t>
      </w:r>
      <w:r w:rsidRPr="00EF52A6">
        <w:rPr>
          <w:bCs/>
          <w:sz w:val="22"/>
          <w:szCs w:val="22"/>
          <w:lang w:val="sr-Latn-ME"/>
        </w:rPr>
        <w:t>ene iznosila je 62%. Nakon peroralne prim</w:t>
      </w:r>
      <w:r w:rsidR="000F0647" w:rsidRPr="00EF52A6">
        <w:rPr>
          <w:bCs/>
          <w:sz w:val="22"/>
          <w:szCs w:val="22"/>
          <w:lang w:val="sr-Latn-ME"/>
        </w:rPr>
        <w:t>j</w:t>
      </w:r>
      <w:r w:rsidRPr="00EF52A6">
        <w:rPr>
          <w:bCs/>
          <w:sz w:val="22"/>
          <w:szCs w:val="22"/>
          <w:lang w:val="sr-Latn-ME"/>
        </w:rPr>
        <w:t>ene selumetinib se brzo resorbuje i doseže vršne koncentracije u plazmi u stanju dinamičke ravnoteže (t</w:t>
      </w:r>
      <w:r w:rsidRPr="00EF52A6">
        <w:rPr>
          <w:bCs/>
          <w:sz w:val="22"/>
          <w:szCs w:val="22"/>
          <w:vertAlign w:val="subscript"/>
          <w:lang w:val="sr-Latn-ME"/>
        </w:rPr>
        <w:t>max</w:t>
      </w:r>
      <w:r w:rsidRPr="00EF52A6">
        <w:rPr>
          <w:bCs/>
          <w:sz w:val="22"/>
          <w:szCs w:val="22"/>
          <w:lang w:val="sr-Latn-ME"/>
        </w:rPr>
        <w:t>) 1</w:t>
      </w:r>
      <w:r w:rsidR="00B07325" w:rsidRPr="00EF52A6">
        <w:rPr>
          <w:bCs/>
          <w:sz w:val="22"/>
          <w:szCs w:val="22"/>
          <w:lang w:val="sr-Latn-ME"/>
        </w:rPr>
        <w:t xml:space="preserve"> – </w:t>
      </w:r>
      <w:r w:rsidRPr="00EF52A6">
        <w:rPr>
          <w:bCs/>
          <w:sz w:val="22"/>
          <w:szCs w:val="22"/>
          <w:lang w:val="sr-Latn-ME"/>
        </w:rPr>
        <w:t>1,5 sati nakon prim</w:t>
      </w:r>
      <w:r w:rsidR="000F0647" w:rsidRPr="00EF52A6">
        <w:rPr>
          <w:bCs/>
          <w:sz w:val="22"/>
          <w:szCs w:val="22"/>
          <w:lang w:val="sr-Latn-ME"/>
        </w:rPr>
        <w:t>j</w:t>
      </w:r>
      <w:r w:rsidRPr="00EF52A6">
        <w:rPr>
          <w:bCs/>
          <w:sz w:val="22"/>
          <w:szCs w:val="22"/>
          <w:lang w:val="sr-Latn-ME"/>
        </w:rPr>
        <w:t>ene doze.</w:t>
      </w:r>
    </w:p>
    <w:p w14:paraId="2BB04BEE" w14:textId="77777777" w:rsidR="009C5288" w:rsidRPr="00EF52A6" w:rsidRDefault="009C5288" w:rsidP="00DF11F1">
      <w:pPr>
        <w:tabs>
          <w:tab w:val="left" w:pos="540"/>
          <w:tab w:val="left" w:pos="569"/>
        </w:tabs>
        <w:jc w:val="both"/>
        <w:rPr>
          <w:bCs/>
          <w:sz w:val="22"/>
          <w:szCs w:val="22"/>
          <w:lang w:val="sr-Latn-ME"/>
        </w:rPr>
      </w:pPr>
    </w:p>
    <w:p w14:paraId="255DA15C" w14:textId="77777777" w:rsidR="009C5288" w:rsidRPr="00EF52A6" w:rsidRDefault="009C5288" w:rsidP="00DF11F1">
      <w:pPr>
        <w:tabs>
          <w:tab w:val="left" w:pos="540"/>
          <w:tab w:val="left" w:pos="569"/>
        </w:tabs>
        <w:jc w:val="both"/>
        <w:rPr>
          <w:bCs/>
          <w:i/>
          <w:sz w:val="22"/>
          <w:szCs w:val="22"/>
          <w:lang w:val="sr-Latn-ME"/>
        </w:rPr>
      </w:pPr>
      <w:r w:rsidRPr="00EF52A6">
        <w:rPr>
          <w:bCs/>
          <w:i/>
          <w:iCs/>
          <w:sz w:val="22"/>
          <w:szCs w:val="22"/>
          <w:u w:val="single"/>
          <w:lang w:val="sr-Latn-ME"/>
        </w:rPr>
        <w:t>Dejstvo hrane</w:t>
      </w:r>
    </w:p>
    <w:p w14:paraId="140418BC" w14:textId="475BB2AE"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U posebnim kliničkim ispitivanjima sprovedenim kod zdravih odraslih ispitanika i odraslih pacijenata sa uznapredovalim solidnim malignitetima koji su primali dozu od 75 mg</w:t>
      </w:r>
      <w:r w:rsidR="00221CAA" w:rsidRPr="00EF52A6">
        <w:rPr>
          <w:bCs/>
          <w:sz w:val="22"/>
          <w:szCs w:val="22"/>
          <w:lang w:val="sr-Latn-ME"/>
        </w:rPr>
        <w:t>,</w:t>
      </w:r>
      <w:r w:rsidRPr="00EF52A6">
        <w:rPr>
          <w:bCs/>
          <w:sz w:val="22"/>
          <w:szCs w:val="22"/>
          <w:lang w:val="sr-Latn-ME"/>
        </w:rPr>
        <w:t xml:space="preserve"> prim</w:t>
      </w:r>
      <w:r w:rsidR="00221CAA" w:rsidRPr="00EF52A6">
        <w:rPr>
          <w:bCs/>
          <w:sz w:val="22"/>
          <w:szCs w:val="22"/>
          <w:lang w:val="sr-Latn-ME"/>
        </w:rPr>
        <w:t>j</w:t>
      </w:r>
      <w:r w:rsidRPr="00EF52A6">
        <w:rPr>
          <w:bCs/>
          <w:sz w:val="22"/>
          <w:szCs w:val="22"/>
          <w:lang w:val="sr-Latn-ME"/>
        </w:rPr>
        <w:t>ena selumetiniba uz obrok sa visokim ud</w:t>
      </w:r>
      <w:r w:rsidR="000F0647" w:rsidRPr="00EF52A6">
        <w:rPr>
          <w:bCs/>
          <w:sz w:val="22"/>
          <w:szCs w:val="22"/>
          <w:lang w:val="sr-Latn-ME"/>
        </w:rPr>
        <w:t>j</w:t>
      </w:r>
      <w:r w:rsidRPr="00EF52A6">
        <w:rPr>
          <w:bCs/>
          <w:sz w:val="22"/>
          <w:szCs w:val="22"/>
          <w:lang w:val="sr-Latn-ME"/>
        </w:rPr>
        <w:t>elom masti dovela je do srednje vr</w:t>
      </w:r>
      <w:r w:rsidR="000F0647" w:rsidRPr="00EF52A6">
        <w:rPr>
          <w:bCs/>
          <w:sz w:val="22"/>
          <w:szCs w:val="22"/>
          <w:lang w:val="sr-Latn-ME"/>
        </w:rPr>
        <w:t>ij</w:t>
      </w:r>
      <w:r w:rsidRPr="00EF52A6">
        <w:rPr>
          <w:bCs/>
          <w:sz w:val="22"/>
          <w:szCs w:val="22"/>
          <w:lang w:val="sr-Latn-ME"/>
        </w:rPr>
        <w:t>ednosti smanjenja C</w:t>
      </w:r>
      <w:r w:rsidRPr="00EF52A6">
        <w:rPr>
          <w:bCs/>
          <w:sz w:val="22"/>
          <w:szCs w:val="22"/>
          <w:vertAlign w:val="subscript"/>
          <w:lang w:val="sr-Latn-ME"/>
        </w:rPr>
        <w:t>max</w:t>
      </w:r>
      <w:r w:rsidRPr="00EF52A6">
        <w:rPr>
          <w:bCs/>
          <w:sz w:val="22"/>
          <w:szCs w:val="22"/>
          <w:lang w:val="sr-Latn-ME"/>
        </w:rPr>
        <w:t xml:space="preserve"> za 50% odnosno 62% u poređenju sa prim</w:t>
      </w:r>
      <w:r w:rsidR="000F0647" w:rsidRPr="00EF52A6">
        <w:rPr>
          <w:bCs/>
          <w:sz w:val="22"/>
          <w:szCs w:val="22"/>
          <w:lang w:val="sr-Latn-ME"/>
        </w:rPr>
        <w:t>j</w:t>
      </w:r>
      <w:r w:rsidRPr="00EF52A6">
        <w:rPr>
          <w:bCs/>
          <w:sz w:val="22"/>
          <w:szCs w:val="22"/>
          <w:lang w:val="sr-Latn-ME"/>
        </w:rPr>
        <w:t>enom natašte. Srednja vr</w:t>
      </w:r>
      <w:r w:rsidR="000F0647" w:rsidRPr="00EF52A6">
        <w:rPr>
          <w:bCs/>
          <w:sz w:val="22"/>
          <w:szCs w:val="22"/>
          <w:lang w:val="sr-Latn-ME"/>
        </w:rPr>
        <w:t>ij</w:t>
      </w:r>
      <w:r w:rsidRPr="00EF52A6">
        <w:rPr>
          <w:bCs/>
          <w:sz w:val="22"/>
          <w:szCs w:val="22"/>
          <w:lang w:val="sr-Latn-ME"/>
        </w:rPr>
        <w:t>ednost AUC selumetiniba smanjila se za 16% odnosno 19%, dok se vr</w:t>
      </w:r>
      <w:r w:rsidR="000F0647" w:rsidRPr="00EF52A6">
        <w:rPr>
          <w:bCs/>
          <w:sz w:val="22"/>
          <w:szCs w:val="22"/>
          <w:lang w:val="sr-Latn-ME"/>
        </w:rPr>
        <w:t>ij</w:t>
      </w:r>
      <w:r w:rsidRPr="00EF52A6">
        <w:rPr>
          <w:bCs/>
          <w:sz w:val="22"/>
          <w:szCs w:val="22"/>
          <w:lang w:val="sr-Latn-ME"/>
        </w:rPr>
        <w:t>eme do postizanja maksimalne koncentracije (t</w:t>
      </w:r>
      <w:r w:rsidRPr="00EF52A6">
        <w:rPr>
          <w:bCs/>
          <w:sz w:val="22"/>
          <w:szCs w:val="22"/>
          <w:vertAlign w:val="subscript"/>
          <w:lang w:val="sr-Latn-ME"/>
        </w:rPr>
        <w:t>max</w:t>
      </w:r>
      <w:r w:rsidRPr="00EF52A6">
        <w:rPr>
          <w:bCs/>
          <w:sz w:val="22"/>
          <w:szCs w:val="22"/>
          <w:lang w:val="sr-Latn-ME"/>
        </w:rPr>
        <w:t>) produžilo za približno 1,5</w:t>
      </w:r>
      <w:r w:rsidR="00221CAA" w:rsidRPr="00EF52A6">
        <w:rPr>
          <w:bCs/>
          <w:sz w:val="22"/>
          <w:szCs w:val="22"/>
          <w:lang w:val="sr-Latn-ME"/>
        </w:rPr>
        <w:t xml:space="preserve"> </w:t>
      </w:r>
      <w:r w:rsidRPr="00EF52A6">
        <w:rPr>
          <w:bCs/>
          <w:sz w:val="22"/>
          <w:szCs w:val="22"/>
          <w:lang w:val="sr-Latn-ME"/>
        </w:rPr>
        <w:t>–</w:t>
      </w:r>
      <w:r w:rsidR="00221CAA" w:rsidRPr="00EF52A6">
        <w:rPr>
          <w:bCs/>
          <w:sz w:val="22"/>
          <w:szCs w:val="22"/>
          <w:lang w:val="sr-Latn-ME"/>
        </w:rPr>
        <w:t xml:space="preserve"> </w:t>
      </w:r>
      <w:r w:rsidRPr="00EF52A6">
        <w:rPr>
          <w:bCs/>
          <w:sz w:val="22"/>
          <w:szCs w:val="22"/>
          <w:lang w:val="sr-Latn-ME"/>
        </w:rPr>
        <w:t>3 sata (vid</w:t>
      </w:r>
      <w:r w:rsidR="000F0647" w:rsidRPr="00EF52A6">
        <w:rPr>
          <w:bCs/>
          <w:sz w:val="22"/>
          <w:szCs w:val="22"/>
          <w:lang w:val="sr-Latn-ME"/>
        </w:rPr>
        <w:t>j</w:t>
      </w:r>
      <w:r w:rsidRPr="00EF52A6">
        <w:rPr>
          <w:bCs/>
          <w:sz w:val="22"/>
          <w:szCs w:val="22"/>
          <w:lang w:val="sr-Latn-ME"/>
        </w:rPr>
        <w:t xml:space="preserve">eti </w:t>
      </w:r>
      <w:r w:rsidR="000F0647" w:rsidRPr="00EF52A6">
        <w:rPr>
          <w:bCs/>
          <w:sz w:val="22"/>
          <w:szCs w:val="22"/>
          <w:lang w:val="sr-Latn-ME"/>
        </w:rPr>
        <w:t>dio</w:t>
      </w:r>
      <w:r w:rsidRPr="00EF52A6">
        <w:rPr>
          <w:bCs/>
          <w:sz w:val="22"/>
          <w:szCs w:val="22"/>
          <w:lang w:val="sr-Latn-ME"/>
        </w:rPr>
        <w:t xml:space="preserve"> 4.2).</w:t>
      </w:r>
    </w:p>
    <w:p w14:paraId="7C359901" w14:textId="77777777" w:rsidR="009C5288" w:rsidRPr="00EF52A6" w:rsidRDefault="009C5288" w:rsidP="00DF11F1">
      <w:pPr>
        <w:tabs>
          <w:tab w:val="left" w:pos="540"/>
          <w:tab w:val="left" w:pos="569"/>
        </w:tabs>
        <w:jc w:val="both"/>
        <w:rPr>
          <w:bCs/>
          <w:sz w:val="22"/>
          <w:szCs w:val="22"/>
          <w:lang w:val="sr-Latn-ME"/>
        </w:rPr>
      </w:pPr>
    </w:p>
    <w:p w14:paraId="2F3BC678" w14:textId="0F7F0377"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Kod zdravih odraslih ispitanika koji su primali dozu od 50 mg</w:t>
      </w:r>
      <w:r w:rsidR="00221CAA" w:rsidRPr="00EF52A6">
        <w:rPr>
          <w:bCs/>
          <w:sz w:val="22"/>
          <w:szCs w:val="22"/>
          <w:lang w:val="sr-Latn-ME"/>
        </w:rPr>
        <w:t>,</w:t>
      </w:r>
      <w:r w:rsidRPr="00EF52A6">
        <w:rPr>
          <w:bCs/>
          <w:sz w:val="22"/>
          <w:szCs w:val="22"/>
          <w:lang w:val="sr-Latn-ME"/>
        </w:rPr>
        <w:t xml:space="preserve"> prim</w:t>
      </w:r>
      <w:r w:rsidR="000F0647" w:rsidRPr="00EF52A6">
        <w:rPr>
          <w:bCs/>
          <w:sz w:val="22"/>
          <w:szCs w:val="22"/>
          <w:lang w:val="sr-Latn-ME"/>
        </w:rPr>
        <w:t>j</w:t>
      </w:r>
      <w:r w:rsidRPr="00EF52A6">
        <w:rPr>
          <w:bCs/>
          <w:sz w:val="22"/>
          <w:szCs w:val="22"/>
          <w:lang w:val="sr-Latn-ME"/>
        </w:rPr>
        <w:t>ena selumetiniba uz obrok sa niskim ud</w:t>
      </w:r>
      <w:r w:rsidR="000F0647" w:rsidRPr="00EF52A6">
        <w:rPr>
          <w:bCs/>
          <w:sz w:val="22"/>
          <w:szCs w:val="22"/>
          <w:lang w:val="sr-Latn-ME"/>
        </w:rPr>
        <w:t>j</w:t>
      </w:r>
      <w:r w:rsidRPr="00EF52A6">
        <w:rPr>
          <w:bCs/>
          <w:sz w:val="22"/>
          <w:szCs w:val="22"/>
          <w:lang w:val="sr-Latn-ME"/>
        </w:rPr>
        <w:t>elom masti dovela je do 60% niže C</w:t>
      </w:r>
      <w:r w:rsidRPr="00EF52A6">
        <w:rPr>
          <w:bCs/>
          <w:sz w:val="22"/>
          <w:szCs w:val="22"/>
          <w:vertAlign w:val="subscript"/>
          <w:lang w:val="sr-Latn-ME"/>
        </w:rPr>
        <w:t>max</w:t>
      </w:r>
      <w:r w:rsidRPr="00EF52A6">
        <w:rPr>
          <w:bCs/>
          <w:sz w:val="22"/>
          <w:szCs w:val="22"/>
          <w:lang w:val="sr-Latn-ME"/>
        </w:rPr>
        <w:t xml:space="preserve"> u poređenju sa prim</w:t>
      </w:r>
      <w:r w:rsidR="000F0647" w:rsidRPr="00EF52A6">
        <w:rPr>
          <w:bCs/>
          <w:sz w:val="22"/>
          <w:szCs w:val="22"/>
          <w:lang w:val="sr-Latn-ME"/>
        </w:rPr>
        <w:t>j</w:t>
      </w:r>
      <w:r w:rsidRPr="00EF52A6">
        <w:rPr>
          <w:bCs/>
          <w:sz w:val="22"/>
          <w:szCs w:val="22"/>
          <w:lang w:val="sr-Latn-ME"/>
        </w:rPr>
        <w:t>enom natašte. Srednja vr</w:t>
      </w:r>
      <w:r w:rsidR="000F0647" w:rsidRPr="00EF52A6">
        <w:rPr>
          <w:bCs/>
          <w:sz w:val="22"/>
          <w:szCs w:val="22"/>
          <w:lang w:val="sr-Latn-ME"/>
        </w:rPr>
        <w:t>ij</w:t>
      </w:r>
      <w:r w:rsidRPr="00EF52A6">
        <w:rPr>
          <w:bCs/>
          <w:sz w:val="22"/>
          <w:szCs w:val="22"/>
          <w:lang w:val="sr-Latn-ME"/>
        </w:rPr>
        <w:t>ednost AUC selumetiniba smanjila se za 38%, dok se vr</w:t>
      </w:r>
      <w:r w:rsidR="000F0647" w:rsidRPr="00EF52A6">
        <w:rPr>
          <w:bCs/>
          <w:sz w:val="22"/>
          <w:szCs w:val="22"/>
          <w:lang w:val="sr-Latn-ME"/>
        </w:rPr>
        <w:t>ij</w:t>
      </w:r>
      <w:r w:rsidRPr="00EF52A6">
        <w:rPr>
          <w:bCs/>
          <w:sz w:val="22"/>
          <w:szCs w:val="22"/>
          <w:lang w:val="sr-Latn-ME"/>
        </w:rPr>
        <w:t>eme do postizanja maksimalne koncentracije (t</w:t>
      </w:r>
      <w:r w:rsidRPr="00EF52A6">
        <w:rPr>
          <w:bCs/>
          <w:sz w:val="22"/>
          <w:szCs w:val="22"/>
          <w:vertAlign w:val="subscript"/>
          <w:lang w:val="sr-Latn-ME"/>
        </w:rPr>
        <w:t>max</w:t>
      </w:r>
      <w:r w:rsidRPr="00EF52A6">
        <w:rPr>
          <w:bCs/>
          <w:sz w:val="22"/>
          <w:szCs w:val="22"/>
          <w:lang w:val="sr-Latn-ME"/>
        </w:rPr>
        <w:t>) produžilo za približno 0,9 sati (vid</w:t>
      </w:r>
      <w:r w:rsidR="000F0647" w:rsidRPr="00EF52A6">
        <w:rPr>
          <w:bCs/>
          <w:sz w:val="22"/>
          <w:szCs w:val="22"/>
          <w:lang w:val="sr-Latn-ME"/>
        </w:rPr>
        <w:t>j</w:t>
      </w:r>
      <w:r w:rsidRPr="00EF52A6">
        <w:rPr>
          <w:bCs/>
          <w:sz w:val="22"/>
          <w:szCs w:val="22"/>
          <w:lang w:val="sr-Latn-ME"/>
        </w:rPr>
        <w:t xml:space="preserve">eti </w:t>
      </w:r>
      <w:r w:rsidR="000F0647" w:rsidRPr="00EF52A6">
        <w:rPr>
          <w:bCs/>
          <w:sz w:val="22"/>
          <w:szCs w:val="22"/>
          <w:lang w:val="sr-Latn-ME"/>
        </w:rPr>
        <w:t>dio</w:t>
      </w:r>
      <w:r w:rsidRPr="00EF52A6">
        <w:rPr>
          <w:bCs/>
          <w:sz w:val="22"/>
          <w:szCs w:val="22"/>
          <w:lang w:val="sr-Latn-ME"/>
        </w:rPr>
        <w:t xml:space="preserve"> 4.2).</w:t>
      </w:r>
    </w:p>
    <w:p w14:paraId="2339B8A5" w14:textId="77777777" w:rsidR="009C5288" w:rsidRPr="00EF52A6" w:rsidRDefault="009C5288" w:rsidP="00DF11F1">
      <w:pPr>
        <w:tabs>
          <w:tab w:val="left" w:pos="540"/>
          <w:tab w:val="left" w:pos="569"/>
        </w:tabs>
        <w:jc w:val="both"/>
        <w:rPr>
          <w:bCs/>
          <w:sz w:val="22"/>
          <w:szCs w:val="22"/>
          <w:lang w:val="sr-Latn-ME"/>
        </w:rPr>
      </w:pPr>
    </w:p>
    <w:p w14:paraId="148CA7A6" w14:textId="3918A458"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Kod adolescenata sa NF1 i neoperabilnim PN l</w:t>
      </w:r>
      <w:r w:rsidR="000F0647" w:rsidRPr="00EF52A6">
        <w:rPr>
          <w:bCs/>
          <w:sz w:val="22"/>
          <w:szCs w:val="22"/>
          <w:lang w:val="sr-Latn-ME"/>
        </w:rPr>
        <w:t>ij</w:t>
      </w:r>
      <w:r w:rsidRPr="00EF52A6">
        <w:rPr>
          <w:bCs/>
          <w:sz w:val="22"/>
          <w:szCs w:val="22"/>
          <w:lang w:val="sr-Latn-ME"/>
        </w:rPr>
        <w:t>ečeni</w:t>
      </w:r>
      <w:r w:rsidR="00221CAA" w:rsidRPr="00EF52A6">
        <w:rPr>
          <w:bCs/>
          <w:sz w:val="22"/>
          <w:szCs w:val="22"/>
          <w:lang w:val="sr-Latn-ME"/>
        </w:rPr>
        <w:t>h</w:t>
      </w:r>
      <w:r w:rsidRPr="00EF52A6">
        <w:rPr>
          <w:bCs/>
          <w:sz w:val="22"/>
          <w:szCs w:val="22"/>
          <w:lang w:val="sr-Latn-ME"/>
        </w:rPr>
        <w:t xml:space="preserve"> višestrukim dozama </w:t>
      </w:r>
      <w:r w:rsidR="00221CAA" w:rsidRPr="00EF52A6">
        <w:rPr>
          <w:bCs/>
          <w:sz w:val="22"/>
          <w:szCs w:val="22"/>
          <w:lang w:val="sr-Latn-ME"/>
        </w:rPr>
        <w:t xml:space="preserve">od </w:t>
      </w:r>
      <w:r w:rsidRPr="00EF52A6">
        <w:rPr>
          <w:bCs/>
          <w:sz w:val="22"/>
          <w:szCs w:val="22"/>
          <w:lang w:val="sr-Latn-ME"/>
        </w:rPr>
        <w:t>25 mg/m</w:t>
      </w:r>
      <w:r w:rsidRPr="00EF52A6">
        <w:rPr>
          <w:bCs/>
          <w:sz w:val="22"/>
          <w:szCs w:val="22"/>
          <w:vertAlign w:val="superscript"/>
          <w:lang w:val="sr-Latn-ME"/>
        </w:rPr>
        <w:t>2</w:t>
      </w:r>
      <w:r w:rsidRPr="00EF52A6">
        <w:rPr>
          <w:bCs/>
          <w:sz w:val="22"/>
          <w:szCs w:val="22"/>
          <w:lang w:val="sr-Latn-ME"/>
        </w:rPr>
        <w:t xml:space="preserve"> dva puta dnevno,</w:t>
      </w:r>
      <w:r w:rsidR="000F0647" w:rsidRPr="00EF52A6">
        <w:rPr>
          <w:bCs/>
          <w:sz w:val="22"/>
          <w:szCs w:val="22"/>
          <w:lang w:val="sr-Latn-ME"/>
        </w:rPr>
        <w:t xml:space="preserve"> </w:t>
      </w:r>
      <w:r w:rsidRPr="00EF52A6">
        <w:rPr>
          <w:bCs/>
          <w:sz w:val="22"/>
          <w:szCs w:val="22"/>
          <w:lang w:val="sr-Latn-ME"/>
        </w:rPr>
        <w:t>prim</w:t>
      </w:r>
      <w:r w:rsidR="000F0647" w:rsidRPr="00EF52A6">
        <w:rPr>
          <w:bCs/>
          <w:sz w:val="22"/>
          <w:szCs w:val="22"/>
          <w:lang w:val="sr-Latn-ME"/>
        </w:rPr>
        <w:t>j</w:t>
      </w:r>
      <w:r w:rsidRPr="00EF52A6">
        <w:rPr>
          <w:bCs/>
          <w:sz w:val="22"/>
          <w:szCs w:val="22"/>
          <w:lang w:val="sr-Latn-ME"/>
        </w:rPr>
        <w:t>ena selumetiniba uz obrok sa niskim ud</w:t>
      </w:r>
      <w:r w:rsidR="000F0647" w:rsidRPr="00EF52A6">
        <w:rPr>
          <w:bCs/>
          <w:sz w:val="22"/>
          <w:szCs w:val="22"/>
          <w:lang w:val="sr-Latn-ME"/>
        </w:rPr>
        <w:t>j</w:t>
      </w:r>
      <w:r w:rsidRPr="00EF52A6">
        <w:rPr>
          <w:bCs/>
          <w:sz w:val="22"/>
          <w:szCs w:val="22"/>
          <w:lang w:val="sr-Latn-ME"/>
        </w:rPr>
        <w:t>elom masti dovela je do 24% niže C</w:t>
      </w:r>
      <w:r w:rsidRPr="00EF52A6">
        <w:rPr>
          <w:bCs/>
          <w:sz w:val="22"/>
          <w:szCs w:val="22"/>
          <w:vertAlign w:val="subscript"/>
          <w:lang w:val="sr-Latn-ME"/>
        </w:rPr>
        <w:t>max</w:t>
      </w:r>
      <w:r w:rsidRPr="00EF52A6">
        <w:rPr>
          <w:bCs/>
          <w:sz w:val="22"/>
          <w:szCs w:val="22"/>
          <w:lang w:val="sr-Latn-ME"/>
        </w:rPr>
        <w:t xml:space="preserve"> u poređenju sa prim</w:t>
      </w:r>
      <w:r w:rsidR="000F0647" w:rsidRPr="00EF52A6">
        <w:rPr>
          <w:bCs/>
          <w:sz w:val="22"/>
          <w:szCs w:val="22"/>
          <w:lang w:val="sr-Latn-ME"/>
        </w:rPr>
        <w:t>j</w:t>
      </w:r>
      <w:r w:rsidRPr="00EF52A6">
        <w:rPr>
          <w:bCs/>
          <w:sz w:val="22"/>
          <w:szCs w:val="22"/>
          <w:lang w:val="sr-Latn-ME"/>
        </w:rPr>
        <w:t>enom natašte. AUC selumetiniba smanjila se za 8%, a t</w:t>
      </w:r>
      <w:r w:rsidRPr="00EF52A6">
        <w:rPr>
          <w:bCs/>
          <w:sz w:val="22"/>
          <w:szCs w:val="22"/>
          <w:vertAlign w:val="subscript"/>
          <w:lang w:val="sr-Latn-ME"/>
        </w:rPr>
        <w:t>max</w:t>
      </w:r>
      <w:r w:rsidRPr="00EF52A6">
        <w:rPr>
          <w:bCs/>
          <w:sz w:val="22"/>
          <w:szCs w:val="22"/>
          <w:lang w:val="sr-Latn-ME"/>
        </w:rPr>
        <w:t xml:space="preserve"> se produžilo za približno</w:t>
      </w:r>
      <w:r w:rsidR="000F0647" w:rsidRPr="00EF52A6">
        <w:rPr>
          <w:bCs/>
          <w:sz w:val="22"/>
          <w:szCs w:val="22"/>
          <w:lang w:val="sr-Latn-ME"/>
        </w:rPr>
        <w:t xml:space="preserve"> </w:t>
      </w:r>
      <w:r w:rsidRPr="00EF52A6">
        <w:rPr>
          <w:bCs/>
          <w:sz w:val="22"/>
          <w:szCs w:val="22"/>
          <w:lang w:val="sr-Latn-ME"/>
        </w:rPr>
        <w:t>0,57 sati (vid</w:t>
      </w:r>
      <w:r w:rsidR="000F0647" w:rsidRPr="00EF52A6">
        <w:rPr>
          <w:bCs/>
          <w:sz w:val="22"/>
          <w:szCs w:val="22"/>
          <w:lang w:val="sr-Latn-ME"/>
        </w:rPr>
        <w:t>j</w:t>
      </w:r>
      <w:r w:rsidRPr="00EF52A6">
        <w:rPr>
          <w:bCs/>
          <w:sz w:val="22"/>
          <w:szCs w:val="22"/>
          <w:lang w:val="sr-Latn-ME"/>
        </w:rPr>
        <w:t xml:space="preserve">eti </w:t>
      </w:r>
      <w:r w:rsidR="000F0647" w:rsidRPr="00EF52A6">
        <w:rPr>
          <w:bCs/>
          <w:sz w:val="22"/>
          <w:szCs w:val="22"/>
          <w:lang w:val="sr-Latn-ME"/>
        </w:rPr>
        <w:t>dio</w:t>
      </w:r>
      <w:r w:rsidRPr="00EF52A6">
        <w:rPr>
          <w:bCs/>
          <w:sz w:val="22"/>
          <w:szCs w:val="22"/>
          <w:lang w:val="sr-Latn-ME"/>
        </w:rPr>
        <w:t xml:space="preserve"> 4.2).</w:t>
      </w:r>
    </w:p>
    <w:p w14:paraId="1E8E2E22" w14:textId="15ED6D41"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lastRenderedPageBreak/>
        <w:t xml:space="preserve">Populaciona </w:t>
      </w:r>
      <w:r w:rsidR="00221CAA" w:rsidRPr="00EF52A6">
        <w:rPr>
          <w:bCs/>
          <w:sz w:val="22"/>
          <w:szCs w:val="22"/>
          <w:lang w:val="sr-Latn-ME"/>
        </w:rPr>
        <w:t xml:space="preserve">farmakokinetička </w:t>
      </w:r>
      <w:r w:rsidRPr="00EF52A6">
        <w:rPr>
          <w:bCs/>
          <w:sz w:val="22"/>
          <w:szCs w:val="22"/>
          <w:lang w:val="sr-Latn-ME"/>
        </w:rPr>
        <w:t>analiza, uključujući d</w:t>
      </w:r>
      <w:r w:rsidR="000F0647" w:rsidRPr="00EF52A6">
        <w:rPr>
          <w:bCs/>
          <w:sz w:val="22"/>
          <w:szCs w:val="22"/>
          <w:lang w:val="sr-Latn-ME"/>
        </w:rPr>
        <w:t>j</w:t>
      </w:r>
      <w:r w:rsidRPr="00EF52A6">
        <w:rPr>
          <w:bCs/>
          <w:sz w:val="22"/>
          <w:szCs w:val="22"/>
          <w:lang w:val="sr-Latn-ME"/>
        </w:rPr>
        <w:t>ecu i adolescente sa NF1 i neoperabilnim PN, odrasle pacijente sa uznapredovalim solidnim malignitetima i zdrave odrasle osobe uzete iz 15 studija, pokazala je da je istovremena prim</w:t>
      </w:r>
      <w:r w:rsidR="000F0647" w:rsidRPr="00EF52A6">
        <w:rPr>
          <w:bCs/>
          <w:sz w:val="22"/>
          <w:szCs w:val="22"/>
          <w:lang w:val="sr-Latn-ME"/>
        </w:rPr>
        <w:t>j</w:t>
      </w:r>
      <w:r w:rsidRPr="00EF52A6">
        <w:rPr>
          <w:bCs/>
          <w:sz w:val="22"/>
          <w:szCs w:val="22"/>
          <w:lang w:val="sr-Latn-ME"/>
        </w:rPr>
        <w:t>ena uz obrok sa niskim ili visokim sadržajem masti dovela do srednjeg smanjenja izloženosti (AUC) selumetiniba u poređenju sa prim</w:t>
      </w:r>
      <w:r w:rsidR="000F0647" w:rsidRPr="00EF52A6">
        <w:rPr>
          <w:bCs/>
          <w:sz w:val="22"/>
          <w:szCs w:val="22"/>
          <w:lang w:val="sr-Latn-ME"/>
        </w:rPr>
        <w:t>j</w:t>
      </w:r>
      <w:r w:rsidRPr="00EF52A6">
        <w:rPr>
          <w:bCs/>
          <w:sz w:val="22"/>
          <w:szCs w:val="22"/>
          <w:lang w:val="sr-Latn-ME"/>
        </w:rPr>
        <w:t xml:space="preserve">enom natašte </w:t>
      </w:r>
      <w:r w:rsidR="00221CAA" w:rsidRPr="00EF52A6">
        <w:rPr>
          <w:bCs/>
          <w:sz w:val="22"/>
          <w:szCs w:val="22"/>
          <w:lang w:val="sr-Latn-ME"/>
        </w:rPr>
        <w:t xml:space="preserve">za </w:t>
      </w:r>
      <w:r w:rsidRPr="00EF52A6">
        <w:rPr>
          <w:bCs/>
          <w:sz w:val="22"/>
          <w:szCs w:val="22"/>
          <w:lang w:val="sr-Latn-ME"/>
        </w:rPr>
        <w:t xml:space="preserve">23,1% odnosno 20,7%, što se nije smatralo klinički </w:t>
      </w:r>
      <w:r w:rsidR="00AF62F5" w:rsidRPr="00EF52A6">
        <w:rPr>
          <w:bCs/>
          <w:sz w:val="22"/>
          <w:szCs w:val="22"/>
          <w:lang w:val="sr-Latn-ME"/>
        </w:rPr>
        <w:t>značajnim</w:t>
      </w:r>
      <w:r w:rsidRPr="00EF52A6">
        <w:rPr>
          <w:bCs/>
          <w:sz w:val="22"/>
          <w:szCs w:val="22"/>
          <w:lang w:val="sr-Latn-ME"/>
        </w:rPr>
        <w:t>.</w:t>
      </w:r>
    </w:p>
    <w:p w14:paraId="4F8C881F" w14:textId="77777777" w:rsidR="009C5288" w:rsidRPr="00EF52A6" w:rsidRDefault="009C5288" w:rsidP="00DF11F1">
      <w:pPr>
        <w:tabs>
          <w:tab w:val="left" w:pos="540"/>
          <w:tab w:val="left" w:pos="569"/>
        </w:tabs>
        <w:jc w:val="both"/>
        <w:rPr>
          <w:bCs/>
          <w:sz w:val="22"/>
          <w:szCs w:val="22"/>
          <w:lang w:val="sr-Latn-ME"/>
        </w:rPr>
      </w:pPr>
    </w:p>
    <w:p w14:paraId="5D4EE8D3"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Distribucija</w:t>
      </w:r>
    </w:p>
    <w:p w14:paraId="3746BF25" w14:textId="23A1928C"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Kod pedijatrijskih pacijenata se srednja vr</w:t>
      </w:r>
      <w:r w:rsidR="000F0647" w:rsidRPr="00EF52A6">
        <w:rPr>
          <w:bCs/>
          <w:sz w:val="22"/>
          <w:szCs w:val="22"/>
          <w:lang w:val="sr-Latn-ME"/>
        </w:rPr>
        <w:t>ij</w:t>
      </w:r>
      <w:r w:rsidRPr="00EF52A6">
        <w:rPr>
          <w:bCs/>
          <w:sz w:val="22"/>
          <w:szCs w:val="22"/>
          <w:lang w:val="sr-Latn-ME"/>
        </w:rPr>
        <w:t>ednost prividnog volumena distribucije selumetiniba u stanju dinamičke ravnoteže pri prim</w:t>
      </w:r>
      <w:r w:rsidR="00C43653" w:rsidRPr="00EF52A6">
        <w:rPr>
          <w:bCs/>
          <w:sz w:val="22"/>
          <w:szCs w:val="22"/>
          <w:lang w:val="sr-Latn-ME"/>
        </w:rPr>
        <w:t>j</w:t>
      </w:r>
      <w:r w:rsidRPr="00EF52A6">
        <w:rPr>
          <w:bCs/>
          <w:sz w:val="22"/>
          <w:szCs w:val="22"/>
          <w:lang w:val="sr-Latn-ME"/>
        </w:rPr>
        <w:t>eni doza od 20 do 30 mg/m</w:t>
      </w:r>
      <w:r w:rsidRPr="00EF52A6">
        <w:rPr>
          <w:bCs/>
          <w:sz w:val="22"/>
          <w:szCs w:val="22"/>
          <w:vertAlign w:val="superscript"/>
          <w:lang w:val="sr-Latn-ME"/>
        </w:rPr>
        <w:t>2</w:t>
      </w:r>
      <w:r w:rsidRPr="00EF52A6">
        <w:rPr>
          <w:bCs/>
          <w:sz w:val="22"/>
          <w:szCs w:val="22"/>
          <w:lang w:val="sr-Latn-ME"/>
        </w:rPr>
        <w:t xml:space="preserve"> kretala u rasponu od 78 do 171 l, što ukazuje na um</w:t>
      </w:r>
      <w:r w:rsidR="00C43653" w:rsidRPr="00EF52A6">
        <w:rPr>
          <w:bCs/>
          <w:sz w:val="22"/>
          <w:szCs w:val="22"/>
          <w:lang w:val="sr-Latn-ME"/>
        </w:rPr>
        <w:t>j</w:t>
      </w:r>
      <w:r w:rsidRPr="00EF52A6">
        <w:rPr>
          <w:bCs/>
          <w:sz w:val="22"/>
          <w:szCs w:val="22"/>
          <w:lang w:val="sr-Latn-ME"/>
        </w:rPr>
        <w:t>erenu distribuciju u tkiva.</w:t>
      </w:r>
    </w:p>
    <w:p w14:paraId="301FB5C6" w14:textId="77777777" w:rsidR="009C5288" w:rsidRPr="00EF52A6" w:rsidRDefault="009C5288" w:rsidP="00DF11F1">
      <w:pPr>
        <w:tabs>
          <w:tab w:val="left" w:pos="540"/>
          <w:tab w:val="left" w:pos="569"/>
        </w:tabs>
        <w:jc w:val="both"/>
        <w:rPr>
          <w:bCs/>
          <w:sz w:val="22"/>
          <w:szCs w:val="22"/>
          <w:lang w:val="sr-Latn-ME"/>
        </w:rPr>
      </w:pPr>
    </w:p>
    <w:p w14:paraId="4B8D43C5" w14:textId="087FB74A" w:rsidR="009C5288" w:rsidRPr="00EF52A6" w:rsidRDefault="009C5288" w:rsidP="00DF11F1">
      <w:pPr>
        <w:tabs>
          <w:tab w:val="left" w:pos="540"/>
          <w:tab w:val="left" w:pos="569"/>
        </w:tabs>
        <w:jc w:val="both"/>
        <w:rPr>
          <w:bCs/>
          <w:sz w:val="22"/>
          <w:szCs w:val="22"/>
          <w:lang w:val="sr-Latn-ME"/>
        </w:rPr>
      </w:pPr>
      <w:r w:rsidRPr="00EF52A6">
        <w:rPr>
          <w:bCs/>
          <w:i/>
          <w:iCs/>
          <w:sz w:val="22"/>
          <w:szCs w:val="22"/>
          <w:lang w:val="sr-Latn-ME"/>
        </w:rPr>
        <w:t>In vitro</w:t>
      </w:r>
      <w:r w:rsidRPr="00EF52A6">
        <w:rPr>
          <w:bCs/>
          <w:sz w:val="22"/>
          <w:szCs w:val="22"/>
          <w:lang w:val="sr-Latn-ME"/>
        </w:rPr>
        <w:t xml:space="preserve"> vezivanje za proteine u plazmi je 98,4% kod ljudi. Selumetinib se prvenstveno vezuje za albumin u serumu (96,1%), a u manjoj m</w:t>
      </w:r>
      <w:r w:rsidR="00C43653" w:rsidRPr="00EF52A6">
        <w:rPr>
          <w:bCs/>
          <w:sz w:val="22"/>
          <w:szCs w:val="22"/>
          <w:lang w:val="sr-Latn-ME"/>
        </w:rPr>
        <w:t>j</w:t>
      </w:r>
      <w:r w:rsidRPr="00EF52A6">
        <w:rPr>
          <w:bCs/>
          <w:sz w:val="22"/>
          <w:szCs w:val="22"/>
          <w:lang w:val="sr-Latn-ME"/>
        </w:rPr>
        <w:t>eri za alfa-1-kiseli glikoprotein (&lt; 35%).</w:t>
      </w:r>
    </w:p>
    <w:p w14:paraId="056DCA6A" w14:textId="77777777" w:rsidR="009C5288" w:rsidRPr="00EF52A6" w:rsidRDefault="009C5288" w:rsidP="00DF11F1">
      <w:pPr>
        <w:tabs>
          <w:tab w:val="left" w:pos="540"/>
          <w:tab w:val="left" w:pos="569"/>
        </w:tabs>
        <w:jc w:val="both"/>
        <w:rPr>
          <w:bCs/>
          <w:sz w:val="22"/>
          <w:szCs w:val="22"/>
          <w:lang w:val="sr-Latn-ME"/>
        </w:rPr>
      </w:pPr>
    </w:p>
    <w:p w14:paraId="5FFB02EC"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Biotransformacija</w:t>
      </w:r>
    </w:p>
    <w:p w14:paraId="3BABFD56" w14:textId="7B83FBED"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 xml:space="preserve">Selumetinib </w:t>
      </w:r>
      <w:r w:rsidRPr="00EF52A6">
        <w:rPr>
          <w:bCs/>
          <w:i/>
          <w:sz w:val="22"/>
          <w:szCs w:val="22"/>
          <w:lang w:val="sr-Latn-ME"/>
        </w:rPr>
        <w:t>in vitro</w:t>
      </w:r>
      <w:r w:rsidRPr="00EF52A6">
        <w:rPr>
          <w:bCs/>
          <w:sz w:val="22"/>
          <w:szCs w:val="22"/>
          <w:lang w:val="sr-Latn-ME"/>
        </w:rPr>
        <w:t xml:space="preserve"> podl</w:t>
      </w:r>
      <w:r w:rsidR="00C43653" w:rsidRPr="00EF52A6">
        <w:rPr>
          <w:bCs/>
          <w:sz w:val="22"/>
          <w:szCs w:val="22"/>
          <w:lang w:val="sr-Latn-ME"/>
        </w:rPr>
        <w:t>ij</w:t>
      </w:r>
      <w:r w:rsidRPr="00EF52A6">
        <w:rPr>
          <w:bCs/>
          <w:sz w:val="22"/>
          <w:szCs w:val="22"/>
          <w:lang w:val="sr-Latn-ME"/>
        </w:rPr>
        <w:t>eže metaboličkim reakcijama faze 1, uključujući oksidaciju bočnog lanca, N-demetilaciju i gubitak bočnog lanca, pri čemu nastaju amidni i kiselinski metaboliti. Za oksidacioni metabolizam selumetiniba prvenstveno je odgovoran izooblik CYP3A4, dok CYP2C19, CYP2C9,</w:t>
      </w:r>
    </w:p>
    <w:p w14:paraId="5022B1C5" w14:textId="31DADBAD"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CYP2E1 i CYP3A5 u njemu učestvuju u manjoj m</w:t>
      </w:r>
      <w:r w:rsidR="00C43653" w:rsidRPr="00EF52A6">
        <w:rPr>
          <w:bCs/>
          <w:sz w:val="22"/>
          <w:szCs w:val="22"/>
          <w:lang w:val="sr-Latn-ME"/>
        </w:rPr>
        <w:t>j</w:t>
      </w:r>
      <w:r w:rsidRPr="00EF52A6">
        <w:rPr>
          <w:bCs/>
          <w:sz w:val="22"/>
          <w:szCs w:val="22"/>
          <w:lang w:val="sr-Latn-ME"/>
        </w:rPr>
        <w:t xml:space="preserve">eri. Ispitivanja </w:t>
      </w:r>
      <w:r w:rsidRPr="00EF52A6">
        <w:rPr>
          <w:bCs/>
          <w:i/>
          <w:iCs/>
          <w:sz w:val="22"/>
          <w:szCs w:val="22"/>
          <w:lang w:val="sr-Latn-ME"/>
        </w:rPr>
        <w:t>in vitro</w:t>
      </w:r>
      <w:r w:rsidRPr="00EF52A6">
        <w:rPr>
          <w:bCs/>
          <w:sz w:val="22"/>
          <w:szCs w:val="22"/>
          <w:lang w:val="sr-Latn-ME"/>
        </w:rPr>
        <w:t xml:space="preserve"> pokazuju da selumetinib takođe podl</w:t>
      </w:r>
      <w:r w:rsidR="00C43653" w:rsidRPr="00EF52A6">
        <w:rPr>
          <w:bCs/>
          <w:sz w:val="22"/>
          <w:szCs w:val="22"/>
          <w:lang w:val="sr-Latn-ME"/>
        </w:rPr>
        <w:t>ij</w:t>
      </w:r>
      <w:r w:rsidRPr="00EF52A6">
        <w:rPr>
          <w:bCs/>
          <w:sz w:val="22"/>
          <w:szCs w:val="22"/>
          <w:lang w:val="sr-Latn-ME"/>
        </w:rPr>
        <w:t>eže direktnim metaboličkim reakcijama faze 2 kojima nastaju glukuronidni konjugati, a koje prvenstveno uključuju enzime UGT1A1 i UGT1A3. Glukuronidacija je značajan put eliminacije metabolita selumetiniba faze 1 u kojem učestvuje nekoliko izooblika enzima UGT.</w:t>
      </w:r>
    </w:p>
    <w:p w14:paraId="5E0AB120" w14:textId="77777777" w:rsidR="009C5288" w:rsidRPr="00EF52A6" w:rsidRDefault="009C5288" w:rsidP="00DF11F1">
      <w:pPr>
        <w:tabs>
          <w:tab w:val="left" w:pos="540"/>
          <w:tab w:val="left" w:pos="569"/>
        </w:tabs>
        <w:jc w:val="both"/>
        <w:rPr>
          <w:bCs/>
          <w:sz w:val="22"/>
          <w:szCs w:val="22"/>
          <w:lang w:val="sr-Latn-ME"/>
        </w:rPr>
      </w:pPr>
    </w:p>
    <w:p w14:paraId="5A6AC1A4" w14:textId="50850F4C"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Nakon peroralne prim</w:t>
      </w:r>
      <w:r w:rsidR="00C43653" w:rsidRPr="00EF52A6">
        <w:rPr>
          <w:bCs/>
          <w:sz w:val="22"/>
          <w:szCs w:val="22"/>
          <w:lang w:val="sr-Latn-ME"/>
        </w:rPr>
        <w:t>j</w:t>
      </w:r>
      <w:r w:rsidRPr="00EF52A6">
        <w:rPr>
          <w:bCs/>
          <w:sz w:val="22"/>
          <w:szCs w:val="22"/>
          <w:lang w:val="sr-Latn-ME"/>
        </w:rPr>
        <w:t xml:space="preserve">ene </w:t>
      </w:r>
      <w:r w:rsidRPr="00EF52A6">
        <w:rPr>
          <w:bCs/>
          <w:sz w:val="22"/>
          <w:szCs w:val="22"/>
          <w:vertAlign w:val="superscript"/>
          <w:lang w:val="sr-Latn-ME"/>
        </w:rPr>
        <w:t>14</w:t>
      </w:r>
      <w:r w:rsidRPr="00EF52A6">
        <w:rPr>
          <w:bCs/>
          <w:sz w:val="22"/>
          <w:szCs w:val="22"/>
          <w:lang w:val="sr-Latn-ME"/>
        </w:rPr>
        <w:t>C-selumetiniba na zdravim ispitanicima muškog pola, većinu cirkulišuće radioaktivnosti u plazmi ljudi činili su selumetinib u neprom</w:t>
      </w:r>
      <w:r w:rsidR="00C43653" w:rsidRPr="00EF52A6">
        <w:rPr>
          <w:bCs/>
          <w:sz w:val="22"/>
          <w:szCs w:val="22"/>
          <w:lang w:val="sr-Latn-ME"/>
        </w:rPr>
        <w:t>ij</w:t>
      </w:r>
      <w:r w:rsidRPr="00EF52A6">
        <w:rPr>
          <w:bCs/>
          <w:sz w:val="22"/>
          <w:szCs w:val="22"/>
          <w:lang w:val="sr-Latn-ME"/>
        </w:rPr>
        <w:t>enjenom obliku (~40% radioaktivnosti) i drugi metaboliti, uključujući glukuronid imidazoindazolnog metabolita (M2; 22%), glukuronid selumetiniba (M4; 7%), N-dezmetil selumetinib (M8; 3%) i N-dezmetil</w:t>
      </w:r>
      <w:r w:rsidR="00C43653" w:rsidRPr="00EF52A6">
        <w:rPr>
          <w:bCs/>
          <w:sz w:val="22"/>
          <w:szCs w:val="22"/>
          <w:lang w:val="sr-Latn-ME"/>
        </w:rPr>
        <w:t xml:space="preserve"> </w:t>
      </w:r>
      <w:r w:rsidRPr="00EF52A6">
        <w:rPr>
          <w:bCs/>
          <w:sz w:val="22"/>
          <w:szCs w:val="22"/>
          <w:lang w:val="sr-Latn-ME"/>
        </w:rPr>
        <w:t>karboksilnu kiselinu (M11; 4%). N-dezmetil selumetinib čini manje od 10% koncentracije selumetiniba u plazmi ljudi, ali približno je 3</w:t>
      </w:r>
      <w:r w:rsidR="00221CAA" w:rsidRPr="00EF52A6">
        <w:rPr>
          <w:bCs/>
          <w:sz w:val="22"/>
          <w:szCs w:val="22"/>
          <w:lang w:val="sr-Latn-ME"/>
        </w:rPr>
        <w:t xml:space="preserve"> </w:t>
      </w:r>
      <w:r w:rsidRPr="00EF52A6">
        <w:rPr>
          <w:bCs/>
          <w:sz w:val="22"/>
          <w:szCs w:val="22"/>
          <w:lang w:val="sr-Latn-ME"/>
        </w:rPr>
        <w:t>–</w:t>
      </w:r>
      <w:r w:rsidR="00221CAA" w:rsidRPr="00EF52A6">
        <w:rPr>
          <w:bCs/>
          <w:sz w:val="22"/>
          <w:szCs w:val="22"/>
          <w:lang w:val="sr-Latn-ME"/>
        </w:rPr>
        <w:t xml:space="preserve"> </w:t>
      </w:r>
      <w:r w:rsidRPr="00EF52A6">
        <w:rPr>
          <w:bCs/>
          <w:sz w:val="22"/>
          <w:szCs w:val="22"/>
          <w:lang w:val="sr-Latn-ME"/>
        </w:rPr>
        <w:t xml:space="preserve">5 puta potentniji od </w:t>
      </w:r>
      <w:r w:rsidR="00D24D84" w:rsidRPr="00EF52A6">
        <w:rPr>
          <w:bCs/>
          <w:sz w:val="22"/>
          <w:szCs w:val="22"/>
          <w:lang w:val="sr-Latn-ME"/>
        </w:rPr>
        <w:t xml:space="preserve">početnog </w:t>
      </w:r>
      <w:r w:rsidRPr="00EF52A6">
        <w:rPr>
          <w:bCs/>
          <w:sz w:val="22"/>
          <w:szCs w:val="22"/>
          <w:lang w:val="sr-Latn-ME"/>
        </w:rPr>
        <w:t>jedinjenja, pa čini približno 21</w:t>
      </w:r>
      <w:r w:rsidR="00221CAA" w:rsidRPr="00EF52A6">
        <w:rPr>
          <w:bCs/>
          <w:sz w:val="22"/>
          <w:szCs w:val="22"/>
          <w:lang w:val="sr-Latn-ME"/>
        </w:rPr>
        <w:t xml:space="preserve"> </w:t>
      </w:r>
      <w:r w:rsidRPr="00EF52A6">
        <w:rPr>
          <w:bCs/>
          <w:sz w:val="22"/>
          <w:szCs w:val="22"/>
          <w:lang w:val="sr-Latn-ME"/>
        </w:rPr>
        <w:t>–</w:t>
      </w:r>
      <w:r w:rsidR="00221CAA" w:rsidRPr="00EF52A6">
        <w:rPr>
          <w:bCs/>
          <w:sz w:val="22"/>
          <w:szCs w:val="22"/>
          <w:lang w:val="sr-Latn-ME"/>
        </w:rPr>
        <w:t xml:space="preserve"> </w:t>
      </w:r>
      <w:r w:rsidRPr="00EF52A6">
        <w:rPr>
          <w:bCs/>
          <w:sz w:val="22"/>
          <w:szCs w:val="22"/>
          <w:lang w:val="sr-Latn-ME"/>
        </w:rPr>
        <w:t>35% ukupne farmakološke aktivnosti.</w:t>
      </w:r>
    </w:p>
    <w:p w14:paraId="4C939668" w14:textId="77777777" w:rsidR="009C5288" w:rsidRPr="00EF52A6" w:rsidRDefault="009C5288" w:rsidP="00DF11F1">
      <w:pPr>
        <w:tabs>
          <w:tab w:val="left" w:pos="540"/>
          <w:tab w:val="left" w:pos="569"/>
        </w:tabs>
        <w:jc w:val="both"/>
        <w:rPr>
          <w:bCs/>
          <w:sz w:val="22"/>
          <w:szCs w:val="22"/>
          <w:lang w:val="sr-Latn-ME"/>
        </w:rPr>
      </w:pPr>
    </w:p>
    <w:p w14:paraId="54FDE7DA" w14:textId="77777777" w:rsidR="009C5288" w:rsidRPr="00EF52A6" w:rsidRDefault="009C5288" w:rsidP="00DF11F1">
      <w:pPr>
        <w:tabs>
          <w:tab w:val="left" w:pos="540"/>
          <w:tab w:val="left" w:pos="569"/>
        </w:tabs>
        <w:jc w:val="both"/>
        <w:rPr>
          <w:bCs/>
          <w:i/>
          <w:sz w:val="22"/>
          <w:szCs w:val="22"/>
          <w:lang w:val="sr-Latn-ME"/>
        </w:rPr>
      </w:pPr>
      <w:r w:rsidRPr="00EF52A6">
        <w:rPr>
          <w:bCs/>
          <w:i/>
          <w:iCs/>
          <w:sz w:val="22"/>
          <w:szCs w:val="22"/>
          <w:u w:val="single"/>
          <w:lang w:val="sr-Latn-ME"/>
        </w:rPr>
        <w:t>Interakcije</w:t>
      </w:r>
    </w:p>
    <w:p w14:paraId="2BB46865" w14:textId="77777777" w:rsidR="009C5288" w:rsidRPr="00EF52A6" w:rsidRDefault="009C5288" w:rsidP="00DF11F1">
      <w:pPr>
        <w:tabs>
          <w:tab w:val="left" w:pos="540"/>
          <w:tab w:val="left" w:pos="569"/>
        </w:tabs>
        <w:jc w:val="both"/>
        <w:rPr>
          <w:bCs/>
          <w:sz w:val="22"/>
          <w:szCs w:val="22"/>
          <w:lang w:val="sr-Latn-ME"/>
        </w:rPr>
      </w:pPr>
      <w:r w:rsidRPr="00EF52A6">
        <w:rPr>
          <w:bCs/>
          <w:i/>
          <w:iCs/>
          <w:sz w:val="22"/>
          <w:szCs w:val="22"/>
          <w:lang w:val="sr-Latn-ME"/>
        </w:rPr>
        <w:t>In vitro</w:t>
      </w:r>
      <w:r w:rsidRPr="00EF52A6">
        <w:rPr>
          <w:bCs/>
          <w:sz w:val="22"/>
          <w:szCs w:val="22"/>
          <w:lang w:val="sr-Latn-ME"/>
        </w:rPr>
        <w:t xml:space="preserve"> selumetinib nije inhibitor CYP1A2, CYP2A6, CYP2B6, CYP2C8, CYP2C9, CYP2C19, CYP2D6, CYP3A4 i CYP2E1. </w:t>
      </w:r>
      <w:r w:rsidRPr="00EF52A6">
        <w:rPr>
          <w:bCs/>
          <w:i/>
          <w:iCs/>
          <w:sz w:val="22"/>
          <w:szCs w:val="22"/>
          <w:lang w:val="sr-Latn-ME"/>
        </w:rPr>
        <w:t>In vitro</w:t>
      </w:r>
      <w:r w:rsidRPr="00EF52A6">
        <w:rPr>
          <w:bCs/>
          <w:sz w:val="22"/>
          <w:szCs w:val="22"/>
          <w:lang w:val="sr-Latn-ME"/>
        </w:rPr>
        <w:t xml:space="preserve"> selumetinib nije induktor CYP1A2 i CYP2B6. Selumetinib je induktor CYP3A4 </w:t>
      </w:r>
      <w:r w:rsidRPr="00EF52A6">
        <w:rPr>
          <w:bCs/>
          <w:i/>
          <w:iCs/>
          <w:sz w:val="22"/>
          <w:szCs w:val="22"/>
          <w:lang w:val="sr-Latn-ME"/>
        </w:rPr>
        <w:t>in vitro</w:t>
      </w:r>
      <w:r w:rsidRPr="00EF52A6">
        <w:rPr>
          <w:bCs/>
          <w:sz w:val="22"/>
          <w:szCs w:val="22"/>
          <w:lang w:val="sr-Latn-ME"/>
        </w:rPr>
        <w:t>, ali ne očekuje se da će to biti klinički značajno.</w:t>
      </w:r>
    </w:p>
    <w:p w14:paraId="4315A822" w14:textId="77777777" w:rsidR="009C5288" w:rsidRPr="00EF52A6" w:rsidRDefault="009C5288" w:rsidP="00DF11F1">
      <w:pPr>
        <w:tabs>
          <w:tab w:val="left" w:pos="540"/>
          <w:tab w:val="left" w:pos="569"/>
        </w:tabs>
        <w:jc w:val="both"/>
        <w:rPr>
          <w:bCs/>
          <w:sz w:val="22"/>
          <w:szCs w:val="22"/>
          <w:lang w:val="sr-Latn-ME"/>
        </w:rPr>
      </w:pPr>
    </w:p>
    <w:p w14:paraId="30DFF818" w14:textId="1BA8AD0B" w:rsidR="009C5288" w:rsidRPr="00EF52A6" w:rsidRDefault="009C5288" w:rsidP="00DF11F1">
      <w:pPr>
        <w:tabs>
          <w:tab w:val="left" w:pos="540"/>
          <w:tab w:val="left" w:pos="569"/>
        </w:tabs>
        <w:jc w:val="both"/>
        <w:rPr>
          <w:bCs/>
          <w:sz w:val="22"/>
          <w:szCs w:val="22"/>
          <w:lang w:val="sr-Latn-ME"/>
        </w:rPr>
      </w:pPr>
      <w:r w:rsidRPr="00EF52A6">
        <w:rPr>
          <w:bCs/>
          <w:i/>
          <w:iCs/>
          <w:sz w:val="22"/>
          <w:szCs w:val="22"/>
          <w:lang w:val="sr-Latn-ME"/>
        </w:rPr>
        <w:t xml:space="preserve">In vitro, </w:t>
      </w:r>
      <w:r w:rsidRPr="00EF52A6">
        <w:rPr>
          <w:bCs/>
          <w:sz w:val="22"/>
          <w:szCs w:val="22"/>
          <w:lang w:val="sr-Latn-ME"/>
        </w:rPr>
        <w:t xml:space="preserve">selumetinib inhibiše UGT1A3, UGT1A4, UGT1A6 i UGT1A, ali se ne očekuje da će ti </w:t>
      </w:r>
      <w:r w:rsidR="00D47350" w:rsidRPr="00EF52A6">
        <w:rPr>
          <w:bCs/>
          <w:sz w:val="22"/>
          <w:szCs w:val="22"/>
          <w:lang w:val="sr-Latn-ME"/>
        </w:rPr>
        <w:t xml:space="preserve">efekti </w:t>
      </w:r>
      <w:r w:rsidRPr="00EF52A6">
        <w:rPr>
          <w:bCs/>
          <w:sz w:val="22"/>
          <w:szCs w:val="22"/>
          <w:lang w:val="sr-Latn-ME"/>
        </w:rPr>
        <w:t>biti klinički značajni.</w:t>
      </w:r>
    </w:p>
    <w:p w14:paraId="1B3D7F19" w14:textId="77777777" w:rsidR="009C5288" w:rsidRPr="00EF52A6" w:rsidRDefault="009C5288" w:rsidP="00DF11F1">
      <w:pPr>
        <w:tabs>
          <w:tab w:val="left" w:pos="540"/>
          <w:tab w:val="left" w:pos="569"/>
        </w:tabs>
        <w:jc w:val="both"/>
        <w:rPr>
          <w:bCs/>
          <w:sz w:val="22"/>
          <w:szCs w:val="22"/>
          <w:lang w:val="sr-Latn-ME"/>
        </w:rPr>
      </w:pPr>
    </w:p>
    <w:p w14:paraId="21419569" w14:textId="77777777" w:rsidR="009C5288" w:rsidRPr="00EF52A6" w:rsidRDefault="009C5288" w:rsidP="00DF11F1">
      <w:pPr>
        <w:tabs>
          <w:tab w:val="left" w:pos="540"/>
          <w:tab w:val="left" w:pos="569"/>
        </w:tabs>
        <w:jc w:val="both"/>
        <w:rPr>
          <w:bCs/>
          <w:i/>
          <w:sz w:val="22"/>
          <w:szCs w:val="22"/>
          <w:lang w:val="sr-Latn-ME"/>
        </w:rPr>
      </w:pPr>
      <w:r w:rsidRPr="00EF52A6">
        <w:rPr>
          <w:bCs/>
          <w:i/>
          <w:iCs/>
          <w:sz w:val="22"/>
          <w:szCs w:val="22"/>
          <w:u w:val="single"/>
          <w:lang w:val="sr-Latn-ME"/>
        </w:rPr>
        <w:t>Interakcija sa proteinima transporterima</w:t>
      </w:r>
    </w:p>
    <w:p w14:paraId="6C0DA0E1" w14:textId="62D3BC34"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 xml:space="preserve">Prema podacima iz ispitivanja </w:t>
      </w:r>
      <w:r w:rsidRPr="00EF52A6">
        <w:rPr>
          <w:bCs/>
          <w:i/>
          <w:iCs/>
          <w:sz w:val="22"/>
          <w:szCs w:val="22"/>
          <w:lang w:val="sr-Latn-ME"/>
        </w:rPr>
        <w:t>in vitro</w:t>
      </w:r>
      <w:r w:rsidRPr="00EF52A6">
        <w:rPr>
          <w:bCs/>
          <w:sz w:val="22"/>
          <w:szCs w:val="22"/>
          <w:lang w:val="sr-Latn-ME"/>
        </w:rPr>
        <w:t>, selumetinib je supstrat transportera BCRP i P-gp, ali nije v</w:t>
      </w:r>
      <w:r w:rsidR="007F4BF4" w:rsidRPr="00EF52A6">
        <w:rPr>
          <w:bCs/>
          <w:sz w:val="22"/>
          <w:szCs w:val="22"/>
          <w:lang w:val="sr-Latn-ME"/>
        </w:rPr>
        <w:t>j</w:t>
      </w:r>
      <w:r w:rsidRPr="00EF52A6">
        <w:rPr>
          <w:bCs/>
          <w:sz w:val="22"/>
          <w:szCs w:val="22"/>
          <w:lang w:val="sr-Latn-ME"/>
        </w:rPr>
        <w:t>ero</w:t>
      </w:r>
      <w:r w:rsidR="007F4BF4" w:rsidRPr="00EF52A6">
        <w:rPr>
          <w:bCs/>
          <w:sz w:val="22"/>
          <w:szCs w:val="22"/>
          <w:lang w:val="sr-Latn-ME"/>
        </w:rPr>
        <w:t>v</w:t>
      </w:r>
      <w:r w:rsidRPr="00EF52A6">
        <w:rPr>
          <w:bCs/>
          <w:sz w:val="22"/>
          <w:szCs w:val="22"/>
          <w:lang w:val="sr-Latn-ME"/>
        </w:rPr>
        <w:t>atno da će ući u klinički značajne interakcije sa drugim l</w:t>
      </w:r>
      <w:r w:rsidR="00C43653" w:rsidRPr="00EF52A6">
        <w:rPr>
          <w:bCs/>
          <w:sz w:val="22"/>
          <w:szCs w:val="22"/>
          <w:lang w:val="sr-Latn-ME"/>
        </w:rPr>
        <w:t>j</w:t>
      </w:r>
      <w:r w:rsidRPr="00EF52A6">
        <w:rPr>
          <w:bCs/>
          <w:sz w:val="22"/>
          <w:szCs w:val="22"/>
          <w:lang w:val="sr-Latn-ME"/>
        </w:rPr>
        <w:t>ekovima.</w:t>
      </w:r>
      <w:r w:rsidRPr="00EF52A6">
        <w:rPr>
          <w:bCs/>
          <w:i/>
          <w:iCs/>
          <w:sz w:val="22"/>
          <w:szCs w:val="22"/>
          <w:lang w:val="sr-Latn-ME"/>
        </w:rPr>
        <w:t xml:space="preserve"> </w:t>
      </w:r>
      <w:r w:rsidRPr="00EF52A6">
        <w:rPr>
          <w:bCs/>
          <w:sz w:val="22"/>
          <w:szCs w:val="22"/>
          <w:lang w:val="sr-Latn-ME"/>
        </w:rPr>
        <w:t xml:space="preserve">Ispitivanja </w:t>
      </w:r>
      <w:r w:rsidRPr="00EF52A6">
        <w:rPr>
          <w:bCs/>
          <w:i/>
          <w:iCs/>
          <w:sz w:val="22"/>
          <w:szCs w:val="22"/>
          <w:lang w:val="sr-Latn-ME"/>
        </w:rPr>
        <w:t>in vitro</w:t>
      </w:r>
      <w:r w:rsidRPr="00EF52A6">
        <w:rPr>
          <w:bCs/>
          <w:sz w:val="22"/>
          <w:szCs w:val="22"/>
          <w:lang w:val="sr-Latn-ME"/>
        </w:rPr>
        <w:t xml:space="preserve"> pokazuju da selumetinib prim</w:t>
      </w:r>
      <w:r w:rsidR="00C43653" w:rsidRPr="00EF52A6">
        <w:rPr>
          <w:bCs/>
          <w:sz w:val="22"/>
          <w:szCs w:val="22"/>
          <w:lang w:val="sr-Latn-ME"/>
        </w:rPr>
        <w:t>ij</w:t>
      </w:r>
      <w:r w:rsidRPr="00EF52A6">
        <w:rPr>
          <w:bCs/>
          <w:sz w:val="22"/>
          <w:szCs w:val="22"/>
          <w:lang w:val="sr-Latn-ME"/>
        </w:rPr>
        <w:t>enjen u preporučenoj dozi za pedijatrijske pacijente ne inhibiše protein koji uzrokuje rezistenciju karcinoma dojke na l</w:t>
      </w:r>
      <w:r w:rsidR="00C43653" w:rsidRPr="00EF52A6">
        <w:rPr>
          <w:bCs/>
          <w:sz w:val="22"/>
          <w:szCs w:val="22"/>
          <w:lang w:val="sr-Latn-ME"/>
        </w:rPr>
        <w:t>ij</w:t>
      </w:r>
      <w:r w:rsidRPr="00EF52A6">
        <w:rPr>
          <w:bCs/>
          <w:sz w:val="22"/>
          <w:szCs w:val="22"/>
          <w:lang w:val="sr-Latn-ME"/>
        </w:rPr>
        <w:t>ečenje (</w:t>
      </w:r>
      <w:r w:rsidR="007F4BF4" w:rsidRPr="00EF52A6">
        <w:rPr>
          <w:bCs/>
          <w:sz w:val="22"/>
          <w:szCs w:val="22"/>
          <w:lang w:val="sr-Latn-ME"/>
        </w:rPr>
        <w:t xml:space="preserve">engl. </w:t>
      </w:r>
      <w:r w:rsidR="007F4BF4" w:rsidRPr="00EF52A6">
        <w:rPr>
          <w:bCs/>
          <w:i/>
          <w:sz w:val="22"/>
          <w:szCs w:val="22"/>
          <w:lang w:val="sr-Latn-ME"/>
        </w:rPr>
        <w:t>breast cancer resistance protein</w:t>
      </w:r>
      <w:r w:rsidR="007F4BF4" w:rsidRPr="00EF52A6">
        <w:rPr>
          <w:bCs/>
          <w:sz w:val="22"/>
          <w:szCs w:val="22"/>
          <w:lang w:val="sr-Latn-ME"/>
        </w:rPr>
        <w:t xml:space="preserve">, </w:t>
      </w:r>
      <w:r w:rsidRPr="00EF52A6">
        <w:rPr>
          <w:bCs/>
          <w:sz w:val="22"/>
          <w:szCs w:val="22"/>
          <w:lang w:val="sr-Latn-ME"/>
        </w:rPr>
        <w:t xml:space="preserve">BCRP), P-glikoprotein (P-gp), OATP1B1, OATP1B3, OCT2, OAT1, MATE1 i MATE2K. Ne može se isključiti klinički značajan </w:t>
      </w:r>
      <w:r w:rsidR="007F4BF4" w:rsidRPr="00EF52A6">
        <w:rPr>
          <w:bCs/>
          <w:sz w:val="22"/>
          <w:szCs w:val="22"/>
          <w:lang w:val="sr-Latn-ME"/>
        </w:rPr>
        <w:t xml:space="preserve">efekat </w:t>
      </w:r>
      <w:r w:rsidRPr="00EF52A6">
        <w:rPr>
          <w:bCs/>
          <w:sz w:val="22"/>
          <w:szCs w:val="22"/>
          <w:lang w:val="sr-Latn-ME"/>
        </w:rPr>
        <w:t>na farmakokinetiku istovremeno prim</w:t>
      </w:r>
      <w:r w:rsidR="00C43653" w:rsidRPr="00EF52A6">
        <w:rPr>
          <w:bCs/>
          <w:sz w:val="22"/>
          <w:szCs w:val="22"/>
          <w:lang w:val="sr-Latn-ME"/>
        </w:rPr>
        <w:t>ij</w:t>
      </w:r>
      <w:r w:rsidRPr="00EF52A6">
        <w:rPr>
          <w:bCs/>
          <w:sz w:val="22"/>
          <w:szCs w:val="22"/>
          <w:lang w:val="sr-Latn-ME"/>
        </w:rPr>
        <w:t>enjenih supstrata OAT3.</w:t>
      </w:r>
    </w:p>
    <w:p w14:paraId="61E1B95E" w14:textId="77777777" w:rsidR="009C5288" w:rsidRPr="00EF52A6" w:rsidRDefault="009C5288" w:rsidP="00DF11F1">
      <w:pPr>
        <w:tabs>
          <w:tab w:val="left" w:pos="540"/>
          <w:tab w:val="left" w:pos="569"/>
        </w:tabs>
        <w:jc w:val="both"/>
        <w:rPr>
          <w:bCs/>
          <w:sz w:val="22"/>
          <w:szCs w:val="22"/>
          <w:lang w:val="sr-Latn-ME"/>
        </w:rPr>
      </w:pPr>
    </w:p>
    <w:p w14:paraId="2B913F10"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Eliminacija</w:t>
      </w:r>
    </w:p>
    <w:p w14:paraId="7E2D2293" w14:textId="52329E68"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Nakon prim</w:t>
      </w:r>
      <w:r w:rsidR="00C43653" w:rsidRPr="00EF52A6">
        <w:rPr>
          <w:bCs/>
          <w:sz w:val="22"/>
          <w:szCs w:val="22"/>
          <w:lang w:val="sr-Latn-ME"/>
        </w:rPr>
        <w:t>j</w:t>
      </w:r>
      <w:r w:rsidRPr="00EF52A6">
        <w:rPr>
          <w:bCs/>
          <w:sz w:val="22"/>
          <w:szCs w:val="22"/>
          <w:lang w:val="sr-Latn-ME"/>
        </w:rPr>
        <w:t>ene jedne peroralne doze od 75 mg radioaktivno označenog selumetiniba zdravim odraslim ispitanicima, 59% doze pronađeno je u fecesu (19% u neprom</w:t>
      </w:r>
      <w:r w:rsidR="00C43653" w:rsidRPr="00EF52A6">
        <w:rPr>
          <w:bCs/>
          <w:sz w:val="22"/>
          <w:szCs w:val="22"/>
          <w:lang w:val="sr-Latn-ME"/>
        </w:rPr>
        <w:t>ij</w:t>
      </w:r>
      <w:r w:rsidRPr="00EF52A6">
        <w:rPr>
          <w:bCs/>
          <w:sz w:val="22"/>
          <w:szCs w:val="22"/>
          <w:lang w:val="sr-Latn-ME"/>
        </w:rPr>
        <w:t>enjenom obliku), dok je 33% prim</w:t>
      </w:r>
      <w:r w:rsidR="00C43653" w:rsidRPr="00EF52A6">
        <w:rPr>
          <w:bCs/>
          <w:sz w:val="22"/>
          <w:szCs w:val="22"/>
          <w:lang w:val="sr-Latn-ME"/>
        </w:rPr>
        <w:t>j</w:t>
      </w:r>
      <w:r w:rsidRPr="00EF52A6">
        <w:rPr>
          <w:bCs/>
          <w:sz w:val="22"/>
          <w:szCs w:val="22"/>
          <w:lang w:val="sr-Latn-ME"/>
        </w:rPr>
        <w:t xml:space="preserve">enjene doze (&lt; 1% u obliku </w:t>
      </w:r>
      <w:r w:rsidR="00D24D84" w:rsidRPr="00EF52A6">
        <w:rPr>
          <w:bCs/>
          <w:sz w:val="22"/>
          <w:szCs w:val="22"/>
          <w:lang w:val="sr-Latn-ME"/>
        </w:rPr>
        <w:t xml:space="preserve">početnog </w:t>
      </w:r>
      <w:r w:rsidRPr="00EF52A6">
        <w:rPr>
          <w:bCs/>
          <w:sz w:val="22"/>
          <w:szCs w:val="22"/>
          <w:lang w:val="sr-Latn-ME"/>
        </w:rPr>
        <w:t>jedinjenja) pronađeno u mokraći u uzorku uzetom nakon 9 dana.</w:t>
      </w:r>
    </w:p>
    <w:p w14:paraId="24945279" w14:textId="77777777" w:rsidR="009C5288" w:rsidRPr="00EF52A6" w:rsidRDefault="009C5288" w:rsidP="00DF11F1">
      <w:pPr>
        <w:tabs>
          <w:tab w:val="left" w:pos="540"/>
          <w:tab w:val="left" w:pos="569"/>
        </w:tabs>
        <w:jc w:val="both"/>
        <w:rPr>
          <w:bCs/>
          <w:sz w:val="22"/>
          <w:szCs w:val="22"/>
          <w:lang w:val="sr-Latn-ME"/>
        </w:rPr>
      </w:pPr>
    </w:p>
    <w:p w14:paraId="692CA32D"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Posebne populacije</w:t>
      </w:r>
    </w:p>
    <w:p w14:paraId="22656648" w14:textId="77777777" w:rsidR="0022241E" w:rsidRPr="00EF52A6" w:rsidRDefault="0022241E" w:rsidP="00DF11F1">
      <w:pPr>
        <w:tabs>
          <w:tab w:val="left" w:pos="540"/>
          <w:tab w:val="left" w:pos="569"/>
        </w:tabs>
        <w:jc w:val="both"/>
        <w:rPr>
          <w:bCs/>
          <w:i/>
          <w:iCs/>
          <w:sz w:val="22"/>
          <w:szCs w:val="22"/>
          <w:u w:val="single"/>
          <w:lang w:val="sr-Latn-ME"/>
        </w:rPr>
      </w:pPr>
    </w:p>
    <w:p w14:paraId="707CF087" w14:textId="4527C961" w:rsidR="009C5288" w:rsidRPr="00EF52A6" w:rsidRDefault="009C5288" w:rsidP="00DF11F1">
      <w:pPr>
        <w:tabs>
          <w:tab w:val="left" w:pos="540"/>
          <w:tab w:val="left" w:pos="569"/>
        </w:tabs>
        <w:jc w:val="both"/>
        <w:rPr>
          <w:bCs/>
          <w:i/>
          <w:sz w:val="22"/>
          <w:szCs w:val="22"/>
          <w:lang w:val="sr-Latn-ME"/>
        </w:rPr>
      </w:pPr>
      <w:r w:rsidRPr="00EF52A6">
        <w:rPr>
          <w:bCs/>
          <w:i/>
          <w:iCs/>
          <w:sz w:val="22"/>
          <w:szCs w:val="22"/>
          <w:u w:val="single"/>
          <w:lang w:val="sr-Latn-ME"/>
        </w:rPr>
        <w:t>Oštećenje funkcije bubrega</w:t>
      </w:r>
    </w:p>
    <w:p w14:paraId="04245C90" w14:textId="6FE80FAC"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Izloženost selumetinibu nakon peroralne prim</w:t>
      </w:r>
      <w:r w:rsidR="00C43653" w:rsidRPr="00EF52A6">
        <w:rPr>
          <w:bCs/>
          <w:sz w:val="22"/>
          <w:szCs w:val="22"/>
          <w:lang w:val="sr-Latn-ME"/>
        </w:rPr>
        <w:t>j</w:t>
      </w:r>
      <w:r w:rsidRPr="00EF52A6">
        <w:rPr>
          <w:bCs/>
          <w:sz w:val="22"/>
          <w:szCs w:val="22"/>
          <w:lang w:val="sr-Latn-ME"/>
        </w:rPr>
        <w:t>ene doze od 50 mg ispitivana je kod odraslih ispitanika sa normalnom bubrežnom funkcijom (n = 11) i ispitanika u završnom stadijumu bubrežne bolesti (ESRD) (n = 12). U ESRD grupi utvrđen je 16% manji C</w:t>
      </w:r>
      <w:r w:rsidRPr="00EF52A6">
        <w:rPr>
          <w:bCs/>
          <w:sz w:val="22"/>
          <w:szCs w:val="22"/>
          <w:vertAlign w:val="subscript"/>
          <w:lang w:val="sr-Latn-ME"/>
        </w:rPr>
        <w:t>max</w:t>
      </w:r>
      <w:r w:rsidRPr="00EF52A6">
        <w:rPr>
          <w:bCs/>
          <w:sz w:val="22"/>
          <w:szCs w:val="22"/>
          <w:lang w:val="sr-Latn-ME"/>
        </w:rPr>
        <w:t xml:space="preserve"> i 28% manji AUC, dok je frakcija nevezanog </w:t>
      </w:r>
      <w:r w:rsidRPr="00EF52A6">
        <w:rPr>
          <w:bCs/>
          <w:sz w:val="22"/>
          <w:szCs w:val="22"/>
          <w:lang w:val="sr-Latn-ME"/>
        </w:rPr>
        <w:lastRenderedPageBreak/>
        <w:t>selumetiniba bila 35% veća kod ispitanika sa ESRD. Zato su u toj grupi pacijenata odnosi C</w:t>
      </w:r>
      <w:r w:rsidRPr="00EF52A6">
        <w:rPr>
          <w:bCs/>
          <w:sz w:val="22"/>
          <w:szCs w:val="22"/>
          <w:vertAlign w:val="subscript"/>
          <w:lang w:val="sr-Latn-ME"/>
        </w:rPr>
        <w:t>max</w:t>
      </w:r>
      <w:r w:rsidRPr="00EF52A6">
        <w:rPr>
          <w:bCs/>
          <w:sz w:val="22"/>
          <w:szCs w:val="22"/>
          <w:lang w:val="sr-Latn-ME"/>
        </w:rPr>
        <w:t xml:space="preserve"> i AUC nevezanog l</w:t>
      </w:r>
      <w:r w:rsidR="00C43653" w:rsidRPr="00EF52A6">
        <w:rPr>
          <w:bCs/>
          <w:sz w:val="22"/>
          <w:szCs w:val="22"/>
          <w:lang w:val="sr-Latn-ME"/>
        </w:rPr>
        <w:t>ij</w:t>
      </w:r>
      <w:r w:rsidRPr="00EF52A6">
        <w:rPr>
          <w:bCs/>
          <w:sz w:val="22"/>
          <w:szCs w:val="22"/>
          <w:lang w:val="sr-Latn-ME"/>
        </w:rPr>
        <w:t xml:space="preserve">eka iznosili 0,97 odnosno 1,13 u poređenju sa grupom sa normalnom bubrežnom funkcijom. Kod pacijenata u završnom stadijumu bubrežne bolesti utvrđeno je malo povećanje odnosa AUC N-dezmetilnog metabolita i </w:t>
      </w:r>
      <w:r w:rsidR="00CA6072" w:rsidRPr="00EF52A6">
        <w:rPr>
          <w:bCs/>
          <w:sz w:val="22"/>
          <w:szCs w:val="22"/>
          <w:lang w:val="sr-Latn-ME"/>
        </w:rPr>
        <w:t>početnog jedinjenja,</w:t>
      </w:r>
      <w:r w:rsidRPr="00EF52A6">
        <w:rPr>
          <w:bCs/>
          <w:sz w:val="22"/>
          <w:szCs w:val="22"/>
          <w:lang w:val="sr-Latn-ME"/>
        </w:rPr>
        <w:t xml:space="preserve"> za približno 20%</w:t>
      </w:r>
      <w:r w:rsidR="00CA6072" w:rsidRPr="00EF52A6">
        <w:rPr>
          <w:bCs/>
          <w:sz w:val="22"/>
          <w:szCs w:val="22"/>
          <w:lang w:val="sr-Latn-ME"/>
        </w:rPr>
        <w:t>,</w:t>
      </w:r>
      <w:r w:rsidRPr="00EF52A6">
        <w:rPr>
          <w:bCs/>
          <w:sz w:val="22"/>
          <w:szCs w:val="22"/>
          <w:lang w:val="sr-Latn-ME"/>
        </w:rPr>
        <w:t xml:space="preserve"> u poređenju sa pacijentima sa normalnom bubrežnom funkcijom. Izloženost l</w:t>
      </w:r>
      <w:r w:rsidR="00C43653" w:rsidRPr="00EF52A6">
        <w:rPr>
          <w:bCs/>
          <w:sz w:val="22"/>
          <w:szCs w:val="22"/>
          <w:lang w:val="sr-Latn-ME"/>
        </w:rPr>
        <w:t>ij</w:t>
      </w:r>
      <w:r w:rsidRPr="00EF52A6">
        <w:rPr>
          <w:bCs/>
          <w:sz w:val="22"/>
          <w:szCs w:val="22"/>
          <w:lang w:val="sr-Latn-ME"/>
        </w:rPr>
        <w:t>eku kod ispitanika u završnom stadijumu bubrežne bolesti bila je slična onoj kod pacijenata sa normalnom bubrežnom funkcijom, dok kod onih sa blagim, um</w:t>
      </w:r>
      <w:r w:rsidR="00C43653" w:rsidRPr="00EF52A6">
        <w:rPr>
          <w:bCs/>
          <w:sz w:val="22"/>
          <w:szCs w:val="22"/>
          <w:lang w:val="sr-Latn-ME"/>
        </w:rPr>
        <w:t>j</w:t>
      </w:r>
      <w:r w:rsidRPr="00EF52A6">
        <w:rPr>
          <w:bCs/>
          <w:sz w:val="22"/>
          <w:szCs w:val="22"/>
          <w:lang w:val="sr-Latn-ME"/>
        </w:rPr>
        <w:t>erenim i teškim oštećenjem bubrežne funkcije nije ispitivana. Ne očekuje se da će oštećenje bubrežne funkcije u značajnoj m</w:t>
      </w:r>
      <w:r w:rsidR="00C43653" w:rsidRPr="00EF52A6">
        <w:rPr>
          <w:bCs/>
          <w:sz w:val="22"/>
          <w:szCs w:val="22"/>
          <w:lang w:val="sr-Latn-ME"/>
        </w:rPr>
        <w:t>j</w:t>
      </w:r>
      <w:r w:rsidRPr="00EF52A6">
        <w:rPr>
          <w:bCs/>
          <w:sz w:val="22"/>
          <w:szCs w:val="22"/>
          <w:lang w:val="sr-Latn-ME"/>
        </w:rPr>
        <w:t>eri uticati na izloženost selumetinibu (vid</w:t>
      </w:r>
      <w:r w:rsidR="00C43653" w:rsidRPr="00EF52A6">
        <w:rPr>
          <w:bCs/>
          <w:sz w:val="22"/>
          <w:szCs w:val="22"/>
          <w:lang w:val="sr-Latn-ME"/>
        </w:rPr>
        <w:t>j</w:t>
      </w:r>
      <w:r w:rsidRPr="00EF52A6">
        <w:rPr>
          <w:bCs/>
          <w:sz w:val="22"/>
          <w:szCs w:val="22"/>
          <w:lang w:val="sr-Latn-ME"/>
        </w:rPr>
        <w:t xml:space="preserve">eti </w:t>
      </w:r>
      <w:r w:rsidR="00C43653" w:rsidRPr="00EF52A6">
        <w:rPr>
          <w:bCs/>
          <w:sz w:val="22"/>
          <w:szCs w:val="22"/>
          <w:lang w:val="sr-Latn-ME"/>
        </w:rPr>
        <w:t>dio</w:t>
      </w:r>
      <w:r w:rsidRPr="00EF52A6">
        <w:rPr>
          <w:bCs/>
          <w:sz w:val="22"/>
          <w:szCs w:val="22"/>
          <w:lang w:val="sr-Latn-ME"/>
        </w:rPr>
        <w:t xml:space="preserve"> 4.2).</w:t>
      </w:r>
    </w:p>
    <w:p w14:paraId="01FFBAFC" w14:textId="77777777" w:rsidR="009C5288" w:rsidRPr="00EF52A6" w:rsidRDefault="009C5288" w:rsidP="00DF11F1">
      <w:pPr>
        <w:tabs>
          <w:tab w:val="left" w:pos="540"/>
          <w:tab w:val="left" w:pos="569"/>
        </w:tabs>
        <w:jc w:val="both"/>
        <w:rPr>
          <w:bCs/>
          <w:sz w:val="22"/>
          <w:szCs w:val="22"/>
          <w:lang w:val="sr-Latn-ME"/>
        </w:rPr>
      </w:pPr>
    </w:p>
    <w:p w14:paraId="4AB511A4" w14:textId="77777777" w:rsidR="009C5288" w:rsidRPr="00EF52A6" w:rsidRDefault="009C5288" w:rsidP="00DF11F1">
      <w:pPr>
        <w:tabs>
          <w:tab w:val="left" w:pos="540"/>
          <w:tab w:val="left" w:pos="569"/>
        </w:tabs>
        <w:jc w:val="both"/>
        <w:rPr>
          <w:bCs/>
          <w:i/>
          <w:sz w:val="22"/>
          <w:szCs w:val="22"/>
          <w:lang w:val="sr-Latn-ME"/>
        </w:rPr>
      </w:pPr>
      <w:r w:rsidRPr="00EF52A6">
        <w:rPr>
          <w:bCs/>
          <w:i/>
          <w:iCs/>
          <w:sz w:val="22"/>
          <w:szCs w:val="22"/>
          <w:u w:val="single"/>
          <w:lang w:val="sr-Latn-ME"/>
        </w:rPr>
        <w:t>Oštećenje funkcije jetre</w:t>
      </w:r>
    </w:p>
    <w:p w14:paraId="6133D276" w14:textId="58325063"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Odrasli ispitanici sa normalnom funkcijom jetre (n = 8) i oni sa blagim oštećenjem funkcije jetre (Child-Pugh stadijum A,</w:t>
      </w:r>
      <w:r w:rsidR="00C43653" w:rsidRPr="00EF52A6">
        <w:rPr>
          <w:bCs/>
          <w:sz w:val="22"/>
          <w:szCs w:val="22"/>
          <w:lang w:val="sr-Latn-ME"/>
        </w:rPr>
        <w:t xml:space="preserve"> </w:t>
      </w:r>
      <w:r w:rsidRPr="00EF52A6">
        <w:rPr>
          <w:bCs/>
          <w:sz w:val="22"/>
          <w:szCs w:val="22"/>
          <w:lang w:val="sr-Latn-ME"/>
        </w:rPr>
        <w:t>n = 8) primili su dozu od 50 mg selumetiniba, ispitanici sa um</w:t>
      </w:r>
      <w:r w:rsidR="00C43653" w:rsidRPr="00EF52A6">
        <w:rPr>
          <w:bCs/>
          <w:sz w:val="22"/>
          <w:szCs w:val="22"/>
          <w:lang w:val="sr-Latn-ME"/>
        </w:rPr>
        <w:t>j</w:t>
      </w:r>
      <w:r w:rsidRPr="00EF52A6">
        <w:rPr>
          <w:bCs/>
          <w:sz w:val="22"/>
          <w:szCs w:val="22"/>
          <w:lang w:val="sr-Latn-ME"/>
        </w:rPr>
        <w:t>erenim oštećenjem funkcije jetre (Child-Pugh stadijum B, n = 8) dozu od 50 ili 25 mg, a ispitanici sa teškim oštećenjem funkcije jetre</w:t>
      </w:r>
      <w:r w:rsidR="00C43653" w:rsidRPr="00EF52A6">
        <w:rPr>
          <w:bCs/>
          <w:sz w:val="22"/>
          <w:szCs w:val="22"/>
          <w:lang w:val="sr-Latn-ME"/>
        </w:rPr>
        <w:t xml:space="preserve"> </w:t>
      </w:r>
      <w:r w:rsidRPr="00EF52A6">
        <w:rPr>
          <w:bCs/>
          <w:sz w:val="22"/>
          <w:szCs w:val="22"/>
          <w:lang w:val="sr-Latn-ME"/>
        </w:rPr>
        <w:t>(Child-Pugh stadijum C, n = 8) dozu od 20 mg. Kod ispitanika sa blagim oštećenjem funkcije jetre normalizovana AUC ukupne doze selumetiniba iznosila je 86%, a AUC nevezanog selumetiniba 69% u odnosu na vr</w:t>
      </w:r>
      <w:r w:rsidR="00C43653" w:rsidRPr="00EF52A6">
        <w:rPr>
          <w:bCs/>
          <w:sz w:val="22"/>
          <w:szCs w:val="22"/>
          <w:lang w:val="sr-Latn-ME"/>
        </w:rPr>
        <w:t>ij</w:t>
      </w:r>
      <w:r w:rsidRPr="00EF52A6">
        <w:rPr>
          <w:bCs/>
          <w:sz w:val="22"/>
          <w:szCs w:val="22"/>
          <w:lang w:val="sr-Latn-ME"/>
        </w:rPr>
        <w:t>ednosti AUC kod ispitanika sa normalnom funkcijom jetre. Izloženost selumetinibu (AUC) bila je veća kod pacijenata sa um</w:t>
      </w:r>
      <w:r w:rsidR="00C43653" w:rsidRPr="00EF52A6">
        <w:rPr>
          <w:bCs/>
          <w:sz w:val="22"/>
          <w:szCs w:val="22"/>
          <w:lang w:val="sr-Latn-ME"/>
        </w:rPr>
        <w:t>j</w:t>
      </w:r>
      <w:r w:rsidRPr="00EF52A6">
        <w:rPr>
          <w:bCs/>
          <w:sz w:val="22"/>
          <w:szCs w:val="22"/>
          <w:lang w:val="sr-Latn-ME"/>
        </w:rPr>
        <w:t>erenim (Child-Pugh stadijum B) i teškim (Child-Pugh stadijum C) oštećenjem funkcije jetre; ukupan AUC i AUC nevezanog l</w:t>
      </w:r>
      <w:r w:rsidR="00C43653" w:rsidRPr="00EF52A6">
        <w:rPr>
          <w:bCs/>
          <w:sz w:val="22"/>
          <w:szCs w:val="22"/>
          <w:lang w:val="sr-Latn-ME"/>
        </w:rPr>
        <w:t>ij</w:t>
      </w:r>
      <w:r w:rsidRPr="00EF52A6">
        <w:rPr>
          <w:bCs/>
          <w:sz w:val="22"/>
          <w:szCs w:val="22"/>
          <w:lang w:val="sr-Latn-ME"/>
        </w:rPr>
        <w:t>eka iznosili su 159% odnosno 141% (Child-Pugh stadijum B) i 157% odnosno 317% (Child-Pugh stadijum C) u odnosu na ispitanike sa normalnom funkcijom jetre (vid</w:t>
      </w:r>
      <w:r w:rsidR="00C43653" w:rsidRPr="00EF52A6">
        <w:rPr>
          <w:bCs/>
          <w:sz w:val="22"/>
          <w:szCs w:val="22"/>
          <w:lang w:val="sr-Latn-ME"/>
        </w:rPr>
        <w:t>j</w:t>
      </w:r>
      <w:r w:rsidRPr="00EF52A6">
        <w:rPr>
          <w:bCs/>
          <w:sz w:val="22"/>
          <w:szCs w:val="22"/>
          <w:lang w:val="sr-Latn-ME"/>
        </w:rPr>
        <w:t xml:space="preserve">eti </w:t>
      </w:r>
      <w:r w:rsidR="00C43653" w:rsidRPr="00EF52A6">
        <w:rPr>
          <w:bCs/>
          <w:sz w:val="22"/>
          <w:szCs w:val="22"/>
          <w:lang w:val="sr-Latn-ME"/>
        </w:rPr>
        <w:t>dio</w:t>
      </w:r>
      <w:r w:rsidRPr="00EF52A6">
        <w:rPr>
          <w:bCs/>
          <w:sz w:val="22"/>
          <w:szCs w:val="22"/>
          <w:lang w:val="sr-Latn-ME"/>
        </w:rPr>
        <w:t xml:space="preserve"> 4.2). Zab</w:t>
      </w:r>
      <w:r w:rsidR="00C43653" w:rsidRPr="00EF52A6">
        <w:rPr>
          <w:bCs/>
          <w:sz w:val="22"/>
          <w:szCs w:val="22"/>
          <w:lang w:val="sr-Latn-ME"/>
        </w:rPr>
        <w:t>ilj</w:t>
      </w:r>
      <w:r w:rsidRPr="00EF52A6">
        <w:rPr>
          <w:bCs/>
          <w:sz w:val="22"/>
          <w:szCs w:val="22"/>
          <w:lang w:val="sr-Latn-ME"/>
        </w:rPr>
        <w:t>ežen je trend smanjenog vezivanja za proteine kod ispitanika sa teškim oštećenjem funkcije jetre, iako se ono održalo</w:t>
      </w:r>
      <w:r w:rsidR="00C43653" w:rsidRPr="00EF52A6">
        <w:rPr>
          <w:bCs/>
          <w:sz w:val="22"/>
          <w:szCs w:val="22"/>
          <w:lang w:val="sr-Latn-ME"/>
        </w:rPr>
        <w:t xml:space="preserve"> </w:t>
      </w:r>
      <w:r w:rsidRPr="00EF52A6">
        <w:rPr>
          <w:bCs/>
          <w:sz w:val="22"/>
          <w:szCs w:val="22"/>
          <w:lang w:val="sr-Latn-ME"/>
        </w:rPr>
        <w:t>iznad 99% (vid</w:t>
      </w:r>
      <w:r w:rsidR="00C43653" w:rsidRPr="00EF52A6">
        <w:rPr>
          <w:bCs/>
          <w:sz w:val="22"/>
          <w:szCs w:val="22"/>
          <w:lang w:val="sr-Latn-ME"/>
        </w:rPr>
        <w:t>j</w:t>
      </w:r>
      <w:r w:rsidRPr="00EF52A6">
        <w:rPr>
          <w:bCs/>
          <w:sz w:val="22"/>
          <w:szCs w:val="22"/>
          <w:lang w:val="sr-Latn-ME"/>
        </w:rPr>
        <w:t xml:space="preserve">eti </w:t>
      </w:r>
      <w:r w:rsidR="00C43653" w:rsidRPr="00EF52A6">
        <w:rPr>
          <w:bCs/>
          <w:sz w:val="22"/>
          <w:szCs w:val="22"/>
          <w:lang w:val="sr-Latn-ME"/>
        </w:rPr>
        <w:t>dio</w:t>
      </w:r>
      <w:r w:rsidRPr="00EF52A6">
        <w:rPr>
          <w:bCs/>
          <w:sz w:val="22"/>
          <w:szCs w:val="22"/>
          <w:lang w:val="sr-Latn-ME"/>
        </w:rPr>
        <w:t xml:space="preserve"> 4.3).</w:t>
      </w:r>
    </w:p>
    <w:p w14:paraId="1C1DF420" w14:textId="77777777" w:rsidR="009C5288" w:rsidRPr="00EF52A6" w:rsidRDefault="009C5288" w:rsidP="00DF11F1">
      <w:pPr>
        <w:tabs>
          <w:tab w:val="left" w:pos="540"/>
          <w:tab w:val="left" w:pos="569"/>
        </w:tabs>
        <w:jc w:val="both"/>
        <w:rPr>
          <w:bCs/>
          <w:sz w:val="22"/>
          <w:szCs w:val="22"/>
          <w:lang w:val="sr-Latn-ME"/>
        </w:rPr>
      </w:pPr>
    </w:p>
    <w:p w14:paraId="442B41BF" w14:textId="0EDF6AB6" w:rsidR="009C5288" w:rsidRPr="00EF52A6" w:rsidRDefault="009C5288" w:rsidP="00DF11F1">
      <w:pPr>
        <w:tabs>
          <w:tab w:val="left" w:pos="540"/>
          <w:tab w:val="left" w:pos="569"/>
        </w:tabs>
        <w:jc w:val="both"/>
        <w:rPr>
          <w:bCs/>
          <w:i/>
          <w:sz w:val="22"/>
          <w:szCs w:val="22"/>
          <w:lang w:val="sr-Latn-ME"/>
        </w:rPr>
      </w:pPr>
      <w:r w:rsidRPr="00EF52A6">
        <w:rPr>
          <w:bCs/>
          <w:i/>
          <w:iCs/>
          <w:sz w:val="22"/>
          <w:szCs w:val="22"/>
          <w:u w:val="single"/>
          <w:lang w:val="sr-Latn-ME"/>
        </w:rPr>
        <w:t>Etničko por</w:t>
      </w:r>
      <w:r w:rsidR="007F4BF4" w:rsidRPr="00EF52A6">
        <w:rPr>
          <w:bCs/>
          <w:i/>
          <w:iCs/>
          <w:sz w:val="22"/>
          <w:szCs w:val="22"/>
          <w:u w:val="single"/>
          <w:lang w:val="sr-Latn-ME"/>
        </w:rPr>
        <w:t>ij</w:t>
      </w:r>
      <w:r w:rsidRPr="00EF52A6">
        <w:rPr>
          <w:bCs/>
          <w:i/>
          <w:iCs/>
          <w:sz w:val="22"/>
          <w:szCs w:val="22"/>
          <w:u w:val="single"/>
          <w:lang w:val="sr-Latn-ME"/>
        </w:rPr>
        <w:t>eklo</w:t>
      </w:r>
    </w:p>
    <w:p w14:paraId="4A861939" w14:textId="24767740"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Nakon prim</w:t>
      </w:r>
      <w:r w:rsidR="00C43653" w:rsidRPr="00EF52A6">
        <w:rPr>
          <w:bCs/>
          <w:sz w:val="22"/>
          <w:szCs w:val="22"/>
          <w:lang w:val="sr-Latn-ME"/>
        </w:rPr>
        <w:t>j</w:t>
      </w:r>
      <w:r w:rsidRPr="00EF52A6">
        <w:rPr>
          <w:bCs/>
          <w:sz w:val="22"/>
          <w:szCs w:val="22"/>
          <w:lang w:val="sr-Latn-ME"/>
        </w:rPr>
        <w:t>ene jedne doze, izloženost selumetinibu naizgled je veća kod zdravih odraslih ispitanika japanskog por</w:t>
      </w:r>
      <w:r w:rsidR="007F4BF4" w:rsidRPr="00EF52A6">
        <w:rPr>
          <w:bCs/>
          <w:sz w:val="22"/>
          <w:szCs w:val="22"/>
          <w:lang w:val="sr-Latn-ME"/>
        </w:rPr>
        <w:t>ij</w:t>
      </w:r>
      <w:r w:rsidRPr="00EF52A6">
        <w:rPr>
          <w:bCs/>
          <w:sz w:val="22"/>
          <w:szCs w:val="22"/>
          <w:lang w:val="sr-Latn-ME"/>
        </w:rPr>
        <w:t>ekla, drugih Azijaca i Indijaca nego kod odraslih ispitanika iz zapadnih zemalja. Međutim, postoji značajna podudarnost sa ispitanicima iz zapadnih zemalja nakon korekcije za t</w:t>
      </w:r>
      <w:r w:rsidR="00C43653" w:rsidRPr="00EF52A6">
        <w:rPr>
          <w:bCs/>
          <w:sz w:val="22"/>
          <w:szCs w:val="22"/>
          <w:lang w:val="sr-Latn-ME"/>
        </w:rPr>
        <w:t>j</w:t>
      </w:r>
      <w:r w:rsidRPr="00EF52A6">
        <w:rPr>
          <w:bCs/>
          <w:sz w:val="22"/>
          <w:szCs w:val="22"/>
          <w:lang w:val="sr-Latn-ME"/>
        </w:rPr>
        <w:t>elesnu masu ili t</w:t>
      </w:r>
      <w:r w:rsidR="00C43653" w:rsidRPr="00EF52A6">
        <w:rPr>
          <w:bCs/>
          <w:sz w:val="22"/>
          <w:szCs w:val="22"/>
          <w:lang w:val="sr-Latn-ME"/>
        </w:rPr>
        <w:t>j</w:t>
      </w:r>
      <w:r w:rsidRPr="00EF52A6">
        <w:rPr>
          <w:bCs/>
          <w:sz w:val="22"/>
          <w:szCs w:val="22"/>
          <w:lang w:val="sr-Latn-ME"/>
        </w:rPr>
        <w:t>elesnu površinu (vid</w:t>
      </w:r>
      <w:r w:rsidR="00C43653" w:rsidRPr="00EF52A6">
        <w:rPr>
          <w:bCs/>
          <w:sz w:val="22"/>
          <w:szCs w:val="22"/>
          <w:lang w:val="sr-Latn-ME"/>
        </w:rPr>
        <w:t>j</w:t>
      </w:r>
      <w:r w:rsidRPr="00EF52A6">
        <w:rPr>
          <w:bCs/>
          <w:sz w:val="22"/>
          <w:szCs w:val="22"/>
          <w:lang w:val="sr-Latn-ME"/>
        </w:rPr>
        <w:t xml:space="preserve">eti </w:t>
      </w:r>
      <w:r w:rsidR="00C43653" w:rsidRPr="00EF52A6">
        <w:rPr>
          <w:bCs/>
          <w:sz w:val="22"/>
          <w:szCs w:val="22"/>
          <w:lang w:val="sr-Latn-ME"/>
        </w:rPr>
        <w:t>dio</w:t>
      </w:r>
      <w:r w:rsidRPr="00EF52A6">
        <w:rPr>
          <w:bCs/>
          <w:sz w:val="22"/>
          <w:szCs w:val="22"/>
          <w:lang w:val="sr-Latn-ME"/>
        </w:rPr>
        <w:t xml:space="preserve"> 4.2).</w:t>
      </w:r>
    </w:p>
    <w:p w14:paraId="17811367" w14:textId="77777777" w:rsidR="00C43653" w:rsidRPr="00EF52A6" w:rsidRDefault="00C43653" w:rsidP="00DF11F1">
      <w:pPr>
        <w:tabs>
          <w:tab w:val="left" w:pos="540"/>
          <w:tab w:val="left" w:pos="569"/>
        </w:tabs>
        <w:jc w:val="both"/>
        <w:rPr>
          <w:bCs/>
          <w:sz w:val="22"/>
          <w:szCs w:val="22"/>
          <w:lang w:val="sr-Latn-ME"/>
        </w:rPr>
      </w:pPr>
    </w:p>
    <w:p w14:paraId="15827B92" w14:textId="77777777" w:rsidR="009C5288" w:rsidRPr="00EF52A6" w:rsidRDefault="009C5288" w:rsidP="00DF11F1">
      <w:pPr>
        <w:tabs>
          <w:tab w:val="left" w:pos="540"/>
          <w:tab w:val="left" w:pos="569"/>
        </w:tabs>
        <w:jc w:val="both"/>
        <w:rPr>
          <w:bCs/>
          <w:i/>
          <w:sz w:val="22"/>
          <w:szCs w:val="22"/>
          <w:lang w:val="sr-Latn-ME"/>
        </w:rPr>
      </w:pPr>
      <w:r w:rsidRPr="00EF52A6">
        <w:rPr>
          <w:bCs/>
          <w:i/>
          <w:iCs/>
          <w:sz w:val="22"/>
          <w:szCs w:val="22"/>
          <w:u w:val="single"/>
          <w:lang w:val="sr-Latn-ME"/>
        </w:rPr>
        <w:t>Odrasli pacijenti (stariji od 18 godina)</w:t>
      </w:r>
    </w:p>
    <w:p w14:paraId="49CB5E0A" w14:textId="34AE3232"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Farmakokinetički parametri kod zdravih odraslih ispitanika i odraslih pacijenata sa uznapredovalim solidnim malignitetima slični su onima zab</w:t>
      </w:r>
      <w:r w:rsidR="00C43653" w:rsidRPr="00EF52A6">
        <w:rPr>
          <w:bCs/>
          <w:sz w:val="22"/>
          <w:szCs w:val="22"/>
          <w:lang w:val="sr-Latn-ME"/>
        </w:rPr>
        <w:t>ilj</w:t>
      </w:r>
      <w:r w:rsidRPr="00EF52A6">
        <w:rPr>
          <w:bCs/>
          <w:sz w:val="22"/>
          <w:szCs w:val="22"/>
          <w:lang w:val="sr-Latn-ME"/>
        </w:rPr>
        <w:t>eženim kod pedijatrijskih pacijenata (u uzrastu od 3 do ≤ 18 godina) sa NF1.</w:t>
      </w:r>
    </w:p>
    <w:p w14:paraId="19E382D9" w14:textId="77777777" w:rsidR="009C5288" w:rsidRPr="00EF52A6" w:rsidRDefault="009C5288" w:rsidP="00DF11F1">
      <w:pPr>
        <w:tabs>
          <w:tab w:val="left" w:pos="540"/>
          <w:tab w:val="left" w:pos="569"/>
        </w:tabs>
        <w:jc w:val="both"/>
        <w:rPr>
          <w:bCs/>
          <w:sz w:val="22"/>
          <w:szCs w:val="22"/>
          <w:lang w:val="sr-Latn-ME"/>
        </w:rPr>
      </w:pPr>
    </w:p>
    <w:p w14:paraId="7AC409A2" w14:textId="6BBE445D"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Kod odraslih pacijenata, C</w:t>
      </w:r>
      <w:r w:rsidRPr="00EF52A6">
        <w:rPr>
          <w:bCs/>
          <w:sz w:val="22"/>
          <w:szCs w:val="22"/>
          <w:vertAlign w:val="subscript"/>
          <w:lang w:val="sr-Latn-ME"/>
        </w:rPr>
        <w:t>max</w:t>
      </w:r>
      <w:r w:rsidRPr="00EF52A6">
        <w:rPr>
          <w:bCs/>
          <w:sz w:val="22"/>
          <w:szCs w:val="22"/>
          <w:lang w:val="sr-Latn-ME"/>
        </w:rPr>
        <w:t xml:space="preserve"> i AUC povećale su se proporcionalno dozi u rasponu </w:t>
      </w:r>
      <w:r w:rsidR="007F4BF4" w:rsidRPr="00EF52A6">
        <w:rPr>
          <w:bCs/>
          <w:sz w:val="22"/>
          <w:szCs w:val="22"/>
          <w:lang w:val="sr-Latn-ME"/>
        </w:rPr>
        <w:t xml:space="preserve">doza </w:t>
      </w:r>
      <w:r w:rsidRPr="00EF52A6">
        <w:rPr>
          <w:bCs/>
          <w:sz w:val="22"/>
          <w:szCs w:val="22"/>
          <w:lang w:val="sr-Latn-ME"/>
        </w:rPr>
        <w:t>od 25 mg do 100 mg.</w:t>
      </w:r>
    </w:p>
    <w:p w14:paraId="5588A8B2" w14:textId="77777777" w:rsidR="009C5288" w:rsidRPr="00EF52A6" w:rsidRDefault="009C5288" w:rsidP="00480FB1">
      <w:pPr>
        <w:tabs>
          <w:tab w:val="left" w:pos="540"/>
          <w:tab w:val="left" w:pos="569"/>
        </w:tabs>
        <w:rPr>
          <w:bCs/>
          <w:sz w:val="22"/>
          <w:szCs w:val="22"/>
          <w:lang w:val="sr-Latn-ME"/>
        </w:rPr>
      </w:pPr>
    </w:p>
    <w:p w14:paraId="4E2B578F"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5.3. </w:t>
      </w:r>
      <w:r w:rsidR="00480FB1" w:rsidRPr="00EF52A6">
        <w:rPr>
          <w:b/>
          <w:bCs/>
          <w:sz w:val="22"/>
          <w:szCs w:val="22"/>
          <w:lang w:val="sr-Latn-ME"/>
        </w:rPr>
        <w:tab/>
      </w:r>
      <w:r w:rsidRPr="00EF52A6">
        <w:rPr>
          <w:b/>
          <w:bCs/>
          <w:sz w:val="22"/>
          <w:szCs w:val="22"/>
          <w:lang w:val="sr-Latn-ME"/>
        </w:rPr>
        <w:t xml:space="preserve">Pretklinički podaci o bezbjednosti </w:t>
      </w:r>
    </w:p>
    <w:p w14:paraId="6FCAD8E5" w14:textId="77777777" w:rsidR="00836B35" w:rsidRPr="00EF52A6" w:rsidRDefault="00836B35" w:rsidP="00480FB1">
      <w:pPr>
        <w:tabs>
          <w:tab w:val="left" w:pos="540"/>
          <w:tab w:val="left" w:pos="569"/>
        </w:tabs>
        <w:rPr>
          <w:bCs/>
          <w:sz w:val="22"/>
          <w:szCs w:val="22"/>
          <w:lang w:val="sr-Latn-ME"/>
        </w:rPr>
      </w:pPr>
    </w:p>
    <w:p w14:paraId="685EBA91"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Genotoksičnost</w:t>
      </w:r>
    </w:p>
    <w:p w14:paraId="152842FE" w14:textId="6B2CF1A6"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 xml:space="preserve">U mikronukleus testu na miševima selumetinib je aneugenim mehanizmom ostvario genotoksične </w:t>
      </w:r>
      <w:r w:rsidR="007F4BF4" w:rsidRPr="00EF52A6">
        <w:rPr>
          <w:bCs/>
          <w:sz w:val="22"/>
          <w:szCs w:val="22"/>
          <w:lang w:val="sr-Latn-ME"/>
        </w:rPr>
        <w:t>efekte</w:t>
      </w:r>
      <w:r w:rsidRPr="00EF52A6">
        <w:rPr>
          <w:bCs/>
          <w:sz w:val="22"/>
          <w:szCs w:val="22"/>
          <w:lang w:val="sr-Latn-ME"/>
        </w:rPr>
        <w:t>. Srednja vr</w:t>
      </w:r>
      <w:r w:rsidR="00C43653" w:rsidRPr="00EF52A6">
        <w:rPr>
          <w:bCs/>
          <w:sz w:val="22"/>
          <w:szCs w:val="22"/>
          <w:lang w:val="sr-Latn-ME"/>
        </w:rPr>
        <w:t>ij</w:t>
      </w:r>
      <w:r w:rsidRPr="00EF52A6">
        <w:rPr>
          <w:bCs/>
          <w:sz w:val="22"/>
          <w:szCs w:val="22"/>
          <w:lang w:val="sr-Latn-ME"/>
        </w:rPr>
        <w:t>ednost izloženosti slobodnom selumetinibu (C</w:t>
      </w:r>
      <w:r w:rsidRPr="00EF52A6">
        <w:rPr>
          <w:bCs/>
          <w:sz w:val="22"/>
          <w:szCs w:val="22"/>
          <w:vertAlign w:val="subscript"/>
          <w:lang w:val="sr-Latn-ME"/>
        </w:rPr>
        <w:t>max</w:t>
      </w:r>
      <w:r w:rsidRPr="00EF52A6">
        <w:rPr>
          <w:bCs/>
          <w:sz w:val="22"/>
          <w:szCs w:val="22"/>
          <w:lang w:val="sr-Latn-ME"/>
        </w:rPr>
        <w:t>) pri nivou izloženosti pri koj</w:t>
      </w:r>
      <w:r w:rsidR="007F4BF4" w:rsidRPr="00EF52A6">
        <w:rPr>
          <w:bCs/>
          <w:sz w:val="22"/>
          <w:szCs w:val="22"/>
          <w:lang w:val="sr-Latn-ME"/>
        </w:rPr>
        <w:t>em</w:t>
      </w:r>
      <w:r w:rsidRPr="00EF52A6">
        <w:rPr>
          <w:bCs/>
          <w:sz w:val="22"/>
          <w:szCs w:val="22"/>
          <w:lang w:val="sr-Latn-ME"/>
        </w:rPr>
        <w:t xml:space="preserve"> ni</w:t>
      </w:r>
      <w:r w:rsidR="00C43653" w:rsidRPr="00EF52A6">
        <w:rPr>
          <w:bCs/>
          <w:sz w:val="22"/>
          <w:szCs w:val="22"/>
          <w:lang w:val="sr-Latn-ME"/>
        </w:rPr>
        <w:t>je</w:t>
      </w:r>
      <w:r w:rsidRPr="00EF52A6">
        <w:rPr>
          <w:bCs/>
          <w:sz w:val="22"/>
          <w:szCs w:val="22"/>
          <w:lang w:val="sr-Latn-ME"/>
        </w:rPr>
        <w:t>su zab</w:t>
      </w:r>
      <w:r w:rsidR="00C43653" w:rsidRPr="00EF52A6">
        <w:rPr>
          <w:bCs/>
          <w:sz w:val="22"/>
          <w:szCs w:val="22"/>
          <w:lang w:val="sr-Latn-ME"/>
        </w:rPr>
        <w:t>ilj</w:t>
      </w:r>
      <w:r w:rsidRPr="00EF52A6">
        <w:rPr>
          <w:bCs/>
          <w:sz w:val="22"/>
          <w:szCs w:val="22"/>
          <w:lang w:val="sr-Latn-ME"/>
        </w:rPr>
        <w:t xml:space="preserve">eženi </w:t>
      </w:r>
      <w:r w:rsidR="007F4BF4" w:rsidRPr="00EF52A6">
        <w:rPr>
          <w:bCs/>
          <w:sz w:val="22"/>
          <w:szCs w:val="22"/>
          <w:lang w:val="sr-Latn-ME"/>
        </w:rPr>
        <w:t xml:space="preserve">efekti </w:t>
      </w:r>
      <w:r w:rsidRPr="00EF52A6">
        <w:rPr>
          <w:bCs/>
          <w:sz w:val="22"/>
          <w:szCs w:val="22"/>
          <w:lang w:val="sr-Latn-ME"/>
        </w:rPr>
        <w:t>(</w:t>
      </w:r>
      <w:r w:rsidR="007F4BF4" w:rsidRPr="00EF52A6">
        <w:rPr>
          <w:bCs/>
          <w:sz w:val="22"/>
          <w:szCs w:val="22"/>
          <w:lang w:val="sr-Latn-ME"/>
        </w:rPr>
        <w:t xml:space="preserve">engl. </w:t>
      </w:r>
      <w:r w:rsidR="007F4BF4" w:rsidRPr="00EF52A6">
        <w:rPr>
          <w:bCs/>
          <w:i/>
          <w:sz w:val="22"/>
          <w:szCs w:val="22"/>
          <w:lang w:val="sr-Latn-ME"/>
        </w:rPr>
        <w:t>no observed effect level</w:t>
      </w:r>
      <w:r w:rsidR="007F4BF4" w:rsidRPr="00EF52A6">
        <w:rPr>
          <w:bCs/>
          <w:sz w:val="22"/>
          <w:szCs w:val="22"/>
          <w:lang w:val="sr-Latn-ME"/>
        </w:rPr>
        <w:t xml:space="preserve">, </w:t>
      </w:r>
      <w:r w:rsidRPr="00EF52A6">
        <w:rPr>
          <w:bCs/>
          <w:sz w:val="22"/>
          <w:szCs w:val="22"/>
          <w:lang w:val="sr-Latn-ME"/>
        </w:rPr>
        <w:t>NOEL) bila je približno 27 puta veća od nivoa kliničke izloženosti slobodnom l</w:t>
      </w:r>
      <w:r w:rsidR="00C43653" w:rsidRPr="00EF52A6">
        <w:rPr>
          <w:bCs/>
          <w:sz w:val="22"/>
          <w:szCs w:val="22"/>
          <w:lang w:val="sr-Latn-ME"/>
        </w:rPr>
        <w:t>ij</w:t>
      </w:r>
      <w:r w:rsidRPr="00EF52A6">
        <w:rPr>
          <w:bCs/>
          <w:sz w:val="22"/>
          <w:szCs w:val="22"/>
          <w:lang w:val="sr-Latn-ME"/>
        </w:rPr>
        <w:t>eku koja se postiže prim</w:t>
      </w:r>
      <w:r w:rsidR="00C43653" w:rsidRPr="00EF52A6">
        <w:rPr>
          <w:bCs/>
          <w:sz w:val="22"/>
          <w:szCs w:val="22"/>
          <w:lang w:val="sr-Latn-ME"/>
        </w:rPr>
        <w:t>j</w:t>
      </w:r>
      <w:r w:rsidRPr="00EF52A6">
        <w:rPr>
          <w:bCs/>
          <w:sz w:val="22"/>
          <w:szCs w:val="22"/>
          <w:lang w:val="sr-Latn-ME"/>
        </w:rPr>
        <w:t>enom maksimalne preporučene doze kod ljudi od 25 mg/m</w:t>
      </w:r>
      <w:r w:rsidRPr="00EF52A6">
        <w:rPr>
          <w:bCs/>
          <w:sz w:val="22"/>
          <w:szCs w:val="22"/>
          <w:vertAlign w:val="superscript"/>
          <w:lang w:val="sr-Latn-ME"/>
        </w:rPr>
        <w:t>2</w:t>
      </w:r>
      <w:r w:rsidRPr="00EF52A6">
        <w:rPr>
          <w:bCs/>
          <w:sz w:val="22"/>
          <w:szCs w:val="22"/>
          <w:lang w:val="sr-Latn-ME"/>
        </w:rPr>
        <w:t>.</w:t>
      </w:r>
    </w:p>
    <w:p w14:paraId="449EB67B" w14:textId="77777777" w:rsidR="009C5288" w:rsidRPr="00EF52A6" w:rsidRDefault="009C5288" w:rsidP="00DF11F1">
      <w:pPr>
        <w:tabs>
          <w:tab w:val="left" w:pos="540"/>
          <w:tab w:val="left" w:pos="569"/>
        </w:tabs>
        <w:jc w:val="both"/>
        <w:rPr>
          <w:bCs/>
          <w:sz w:val="22"/>
          <w:szCs w:val="22"/>
          <w:lang w:val="sr-Latn-ME"/>
        </w:rPr>
      </w:pPr>
    </w:p>
    <w:p w14:paraId="17CB6CF8"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Kancerogenost</w:t>
      </w:r>
    </w:p>
    <w:p w14:paraId="7220293A" w14:textId="363F66B0"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 xml:space="preserve">Selumetinib nije bio kancerogen kod </w:t>
      </w:r>
      <w:r w:rsidR="00567FD1" w:rsidRPr="00EF52A6">
        <w:rPr>
          <w:bCs/>
          <w:sz w:val="22"/>
          <w:szCs w:val="22"/>
          <w:lang w:val="sr-Latn-ME"/>
        </w:rPr>
        <w:t xml:space="preserve">pacova </w:t>
      </w:r>
      <w:r w:rsidRPr="00EF52A6">
        <w:rPr>
          <w:bCs/>
          <w:sz w:val="22"/>
          <w:szCs w:val="22"/>
          <w:lang w:val="sr-Latn-ME"/>
        </w:rPr>
        <w:t>ni transgeničnih miševa.</w:t>
      </w:r>
    </w:p>
    <w:p w14:paraId="56DA8CAE" w14:textId="77777777" w:rsidR="009C5288" w:rsidRPr="00EF52A6" w:rsidRDefault="009C5288" w:rsidP="00DF11F1">
      <w:pPr>
        <w:tabs>
          <w:tab w:val="left" w:pos="540"/>
          <w:tab w:val="left" w:pos="569"/>
        </w:tabs>
        <w:jc w:val="both"/>
        <w:rPr>
          <w:bCs/>
          <w:sz w:val="22"/>
          <w:szCs w:val="22"/>
          <w:lang w:val="sr-Latn-ME"/>
        </w:rPr>
      </w:pPr>
    </w:p>
    <w:p w14:paraId="1953DDBC" w14:textId="6DDEE150"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Toksičnost nakon prim</w:t>
      </w:r>
      <w:r w:rsidR="00C43653" w:rsidRPr="00EF52A6">
        <w:rPr>
          <w:bCs/>
          <w:sz w:val="22"/>
          <w:szCs w:val="22"/>
          <w:u w:val="single"/>
          <w:lang w:val="sr-Latn-ME"/>
        </w:rPr>
        <w:t>j</w:t>
      </w:r>
      <w:r w:rsidRPr="00EF52A6">
        <w:rPr>
          <w:bCs/>
          <w:sz w:val="22"/>
          <w:szCs w:val="22"/>
          <w:u w:val="single"/>
          <w:lang w:val="sr-Latn-ME"/>
        </w:rPr>
        <w:t>ene ponovljenih doza</w:t>
      </w:r>
    </w:p>
    <w:p w14:paraId="416E25B3" w14:textId="5E8205DE"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 xml:space="preserve">U ispitivanjima toksičnosti ponovljenih doza na miševima, </w:t>
      </w:r>
      <w:r w:rsidR="00567FD1" w:rsidRPr="00EF52A6">
        <w:rPr>
          <w:bCs/>
          <w:sz w:val="22"/>
          <w:szCs w:val="22"/>
          <w:lang w:val="sr-Latn-ME"/>
        </w:rPr>
        <w:t xml:space="preserve">pacovima </w:t>
      </w:r>
      <w:r w:rsidRPr="00EF52A6">
        <w:rPr>
          <w:bCs/>
          <w:sz w:val="22"/>
          <w:szCs w:val="22"/>
          <w:lang w:val="sr-Latn-ME"/>
        </w:rPr>
        <w:t>i majmunima glavna dejstva zab</w:t>
      </w:r>
      <w:r w:rsidR="00C43653" w:rsidRPr="00EF52A6">
        <w:rPr>
          <w:bCs/>
          <w:sz w:val="22"/>
          <w:szCs w:val="22"/>
          <w:lang w:val="sr-Latn-ME"/>
        </w:rPr>
        <w:t>ilj</w:t>
      </w:r>
      <w:r w:rsidRPr="00EF52A6">
        <w:rPr>
          <w:bCs/>
          <w:sz w:val="22"/>
          <w:szCs w:val="22"/>
          <w:lang w:val="sr-Latn-ME"/>
        </w:rPr>
        <w:t xml:space="preserve">ežena nakon izlaganja selumetinibu bila su dejstva na kožu, gastrointestinalni sistem i kosti. Kod </w:t>
      </w:r>
      <w:r w:rsidR="00567FD1" w:rsidRPr="00EF52A6">
        <w:rPr>
          <w:bCs/>
          <w:sz w:val="22"/>
          <w:szCs w:val="22"/>
          <w:lang w:val="sr-Latn-ME"/>
        </w:rPr>
        <w:t xml:space="preserve">pacova </w:t>
      </w:r>
      <w:r w:rsidRPr="00EF52A6">
        <w:rPr>
          <w:bCs/>
          <w:sz w:val="22"/>
          <w:szCs w:val="22"/>
          <w:lang w:val="sr-Latn-ME"/>
        </w:rPr>
        <w:t>su zab</w:t>
      </w:r>
      <w:r w:rsidR="00C43653" w:rsidRPr="00EF52A6">
        <w:rPr>
          <w:bCs/>
          <w:sz w:val="22"/>
          <w:szCs w:val="22"/>
          <w:lang w:val="sr-Latn-ME"/>
        </w:rPr>
        <w:t>ilj</w:t>
      </w:r>
      <w:r w:rsidRPr="00EF52A6">
        <w:rPr>
          <w:bCs/>
          <w:sz w:val="22"/>
          <w:szCs w:val="22"/>
          <w:lang w:val="sr-Latn-ME"/>
        </w:rPr>
        <w:t>ežene kraste praćene mikroskopskim erozijama i ulceracijama pri nivou izloženosti slobodnom l</w:t>
      </w:r>
      <w:r w:rsidR="00C43653" w:rsidRPr="00EF52A6">
        <w:rPr>
          <w:bCs/>
          <w:sz w:val="22"/>
          <w:szCs w:val="22"/>
          <w:lang w:val="sr-Latn-ME"/>
        </w:rPr>
        <w:t>ij</w:t>
      </w:r>
      <w:r w:rsidRPr="00EF52A6">
        <w:rPr>
          <w:bCs/>
          <w:sz w:val="22"/>
          <w:szCs w:val="22"/>
          <w:lang w:val="sr-Latn-ME"/>
        </w:rPr>
        <w:t>eku sličnom kliničkom nivou izloženosti (AUC slobodnog l</w:t>
      </w:r>
      <w:r w:rsidR="00C43653" w:rsidRPr="00EF52A6">
        <w:rPr>
          <w:bCs/>
          <w:sz w:val="22"/>
          <w:szCs w:val="22"/>
          <w:lang w:val="sr-Latn-ME"/>
        </w:rPr>
        <w:t>ij</w:t>
      </w:r>
      <w:r w:rsidRPr="00EF52A6">
        <w:rPr>
          <w:bCs/>
          <w:sz w:val="22"/>
          <w:szCs w:val="22"/>
          <w:lang w:val="sr-Latn-ME"/>
        </w:rPr>
        <w:t>eka) koj</w:t>
      </w:r>
      <w:r w:rsidR="00567FD1" w:rsidRPr="00EF52A6">
        <w:rPr>
          <w:bCs/>
          <w:sz w:val="22"/>
          <w:szCs w:val="22"/>
          <w:lang w:val="sr-Latn-ME"/>
        </w:rPr>
        <w:t>i</w:t>
      </w:r>
      <w:r w:rsidRPr="00EF52A6">
        <w:rPr>
          <w:bCs/>
          <w:sz w:val="22"/>
          <w:szCs w:val="22"/>
          <w:lang w:val="sr-Latn-ME"/>
        </w:rPr>
        <w:t xml:space="preserve"> se postiže maksimalnom preporučenom dozom kod ljudi. Kod miševa su zab</w:t>
      </w:r>
      <w:r w:rsidR="00C43653" w:rsidRPr="00EF52A6">
        <w:rPr>
          <w:bCs/>
          <w:sz w:val="22"/>
          <w:szCs w:val="22"/>
          <w:lang w:val="sr-Latn-ME"/>
        </w:rPr>
        <w:t>ilj</w:t>
      </w:r>
      <w:r w:rsidRPr="00EF52A6">
        <w:rPr>
          <w:bCs/>
          <w:sz w:val="22"/>
          <w:szCs w:val="22"/>
          <w:lang w:val="sr-Latn-ME"/>
        </w:rPr>
        <w:t>eženi upalni i ulcerozni nalazi u gastrointestinalnom sistemu praćeni sekundarnim prom</w:t>
      </w:r>
      <w:r w:rsidR="00C43653" w:rsidRPr="00EF52A6">
        <w:rPr>
          <w:bCs/>
          <w:sz w:val="22"/>
          <w:szCs w:val="22"/>
          <w:lang w:val="sr-Latn-ME"/>
        </w:rPr>
        <w:t>j</w:t>
      </w:r>
      <w:r w:rsidRPr="00EF52A6">
        <w:rPr>
          <w:bCs/>
          <w:sz w:val="22"/>
          <w:szCs w:val="22"/>
          <w:lang w:val="sr-Latn-ME"/>
        </w:rPr>
        <w:t>enama u jetri i limforetikularnom sistemu pri nivoima izloženosti slobodnom l</w:t>
      </w:r>
      <w:r w:rsidR="00C43653" w:rsidRPr="00EF52A6">
        <w:rPr>
          <w:bCs/>
          <w:sz w:val="22"/>
          <w:szCs w:val="22"/>
          <w:lang w:val="sr-Latn-ME"/>
        </w:rPr>
        <w:t>ij</w:t>
      </w:r>
      <w:r w:rsidRPr="00EF52A6">
        <w:rPr>
          <w:bCs/>
          <w:sz w:val="22"/>
          <w:szCs w:val="22"/>
          <w:lang w:val="sr-Latn-ME"/>
        </w:rPr>
        <w:t xml:space="preserve">eku približno 28 puta većim od kliničkog nivoa izloženosti slobodnom </w:t>
      </w:r>
      <w:r w:rsidRPr="00EF52A6">
        <w:rPr>
          <w:bCs/>
          <w:sz w:val="22"/>
          <w:szCs w:val="22"/>
          <w:lang w:val="sr-Latn-ME"/>
        </w:rPr>
        <w:lastRenderedPageBreak/>
        <w:t>l</w:t>
      </w:r>
      <w:r w:rsidR="00C43653" w:rsidRPr="00EF52A6">
        <w:rPr>
          <w:bCs/>
          <w:sz w:val="22"/>
          <w:szCs w:val="22"/>
          <w:lang w:val="sr-Latn-ME"/>
        </w:rPr>
        <w:t>ij</w:t>
      </w:r>
      <w:r w:rsidRPr="00EF52A6">
        <w:rPr>
          <w:bCs/>
          <w:sz w:val="22"/>
          <w:szCs w:val="22"/>
          <w:lang w:val="sr-Latn-ME"/>
        </w:rPr>
        <w:t>eku koj</w:t>
      </w:r>
      <w:r w:rsidR="00567FD1" w:rsidRPr="00EF52A6">
        <w:rPr>
          <w:bCs/>
          <w:sz w:val="22"/>
          <w:szCs w:val="22"/>
          <w:lang w:val="sr-Latn-ME"/>
        </w:rPr>
        <w:t>i</w:t>
      </w:r>
      <w:r w:rsidRPr="00EF52A6">
        <w:rPr>
          <w:bCs/>
          <w:sz w:val="22"/>
          <w:szCs w:val="22"/>
          <w:lang w:val="sr-Latn-ME"/>
        </w:rPr>
        <w:t xml:space="preserve"> se postiže maksimalnom preporučenom dozom kod ljudi. Kod mužjaka </w:t>
      </w:r>
      <w:r w:rsidR="00567FD1" w:rsidRPr="00EF52A6">
        <w:rPr>
          <w:bCs/>
          <w:sz w:val="22"/>
          <w:szCs w:val="22"/>
          <w:lang w:val="sr-Latn-ME"/>
        </w:rPr>
        <w:t xml:space="preserve">pacova </w:t>
      </w:r>
      <w:r w:rsidRPr="00EF52A6">
        <w:rPr>
          <w:bCs/>
          <w:sz w:val="22"/>
          <w:szCs w:val="22"/>
          <w:lang w:val="sr-Latn-ME"/>
        </w:rPr>
        <w:t>koji su primali selumetinib tokom perioda do 3 m</w:t>
      </w:r>
      <w:r w:rsidR="00C43653" w:rsidRPr="00EF52A6">
        <w:rPr>
          <w:bCs/>
          <w:sz w:val="22"/>
          <w:szCs w:val="22"/>
          <w:lang w:val="sr-Latn-ME"/>
        </w:rPr>
        <w:t>j</w:t>
      </w:r>
      <w:r w:rsidRPr="00EF52A6">
        <w:rPr>
          <w:bCs/>
          <w:sz w:val="22"/>
          <w:szCs w:val="22"/>
          <w:lang w:val="sr-Latn-ME"/>
        </w:rPr>
        <w:t>eseca zab</w:t>
      </w:r>
      <w:r w:rsidR="00C43653" w:rsidRPr="00EF52A6">
        <w:rPr>
          <w:bCs/>
          <w:sz w:val="22"/>
          <w:szCs w:val="22"/>
          <w:lang w:val="sr-Latn-ME"/>
        </w:rPr>
        <w:t>ilj</w:t>
      </w:r>
      <w:r w:rsidRPr="00EF52A6">
        <w:rPr>
          <w:bCs/>
          <w:sz w:val="22"/>
          <w:szCs w:val="22"/>
          <w:lang w:val="sr-Latn-ME"/>
        </w:rPr>
        <w:t>ežena je displazija epifizne ploče (fize) pri nivoima izloženosti slobodnom l</w:t>
      </w:r>
      <w:r w:rsidR="00C43653" w:rsidRPr="00EF52A6">
        <w:rPr>
          <w:bCs/>
          <w:sz w:val="22"/>
          <w:szCs w:val="22"/>
          <w:lang w:val="sr-Latn-ME"/>
        </w:rPr>
        <w:t>ij</w:t>
      </w:r>
      <w:r w:rsidRPr="00EF52A6">
        <w:rPr>
          <w:bCs/>
          <w:sz w:val="22"/>
          <w:szCs w:val="22"/>
          <w:lang w:val="sr-Latn-ME"/>
        </w:rPr>
        <w:t>eku 11 puta većim od kliničkog nivoa izloženosti slobodnom l</w:t>
      </w:r>
      <w:r w:rsidR="00C43653" w:rsidRPr="00EF52A6">
        <w:rPr>
          <w:bCs/>
          <w:sz w:val="22"/>
          <w:szCs w:val="22"/>
          <w:lang w:val="sr-Latn-ME"/>
        </w:rPr>
        <w:t>ij</w:t>
      </w:r>
      <w:r w:rsidRPr="00EF52A6">
        <w:rPr>
          <w:bCs/>
          <w:sz w:val="22"/>
          <w:szCs w:val="22"/>
          <w:lang w:val="sr-Latn-ME"/>
        </w:rPr>
        <w:t>eku pri maksimalnoj preporučenoj dozi kod ljudi.</w:t>
      </w:r>
    </w:p>
    <w:p w14:paraId="39A92AE8" w14:textId="6E3D59E6"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Gastrointestinalni nalazi pokazali su dokaze o reverzibilnosti nakon perioda oporavka. Reverzibilnost toksičnih dejstava na kožu i displazije fize nije proc</w:t>
      </w:r>
      <w:r w:rsidR="00C43653" w:rsidRPr="00EF52A6">
        <w:rPr>
          <w:bCs/>
          <w:sz w:val="22"/>
          <w:szCs w:val="22"/>
          <w:lang w:val="sr-Latn-ME"/>
        </w:rPr>
        <w:t>ij</w:t>
      </w:r>
      <w:r w:rsidRPr="00EF52A6">
        <w:rPr>
          <w:bCs/>
          <w:sz w:val="22"/>
          <w:szCs w:val="22"/>
          <w:lang w:val="sr-Latn-ME"/>
        </w:rPr>
        <w:t>enjena. U 26-ned</w:t>
      </w:r>
      <w:r w:rsidR="00567FD1" w:rsidRPr="00EF52A6">
        <w:rPr>
          <w:bCs/>
          <w:sz w:val="22"/>
          <w:szCs w:val="22"/>
          <w:lang w:val="sr-Latn-ME"/>
        </w:rPr>
        <w:t>j</w:t>
      </w:r>
      <w:r w:rsidRPr="00EF52A6">
        <w:rPr>
          <w:bCs/>
          <w:sz w:val="22"/>
          <w:szCs w:val="22"/>
          <w:lang w:val="sr-Latn-ME"/>
        </w:rPr>
        <w:t>eljnom ispitivanju na mužjacima miševa kojima je davana doza od 40 mg/kg dnevno (izloženost 28 puta veća od AUC slobodnog l</w:t>
      </w:r>
      <w:r w:rsidR="00C43653" w:rsidRPr="00EF52A6">
        <w:rPr>
          <w:bCs/>
          <w:sz w:val="22"/>
          <w:szCs w:val="22"/>
          <w:lang w:val="sr-Latn-ME"/>
        </w:rPr>
        <w:t>ij</w:t>
      </w:r>
      <w:r w:rsidRPr="00EF52A6">
        <w:rPr>
          <w:bCs/>
          <w:sz w:val="22"/>
          <w:szCs w:val="22"/>
          <w:lang w:val="sr-Latn-ME"/>
        </w:rPr>
        <w:t>eka koja se postiže maksimalnom preporučenom dozom kod ljudi) zab</w:t>
      </w:r>
      <w:r w:rsidR="00C43653" w:rsidRPr="00EF52A6">
        <w:rPr>
          <w:bCs/>
          <w:sz w:val="22"/>
          <w:szCs w:val="22"/>
          <w:lang w:val="sr-Latn-ME"/>
        </w:rPr>
        <w:t>ilj</w:t>
      </w:r>
      <w:r w:rsidRPr="00EF52A6">
        <w:rPr>
          <w:bCs/>
          <w:sz w:val="22"/>
          <w:szCs w:val="22"/>
          <w:lang w:val="sr-Latn-ME"/>
        </w:rPr>
        <w:t>ežen je povećan protok krvi kroz žile kavernoznog t</w:t>
      </w:r>
      <w:r w:rsidR="00C43653" w:rsidRPr="00EF52A6">
        <w:rPr>
          <w:bCs/>
          <w:sz w:val="22"/>
          <w:szCs w:val="22"/>
          <w:lang w:val="sr-Latn-ME"/>
        </w:rPr>
        <w:t>ij</w:t>
      </w:r>
      <w:r w:rsidRPr="00EF52A6">
        <w:rPr>
          <w:bCs/>
          <w:sz w:val="22"/>
          <w:szCs w:val="22"/>
          <w:lang w:val="sr-Latn-ME"/>
        </w:rPr>
        <w:t>ela u bulbokavernoznom mišiću, koji je uzrokovao značajnu opstrukciju mokraćnih puteva i upalu i krvarenje lumena uretre, što je dovelo do pr</w:t>
      </w:r>
      <w:r w:rsidR="00C43653" w:rsidRPr="00EF52A6">
        <w:rPr>
          <w:bCs/>
          <w:sz w:val="22"/>
          <w:szCs w:val="22"/>
          <w:lang w:val="sr-Latn-ME"/>
        </w:rPr>
        <w:t>ij</w:t>
      </w:r>
      <w:r w:rsidRPr="00EF52A6">
        <w:rPr>
          <w:bCs/>
          <w:sz w:val="22"/>
          <w:szCs w:val="22"/>
          <w:lang w:val="sr-Latn-ME"/>
        </w:rPr>
        <w:t>evremene smrti mužjaka miševa.</w:t>
      </w:r>
    </w:p>
    <w:p w14:paraId="29DFC8D2" w14:textId="77777777" w:rsidR="009C5288" w:rsidRPr="00EF52A6" w:rsidRDefault="009C5288" w:rsidP="00DF11F1">
      <w:pPr>
        <w:tabs>
          <w:tab w:val="left" w:pos="540"/>
          <w:tab w:val="left" w:pos="569"/>
        </w:tabs>
        <w:jc w:val="both"/>
        <w:rPr>
          <w:bCs/>
          <w:sz w:val="22"/>
          <w:szCs w:val="22"/>
          <w:lang w:val="sr-Latn-ME"/>
        </w:rPr>
      </w:pPr>
    </w:p>
    <w:p w14:paraId="0927DF28" w14:textId="77777777" w:rsidR="009C5288" w:rsidRPr="00EF52A6" w:rsidRDefault="009C5288" w:rsidP="00DF11F1">
      <w:pPr>
        <w:tabs>
          <w:tab w:val="left" w:pos="540"/>
          <w:tab w:val="left" w:pos="569"/>
        </w:tabs>
        <w:jc w:val="both"/>
        <w:rPr>
          <w:bCs/>
          <w:sz w:val="22"/>
          <w:szCs w:val="22"/>
          <w:lang w:val="sr-Latn-ME"/>
        </w:rPr>
      </w:pPr>
      <w:r w:rsidRPr="00EF52A6">
        <w:rPr>
          <w:bCs/>
          <w:sz w:val="22"/>
          <w:szCs w:val="22"/>
          <w:u w:val="single"/>
          <w:lang w:val="sr-Latn-ME"/>
        </w:rPr>
        <w:t>Reproduktivna toksikologija</w:t>
      </w:r>
    </w:p>
    <w:p w14:paraId="51411D3F" w14:textId="5588F799"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Sprovedena su ispitivanja razvojne i reproduktivne toksičnosti na miševima. Kod mužjaka miševa ni</w:t>
      </w:r>
      <w:r w:rsidR="00C43653" w:rsidRPr="00EF52A6">
        <w:rPr>
          <w:bCs/>
          <w:sz w:val="22"/>
          <w:szCs w:val="22"/>
          <w:lang w:val="sr-Latn-ME"/>
        </w:rPr>
        <w:t>je</w:t>
      </w:r>
      <w:r w:rsidRPr="00EF52A6">
        <w:rPr>
          <w:bCs/>
          <w:sz w:val="22"/>
          <w:szCs w:val="22"/>
          <w:lang w:val="sr-Latn-ME"/>
        </w:rPr>
        <w:t>su zab</w:t>
      </w:r>
      <w:r w:rsidR="00C43653" w:rsidRPr="00EF52A6">
        <w:rPr>
          <w:bCs/>
          <w:sz w:val="22"/>
          <w:szCs w:val="22"/>
          <w:lang w:val="sr-Latn-ME"/>
        </w:rPr>
        <w:t>ilj</w:t>
      </w:r>
      <w:r w:rsidRPr="00EF52A6">
        <w:rPr>
          <w:bCs/>
          <w:sz w:val="22"/>
          <w:szCs w:val="22"/>
          <w:lang w:val="sr-Latn-ME"/>
        </w:rPr>
        <w:t>ežena dejstva na plodnost pri dozama do 40 mg/kg dnevno (kojima se postiže izloženost 22 puta veća od AUC slobodnog l</w:t>
      </w:r>
      <w:r w:rsidR="00C43653" w:rsidRPr="00EF52A6">
        <w:rPr>
          <w:bCs/>
          <w:sz w:val="22"/>
          <w:szCs w:val="22"/>
          <w:lang w:val="sr-Latn-ME"/>
        </w:rPr>
        <w:t>ij</w:t>
      </w:r>
      <w:r w:rsidRPr="00EF52A6">
        <w:rPr>
          <w:bCs/>
          <w:sz w:val="22"/>
          <w:szCs w:val="22"/>
          <w:lang w:val="sr-Latn-ME"/>
        </w:rPr>
        <w:t>eka pri maksimalnoj preporučenoj dozi kod ljudi). Kod ženki nije zab</w:t>
      </w:r>
      <w:r w:rsidR="00C43653" w:rsidRPr="00EF52A6">
        <w:rPr>
          <w:bCs/>
          <w:sz w:val="22"/>
          <w:szCs w:val="22"/>
          <w:lang w:val="sr-Latn-ME"/>
        </w:rPr>
        <w:t>ilj</w:t>
      </w:r>
      <w:r w:rsidRPr="00EF52A6">
        <w:rPr>
          <w:bCs/>
          <w:sz w:val="22"/>
          <w:szCs w:val="22"/>
          <w:lang w:val="sr-Latn-ME"/>
        </w:rPr>
        <w:t>ežen uticaj na usp</w:t>
      </w:r>
      <w:r w:rsidR="00C43653" w:rsidRPr="00EF52A6">
        <w:rPr>
          <w:bCs/>
          <w:sz w:val="22"/>
          <w:szCs w:val="22"/>
          <w:lang w:val="sr-Latn-ME"/>
        </w:rPr>
        <w:t>j</w:t>
      </w:r>
      <w:r w:rsidRPr="00EF52A6">
        <w:rPr>
          <w:bCs/>
          <w:sz w:val="22"/>
          <w:szCs w:val="22"/>
          <w:lang w:val="sr-Latn-ME"/>
        </w:rPr>
        <w:t xml:space="preserve">ešnost parenja i plodnost pri dozama do 75 mg/kg dnevno, ali je došlo do reverzibilnog smanjenja broja živih plodova pri tom nivou doze; </w:t>
      </w:r>
      <w:r w:rsidR="00567FD1" w:rsidRPr="00EF52A6">
        <w:rPr>
          <w:bCs/>
          <w:sz w:val="22"/>
          <w:szCs w:val="22"/>
          <w:lang w:val="sr-Latn-ME"/>
        </w:rPr>
        <w:t xml:space="preserve">nivo izloženosti pri kojem nijesu zabilježeni štetni efekti (engl. </w:t>
      </w:r>
      <w:r w:rsidR="00567FD1" w:rsidRPr="00EF52A6">
        <w:rPr>
          <w:bCs/>
          <w:i/>
          <w:sz w:val="22"/>
          <w:szCs w:val="22"/>
          <w:lang w:val="sr-Latn-ME"/>
        </w:rPr>
        <w:t>no observed adverse effect level</w:t>
      </w:r>
      <w:r w:rsidR="00567FD1" w:rsidRPr="00EF52A6">
        <w:rPr>
          <w:bCs/>
          <w:sz w:val="22"/>
          <w:szCs w:val="22"/>
          <w:lang w:val="sr-Latn-ME"/>
        </w:rPr>
        <w:t xml:space="preserve">, </w:t>
      </w:r>
      <w:r w:rsidRPr="00EF52A6">
        <w:rPr>
          <w:bCs/>
          <w:sz w:val="22"/>
          <w:szCs w:val="22"/>
          <w:lang w:val="sr-Latn-ME"/>
        </w:rPr>
        <w:t>NOAEL</w:t>
      </w:r>
      <w:r w:rsidR="00567FD1" w:rsidRPr="00EF52A6">
        <w:rPr>
          <w:bCs/>
          <w:sz w:val="22"/>
          <w:szCs w:val="22"/>
          <w:lang w:val="sr-Latn-ME"/>
        </w:rPr>
        <w:t>)</w:t>
      </w:r>
      <w:r w:rsidRPr="00EF52A6">
        <w:rPr>
          <w:bCs/>
          <w:sz w:val="22"/>
          <w:szCs w:val="22"/>
          <w:lang w:val="sr-Latn-ME"/>
        </w:rPr>
        <w:t xml:space="preserve"> u smislu reproduktivne sposobnosti iznosila je 5 mg/kg dnevno (izloženost približno 3,5 puta veća od AUC slobodnog l</w:t>
      </w:r>
      <w:r w:rsidR="00C43653" w:rsidRPr="00EF52A6">
        <w:rPr>
          <w:bCs/>
          <w:sz w:val="22"/>
          <w:szCs w:val="22"/>
          <w:lang w:val="sr-Latn-ME"/>
        </w:rPr>
        <w:t>ij</w:t>
      </w:r>
      <w:r w:rsidRPr="00EF52A6">
        <w:rPr>
          <w:bCs/>
          <w:sz w:val="22"/>
          <w:szCs w:val="22"/>
          <w:lang w:val="sr-Latn-ME"/>
        </w:rPr>
        <w:t>eka pri maksimalnoj preporučenoj dozi kod ljudi). U ispitivanjima embriofetalnog razvoja pri dozi od &gt; 5 mg/kg na dan i u ispitivanjima prenatalnog i postnatalnog razvoja pri dozi od</w:t>
      </w:r>
      <w:r w:rsidR="00C43653" w:rsidRPr="00EF52A6">
        <w:rPr>
          <w:bCs/>
          <w:sz w:val="22"/>
          <w:szCs w:val="22"/>
          <w:lang w:val="sr-Latn-ME"/>
        </w:rPr>
        <w:t xml:space="preserve"> </w:t>
      </w:r>
      <w:r w:rsidRPr="00EF52A6">
        <w:rPr>
          <w:bCs/>
          <w:sz w:val="22"/>
          <w:szCs w:val="22"/>
          <w:lang w:val="sr-Latn-ME"/>
        </w:rPr>
        <w:t>≥ 1 mg/kg na dan (kojom se postiže koncentracija koja odgovara 40% vr</w:t>
      </w:r>
      <w:r w:rsidR="00C43653" w:rsidRPr="00EF52A6">
        <w:rPr>
          <w:bCs/>
          <w:sz w:val="22"/>
          <w:szCs w:val="22"/>
          <w:lang w:val="sr-Latn-ME"/>
        </w:rPr>
        <w:t>ij</w:t>
      </w:r>
      <w:r w:rsidRPr="00EF52A6">
        <w:rPr>
          <w:bCs/>
          <w:sz w:val="22"/>
          <w:szCs w:val="22"/>
          <w:lang w:val="sr-Latn-ME"/>
        </w:rPr>
        <w:t>ednosti C</w:t>
      </w:r>
      <w:r w:rsidRPr="00EF52A6">
        <w:rPr>
          <w:bCs/>
          <w:sz w:val="22"/>
          <w:szCs w:val="22"/>
          <w:vertAlign w:val="subscript"/>
          <w:lang w:val="sr-Latn-ME"/>
        </w:rPr>
        <w:t>max</w:t>
      </w:r>
      <w:r w:rsidRPr="00EF52A6">
        <w:rPr>
          <w:bCs/>
          <w:sz w:val="22"/>
          <w:szCs w:val="22"/>
          <w:lang w:val="sr-Latn-ME"/>
        </w:rPr>
        <w:t xml:space="preserve"> slobodnog l</w:t>
      </w:r>
      <w:r w:rsidR="00C43653" w:rsidRPr="00EF52A6">
        <w:rPr>
          <w:bCs/>
          <w:sz w:val="22"/>
          <w:szCs w:val="22"/>
          <w:lang w:val="sr-Latn-ME"/>
        </w:rPr>
        <w:t>ij</w:t>
      </w:r>
      <w:r w:rsidRPr="00EF52A6">
        <w:rPr>
          <w:bCs/>
          <w:sz w:val="22"/>
          <w:szCs w:val="22"/>
          <w:lang w:val="sr-Latn-ME"/>
        </w:rPr>
        <w:t xml:space="preserve">eka pri maksimalnoj preporučenoj dozi kod ljudi) prijavljeno je povećanje incidence eksternih malformacija </w:t>
      </w:r>
      <w:r w:rsidR="00567FD1" w:rsidRPr="00EF52A6">
        <w:rPr>
          <w:bCs/>
          <w:sz w:val="22"/>
          <w:szCs w:val="22"/>
          <w:lang w:val="sr-Latn-ME"/>
        </w:rPr>
        <w:t xml:space="preserve">povezano sa liječenjem </w:t>
      </w:r>
      <w:r w:rsidRPr="00EF52A6">
        <w:rPr>
          <w:bCs/>
          <w:sz w:val="22"/>
          <w:szCs w:val="22"/>
          <w:lang w:val="sr-Latn-ME"/>
        </w:rPr>
        <w:t xml:space="preserve">(otvoreno oko, rascep nepca), bez toksičnih </w:t>
      </w:r>
      <w:r w:rsidR="00567FD1" w:rsidRPr="00EF52A6">
        <w:rPr>
          <w:bCs/>
          <w:sz w:val="22"/>
          <w:szCs w:val="22"/>
          <w:lang w:val="sr-Latn-ME"/>
        </w:rPr>
        <w:t xml:space="preserve">efekata </w:t>
      </w:r>
      <w:r w:rsidRPr="00EF52A6">
        <w:rPr>
          <w:bCs/>
          <w:sz w:val="22"/>
          <w:szCs w:val="22"/>
          <w:lang w:val="sr-Latn-ME"/>
        </w:rPr>
        <w:t>na majku. Druga dejstva povezana sa l</w:t>
      </w:r>
      <w:r w:rsidR="00C43653" w:rsidRPr="00EF52A6">
        <w:rPr>
          <w:bCs/>
          <w:sz w:val="22"/>
          <w:szCs w:val="22"/>
          <w:lang w:val="sr-Latn-ME"/>
        </w:rPr>
        <w:t>ij</w:t>
      </w:r>
      <w:r w:rsidRPr="00EF52A6">
        <w:rPr>
          <w:bCs/>
          <w:sz w:val="22"/>
          <w:szCs w:val="22"/>
          <w:lang w:val="sr-Latn-ME"/>
        </w:rPr>
        <w:t>ečenjem koja su zab</w:t>
      </w:r>
      <w:r w:rsidR="00C43653" w:rsidRPr="00EF52A6">
        <w:rPr>
          <w:bCs/>
          <w:sz w:val="22"/>
          <w:szCs w:val="22"/>
          <w:lang w:val="sr-Latn-ME"/>
        </w:rPr>
        <w:t>ilj</w:t>
      </w:r>
      <w:r w:rsidRPr="00EF52A6">
        <w:rPr>
          <w:bCs/>
          <w:sz w:val="22"/>
          <w:szCs w:val="22"/>
          <w:lang w:val="sr-Latn-ME"/>
        </w:rPr>
        <w:t>ežena u</w:t>
      </w:r>
      <w:r w:rsidR="00C43653" w:rsidRPr="00EF52A6">
        <w:rPr>
          <w:bCs/>
          <w:sz w:val="22"/>
          <w:szCs w:val="22"/>
          <w:lang w:val="sr-Latn-ME"/>
        </w:rPr>
        <w:t xml:space="preserve"> </w:t>
      </w:r>
      <w:r w:rsidRPr="00EF52A6">
        <w:rPr>
          <w:bCs/>
          <w:sz w:val="22"/>
          <w:szCs w:val="22"/>
          <w:lang w:val="sr-Latn-ME"/>
        </w:rPr>
        <w:t>tim ispitivanjima pri nivoima doze koji ni</w:t>
      </w:r>
      <w:r w:rsidR="00567FD1" w:rsidRPr="00EF52A6">
        <w:rPr>
          <w:bCs/>
          <w:sz w:val="22"/>
          <w:szCs w:val="22"/>
          <w:lang w:val="sr-Latn-ME"/>
        </w:rPr>
        <w:t>je</w:t>
      </w:r>
      <w:r w:rsidRPr="00EF52A6">
        <w:rPr>
          <w:bCs/>
          <w:sz w:val="22"/>
          <w:szCs w:val="22"/>
          <w:lang w:val="sr-Latn-ME"/>
        </w:rPr>
        <w:t>su bili toksični za majku uključivali su smrt embriona i smanjenu t</w:t>
      </w:r>
      <w:r w:rsidR="00C43653" w:rsidRPr="00EF52A6">
        <w:rPr>
          <w:bCs/>
          <w:sz w:val="22"/>
          <w:szCs w:val="22"/>
          <w:lang w:val="sr-Latn-ME"/>
        </w:rPr>
        <w:t>j</w:t>
      </w:r>
      <w:r w:rsidRPr="00EF52A6">
        <w:rPr>
          <w:bCs/>
          <w:sz w:val="22"/>
          <w:szCs w:val="22"/>
          <w:lang w:val="sr-Latn-ME"/>
        </w:rPr>
        <w:t>elesnu masu ploda pri dozi od ≥ 25 mg/kg dnevno (kojom se postiže izloženost 22 puta veća od AUC slobodnog l</w:t>
      </w:r>
      <w:r w:rsidR="00C43653" w:rsidRPr="00EF52A6">
        <w:rPr>
          <w:bCs/>
          <w:sz w:val="22"/>
          <w:szCs w:val="22"/>
          <w:lang w:val="sr-Latn-ME"/>
        </w:rPr>
        <w:t>ij</w:t>
      </w:r>
      <w:r w:rsidRPr="00EF52A6">
        <w:rPr>
          <w:bCs/>
          <w:sz w:val="22"/>
          <w:szCs w:val="22"/>
          <w:lang w:val="sr-Latn-ME"/>
        </w:rPr>
        <w:t>eka pri maksimalnoj preporučenoj dozi kod ljudi), smanjen postnatalni rast mladunčadi i manji broj mladunaca koji su pri prestanku sisanja ispunjavali kriterijume za suženje zenica pri dozi od 15 mg/kg dnevno (kojom se postiže koncentracija 3,6 puta veća od C</w:t>
      </w:r>
      <w:r w:rsidRPr="00EF52A6">
        <w:rPr>
          <w:bCs/>
          <w:sz w:val="22"/>
          <w:szCs w:val="22"/>
          <w:vertAlign w:val="subscript"/>
          <w:lang w:val="sr-Latn-ME"/>
        </w:rPr>
        <w:t>max</w:t>
      </w:r>
      <w:r w:rsidRPr="00EF52A6">
        <w:rPr>
          <w:bCs/>
          <w:sz w:val="22"/>
          <w:szCs w:val="22"/>
          <w:lang w:val="sr-Latn-ME"/>
        </w:rPr>
        <w:t xml:space="preserve"> slobodnog l</w:t>
      </w:r>
      <w:r w:rsidR="00C43653" w:rsidRPr="00EF52A6">
        <w:rPr>
          <w:bCs/>
          <w:sz w:val="22"/>
          <w:szCs w:val="22"/>
          <w:lang w:val="sr-Latn-ME"/>
        </w:rPr>
        <w:t>ij</w:t>
      </w:r>
      <w:r w:rsidRPr="00EF52A6">
        <w:rPr>
          <w:bCs/>
          <w:sz w:val="22"/>
          <w:szCs w:val="22"/>
          <w:lang w:val="sr-Latn-ME"/>
        </w:rPr>
        <w:t>eka pri maksimalnoj preporučenoj dozi kod ljudi).</w:t>
      </w:r>
    </w:p>
    <w:p w14:paraId="4A0BEDCD" w14:textId="0C588D09" w:rsidR="009C5288" w:rsidRPr="00EF52A6" w:rsidRDefault="009C5288" w:rsidP="00DF11F1">
      <w:pPr>
        <w:tabs>
          <w:tab w:val="left" w:pos="540"/>
          <w:tab w:val="left" w:pos="569"/>
        </w:tabs>
        <w:jc w:val="both"/>
        <w:rPr>
          <w:bCs/>
          <w:sz w:val="22"/>
          <w:szCs w:val="22"/>
          <w:lang w:val="sr-Latn-ME"/>
        </w:rPr>
      </w:pPr>
      <w:r w:rsidRPr="00EF52A6">
        <w:rPr>
          <w:bCs/>
          <w:sz w:val="22"/>
          <w:szCs w:val="22"/>
          <w:lang w:val="sr-Latn-ME"/>
        </w:rPr>
        <w:t>Selumetinib i njegov aktivni metabolit izlučivali su se u ml</w:t>
      </w:r>
      <w:r w:rsidR="00C43653" w:rsidRPr="00EF52A6">
        <w:rPr>
          <w:bCs/>
          <w:sz w:val="22"/>
          <w:szCs w:val="22"/>
          <w:lang w:val="sr-Latn-ME"/>
        </w:rPr>
        <w:t>ij</w:t>
      </w:r>
      <w:r w:rsidRPr="00EF52A6">
        <w:rPr>
          <w:bCs/>
          <w:sz w:val="22"/>
          <w:szCs w:val="22"/>
          <w:lang w:val="sr-Latn-ME"/>
        </w:rPr>
        <w:t>eko ženki miševa u laktaciji u koncentracijama približno jednakim onima u plazmi.</w:t>
      </w:r>
    </w:p>
    <w:p w14:paraId="53EFC220" w14:textId="72EABC01" w:rsidR="00396DFD" w:rsidRPr="00EF52A6" w:rsidRDefault="00396DFD" w:rsidP="00480FB1">
      <w:pPr>
        <w:tabs>
          <w:tab w:val="left" w:pos="540"/>
          <w:tab w:val="left" w:pos="569"/>
        </w:tabs>
        <w:rPr>
          <w:b/>
          <w:bCs/>
          <w:sz w:val="22"/>
          <w:szCs w:val="22"/>
          <w:lang w:val="sr-Latn-ME"/>
        </w:rPr>
      </w:pPr>
    </w:p>
    <w:p w14:paraId="323B6D52" w14:textId="77777777" w:rsidR="00EF7810" w:rsidRPr="00EF52A6" w:rsidRDefault="00EF7810" w:rsidP="00480FB1">
      <w:pPr>
        <w:tabs>
          <w:tab w:val="left" w:pos="540"/>
          <w:tab w:val="left" w:pos="569"/>
        </w:tabs>
        <w:rPr>
          <w:b/>
          <w:bCs/>
          <w:sz w:val="22"/>
          <w:szCs w:val="22"/>
          <w:lang w:val="sr-Latn-ME"/>
        </w:rPr>
      </w:pPr>
    </w:p>
    <w:p w14:paraId="2FF7260F"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6. </w:t>
      </w:r>
      <w:r w:rsidR="00480FB1" w:rsidRPr="00EF52A6">
        <w:rPr>
          <w:b/>
          <w:bCs/>
          <w:sz w:val="22"/>
          <w:szCs w:val="22"/>
          <w:lang w:val="sr-Latn-ME"/>
        </w:rPr>
        <w:tab/>
      </w:r>
      <w:r w:rsidRPr="00EF52A6">
        <w:rPr>
          <w:b/>
          <w:bCs/>
          <w:sz w:val="22"/>
          <w:szCs w:val="22"/>
          <w:lang w:val="sr-Latn-ME"/>
        </w:rPr>
        <w:t>FARMACEUTSKI PODACI</w:t>
      </w:r>
    </w:p>
    <w:p w14:paraId="377BDE86" w14:textId="77777777" w:rsidR="00836B35" w:rsidRPr="00EF52A6" w:rsidRDefault="00836B35" w:rsidP="00480FB1">
      <w:pPr>
        <w:tabs>
          <w:tab w:val="left" w:pos="540"/>
          <w:tab w:val="left" w:pos="569"/>
        </w:tabs>
        <w:rPr>
          <w:bCs/>
          <w:sz w:val="22"/>
          <w:szCs w:val="22"/>
          <w:lang w:val="sr-Latn-ME"/>
        </w:rPr>
      </w:pPr>
    </w:p>
    <w:p w14:paraId="261482B0"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6.1. </w:t>
      </w:r>
      <w:r w:rsidR="00480FB1" w:rsidRPr="00EF52A6">
        <w:rPr>
          <w:b/>
          <w:bCs/>
          <w:sz w:val="22"/>
          <w:szCs w:val="22"/>
          <w:lang w:val="sr-Latn-ME"/>
        </w:rPr>
        <w:tab/>
      </w:r>
      <w:r w:rsidRPr="00EF52A6">
        <w:rPr>
          <w:b/>
          <w:bCs/>
          <w:sz w:val="22"/>
          <w:szCs w:val="22"/>
          <w:lang w:val="sr-Latn-ME"/>
        </w:rPr>
        <w:t>Lista pomoćnih supstanci</w:t>
      </w:r>
      <w:r w:rsidR="002E0135" w:rsidRPr="00EF52A6">
        <w:rPr>
          <w:b/>
          <w:bCs/>
          <w:sz w:val="22"/>
          <w:szCs w:val="22"/>
          <w:lang w:val="sr-Latn-ME"/>
        </w:rPr>
        <w:t xml:space="preserve"> (ekscipijenasa)</w:t>
      </w:r>
    </w:p>
    <w:p w14:paraId="4E4F18D6" w14:textId="77777777" w:rsidR="009C5288" w:rsidRPr="00EF52A6" w:rsidRDefault="009C5288" w:rsidP="00480FB1">
      <w:pPr>
        <w:tabs>
          <w:tab w:val="left" w:pos="540"/>
          <w:tab w:val="left" w:pos="569"/>
        </w:tabs>
        <w:rPr>
          <w:b/>
          <w:bCs/>
          <w:sz w:val="22"/>
          <w:szCs w:val="22"/>
          <w:lang w:val="sr-Latn-ME"/>
        </w:rPr>
      </w:pPr>
    </w:p>
    <w:p w14:paraId="6A79399C" w14:textId="77777777" w:rsidR="009C5288" w:rsidRPr="00EF52A6" w:rsidRDefault="009C5288" w:rsidP="009C5288">
      <w:pPr>
        <w:tabs>
          <w:tab w:val="left" w:pos="540"/>
          <w:tab w:val="left" w:pos="569"/>
        </w:tabs>
        <w:rPr>
          <w:sz w:val="22"/>
          <w:szCs w:val="22"/>
          <w:lang w:val="sr-Latn-ME"/>
        </w:rPr>
      </w:pPr>
      <w:r w:rsidRPr="00EF52A6">
        <w:rPr>
          <w:sz w:val="22"/>
          <w:szCs w:val="22"/>
          <w:u w:val="single"/>
          <w:lang w:val="sr-Latn-ME"/>
        </w:rPr>
        <w:t>Sadržaj kapsule</w:t>
      </w:r>
    </w:p>
    <w:p w14:paraId="47A40C22" w14:textId="77777777" w:rsidR="009C5288" w:rsidRPr="00EF52A6" w:rsidRDefault="009C5288" w:rsidP="009C5288">
      <w:pPr>
        <w:tabs>
          <w:tab w:val="left" w:pos="540"/>
          <w:tab w:val="left" w:pos="569"/>
        </w:tabs>
        <w:rPr>
          <w:sz w:val="22"/>
          <w:szCs w:val="22"/>
          <w:lang w:val="sr-Latn-ME"/>
        </w:rPr>
      </w:pPr>
      <w:r w:rsidRPr="00EF52A6">
        <w:rPr>
          <w:sz w:val="22"/>
          <w:szCs w:val="22"/>
          <w:lang w:val="sr-Latn-ME"/>
        </w:rPr>
        <w:t>Tokofersolan (Vitamin E polietilen glikol sukcinat / D α-tokoferil polietilen glikol sukcinat).</w:t>
      </w:r>
    </w:p>
    <w:p w14:paraId="392A59B0" w14:textId="77777777" w:rsidR="0022241E" w:rsidRPr="00EF52A6" w:rsidRDefault="0022241E" w:rsidP="009C5288">
      <w:pPr>
        <w:tabs>
          <w:tab w:val="left" w:pos="540"/>
          <w:tab w:val="left" w:pos="569"/>
        </w:tabs>
        <w:rPr>
          <w:sz w:val="22"/>
          <w:szCs w:val="22"/>
          <w:u w:val="single"/>
          <w:lang w:val="sr-Latn-ME"/>
        </w:rPr>
      </w:pPr>
    </w:p>
    <w:p w14:paraId="7B7254DB" w14:textId="7705EB8C" w:rsidR="009C5288" w:rsidRPr="00EF52A6" w:rsidRDefault="009C5288" w:rsidP="009C5288">
      <w:pPr>
        <w:tabs>
          <w:tab w:val="left" w:pos="540"/>
          <w:tab w:val="left" w:pos="569"/>
        </w:tabs>
        <w:rPr>
          <w:sz w:val="22"/>
          <w:szCs w:val="22"/>
          <w:lang w:val="sr-Latn-ME"/>
        </w:rPr>
      </w:pPr>
      <w:r w:rsidRPr="00EF52A6">
        <w:rPr>
          <w:sz w:val="22"/>
          <w:szCs w:val="22"/>
          <w:u w:val="single"/>
          <w:lang w:val="sr-Latn-ME"/>
        </w:rPr>
        <w:t>Omotač kapsule</w:t>
      </w:r>
    </w:p>
    <w:p w14:paraId="09B3D867" w14:textId="77777777" w:rsidR="00901F0F" w:rsidRDefault="00901F0F" w:rsidP="009C5288">
      <w:pPr>
        <w:tabs>
          <w:tab w:val="left" w:pos="540"/>
          <w:tab w:val="left" w:pos="569"/>
        </w:tabs>
        <w:rPr>
          <w:i/>
          <w:iCs/>
          <w:sz w:val="22"/>
          <w:szCs w:val="22"/>
          <w:u w:val="single"/>
          <w:lang w:val="sr-Latn-ME"/>
        </w:rPr>
      </w:pPr>
    </w:p>
    <w:p w14:paraId="12403670" w14:textId="7430A842" w:rsidR="009C5288" w:rsidRPr="00EF52A6" w:rsidRDefault="009C5288" w:rsidP="009C5288">
      <w:pPr>
        <w:tabs>
          <w:tab w:val="left" w:pos="540"/>
          <w:tab w:val="left" w:pos="569"/>
        </w:tabs>
        <w:rPr>
          <w:sz w:val="22"/>
          <w:szCs w:val="22"/>
          <w:lang w:val="sr-Latn-ME"/>
        </w:rPr>
      </w:pPr>
      <w:r w:rsidRPr="00EF52A6">
        <w:rPr>
          <w:i/>
          <w:iCs/>
          <w:sz w:val="22"/>
          <w:szCs w:val="22"/>
          <w:u w:val="single"/>
          <w:lang w:val="sr-Latn-ME"/>
        </w:rPr>
        <w:t>Koselugo</w:t>
      </w:r>
      <w:r w:rsidR="00C43653" w:rsidRPr="00EF52A6">
        <w:rPr>
          <w:i/>
          <w:iCs/>
          <w:sz w:val="22"/>
          <w:szCs w:val="22"/>
          <w:u w:val="single"/>
          <w:lang w:val="sr-Latn-ME"/>
        </w:rPr>
        <w:t>,</w:t>
      </w:r>
      <w:r w:rsidRPr="00EF52A6">
        <w:rPr>
          <w:i/>
          <w:iCs/>
          <w:sz w:val="22"/>
          <w:szCs w:val="22"/>
          <w:u w:val="single"/>
          <w:lang w:val="sr-Latn-ME"/>
        </w:rPr>
        <w:t xml:space="preserve"> 10 mg</w:t>
      </w:r>
      <w:r w:rsidR="00C43653" w:rsidRPr="00EF52A6">
        <w:rPr>
          <w:i/>
          <w:iCs/>
          <w:sz w:val="22"/>
          <w:szCs w:val="22"/>
          <w:u w:val="single"/>
          <w:lang w:val="sr-Latn-ME"/>
        </w:rPr>
        <w:t>,</w:t>
      </w:r>
      <w:r w:rsidRPr="00EF52A6">
        <w:rPr>
          <w:i/>
          <w:iCs/>
          <w:sz w:val="22"/>
          <w:szCs w:val="22"/>
          <w:u w:val="single"/>
          <w:lang w:val="sr-Latn-ME"/>
        </w:rPr>
        <w:t xml:space="preserve"> </w:t>
      </w:r>
      <w:r w:rsidR="00814C7F" w:rsidRPr="00EF52A6">
        <w:rPr>
          <w:i/>
          <w:iCs/>
          <w:sz w:val="22"/>
          <w:szCs w:val="22"/>
          <w:u w:val="single"/>
          <w:lang w:val="sr-Latn-ME"/>
        </w:rPr>
        <w:t>kapsule, tvrde</w:t>
      </w:r>
      <w:r w:rsidRPr="00EF52A6">
        <w:rPr>
          <w:sz w:val="22"/>
          <w:szCs w:val="22"/>
          <w:lang w:val="sr-Latn-ME"/>
        </w:rPr>
        <w:t xml:space="preserve"> </w:t>
      </w:r>
    </w:p>
    <w:p w14:paraId="5C4B657D" w14:textId="77777777" w:rsidR="009C5288" w:rsidRPr="00EF52A6" w:rsidRDefault="009C5288" w:rsidP="009C5288">
      <w:pPr>
        <w:tabs>
          <w:tab w:val="left" w:pos="540"/>
          <w:tab w:val="left" w:pos="569"/>
        </w:tabs>
        <w:rPr>
          <w:sz w:val="22"/>
          <w:szCs w:val="22"/>
          <w:lang w:val="sr-Latn-ME"/>
        </w:rPr>
      </w:pPr>
      <w:r w:rsidRPr="00EF52A6">
        <w:rPr>
          <w:sz w:val="22"/>
          <w:szCs w:val="22"/>
          <w:lang w:val="sr-Latn-ME"/>
        </w:rPr>
        <w:t xml:space="preserve">Hipromeloza (E464), </w:t>
      </w:r>
    </w:p>
    <w:p w14:paraId="22486D39" w14:textId="028F8546" w:rsidR="009C5288" w:rsidRPr="00EF52A6" w:rsidRDefault="009C5288" w:rsidP="009C5288">
      <w:pPr>
        <w:tabs>
          <w:tab w:val="left" w:pos="540"/>
          <w:tab w:val="left" w:pos="569"/>
        </w:tabs>
        <w:rPr>
          <w:sz w:val="22"/>
          <w:szCs w:val="22"/>
          <w:lang w:val="sr-Latn-ME"/>
        </w:rPr>
      </w:pPr>
      <w:r w:rsidRPr="00EF52A6">
        <w:rPr>
          <w:sz w:val="22"/>
          <w:szCs w:val="22"/>
          <w:lang w:val="sr-Latn-ME"/>
        </w:rPr>
        <w:t>karag</w:t>
      </w:r>
      <w:r w:rsidR="00CD0267" w:rsidRPr="00EF52A6">
        <w:rPr>
          <w:sz w:val="22"/>
          <w:szCs w:val="22"/>
          <w:lang w:val="sr-Latn-ME"/>
        </w:rPr>
        <w:t>i</w:t>
      </w:r>
      <w:r w:rsidRPr="00EF52A6">
        <w:rPr>
          <w:sz w:val="22"/>
          <w:szCs w:val="22"/>
          <w:lang w:val="sr-Latn-ME"/>
        </w:rPr>
        <w:t xml:space="preserve">nan (E407), </w:t>
      </w:r>
    </w:p>
    <w:p w14:paraId="54B11A0F" w14:textId="77777777" w:rsidR="009C5288" w:rsidRPr="00EF52A6" w:rsidRDefault="009C5288" w:rsidP="009C5288">
      <w:pPr>
        <w:tabs>
          <w:tab w:val="left" w:pos="540"/>
          <w:tab w:val="left" w:pos="569"/>
        </w:tabs>
        <w:rPr>
          <w:sz w:val="22"/>
          <w:szCs w:val="22"/>
          <w:lang w:val="sr-Latn-ME"/>
        </w:rPr>
      </w:pPr>
      <w:r w:rsidRPr="00EF52A6">
        <w:rPr>
          <w:sz w:val="22"/>
          <w:szCs w:val="22"/>
          <w:lang w:val="sr-Latn-ME"/>
        </w:rPr>
        <w:t xml:space="preserve">kalijum hlorid (E508), </w:t>
      </w:r>
    </w:p>
    <w:p w14:paraId="5116983D" w14:textId="56F875FE" w:rsidR="009C5288" w:rsidRPr="00EF52A6" w:rsidRDefault="009C5288" w:rsidP="009C5288">
      <w:pPr>
        <w:tabs>
          <w:tab w:val="left" w:pos="540"/>
          <w:tab w:val="left" w:pos="569"/>
        </w:tabs>
        <w:rPr>
          <w:sz w:val="22"/>
          <w:szCs w:val="22"/>
          <w:lang w:val="sr-Latn-ME"/>
        </w:rPr>
      </w:pPr>
      <w:r w:rsidRPr="00EF52A6">
        <w:rPr>
          <w:sz w:val="22"/>
          <w:szCs w:val="22"/>
          <w:lang w:val="sr-Latn-ME"/>
        </w:rPr>
        <w:t xml:space="preserve">titan dioksid (E171), </w:t>
      </w:r>
    </w:p>
    <w:p w14:paraId="6C2E53F6" w14:textId="14293C79" w:rsidR="009C5288" w:rsidRPr="00EF52A6" w:rsidRDefault="009C5288" w:rsidP="009C5288">
      <w:pPr>
        <w:tabs>
          <w:tab w:val="left" w:pos="540"/>
          <w:tab w:val="left" w:pos="569"/>
        </w:tabs>
        <w:rPr>
          <w:sz w:val="22"/>
          <w:szCs w:val="22"/>
          <w:lang w:val="sr-Latn-ME"/>
        </w:rPr>
      </w:pPr>
      <w:r w:rsidRPr="00EF52A6">
        <w:rPr>
          <w:sz w:val="22"/>
          <w:szCs w:val="22"/>
          <w:lang w:val="sr-Latn-ME"/>
        </w:rPr>
        <w:t>karnauba vosak (E903)</w:t>
      </w:r>
      <w:r w:rsidR="0022241E" w:rsidRPr="00EF52A6">
        <w:rPr>
          <w:sz w:val="22"/>
          <w:szCs w:val="22"/>
          <w:lang w:val="sr-Latn-ME"/>
        </w:rPr>
        <w:t>.</w:t>
      </w:r>
    </w:p>
    <w:p w14:paraId="4857EEB1" w14:textId="77777777" w:rsidR="009C5288" w:rsidRPr="00EF52A6" w:rsidRDefault="009C5288" w:rsidP="009C5288">
      <w:pPr>
        <w:tabs>
          <w:tab w:val="left" w:pos="540"/>
          <w:tab w:val="left" w:pos="569"/>
        </w:tabs>
        <w:rPr>
          <w:sz w:val="22"/>
          <w:szCs w:val="22"/>
          <w:lang w:val="sr-Latn-ME"/>
        </w:rPr>
      </w:pPr>
    </w:p>
    <w:p w14:paraId="75D059E3" w14:textId="3E142922" w:rsidR="009C5288" w:rsidRPr="00EF52A6" w:rsidRDefault="009C5288" w:rsidP="009C5288">
      <w:pPr>
        <w:tabs>
          <w:tab w:val="left" w:pos="540"/>
          <w:tab w:val="left" w:pos="569"/>
        </w:tabs>
        <w:rPr>
          <w:sz w:val="22"/>
          <w:szCs w:val="22"/>
          <w:lang w:val="sr-Latn-ME"/>
        </w:rPr>
      </w:pPr>
      <w:r w:rsidRPr="00EF52A6">
        <w:rPr>
          <w:i/>
          <w:iCs/>
          <w:sz w:val="22"/>
          <w:szCs w:val="22"/>
          <w:u w:val="single"/>
          <w:lang w:val="sr-Latn-ME"/>
        </w:rPr>
        <w:t>Koselugo</w:t>
      </w:r>
      <w:r w:rsidR="00C43653" w:rsidRPr="00EF52A6">
        <w:rPr>
          <w:i/>
          <w:iCs/>
          <w:sz w:val="22"/>
          <w:szCs w:val="22"/>
          <w:u w:val="single"/>
          <w:lang w:val="sr-Latn-ME"/>
        </w:rPr>
        <w:t>,</w:t>
      </w:r>
      <w:r w:rsidRPr="00EF52A6">
        <w:rPr>
          <w:i/>
          <w:iCs/>
          <w:sz w:val="22"/>
          <w:szCs w:val="22"/>
          <w:u w:val="single"/>
          <w:lang w:val="sr-Latn-ME"/>
        </w:rPr>
        <w:t xml:space="preserve"> 25 mg</w:t>
      </w:r>
      <w:r w:rsidR="00C43653" w:rsidRPr="00EF52A6">
        <w:rPr>
          <w:i/>
          <w:iCs/>
          <w:sz w:val="22"/>
          <w:szCs w:val="22"/>
          <w:u w:val="single"/>
          <w:lang w:val="sr-Latn-ME"/>
        </w:rPr>
        <w:t>,</w:t>
      </w:r>
      <w:r w:rsidRPr="00EF52A6">
        <w:rPr>
          <w:i/>
          <w:iCs/>
          <w:sz w:val="22"/>
          <w:szCs w:val="22"/>
          <w:u w:val="single"/>
          <w:lang w:val="sr-Latn-ME"/>
        </w:rPr>
        <w:t xml:space="preserve"> </w:t>
      </w:r>
      <w:r w:rsidR="00814C7F" w:rsidRPr="00EF52A6">
        <w:rPr>
          <w:i/>
          <w:iCs/>
          <w:sz w:val="22"/>
          <w:szCs w:val="22"/>
          <w:u w:val="single"/>
          <w:lang w:val="sr-Latn-ME"/>
        </w:rPr>
        <w:t>kapsule, tvrde</w:t>
      </w:r>
      <w:r w:rsidRPr="00EF52A6">
        <w:rPr>
          <w:sz w:val="22"/>
          <w:szCs w:val="22"/>
          <w:lang w:val="sr-Latn-ME"/>
        </w:rPr>
        <w:t xml:space="preserve"> </w:t>
      </w:r>
    </w:p>
    <w:p w14:paraId="2C1B6987" w14:textId="77777777" w:rsidR="009C5288" w:rsidRPr="00EF52A6" w:rsidRDefault="009C5288" w:rsidP="009C5288">
      <w:pPr>
        <w:tabs>
          <w:tab w:val="left" w:pos="540"/>
          <w:tab w:val="left" w:pos="569"/>
        </w:tabs>
        <w:rPr>
          <w:sz w:val="22"/>
          <w:szCs w:val="22"/>
          <w:lang w:val="sr-Latn-ME"/>
        </w:rPr>
      </w:pPr>
      <w:r w:rsidRPr="00EF52A6">
        <w:rPr>
          <w:sz w:val="22"/>
          <w:szCs w:val="22"/>
          <w:lang w:val="sr-Latn-ME"/>
        </w:rPr>
        <w:t xml:space="preserve">Hipromeloza (E464), </w:t>
      </w:r>
    </w:p>
    <w:p w14:paraId="13F9077E" w14:textId="14D36785" w:rsidR="009C5288" w:rsidRPr="00EF52A6" w:rsidRDefault="009C5288" w:rsidP="009C5288">
      <w:pPr>
        <w:tabs>
          <w:tab w:val="left" w:pos="540"/>
          <w:tab w:val="left" w:pos="569"/>
        </w:tabs>
        <w:rPr>
          <w:sz w:val="22"/>
          <w:szCs w:val="22"/>
          <w:lang w:val="sr-Latn-ME"/>
        </w:rPr>
      </w:pPr>
      <w:r w:rsidRPr="00EF52A6">
        <w:rPr>
          <w:sz w:val="22"/>
          <w:szCs w:val="22"/>
          <w:lang w:val="sr-Latn-ME"/>
        </w:rPr>
        <w:t>karag</w:t>
      </w:r>
      <w:r w:rsidR="00CD0267" w:rsidRPr="00EF52A6">
        <w:rPr>
          <w:sz w:val="22"/>
          <w:szCs w:val="22"/>
          <w:lang w:val="sr-Latn-ME"/>
        </w:rPr>
        <w:t>i</w:t>
      </w:r>
      <w:r w:rsidRPr="00EF52A6">
        <w:rPr>
          <w:sz w:val="22"/>
          <w:szCs w:val="22"/>
          <w:lang w:val="sr-Latn-ME"/>
        </w:rPr>
        <w:t xml:space="preserve">nan (E407), </w:t>
      </w:r>
    </w:p>
    <w:p w14:paraId="68C658C1" w14:textId="77777777" w:rsidR="009C5288" w:rsidRPr="00EF52A6" w:rsidRDefault="009C5288" w:rsidP="009C5288">
      <w:pPr>
        <w:tabs>
          <w:tab w:val="left" w:pos="540"/>
          <w:tab w:val="left" w:pos="569"/>
        </w:tabs>
        <w:rPr>
          <w:sz w:val="22"/>
          <w:szCs w:val="22"/>
          <w:lang w:val="sr-Latn-ME"/>
        </w:rPr>
      </w:pPr>
      <w:r w:rsidRPr="00EF52A6">
        <w:rPr>
          <w:sz w:val="22"/>
          <w:szCs w:val="22"/>
          <w:lang w:val="sr-Latn-ME"/>
        </w:rPr>
        <w:t xml:space="preserve">kalijum hlorid (E508), </w:t>
      </w:r>
    </w:p>
    <w:p w14:paraId="706CCC8C" w14:textId="0D37266C" w:rsidR="009C5288" w:rsidRPr="00EF52A6" w:rsidRDefault="009C5288" w:rsidP="009C5288">
      <w:pPr>
        <w:tabs>
          <w:tab w:val="left" w:pos="540"/>
          <w:tab w:val="left" w:pos="569"/>
        </w:tabs>
        <w:rPr>
          <w:sz w:val="22"/>
          <w:szCs w:val="22"/>
          <w:lang w:val="sr-Latn-ME"/>
        </w:rPr>
      </w:pPr>
      <w:r w:rsidRPr="00EF52A6">
        <w:rPr>
          <w:sz w:val="22"/>
          <w:szCs w:val="22"/>
          <w:lang w:val="sr-Latn-ME"/>
        </w:rPr>
        <w:t>tita</w:t>
      </w:r>
      <w:r w:rsidR="0022241E" w:rsidRPr="00EF52A6">
        <w:rPr>
          <w:sz w:val="22"/>
          <w:szCs w:val="22"/>
          <w:lang w:val="sr-Latn-ME"/>
        </w:rPr>
        <w:t>n</w:t>
      </w:r>
      <w:r w:rsidRPr="00EF52A6">
        <w:rPr>
          <w:sz w:val="22"/>
          <w:szCs w:val="22"/>
          <w:lang w:val="sr-Latn-ME"/>
        </w:rPr>
        <w:t xml:space="preserve"> dioksid (E171)</w:t>
      </w:r>
      <w:r w:rsidR="0022241E" w:rsidRPr="00EF52A6">
        <w:rPr>
          <w:sz w:val="22"/>
          <w:szCs w:val="22"/>
          <w:lang w:val="sr-Latn-ME"/>
        </w:rPr>
        <w:t>,</w:t>
      </w:r>
    </w:p>
    <w:p w14:paraId="0A880633" w14:textId="17C9AD31" w:rsidR="009C5288" w:rsidRPr="00EF52A6" w:rsidRDefault="0022241E" w:rsidP="009C5288">
      <w:pPr>
        <w:tabs>
          <w:tab w:val="left" w:pos="540"/>
          <w:tab w:val="left" w:pos="569"/>
        </w:tabs>
        <w:rPr>
          <w:sz w:val="22"/>
          <w:szCs w:val="22"/>
          <w:lang w:val="sr-Latn-ME"/>
        </w:rPr>
      </w:pPr>
      <w:r w:rsidRPr="00EF52A6">
        <w:rPr>
          <w:sz w:val="22"/>
          <w:szCs w:val="22"/>
          <w:lang w:val="sr-Latn-ME"/>
        </w:rPr>
        <w:t>b</w:t>
      </w:r>
      <w:r w:rsidR="009C5288" w:rsidRPr="00EF52A6">
        <w:rPr>
          <w:sz w:val="22"/>
          <w:szCs w:val="22"/>
          <w:lang w:val="sr-Latn-ME"/>
        </w:rPr>
        <w:t xml:space="preserve">oja </w:t>
      </w:r>
      <w:r w:rsidR="009C5288" w:rsidRPr="00EF52A6">
        <w:rPr>
          <w:i/>
          <w:iCs/>
          <w:sz w:val="22"/>
          <w:szCs w:val="22"/>
          <w:lang w:val="sr-Latn-ME"/>
        </w:rPr>
        <w:t>Indigo carmine aluminium lake</w:t>
      </w:r>
      <w:r w:rsidR="009C5288" w:rsidRPr="00EF52A6">
        <w:rPr>
          <w:sz w:val="22"/>
          <w:szCs w:val="22"/>
          <w:lang w:val="sr-Latn-ME"/>
        </w:rPr>
        <w:t xml:space="preserve"> (E132)</w:t>
      </w:r>
      <w:r w:rsidRPr="00EF52A6">
        <w:rPr>
          <w:sz w:val="22"/>
          <w:szCs w:val="22"/>
          <w:lang w:val="sr-Latn-ME"/>
        </w:rPr>
        <w:t>,</w:t>
      </w:r>
      <w:r w:rsidR="009C5288" w:rsidRPr="00EF52A6">
        <w:rPr>
          <w:sz w:val="22"/>
          <w:szCs w:val="22"/>
          <w:lang w:val="sr-Latn-ME"/>
        </w:rPr>
        <w:t xml:space="preserve"> </w:t>
      </w:r>
    </w:p>
    <w:p w14:paraId="18F0054E" w14:textId="118338EA" w:rsidR="009C5288" w:rsidRPr="00EF52A6" w:rsidRDefault="009C5288" w:rsidP="009C5288">
      <w:pPr>
        <w:tabs>
          <w:tab w:val="left" w:pos="540"/>
          <w:tab w:val="left" w:pos="569"/>
        </w:tabs>
        <w:rPr>
          <w:sz w:val="22"/>
          <w:szCs w:val="22"/>
          <w:lang w:val="sr-Latn-ME"/>
        </w:rPr>
      </w:pPr>
      <w:r w:rsidRPr="00EF52A6">
        <w:rPr>
          <w:sz w:val="22"/>
          <w:szCs w:val="22"/>
          <w:lang w:val="sr-Latn-ME"/>
        </w:rPr>
        <w:t>gvožđ</w:t>
      </w:r>
      <w:r w:rsidR="0022241E" w:rsidRPr="00EF52A6">
        <w:rPr>
          <w:sz w:val="22"/>
          <w:szCs w:val="22"/>
          <w:lang w:val="sr-Latn-ME"/>
        </w:rPr>
        <w:t>e oksid, žuti</w:t>
      </w:r>
      <w:r w:rsidRPr="00EF52A6">
        <w:rPr>
          <w:sz w:val="22"/>
          <w:szCs w:val="22"/>
          <w:lang w:val="sr-Latn-ME"/>
        </w:rPr>
        <w:t xml:space="preserve"> (E172)</w:t>
      </w:r>
      <w:r w:rsidR="0022241E" w:rsidRPr="00EF52A6">
        <w:rPr>
          <w:sz w:val="22"/>
          <w:szCs w:val="22"/>
          <w:lang w:val="sr-Latn-ME"/>
        </w:rPr>
        <w:t>,</w:t>
      </w:r>
    </w:p>
    <w:p w14:paraId="22A47B90" w14:textId="722B259F" w:rsidR="009C5288" w:rsidRPr="00EF52A6" w:rsidRDefault="0022241E" w:rsidP="009C5288">
      <w:pPr>
        <w:tabs>
          <w:tab w:val="left" w:pos="540"/>
          <w:tab w:val="left" w:pos="569"/>
        </w:tabs>
        <w:rPr>
          <w:sz w:val="22"/>
          <w:szCs w:val="22"/>
          <w:lang w:val="sr-Latn-ME"/>
        </w:rPr>
      </w:pPr>
      <w:r w:rsidRPr="00EF52A6">
        <w:rPr>
          <w:sz w:val="22"/>
          <w:szCs w:val="22"/>
          <w:lang w:val="sr-Latn-ME"/>
        </w:rPr>
        <w:lastRenderedPageBreak/>
        <w:t>k</w:t>
      </w:r>
      <w:r w:rsidR="009C5288" w:rsidRPr="00EF52A6">
        <w:rPr>
          <w:sz w:val="22"/>
          <w:szCs w:val="22"/>
          <w:lang w:val="sr-Latn-ME"/>
        </w:rPr>
        <w:t>arnauba vosak (E903)</w:t>
      </w:r>
      <w:r w:rsidRPr="00EF52A6">
        <w:rPr>
          <w:sz w:val="22"/>
          <w:szCs w:val="22"/>
          <w:lang w:val="sr-Latn-ME"/>
        </w:rPr>
        <w:t>,</w:t>
      </w:r>
      <w:r w:rsidR="009C5288" w:rsidRPr="00EF52A6">
        <w:rPr>
          <w:sz w:val="22"/>
          <w:szCs w:val="22"/>
          <w:lang w:val="sr-Latn-ME"/>
        </w:rPr>
        <w:t xml:space="preserve"> </w:t>
      </w:r>
    </w:p>
    <w:p w14:paraId="4B085149" w14:textId="07C7ECE6" w:rsidR="009C5288" w:rsidRPr="00EF52A6" w:rsidRDefault="009C5288" w:rsidP="009C5288">
      <w:pPr>
        <w:tabs>
          <w:tab w:val="left" w:pos="540"/>
          <w:tab w:val="left" w:pos="569"/>
        </w:tabs>
        <w:rPr>
          <w:sz w:val="22"/>
          <w:szCs w:val="22"/>
          <w:lang w:val="sr-Latn-ME"/>
        </w:rPr>
      </w:pPr>
      <w:r w:rsidRPr="00EF52A6">
        <w:rPr>
          <w:sz w:val="22"/>
          <w:szCs w:val="22"/>
          <w:lang w:val="sr-Latn-ME"/>
        </w:rPr>
        <w:t>skrob</w:t>
      </w:r>
      <w:r w:rsidR="0022241E" w:rsidRPr="00EF52A6">
        <w:rPr>
          <w:sz w:val="22"/>
          <w:szCs w:val="22"/>
          <w:lang w:val="sr-Latn-ME"/>
        </w:rPr>
        <w:t>, kukuruzni.</w:t>
      </w:r>
    </w:p>
    <w:p w14:paraId="19233018" w14:textId="77777777" w:rsidR="009C5288" w:rsidRPr="00EF52A6" w:rsidRDefault="009C5288" w:rsidP="009C5288">
      <w:pPr>
        <w:tabs>
          <w:tab w:val="left" w:pos="540"/>
          <w:tab w:val="left" w:pos="569"/>
        </w:tabs>
        <w:rPr>
          <w:sz w:val="22"/>
          <w:szCs w:val="22"/>
          <w:lang w:val="sr-Latn-ME"/>
        </w:rPr>
      </w:pPr>
    </w:p>
    <w:p w14:paraId="75F8C2A3" w14:textId="77777777" w:rsidR="009C5288" w:rsidRPr="00EF52A6" w:rsidRDefault="009C5288" w:rsidP="009C5288">
      <w:pPr>
        <w:tabs>
          <w:tab w:val="left" w:pos="540"/>
          <w:tab w:val="left" w:pos="569"/>
        </w:tabs>
        <w:rPr>
          <w:sz w:val="22"/>
          <w:szCs w:val="22"/>
          <w:lang w:val="sr-Latn-ME"/>
        </w:rPr>
      </w:pPr>
      <w:r w:rsidRPr="00EF52A6">
        <w:rPr>
          <w:sz w:val="22"/>
          <w:szCs w:val="22"/>
          <w:u w:val="single"/>
          <w:lang w:val="sr-Latn-ME"/>
        </w:rPr>
        <w:t>Mastilo za štampu</w:t>
      </w:r>
    </w:p>
    <w:p w14:paraId="61608FC6" w14:textId="77777777" w:rsidR="00901F0F" w:rsidRDefault="00901F0F" w:rsidP="009C5288">
      <w:pPr>
        <w:tabs>
          <w:tab w:val="left" w:pos="540"/>
          <w:tab w:val="left" w:pos="569"/>
        </w:tabs>
        <w:rPr>
          <w:i/>
          <w:iCs/>
          <w:sz w:val="22"/>
          <w:szCs w:val="22"/>
          <w:u w:val="single"/>
          <w:lang w:val="sr-Latn-ME"/>
        </w:rPr>
      </w:pPr>
    </w:p>
    <w:p w14:paraId="75C3020A" w14:textId="7BBECA37" w:rsidR="009C5288" w:rsidRPr="00EF52A6" w:rsidRDefault="009C5288" w:rsidP="009C5288">
      <w:pPr>
        <w:tabs>
          <w:tab w:val="left" w:pos="540"/>
          <w:tab w:val="left" w:pos="569"/>
        </w:tabs>
        <w:rPr>
          <w:i/>
          <w:iCs/>
          <w:sz w:val="22"/>
          <w:szCs w:val="22"/>
          <w:u w:val="single"/>
          <w:lang w:val="sr-Latn-ME"/>
        </w:rPr>
      </w:pPr>
      <w:r w:rsidRPr="00EF52A6">
        <w:rPr>
          <w:i/>
          <w:iCs/>
          <w:sz w:val="22"/>
          <w:szCs w:val="22"/>
          <w:u w:val="single"/>
          <w:lang w:val="sr-Latn-ME"/>
        </w:rPr>
        <w:t>Koselugo</w:t>
      </w:r>
      <w:r w:rsidR="00C43653" w:rsidRPr="00EF52A6">
        <w:rPr>
          <w:i/>
          <w:iCs/>
          <w:sz w:val="22"/>
          <w:szCs w:val="22"/>
          <w:u w:val="single"/>
          <w:lang w:val="sr-Latn-ME"/>
        </w:rPr>
        <w:t>,</w:t>
      </w:r>
      <w:r w:rsidRPr="00EF52A6">
        <w:rPr>
          <w:i/>
          <w:iCs/>
          <w:sz w:val="22"/>
          <w:szCs w:val="22"/>
          <w:u w:val="single"/>
          <w:lang w:val="sr-Latn-ME"/>
        </w:rPr>
        <w:t xml:space="preserve"> 10 mg</w:t>
      </w:r>
      <w:r w:rsidR="00C43653" w:rsidRPr="00EF52A6">
        <w:rPr>
          <w:i/>
          <w:iCs/>
          <w:sz w:val="22"/>
          <w:szCs w:val="22"/>
          <w:u w:val="single"/>
          <w:lang w:val="sr-Latn-ME"/>
        </w:rPr>
        <w:t>,</w:t>
      </w:r>
      <w:r w:rsidRPr="00EF52A6">
        <w:rPr>
          <w:i/>
          <w:iCs/>
          <w:sz w:val="22"/>
          <w:szCs w:val="22"/>
          <w:u w:val="single"/>
          <w:lang w:val="sr-Latn-ME"/>
        </w:rPr>
        <w:t xml:space="preserve"> </w:t>
      </w:r>
      <w:r w:rsidR="00814C7F" w:rsidRPr="00EF52A6">
        <w:rPr>
          <w:i/>
          <w:iCs/>
          <w:sz w:val="22"/>
          <w:szCs w:val="22"/>
          <w:u w:val="single"/>
          <w:lang w:val="sr-Latn-ME"/>
        </w:rPr>
        <w:t>kapsule, tvrde</w:t>
      </w:r>
      <w:r w:rsidRPr="00EF52A6">
        <w:rPr>
          <w:i/>
          <w:iCs/>
          <w:sz w:val="22"/>
          <w:szCs w:val="22"/>
          <w:u w:val="single"/>
          <w:lang w:val="sr-Latn-ME"/>
        </w:rPr>
        <w:t xml:space="preserve"> </w:t>
      </w:r>
    </w:p>
    <w:p w14:paraId="0403EB5B" w14:textId="77777777" w:rsidR="009C5288" w:rsidRPr="00EF52A6" w:rsidRDefault="009C5288" w:rsidP="009C5288">
      <w:pPr>
        <w:tabs>
          <w:tab w:val="left" w:pos="540"/>
          <w:tab w:val="left" w:pos="569"/>
        </w:tabs>
        <w:rPr>
          <w:sz w:val="22"/>
          <w:szCs w:val="22"/>
          <w:lang w:val="sr-Latn-ME"/>
        </w:rPr>
      </w:pPr>
      <w:r w:rsidRPr="00EF52A6">
        <w:rPr>
          <w:sz w:val="22"/>
          <w:szCs w:val="22"/>
          <w:lang w:val="sr-Latn-ME"/>
        </w:rPr>
        <w:t xml:space="preserve">Šelak glazura, standardna (E904), </w:t>
      </w:r>
    </w:p>
    <w:p w14:paraId="3DD53142" w14:textId="4425F6D2" w:rsidR="009C5288" w:rsidRPr="00EF52A6" w:rsidRDefault="0022241E" w:rsidP="009C5288">
      <w:pPr>
        <w:tabs>
          <w:tab w:val="left" w:pos="540"/>
          <w:tab w:val="left" w:pos="569"/>
        </w:tabs>
        <w:rPr>
          <w:sz w:val="22"/>
          <w:szCs w:val="22"/>
          <w:lang w:val="sr-Latn-ME"/>
        </w:rPr>
      </w:pPr>
      <w:r w:rsidRPr="00EF52A6">
        <w:rPr>
          <w:sz w:val="22"/>
          <w:szCs w:val="22"/>
          <w:lang w:val="sr-Latn-ME"/>
        </w:rPr>
        <w:t xml:space="preserve">gvožđe </w:t>
      </w:r>
      <w:r w:rsidR="009C5288" w:rsidRPr="00EF52A6">
        <w:rPr>
          <w:sz w:val="22"/>
          <w:szCs w:val="22"/>
          <w:lang w:val="sr-Latn-ME"/>
        </w:rPr>
        <w:t>oksid</w:t>
      </w:r>
      <w:r w:rsidRPr="00EF52A6">
        <w:rPr>
          <w:sz w:val="22"/>
          <w:szCs w:val="22"/>
          <w:lang w:val="sr-Latn-ME"/>
        </w:rPr>
        <w:t>,</w:t>
      </w:r>
      <w:r w:rsidR="009C5288" w:rsidRPr="00EF52A6">
        <w:rPr>
          <w:sz w:val="22"/>
          <w:szCs w:val="22"/>
          <w:lang w:val="sr-Latn-ME"/>
        </w:rPr>
        <w:t xml:space="preserve"> </w:t>
      </w:r>
      <w:r w:rsidRPr="00EF52A6">
        <w:rPr>
          <w:sz w:val="22"/>
          <w:szCs w:val="22"/>
          <w:lang w:val="sr-Latn-ME"/>
        </w:rPr>
        <w:t>crni</w:t>
      </w:r>
      <w:r w:rsidR="009C5288" w:rsidRPr="00EF52A6">
        <w:rPr>
          <w:sz w:val="22"/>
          <w:szCs w:val="22"/>
          <w:lang w:val="sr-Latn-ME"/>
        </w:rPr>
        <w:t xml:space="preserve"> (E172), </w:t>
      </w:r>
    </w:p>
    <w:p w14:paraId="55210DAC" w14:textId="03C227DB" w:rsidR="009C5288" w:rsidRPr="00EF52A6" w:rsidRDefault="009C5288" w:rsidP="009C5288">
      <w:pPr>
        <w:tabs>
          <w:tab w:val="left" w:pos="540"/>
          <w:tab w:val="left" w:pos="569"/>
        </w:tabs>
        <w:rPr>
          <w:sz w:val="22"/>
          <w:szCs w:val="22"/>
          <w:lang w:val="sr-Latn-ME"/>
        </w:rPr>
      </w:pPr>
      <w:r w:rsidRPr="00EF52A6">
        <w:rPr>
          <w:sz w:val="22"/>
          <w:szCs w:val="22"/>
          <w:lang w:val="sr-Latn-ME"/>
        </w:rPr>
        <w:t>propilen glikol (E1520)</w:t>
      </w:r>
      <w:r w:rsidR="0022241E" w:rsidRPr="00EF52A6">
        <w:rPr>
          <w:sz w:val="22"/>
          <w:szCs w:val="22"/>
          <w:lang w:val="sr-Latn-ME"/>
        </w:rPr>
        <w:t>,</w:t>
      </w:r>
      <w:r w:rsidRPr="00EF52A6">
        <w:rPr>
          <w:sz w:val="22"/>
          <w:szCs w:val="22"/>
          <w:lang w:val="sr-Latn-ME"/>
        </w:rPr>
        <w:t xml:space="preserve"> </w:t>
      </w:r>
    </w:p>
    <w:p w14:paraId="634FD0B6" w14:textId="3FFA9698" w:rsidR="009C5288" w:rsidRPr="00EF52A6" w:rsidRDefault="009C5288" w:rsidP="009C5288">
      <w:pPr>
        <w:tabs>
          <w:tab w:val="left" w:pos="540"/>
          <w:tab w:val="left" w:pos="569"/>
        </w:tabs>
        <w:rPr>
          <w:sz w:val="22"/>
          <w:szCs w:val="22"/>
          <w:lang w:val="sr-Latn-ME"/>
        </w:rPr>
      </w:pPr>
      <w:r w:rsidRPr="00EF52A6">
        <w:rPr>
          <w:sz w:val="22"/>
          <w:szCs w:val="22"/>
          <w:lang w:val="sr-Latn-ME"/>
        </w:rPr>
        <w:t>amonijum hidroksid (E527)</w:t>
      </w:r>
      <w:r w:rsidR="0022241E" w:rsidRPr="00EF52A6">
        <w:rPr>
          <w:sz w:val="22"/>
          <w:szCs w:val="22"/>
          <w:lang w:val="sr-Latn-ME"/>
        </w:rPr>
        <w:t>.</w:t>
      </w:r>
    </w:p>
    <w:p w14:paraId="0806CCBB" w14:textId="77777777" w:rsidR="009C5288" w:rsidRPr="00EF52A6" w:rsidRDefault="009C5288" w:rsidP="009C5288">
      <w:pPr>
        <w:tabs>
          <w:tab w:val="left" w:pos="540"/>
          <w:tab w:val="left" w:pos="569"/>
        </w:tabs>
        <w:rPr>
          <w:sz w:val="22"/>
          <w:szCs w:val="22"/>
          <w:lang w:val="sr-Latn-ME"/>
        </w:rPr>
      </w:pPr>
    </w:p>
    <w:p w14:paraId="07E8EA05" w14:textId="1DB235F0" w:rsidR="009C5288" w:rsidRPr="00EF52A6" w:rsidRDefault="009C5288" w:rsidP="009C5288">
      <w:pPr>
        <w:tabs>
          <w:tab w:val="left" w:pos="540"/>
          <w:tab w:val="left" w:pos="569"/>
        </w:tabs>
        <w:rPr>
          <w:i/>
          <w:sz w:val="22"/>
          <w:szCs w:val="22"/>
          <w:lang w:val="sr-Latn-ME"/>
        </w:rPr>
      </w:pPr>
      <w:r w:rsidRPr="00EF52A6">
        <w:rPr>
          <w:i/>
          <w:iCs/>
          <w:sz w:val="22"/>
          <w:szCs w:val="22"/>
          <w:u w:val="single"/>
          <w:lang w:val="sr-Latn-ME"/>
        </w:rPr>
        <w:t xml:space="preserve">Koselugo 25 mg </w:t>
      </w:r>
      <w:r w:rsidR="00814C7F" w:rsidRPr="00EF52A6">
        <w:rPr>
          <w:i/>
          <w:iCs/>
          <w:sz w:val="22"/>
          <w:szCs w:val="22"/>
          <w:u w:val="single"/>
          <w:lang w:val="sr-Latn-ME"/>
        </w:rPr>
        <w:t>kapsule, tvrde</w:t>
      </w:r>
    </w:p>
    <w:p w14:paraId="25172F32" w14:textId="20C97367" w:rsidR="009C5288" w:rsidRPr="00EF52A6" w:rsidRDefault="0022241E" w:rsidP="009C5288">
      <w:pPr>
        <w:tabs>
          <w:tab w:val="left" w:pos="540"/>
          <w:tab w:val="left" w:pos="569"/>
        </w:tabs>
        <w:rPr>
          <w:sz w:val="22"/>
          <w:szCs w:val="22"/>
          <w:lang w:val="sr-Latn-ME"/>
        </w:rPr>
      </w:pPr>
      <w:r w:rsidRPr="00EF52A6">
        <w:rPr>
          <w:sz w:val="22"/>
          <w:szCs w:val="22"/>
          <w:lang w:val="sr-Latn-ME"/>
        </w:rPr>
        <w:t>G</w:t>
      </w:r>
      <w:r w:rsidR="009C5288" w:rsidRPr="00EF52A6">
        <w:rPr>
          <w:sz w:val="22"/>
          <w:szCs w:val="22"/>
          <w:lang w:val="sr-Latn-ME"/>
        </w:rPr>
        <w:t>vožđ</w:t>
      </w:r>
      <w:r w:rsidRPr="00EF52A6">
        <w:rPr>
          <w:sz w:val="22"/>
          <w:szCs w:val="22"/>
          <w:lang w:val="sr-Latn-ME"/>
        </w:rPr>
        <w:t>e oksid, crveni</w:t>
      </w:r>
      <w:r w:rsidR="009C5288" w:rsidRPr="00EF52A6">
        <w:rPr>
          <w:sz w:val="22"/>
          <w:szCs w:val="22"/>
          <w:lang w:val="sr-Latn-ME"/>
        </w:rPr>
        <w:t xml:space="preserve"> (E172)</w:t>
      </w:r>
      <w:r w:rsidRPr="00EF52A6">
        <w:rPr>
          <w:sz w:val="22"/>
          <w:szCs w:val="22"/>
          <w:lang w:val="sr-Latn-ME"/>
        </w:rPr>
        <w:t>,</w:t>
      </w:r>
      <w:r w:rsidR="009C5288" w:rsidRPr="00EF52A6">
        <w:rPr>
          <w:sz w:val="22"/>
          <w:szCs w:val="22"/>
          <w:lang w:val="sr-Latn-ME"/>
        </w:rPr>
        <w:t xml:space="preserve"> </w:t>
      </w:r>
    </w:p>
    <w:p w14:paraId="0D666B41" w14:textId="6AF814A6" w:rsidR="009C5288" w:rsidRPr="00EF52A6" w:rsidRDefault="009C5288" w:rsidP="009C5288">
      <w:pPr>
        <w:tabs>
          <w:tab w:val="left" w:pos="540"/>
          <w:tab w:val="left" w:pos="569"/>
        </w:tabs>
        <w:rPr>
          <w:sz w:val="22"/>
          <w:szCs w:val="22"/>
          <w:lang w:val="sr-Latn-ME"/>
        </w:rPr>
      </w:pPr>
      <w:r w:rsidRPr="00EF52A6">
        <w:rPr>
          <w:sz w:val="22"/>
          <w:szCs w:val="22"/>
          <w:lang w:val="sr-Latn-ME"/>
        </w:rPr>
        <w:t>gvožđ</w:t>
      </w:r>
      <w:r w:rsidR="0022241E" w:rsidRPr="00EF52A6">
        <w:rPr>
          <w:sz w:val="22"/>
          <w:szCs w:val="22"/>
          <w:lang w:val="sr-Latn-ME"/>
        </w:rPr>
        <w:t>e oksid, žuti</w:t>
      </w:r>
      <w:r w:rsidRPr="00EF52A6">
        <w:rPr>
          <w:sz w:val="22"/>
          <w:szCs w:val="22"/>
          <w:lang w:val="sr-Latn-ME"/>
        </w:rPr>
        <w:t xml:space="preserve"> (E172)</w:t>
      </w:r>
      <w:r w:rsidR="0022241E" w:rsidRPr="00EF52A6">
        <w:rPr>
          <w:sz w:val="22"/>
          <w:szCs w:val="22"/>
          <w:lang w:val="sr-Latn-ME"/>
        </w:rPr>
        <w:t>,</w:t>
      </w:r>
    </w:p>
    <w:p w14:paraId="42682E0E" w14:textId="4A3D0F87" w:rsidR="009C5288" w:rsidRPr="00EF52A6" w:rsidRDefault="0022241E" w:rsidP="009C5288">
      <w:pPr>
        <w:tabs>
          <w:tab w:val="left" w:pos="540"/>
          <w:tab w:val="left" w:pos="569"/>
        </w:tabs>
        <w:rPr>
          <w:sz w:val="22"/>
          <w:szCs w:val="22"/>
          <w:lang w:val="sr-Latn-ME"/>
        </w:rPr>
      </w:pPr>
      <w:r w:rsidRPr="00EF52A6">
        <w:rPr>
          <w:sz w:val="22"/>
          <w:szCs w:val="22"/>
          <w:lang w:val="sr-Latn-ME"/>
        </w:rPr>
        <w:t>b</w:t>
      </w:r>
      <w:r w:rsidR="009C5288" w:rsidRPr="00EF52A6">
        <w:rPr>
          <w:sz w:val="22"/>
          <w:szCs w:val="22"/>
          <w:lang w:val="sr-Latn-ME"/>
        </w:rPr>
        <w:t xml:space="preserve">oja </w:t>
      </w:r>
      <w:r w:rsidR="009C5288" w:rsidRPr="00EF52A6">
        <w:rPr>
          <w:i/>
          <w:iCs/>
          <w:sz w:val="22"/>
          <w:szCs w:val="22"/>
          <w:lang w:val="sr-Latn-ME"/>
        </w:rPr>
        <w:t>Indigo carmine aluminium lake</w:t>
      </w:r>
      <w:r w:rsidR="009C5288" w:rsidRPr="00EF52A6">
        <w:rPr>
          <w:sz w:val="22"/>
          <w:szCs w:val="22"/>
          <w:lang w:val="sr-Latn-ME"/>
        </w:rPr>
        <w:t xml:space="preserve"> (E132), </w:t>
      </w:r>
    </w:p>
    <w:p w14:paraId="2D2D6140" w14:textId="749ABB62" w:rsidR="009C5288" w:rsidRPr="00EF52A6" w:rsidRDefault="009C5288" w:rsidP="009C5288">
      <w:pPr>
        <w:tabs>
          <w:tab w:val="left" w:pos="540"/>
          <w:tab w:val="left" w:pos="569"/>
        </w:tabs>
        <w:rPr>
          <w:sz w:val="22"/>
          <w:szCs w:val="22"/>
          <w:lang w:val="sr-Latn-ME"/>
        </w:rPr>
      </w:pPr>
      <w:r w:rsidRPr="00EF52A6">
        <w:rPr>
          <w:sz w:val="22"/>
          <w:szCs w:val="22"/>
          <w:lang w:val="sr-Latn-ME"/>
        </w:rPr>
        <w:t>karnauba vosak (E903)</w:t>
      </w:r>
      <w:r w:rsidR="0022241E" w:rsidRPr="00EF52A6">
        <w:rPr>
          <w:sz w:val="22"/>
          <w:szCs w:val="22"/>
          <w:lang w:val="sr-Latn-ME"/>
        </w:rPr>
        <w:t>,</w:t>
      </w:r>
    </w:p>
    <w:p w14:paraId="07ED5688" w14:textId="6DC73F6D" w:rsidR="009C5288" w:rsidRPr="00EF52A6" w:rsidRDefault="0022241E" w:rsidP="009C5288">
      <w:pPr>
        <w:tabs>
          <w:tab w:val="left" w:pos="540"/>
          <w:tab w:val="left" w:pos="569"/>
        </w:tabs>
        <w:rPr>
          <w:sz w:val="22"/>
          <w:szCs w:val="22"/>
          <w:lang w:val="sr-Latn-ME"/>
        </w:rPr>
      </w:pPr>
      <w:r w:rsidRPr="00EF52A6">
        <w:rPr>
          <w:sz w:val="22"/>
          <w:szCs w:val="22"/>
          <w:lang w:val="sr-Latn-ME"/>
        </w:rPr>
        <w:t>š</w:t>
      </w:r>
      <w:r w:rsidR="009C5288" w:rsidRPr="00EF52A6">
        <w:rPr>
          <w:sz w:val="22"/>
          <w:szCs w:val="22"/>
          <w:lang w:val="sr-Latn-ME"/>
        </w:rPr>
        <w:t>elak, standardni (E904)</w:t>
      </w:r>
      <w:r w:rsidRPr="00EF52A6">
        <w:rPr>
          <w:sz w:val="22"/>
          <w:szCs w:val="22"/>
          <w:lang w:val="sr-Latn-ME"/>
        </w:rPr>
        <w:t>,</w:t>
      </w:r>
    </w:p>
    <w:p w14:paraId="40F89669" w14:textId="1A902BCB" w:rsidR="009C5288" w:rsidRPr="00EF52A6" w:rsidRDefault="0022241E" w:rsidP="009C5288">
      <w:pPr>
        <w:tabs>
          <w:tab w:val="left" w:pos="540"/>
          <w:tab w:val="left" w:pos="569"/>
        </w:tabs>
        <w:rPr>
          <w:sz w:val="22"/>
          <w:szCs w:val="22"/>
          <w:lang w:val="sr-Latn-ME"/>
        </w:rPr>
      </w:pPr>
      <w:r w:rsidRPr="00EF52A6">
        <w:rPr>
          <w:sz w:val="22"/>
          <w:szCs w:val="22"/>
          <w:lang w:val="sr-Latn-ME"/>
        </w:rPr>
        <w:t>g</w:t>
      </w:r>
      <w:r w:rsidR="009C5288" w:rsidRPr="00EF52A6">
        <w:rPr>
          <w:sz w:val="22"/>
          <w:szCs w:val="22"/>
          <w:lang w:val="sr-Latn-ME"/>
        </w:rPr>
        <w:t>liceril monooleat</w:t>
      </w:r>
      <w:r w:rsidRPr="00EF52A6">
        <w:rPr>
          <w:sz w:val="22"/>
          <w:szCs w:val="22"/>
          <w:lang w:val="sr-Latn-ME"/>
        </w:rPr>
        <w:t>.</w:t>
      </w:r>
    </w:p>
    <w:p w14:paraId="7BE662C4" w14:textId="77777777" w:rsidR="0072020E" w:rsidRPr="00EF52A6" w:rsidRDefault="0072020E" w:rsidP="00480FB1">
      <w:pPr>
        <w:tabs>
          <w:tab w:val="left" w:pos="540"/>
          <w:tab w:val="left" w:pos="569"/>
        </w:tabs>
        <w:rPr>
          <w:bCs/>
          <w:sz w:val="22"/>
          <w:szCs w:val="22"/>
          <w:lang w:val="sr-Latn-ME"/>
        </w:rPr>
      </w:pPr>
    </w:p>
    <w:p w14:paraId="5067E852"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6.2. </w:t>
      </w:r>
      <w:r w:rsidR="00480FB1" w:rsidRPr="00EF52A6">
        <w:rPr>
          <w:b/>
          <w:bCs/>
          <w:sz w:val="22"/>
          <w:szCs w:val="22"/>
          <w:lang w:val="sr-Latn-ME"/>
        </w:rPr>
        <w:tab/>
      </w:r>
      <w:r w:rsidRPr="00EF52A6">
        <w:rPr>
          <w:b/>
          <w:bCs/>
          <w:sz w:val="22"/>
          <w:szCs w:val="22"/>
          <w:lang w:val="sr-Latn-ME"/>
        </w:rPr>
        <w:t>Inkompatibilnost</w:t>
      </w:r>
      <w:r w:rsidR="002846DB" w:rsidRPr="00EF52A6">
        <w:rPr>
          <w:b/>
          <w:bCs/>
          <w:sz w:val="22"/>
          <w:szCs w:val="22"/>
          <w:lang w:val="sr-Latn-ME"/>
        </w:rPr>
        <w:t>i</w:t>
      </w:r>
    </w:p>
    <w:p w14:paraId="3D487A04" w14:textId="77777777" w:rsidR="0072020E" w:rsidRPr="00EF52A6" w:rsidRDefault="0072020E" w:rsidP="00480FB1">
      <w:pPr>
        <w:tabs>
          <w:tab w:val="left" w:pos="540"/>
          <w:tab w:val="left" w:pos="569"/>
        </w:tabs>
        <w:rPr>
          <w:bCs/>
          <w:sz w:val="22"/>
          <w:szCs w:val="22"/>
          <w:lang w:val="sr-Latn-ME"/>
        </w:rPr>
      </w:pPr>
    </w:p>
    <w:p w14:paraId="7ACFAFD9" w14:textId="0B0D4511" w:rsidR="009C5288" w:rsidRPr="00EF52A6" w:rsidRDefault="009C5288" w:rsidP="00480FB1">
      <w:pPr>
        <w:tabs>
          <w:tab w:val="left" w:pos="540"/>
          <w:tab w:val="left" w:pos="569"/>
        </w:tabs>
        <w:rPr>
          <w:bCs/>
          <w:sz w:val="22"/>
          <w:szCs w:val="22"/>
          <w:lang w:val="sr-Latn-ME"/>
        </w:rPr>
      </w:pPr>
      <w:r w:rsidRPr="00EF52A6">
        <w:rPr>
          <w:bCs/>
          <w:sz w:val="22"/>
          <w:szCs w:val="22"/>
          <w:lang w:val="sr-Latn-ME"/>
        </w:rPr>
        <w:t>Nije prim</w:t>
      </w:r>
      <w:r w:rsidR="00C43653" w:rsidRPr="00EF52A6">
        <w:rPr>
          <w:bCs/>
          <w:sz w:val="22"/>
          <w:szCs w:val="22"/>
          <w:lang w:val="sr-Latn-ME"/>
        </w:rPr>
        <w:t>j</w:t>
      </w:r>
      <w:r w:rsidRPr="00EF52A6">
        <w:rPr>
          <w:bCs/>
          <w:sz w:val="22"/>
          <w:szCs w:val="22"/>
          <w:lang w:val="sr-Latn-ME"/>
        </w:rPr>
        <w:t>enljivo.</w:t>
      </w:r>
    </w:p>
    <w:p w14:paraId="0C14FFFD" w14:textId="77777777" w:rsidR="009C5288" w:rsidRPr="00EF52A6" w:rsidRDefault="009C5288" w:rsidP="00480FB1">
      <w:pPr>
        <w:tabs>
          <w:tab w:val="left" w:pos="540"/>
          <w:tab w:val="left" w:pos="569"/>
        </w:tabs>
        <w:rPr>
          <w:bCs/>
          <w:sz w:val="22"/>
          <w:szCs w:val="22"/>
          <w:lang w:val="sr-Latn-ME"/>
        </w:rPr>
      </w:pPr>
    </w:p>
    <w:p w14:paraId="207DB855"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6.3.</w:t>
      </w:r>
      <w:r w:rsidR="00C05DF8" w:rsidRPr="00EF52A6">
        <w:rPr>
          <w:b/>
          <w:bCs/>
          <w:sz w:val="22"/>
          <w:szCs w:val="22"/>
          <w:lang w:val="sr-Latn-ME"/>
        </w:rPr>
        <w:t xml:space="preserve"> </w:t>
      </w:r>
      <w:r w:rsidR="00480FB1" w:rsidRPr="00EF52A6">
        <w:rPr>
          <w:b/>
          <w:bCs/>
          <w:sz w:val="22"/>
          <w:szCs w:val="22"/>
          <w:lang w:val="sr-Latn-ME"/>
        </w:rPr>
        <w:tab/>
      </w:r>
      <w:r w:rsidRPr="00EF52A6">
        <w:rPr>
          <w:b/>
          <w:bCs/>
          <w:sz w:val="22"/>
          <w:szCs w:val="22"/>
          <w:lang w:val="sr-Latn-ME"/>
        </w:rPr>
        <w:t>Rok upotrebe</w:t>
      </w:r>
    </w:p>
    <w:p w14:paraId="1215564B" w14:textId="77777777" w:rsidR="0072020E" w:rsidRPr="00EF52A6" w:rsidRDefault="0072020E" w:rsidP="00480FB1">
      <w:pPr>
        <w:tabs>
          <w:tab w:val="left" w:pos="540"/>
          <w:tab w:val="left" w:pos="569"/>
        </w:tabs>
        <w:rPr>
          <w:bCs/>
          <w:sz w:val="22"/>
          <w:szCs w:val="22"/>
          <w:lang w:val="sr-Latn-ME"/>
        </w:rPr>
      </w:pPr>
    </w:p>
    <w:p w14:paraId="11C52E10" w14:textId="5F1D4DFF" w:rsidR="009C5288" w:rsidRPr="00EF52A6" w:rsidRDefault="009C5288" w:rsidP="00480FB1">
      <w:pPr>
        <w:tabs>
          <w:tab w:val="left" w:pos="540"/>
          <w:tab w:val="left" w:pos="569"/>
        </w:tabs>
        <w:rPr>
          <w:bCs/>
          <w:sz w:val="22"/>
          <w:szCs w:val="22"/>
          <w:lang w:val="sr-Latn-ME"/>
        </w:rPr>
      </w:pPr>
      <w:r w:rsidRPr="00EF52A6">
        <w:rPr>
          <w:bCs/>
          <w:sz w:val="22"/>
          <w:szCs w:val="22"/>
          <w:lang w:val="sr-Latn-ME"/>
        </w:rPr>
        <w:t>3 godine.</w:t>
      </w:r>
    </w:p>
    <w:p w14:paraId="054DA45A" w14:textId="77777777" w:rsidR="009C5288" w:rsidRPr="00EF52A6" w:rsidRDefault="009C5288" w:rsidP="00480FB1">
      <w:pPr>
        <w:tabs>
          <w:tab w:val="left" w:pos="540"/>
          <w:tab w:val="left" w:pos="569"/>
        </w:tabs>
        <w:rPr>
          <w:bCs/>
          <w:sz w:val="22"/>
          <w:szCs w:val="22"/>
          <w:lang w:val="sr-Latn-ME"/>
        </w:rPr>
      </w:pPr>
    </w:p>
    <w:p w14:paraId="579C44AD"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6.4. </w:t>
      </w:r>
      <w:r w:rsidR="00480FB1" w:rsidRPr="00EF52A6">
        <w:rPr>
          <w:b/>
          <w:bCs/>
          <w:sz w:val="22"/>
          <w:szCs w:val="22"/>
          <w:lang w:val="sr-Latn-ME"/>
        </w:rPr>
        <w:tab/>
      </w:r>
      <w:r w:rsidRPr="00EF52A6">
        <w:rPr>
          <w:b/>
          <w:bCs/>
          <w:sz w:val="22"/>
          <w:szCs w:val="22"/>
          <w:lang w:val="sr-Latn-ME"/>
        </w:rPr>
        <w:t>Posebne mjere upozorenja pri čuvanju</w:t>
      </w:r>
      <w:r w:rsidR="00F8570A" w:rsidRPr="00EF52A6">
        <w:rPr>
          <w:b/>
          <w:bCs/>
          <w:sz w:val="22"/>
          <w:szCs w:val="22"/>
          <w:lang w:val="sr-Latn-ME"/>
        </w:rPr>
        <w:t xml:space="preserve"> lijeka</w:t>
      </w:r>
    </w:p>
    <w:p w14:paraId="21037AFD" w14:textId="10852F10" w:rsidR="00EC2532" w:rsidRPr="00EF52A6" w:rsidRDefault="009C5288" w:rsidP="009C5288">
      <w:pPr>
        <w:tabs>
          <w:tab w:val="left" w:pos="1390"/>
        </w:tabs>
        <w:rPr>
          <w:bCs/>
          <w:sz w:val="22"/>
          <w:szCs w:val="22"/>
          <w:lang w:val="sr-Latn-ME"/>
        </w:rPr>
      </w:pPr>
      <w:r w:rsidRPr="00EF52A6">
        <w:rPr>
          <w:bCs/>
          <w:sz w:val="22"/>
          <w:szCs w:val="22"/>
          <w:lang w:val="sr-Latn-ME"/>
        </w:rPr>
        <w:tab/>
      </w:r>
    </w:p>
    <w:p w14:paraId="516E664F" w14:textId="27ECC2CB" w:rsidR="009C5288" w:rsidRPr="00EF52A6" w:rsidRDefault="009C5288" w:rsidP="009C5288">
      <w:pPr>
        <w:tabs>
          <w:tab w:val="left" w:pos="1390"/>
        </w:tabs>
        <w:rPr>
          <w:bCs/>
          <w:sz w:val="22"/>
          <w:szCs w:val="22"/>
          <w:lang w:val="sr-Latn-ME"/>
        </w:rPr>
      </w:pPr>
      <w:r w:rsidRPr="00EF52A6">
        <w:rPr>
          <w:bCs/>
          <w:sz w:val="22"/>
          <w:szCs w:val="22"/>
          <w:lang w:val="sr-Latn-ME"/>
        </w:rPr>
        <w:t>Čuvati na temperaturi do 30°C.</w:t>
      </w:r>
    </w:p>
    <w:p w14:paraId="0BF63464" w14:textId="477437F5" w:rsidR="009C5288" w:rsidRPr="00EF52A6" w:rsidRDefault="009C5288" w:rsidP="009C5288">
      <w:pPr>
        <w:tabs>
          <w:tab w:val="left" w:pos="1390"/>
        </w:tabs>
        <w:rPr>
          <w:bCs/>
          <w:sz w:val="22"/>
          <w:szCs w:val="22"/>
          <w:lang w:val="sr-Latn-ME"/>
        </w:rPr>
      </w:pPr>
      <w:r w:rsidRPr="00EF52A6">
        <w:rPr>
          <w:bCs/>
          <w:sz w:val="22"/>
          <w:szCs w:val="22"/>
          <w:lang w:val="sr-Latn-ME"/>
        </w:rPr>
        <w:t>Čuvati u originalnoj bočici radi zaštite od vlage i sv</w:t>
      </w:r>
      <w:r w:rsidR="00C43653" w:rsidRPr="00EF52A6">
        <w:rPr>
          <w:bCs/>
          <w:sz w:val="22"/>
          <w:szCs w:val="22"/>
          <w:lang w:val="sr-Latn-ME"/>
        </w:rPr>
        <w:t>j</w:t>
      </w:r>
      <w:r w:rsidRPr="00EF52A6">
        <w:rPr>
          <w:bCs/>
          <w:sz w:val="22"/>
          <w:szCs w:val="22"/>
          <w:lang w:val="sr-Latn-ME"/>
        </w:rPr>
        <w:t xml:space="preserve">etlosti. </w:t>
      </w:r>
      <w:r w:rsidR="00E15EC4" w:rsidRPr="00EF52A6">
        <w:rPr>
          <w:bCs/>
          <w:sz w:val="22"/>
          <w:szCs w:val="22"/>
          <w:lang w:val="sr-Latn-ME"/>
        </w:rPr>
        <w:t>B</w:t>
      </w:r>
      <w:r w:rsidRPr="00EF52A6">
        <w:rPr>
          <w:bCs/>
          <w:sz w:val="22"/>
          <w:szCs w:val="22"/>
          <w:lang w:val="sr-Latn-ME"/>
        </w:rPr>
        <w:t>očicu</w:t>
      </w:r>
      <w:r w:rsidR="00E15EC4" w:rsidRPr="00EF52A6">
        <w:rPr>
          <w:bCs/>
          <w:sz w:val="22"/>
          <w:szCs w:val="22"/>
          <w:lang w:val="sr-Latn-ME"/>
        </w:rPr>
        <w:t xml:space="preserve"> čuvat</w:t>
      </w:r>
      <w:r w:rsidR="00933DAC" w:rsidRPr="00EF52A6">
        <w:rPr>
          <w:bCs/>
          <w:sz w:val="22"/>
          <w:szCs w:val="22"/>
          <w:lang w:val="sr-Latn-ME"/>
        </w:rPr>
        <w:t>i</w:t>
      </w:r>
      <w:r w:rsidRPr="00EF52A6">
        <w:rPr>
          <w:bCs/>
          <w:sz w:val="22"/>
          <w:szCs w:val="22"/>
          <w:lang w:val="sr-Latn-ME"/>
        </w:rPr>
        <w:t xml:space="preserve"> dobro zatvorenu.</w:t>
      </w:r>
    </w:p>
    <w:p w14:paraId="08201265" w14:textId="77777777" w:rsidR="009C5288" w:rsidRPr="00EF52A6" w:rsidRDefault="009C5288" w:rsidP="009C5288">
      <w:pPr>
        <w:tabs>
          <w:tab w:val="left" w:pos="1390"/>
        </w:tabs>
        <w:rPr>
          <w:bCs/>
          <w:sz w:val="22"/>
          <w:szCs w:val="22"/>
          <w:lang w:val="sr-Latn-ME"/>
        </w:rPr>
      </w:pPr>
    </w:p>
    <w:p w14:paraId="1D920318"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6.5. </w:t>
      </w:r>
      <w:r w:rsidR="00480FB1" w:rsidRPr="00EF52A6">
        <w:rPr>
          <w:b/>
          <w:bCs/>
          <w:sz w:val="22"/>
          <w:szCs w:val="22"/>
          <w:lang w:val="sr-Latn-ME"/>
        </w:rPr>
        <w:tab/>
      </w:r>
      <w:r w:rsidR="002846DB" w:rsidRPr="00EF52A6">
        <w:rPr>
          <w:b/>
          <w:bCs/>
          <w:sz w:val="22"/>
          <w:szCs w:val="22"/>
          <w:lang w:val="sr-Latn-ME"/>
        </w:rPr>
        <w:t xml:space="preserve">Vrsta i sadržaj </w:t>
      </w:r>
      <w:r w:rsidR="00F8570A" w:rsidRPr="00EF52A6">
        <w:rPr>
          <w:b/>
          <w:bCs/>
          <w:sz w:val="22"/>
          <w:szCs w:val="22"/>
          <w:lang w:val="sr-Latn-ME"/>
        </w:rPr>
        <w:t>pakovanja</w:t>
      </w:r>
      <w:r w:rsidR="00C06864" w:rsidRPr="00EF52A6">
        <w:rPr>
          <w:b/>
          <w:bCs/>
          <w:sz w:val="22"/>
          <w:szCs w:val="22"/>
          <w:lang w:val="sr-Latn-ME"/>
        </w:rPr>
        <w:t xml:space="preserve"> </w:t>
      </w:r>
    </w:p>
    <w:p w14:paraId="058D78A1" w14:textId="77777777" w:rsidR="0072020E" w:rsidRPr="00EF52A6" w:rsidRDefault="0072020E" w:rsidP="00480FB1">
      <w:pPr>
        <w:tabs>
          <w:tab w:val="left" w:pos="540"/>
          <w:tab w:val="left" w:pos="569"/>
        </w:tabs>
        <w:rPr>
          <w:bCs/>
          <w:sz w:val="22"/>
          <w:szCs w:val="22"/>
          <w:lang w:val="sr-Latn-ME"/>
        </w:rPr>
      </w:pPr>
    </w:p>
    <w:p w14:paraId="6DC26A2F" w14:textId="4917DBBE" w:rsidR="009C5288" w:rsidRPr="00EF52A6" w:rsidRDefault="009C5288" w:rsidP="009C5288">
      <w:pPr>
        <w:tabs>
          <w:tab w:val="left" w:pos="540"/>
          <w:tab w:val="left" w:pos="569"/>
        </w:tabs>
        <w:rPr>
          <w:bCs/>
          <w:sz w:val="22"/>
          <w:szCs w:val="22"/>
          <w:lang w:val="sr-Latn-ME"/>
        </w:rPr>
      </w:pPr>
      <w:r w:rsidRPr="00EF52A6">
        <w:rPr>
          <w:bCs/>
          <w:sz w:val="22"/>
          <w:szCs w:val="22"/>
          <w:u w:val="single"/>
          <w:lang w:val="sr-Latn-ME"/>
        </w:rPr>
        <w:t>Koselugo</w:t>
      </w:r>
      <w:r w:rsidR="00C43653" w:rsidRPr="00EF52A6">
        <w:rPr>
          <w:bCs/>
          <w:sz w:val="22"/>
          <w:szCs w:val="22"/>
          <w:u w:val="single"/>
          <w:lang w:val="sr-Latn-ME"/>
        </w:rPr>
        <w:t>,</w:t>
      </w:r>
      <w:r w:rsidRPr="00EF52A6">
        <w:rPr>
          <w:bCs/>
          <w:sz w:val="22"/>
          <w:szCs w:val="22"/>
          <w:u w:val="single"/>
          <w:lang w:val="sr-Latn-ME"/>
        </w:rPr>
        <w:t xml:space="preserve"> 10 mg</w:t>
      </w:r>
      <w:r w:rsidR="00C43653" w:rsidRPr="00EF52A6">
        <w:rPr>
          <w:bCs/>
          <w:sz w:val="22"/>
          <w:szCs w:val="22"/>
          <w:u w:val="single"/>
          <w:lang w:val="sr-Latn-ME"/>
        </w:rPr>
        <w:t>,</w:t>
      </w:r>
      <w:r w:rsidRPr="00EF52A6">
        <w:rPr>
          <w:bCs/>
          <w:sz w:val="22"/>
          <w:szCs w:val="22"/>
          <w:u w:val="single"/>
          <w:lang w:val="sr-Latn-ME"/>
        </w:rPr>
        <w:t xml:space="preserve"> </w:t>
      </w:r>
      <w:r w:rsidR="00814C7F" w:rsidRPr="00EF52A6">
        <w:rPr>
          <w:bCs/>
          <w:sz w:val="22"/>
          <w:szCs w:val="22"/>
          <w:u w:val="single"/>
          <w:lang w:val="sr-Latn-ME"/>
        </w:rPr>
        <w:t>kapsul</w:t>
      </w:r>
      <w:r w:rsidR="0022241E" w:rsidRPr="00EF52A6">
        <w:rPr>
          <w:bCs/>
          <w:sz w:val="22"/>
          <w:szCs w:val="22"/>
          <w:u w:val="single"/>
          <w:lang w:val="sr-Latn-ME"/>
        </w:rPr>
        <w:t>a</w:t>
      </w:r>
      <w:r w:rsidR="00814C7F" w:rsidRPr="00EF52A6">
        <w:rPr>
          <w:bCs/>
          <w:sz w:val="22"/>
          <w:szCs w:val="22"/>
          <w:u w:val="single"/>
          <w:lang w:val="sr-Latn-ME"/>
        </w:rPr>
        <w:t>, tvrd</w:t>
      </w:r>
      <w:r w:rsidR="0022241E" w:rsidRPr="00EF52A6">
        <w:rPr>
          <w:bCs/>
          <w:sz w:val="22"/>
          <w:szCs w:val="22"/>
          <w:u w:val="single"/>
          <w:lang w:val="sr-Latn-ME"/>
        </w:rPr>
        <w:t>a</w:t>
      </w:r>
    </w:p>
    <w:p w14:paraId="56707B4B" w14:textId="000EB53D" w:rsidR="009C5288" w:rsidRPr="00EF52A6" w:rsidRDefault="00CC432E" w:rsidP="009C5288">
      <w:pPr>
        <w:tabs>
          <w:tab w:val="left" w:pos="540"/>
          <w:tab w:val="left" w:pos="569"/>
        </w:tabs>
        <w:rPr>
          <w:bCs/>
          <w:sz w:val="22"/>
          <w:szCs w:val="22"/>
          <w:lang w:val="sr-Latn-ME"/>
        </w:rPr>
      </w:pPr>
      <w:r w:rsidRPr="00EF52A6">
        <w:rPr>
          <w:bCs/>
          <w:sz w:val="22"/>
          <w:szCs w:val="22"/>
          <w:lang w:val="sr-Latn-ME"/>
        </w:rPr>
        <w:t>Unutrašnje pakovanje je p</w:t>
      </w:r>
      <w:r w:rsidR="009C5288" w:rsidRPr="00EF52A6">
        <w:rPr>
          <w:bCs/>
          <w:sz w:val="22"/>
          <w:szCs w:val="22"/>
          <w:lang w:val="sr-Latn-ME"/>
        </w:rPr>
        <w:t>lastična bočica napravljena od polietilena velike gust</w:t>
      </w:r>
      <w:r w:rsidRPr="00EF52A6">
        <w:rPr>
          <w:bCs/>
          <w:sz w:val="22"/>
          <w:szCs w:val="22"/>
          <w:lang w:val="sr-Latn-ME"/>
        </w:rPr>
        <w:t>ine</w:t>
      </w:r>
      <w:r w:rsidR="009C5288" w:rsidRPr="00EF52A6">
        <w:rPr>
          <w:bCs/>
          <w:sz w:val="22"/>
          <w:szCs w:val="22"/>
          <w:lang w:val="sr-Latn-ME"/>
        </w:rPr>
        <w:t xml:space="preserve"> (HDPE) sa b</w:t>
      </w:r>
      <w:r w:rsidR="00C43653" w:rsidRPr="00EF52A6">
        <w:rPr>
          <w:bCs/>
          <w:sz w:val="22"/>
          <w:szCs w:val="22"/>
          <w:lang w:val="sr-Latn-ME"/>
        </w:rPr>
        <w:t>ij</w:t>
      </w:r>
      <w:r w:rsidR="009C5288" w:rsidRPr="00EF52A6">
        <w:rPr>
          <w:bCs/>
          <w:sz w:val="22"/>
          <w:szCs w:val="22"/>
          <w:lang w:val="sr-Latn-ME"/>
        </w:rPr>
        <w:t>elim polipropilenskim zatvaračem koji je dobro zaštićen kako ga d</w:t>
      </w:r>
      <w:r w:rsidR="00FD6720" w:rsidRPr="00EF52A6">
        <w:rPr>
          <w:bCs/>
          <w:sz w:val="22"/>
          <w:szCs w:val="22"/>
          <w:lang w:val="sr-Latn-ME"/>
        </w:rPr>
        <w:t>j</w:t>
      </w:r>
      <w:r w:rsidR="009C5288" w:rsidRPr="00EF52A6">
        <w:rPr>
          <w:bCs/>
          <w:sz w:val="22"/>
          <w:szCs w:val="22"/>
          <w:lang w:val="sr-Latn-ME"/>
        </w:rPr>
        <w:t>eca ne bi mogla otvoriti</w:t>
      </w:r>
      <w:r w:rsidRPr="00EF52A6">
        <w:rPr>
          <w:bCs/>
          <w:sz w:val="22"/>
          <w:szCs w:val="22"/>
          <w:lang w:val="sr-Latn-ME"/>
        </w:rPr>
        <w:t xml:space="preserve"> koja sadrži 60 kapsula, tvrdih i silika gel kao sredstvo za sušenje</w:t>
      </w:r>
      <w:r w:rsidR="009C5288" w:rsidRPr="00EF52A6">
        <w:rPr>
          <w:bCs/>
          <w:sz w:val="22"/>
          <w:szCs w:val="22"/>
          <w:lang w:val="sr-Latn-ME"/>
        </w:rPr>
        <w:t>.</w:t>
      </w:r>
    </w:p>
    <w:p w14:paraId="540A3F62" w14:textId="6FAF0847" w:rsidR="00CC432E" w:rsidRPr="00EF52A6" w:rsidRDefault="00CC432E" w:rsidP="009C5288">
      <w:pPr>
        <w:tabs>
          <w:tab w:val="left" w:pos="540"/>
          <w:tab w:val="left" w:pos="569"/>
        </w:tabs>
        <w:rPr>
          <w:bCs/>
          <w:sz w:val="22"/>
          <w:szCs w:val="22"/>
          <w:lang w:val="sr-Latn-ME"/>
        </w:rPr>
      </w:pPr>
      <w:r w:rsidRPr="00EF52A6">
        <w:rPr>
          <w:bCs/>
          <w:sz w:val="22"/>
          <w:szCs w:val="22"/>
          <w:lang w:val="sr-Latn-ME"/>
        </w:rPr>
        <w:t>Spoljašnje pakovanje je složiva kartonska kutija u kojoj se nalazi jedna bočica (ukupno 60 kapsula, tvdih) i Uputstvo za lijek.</w:t>
      </w:r>
    </w:p>
    <w:p w14:paraId="3436CD94" w14:textId="77777777" w:rsidR="009C5288" w:rsidRPr="00EF52A6" w:rsidRDefault="009C5288" w:rsidP="009C5288">
      <w:pPr>
        <w:tabs>
          <w:tab w:val="left" w:pos="540"/>
          <w:tab w:val="left" w:pos="569"/>
        </w:tabs>
        <w:rPr>
          <w:bCs/>
          <w:sz w:val="22"/>
          <w:szCs w:val="22"/>
          <w:lang w:val="sr-Latn-ME"/>
        </w:rPr>
      </w:pPr>
    </w:p>
    <w:p w14:paraId="35797EBB" w14:textId="21623FF1" w:rsidR="009C5288" w:rsidRPr="00EF52A6" w:rsidRDefault="009C5288" w:rsidP="009C5288">
      <w:pPr>
        <w:tabs>
          <w:tab w:val="left" w:pos="540"/>
          <w:tab w:val="left" w:pos="569"/>
        </w:tabs>
        <w:rPr>
          <w:bCs/>
          <w:sz w:val="22"/>
          <w:szCs w:val="22"/>
          <w:lang w:val="sr-Latn-ME"/>
        </w:rPr>
      </w:pPr>
      <w:r w:rsidRPr="00EF52A6">
        <w:rPr>
          <w:bCs/>
          <w:sz w:val="22"/>
          <w:szCs w:val="22"/>
          <w:u w:val="single"/>
          <w:lang w:val="sr-Latn-ME"/>
        </w:rPr>
        <w:t>Koselugo</w:t>
      </w:r>
      <w:r w:rsidR="00C43653" w:rsidRPr="00EF52A6">
        <w:rPr>
          <w:bCs/>
          <w:sz w:val="22"/>
          <w:szCs w:val="22"/>
          <w:u w:val="single"/>
          <w:lang w:val="sr-Latn-ME"/>
        </w:rPr>
        <w:t>,</w:t>
      </w:r>
      <w:r w:rsidRPr="00EF52A6">
        <w:rPr>
          <w:bCs/>
          <w:sz w:val="22"/>
          <w:szCs w:val="22"/>
          <w:u w:val="single"/>
          <w:lang w:val="sr-Latn-ME"/>
        </w:rPr>
        <w:t xml:space="preserve"> 25 mg</w:t>
      </w:r>
      <w:r w:rsidR="00C43653" w:rsidRPr="00EF52A6">
        <w:rPr>
          <w:bCs/>
          <w:sz w:val="22"/>
          <w:szCs w:val="22"/>
          <w:u w:val="single"/>
          <w:lang w:val="sr-Latn-ME"/>
        </w:rPr>
        <w:t>,</w:t>
      </w:r>
      <w:r w:rsidRPr="00EF52A6">
        <w:rPr>
          <w:bCs/>
          <w:sz w:val="22"/>
          <w:szCs w:val="22"/>
          <w:u w:val="single"/>
          <w:lang w:val="sr-Latn-ME"/>
        </w:rPr>
        <w:t xml:space="preserve"> </w:t>
      </w:r>
      <w:r w:rsidR="00814C7F" w:rsidRPr="00EF52A6">
        <w:rPr>
          <w:bCs/>
          <w:sz w:val="22"/>
          <w:szCs w:val="22"/>
          <w:u w:val="single"/>
          <w:lang w:val="sr-Latn-ME"/>
        </w:rPr>
        <w:t>kapsul</w:t>
      </w:r>
      <w:r w:rsidR="00CC432E" w:rsidRPr="00EF52A6">
        <w:rPr>
          <w:bCs/>
          <w:sz w:val="22"/>
          <w:szCs w:val="22"/>
          <w:u w:val="single"/>
          <w:lang w:val="sr-Latn-ME"/>
        </w:rPr>
        <w:t>a</w:t>
      </w:r>
      <w:r w:rsidR="00814C7F" w:rsidRPr="00EF52A6">
        <w:rPr>
          <w:bCs/>
          <w:sz w:val="22"/>
          <w:szCs w:val="22"/>
          <w:u w:val="single"/>
          <w:lang w:val="sr-Latn-ME"/>
        </w:rPr>
        <w:t>, tvrd</w:t>
      </w:r>
      <w:r w:rsidR="00CC432E" w:rsidRPr="00EF52A6">
        <w:rPr>
          <w:bCs/>
          <w:sz w:val="22"/>
          <w:szCs w:val="22"/>
          <w:u w:val="single"/>
          <w:lang w:val="sr-Latn-ME"/>
        </w:rPr>
        <w:t>a</w:t>
      </w:r>
    </w:p>
    <w:p w14:paraId="44513B24" w14:textId="7F6CC90D" w:rsidR="00CC432E" w:rsidRPr="00EF52A6" w:rsidRDefault="00CC432E" w:rsidP="00CC432E">
      <w:pPr>
        <w:tabs>
          <w:tab w:val="left" w:pos="540"/>
          <w:tab w:val="left" w:pos="569"/>
        </w:tabs>
        <w:rPr>
          <w:bCs/>
          <w:sz w:val="22"/>
          <w:szCs w:val="22"/>
          <w:lang w:val="sr-Latn-ME"/>
        </w:rPr>
      </w:pPr>
      <w:r w:rsidRPr="00EF52A6">
        <w:rPr>
          <w:bCs/>
          <w:sz w:val="22"/>
          <w:szCs w:val="22"/>
          <w:lang w:val="sr-Latn-ME"/>
        </w:rPr>
        <w:t>Unutrašnje pakovanje je p</w:t>
      </w:r>
      <w:r w:rsidR="009C5288" w:rsidRPr="00EF52A6">
        <w:rPr>
          <w:bCs/>
          <w:sz w:val="22"/>
          <w:szCs w:val="22"/>
          <w:lang w:val="sr-Latn-ME"/>
        </w:rPr>
        <w:t>lastična bočica napravljena od polietilena velike gust</w:t>
      </w:r>
      <w:r w:rsidRPr="00EF52A6">
        <w:rPr>
          <w:bCs/>
          <w:sz w:val="22"/>
          <w:szCs w:val="22"/>
          <w:lang w:val="sr-Latn-ME"/>
        </w:rPr>
        <w:t>ine</w:t>
      </w:r>
      <w:r w:rsidR="009C5288" w:rsidRPr="00EF52A6">
        <w:rPr>
          <w:bCs/>
          <w:sz w:val="22"/>
          <w:szCs w:val="22"/>
          <w:lang w:val="sr-Latn-ME"/>
        </w:rPr>
        <w:t xml:space="preserve"> (HDPE) sa plavim polipropilenskim zatvaračem koji je dobro zaštićen kako ga d</w:t>
      </w:r>
      <w:r w:rsidR="00FD6720" w:rsidRPr="00EF52A6">
        <w:rPr>
          <w:bCs/>
          <w:sz w:val="22"/>
          <w:szCs w:val="22"/>
          <w:lang w:val="sr-Latn-ME"/>
        </w:rPr>
        <w:t>j</w:t>
      </w:r>
      <w:r w:rsidR="009C5288" w:rsidRPr="00EF52A6">
        <w:rPr>
          <w:bCs/>
          <w:sz w:val="22"/>
          <w:szCs w:val="22"/>
          <w:lang w:val="sr-Latn-ME"/>
        </w:rPr>
        <w:t>eca ne bi mogla otvoriti</w:t>
      </w:r>
      <w:r w:rsidRPr="00EF52A6">
        <w:rPr>
          <w:bCs/>
          <w:sz w:val="22"/>
          <w:szCs w:val="22"/>
          <w:lang w:val="sr-Latn-ME"/>
        </w:rPr>
        <w:t xml:space="preserve"> koja sadrži 60 kapsula, tvrdih i silika gel kao sredstvo za sušenje.</w:t>
      </w:r>
    </w:p>
    <w:p w14:paraId="7B56A61F" w14:textId="77777777" w:rsidR="00CC432E" w:rsidRPr="00EF52A6" w:rsidRDefault="00CC432E" w:rsidP="00CC432E">
      <w:pPr>
        <w:tabs>
          <w:tab w:val="left" w:pos="540"/>
          <w:tab w:val="left" w:pos="569"/>
        </w:tabs>
        <w:rPr>
          <w:bCs/>
          <w:sz w:val="22"/>
          <w:szCs w:val="22"/>
          <w:lang w:val="sr-Latn-ME"/>
        </w:rPr>
      </w:pPr>
      <w:r w:rsidRPr="00EF52A6">
        <w:rPr>
          <w:bCs/>
          <w:sz w:val="22"/>
          <w:szCs w:val="22"/>
          <w:lang w:val="sr-Latn-ME"/>
        </w:rPr>
        <w:t>Spoljašnje pakovanje je složiva kartonska kutija u kojoj se nalazi jedna bočica (ukupno 60 kapsula, tvdih) i Uputstvo za lijek.</w:t>
      </w:r>
    </w:p>
    <w:p w14:paraId="3BF19E4F" w14:textId="77777777" w:rsidR="009C5288" w:rsidRPr="00EF52A6" w:rsidRDefault="009C5288" w:rsidP="009C5288">
      <w:pPr>
        <w:tabs>
          <w:tab w:val="left" w:pos="540"/>
          <w:tab w:val="left" w:pos="569"/>
        </w:tabs>
        <w:rPr>
          <w:bCs/>
          <w:sz w:val="22"/>
          <w:szCs w:val="22"/>
          <w:lang w:val="sr-Latn-ME"/>
        </w:rPr>
      </w:pPr>
    </w:p>
    <w:p w14:paraId="430BA5DD" w14:textId="5B63726F" w:rsidR="00B66A70"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6.6. </w:t>
      </w:r>
      <w:r w:rsidR="00480FB1" w:rsidRPr="00EF52A6">
        <w:rPr>
          <w:b/>
          <w:bCs/>
          <w:sz w:val="22"/>
          <w:szCs w:val="22"/>
          <w:lang w:val="sr-Latn-ME"/>
        </w:rPr>
        <w:tab/>
      </w:r>
      <w:r w:rsidRPr="00EF52A6">
        <w:rPr>
          <w:b/>
          <w:bCs/>
          <w:color w:val="000000"/>
          <w:sz w:val="22"/>
          <w:szCs w:val="22"/>
          <w:lang w:val="sr-Latn-ME"/>
        </w:rPr>
        <w:t>Posebne mjere opreza pri odlaganju materijala koji treba odbaciti nakon primjene lijeka</w:t>
      </w:r>
      <w:r w:rsidRPr="00EF52A6">
        <w:rPr>
          <w:b/>
          <w:bCs/>
          <w:sz w:val="22"/>
          <w:szCs w:val="22"/>
          <w:lang w:val="sr-Latn-ME"/>
        </w:rPr>
        <w:t xml:space="preserve"> </w:t>
      </w:r>
      <w:r w:rsidR="00310F03" w:rsidRPr="00EF52A6">
        <w:rPr>
          <w:b/>
          <w:bCs/>
          <w:sz w:val="22"/>
          <w:szCs w:val="22"/>
          <w:lang w:val="sr-Latn-ME"/>
        </w:rPr>
        <w:t>(i druga uputs</w:t>
      </w:r>
      <w:r w:rsidR="004109FA" w:rsidRPr="00EF52A6">
        <w:rPr>
          <w:b/>
          <w:bCs/>
          <w:sz w:val="22"/>
          <w:szCs w:val="22"/>
          <w:lang w:val="sr-Latn-ME"/>
        </w:rPr>
        <w:t>t</w:t>
      </w:r>
      <w:r w:rsidR="00310F03" w:rsidRPr="00EF52A6">
        <w:rPr>
          <w:b/>
          <w:bCs/>
          <w:sz w:val="22"/>
          <w:szCs w:val="22"/>
          <w:lang w:val="sr-Latn-ME"/>
        </w:rPr>
        <w:t xml:space="preserve">va za rukovanje lijekom) </w:t>
      </w:r>
    </w:p>
    <w:p w14:paraId="346B2E1A" w14:textId="77777777" w:rsidR="009C5288" w:rsidRPr="00EF52A6" w:rsidRDefault="009C5288" w:rsidP="009C5288">
      <w:pPr>
        <w:tabs>
          <w:tab w:val="left" w:pos="540"/>
          <w:tab w:val="left" w:pos="569"/>
        </w:tabs>
        <w:rPr>
          <w:b/>
          <w:bCs/>
          <w:sz w:val="22"/>
          <w:szCs w:val="22"/>
          <w:lang w:val="sr-Latn-ME"/>
        </w:rPr>
      </w:pPr>
    </w:p>
    <w:p w14:paraId="0ED46A46" w14:textId="1597D262" w:rsidR="009C5288" w:rsidRPr="00EF52A6" w:rsidRDefault="009C5288" w:rsidP="009C5288">
      <w:pPr>
        <w:tabs>
          <w:tab w:val="left" w:pos="540"/>
          <w:tab w:val="left" w:pos="569"/>
        </w:tabs>
        <w:rPr>
          <w:bCs/>
          <w:sz w:val="22"/>
          <w:szCs w:val="22"/>
          <w:lang w:val="sr-Latn-ME"/>
        </w:rPr>
      </w:pPr>
      <w:r w:rsidRPr="00EF52A6">
        <w:rPr>
          <w:bCs/>
          <w:sz w:val="22"/>
          <w:szCs w:val="22"/>
          <w:lang w:val="sr-Latn-ME"/>
        </w:rPr>
        <w:t xml:space="preserve">Pacijente treba </w:t>
      </w:r>
      <w:r w:rsidR="00CC432E" w:rsidRPr="00EF52A6">
        <w:rPr>
          <w:bCs/>
          <w:sz w:val="22"/>
          <w:szCs w:val="22"/>
          <w:lang w:val="sr-Latn-ME"/>
        </w:rPr>
        <w:t xml:space="preserve">napomenuti </w:t>
      </w:r>
      <w:r w:rsidRPr="00EF52A6">
        <w:rPr>
          <w:bCs/>
          <w:sz w:val="22"/>
          <w:szCs w:val="22"/>
          <w:lang w:val="sr-Latn-ME"/>
        </w:rPr>
        <w:t>da ne uklanjaju sredstvo za sušenje iz bočice.</w:t>
      </w:r>
    </w:p>
    <w:p w14:paraId="05FDB635" w14:textId="77777777" w:rsidR="009C5288" w:rsidRPr="00EF52A6" w:rsidRDefault="009C5288" w:rsidP="009C5288">
      <w:pPr>
        <w:tabs>
          <w:tab w:val="left" w:pos="540"/>
          <w:tab w:val="left" w:pos="569"/>
        </w:tabs>
        <w:rPr>
          <w:bCs/>
          <w:sz w:val="22"/>
          <w:szCs w:val="22"/>
          <w:lang w:val="sr-Latn-ME"/>
        </w:rPr>
      </w:pPr>
    </w:p>
    <w:p w14:paraId="45ADB7A6" w14:textId="33554A85" w:rsidR="009C5288" w:rsidRPr="00EF52A6" w:rsidRDefault="00CC432E" w:rsidP="00480FB1">
      <w:pPr>
        <w:tabs>
          <w:tab w:val="left" w:pos="540"/>
          <w:tab w:val="left" w:pos="569"/>
        </w:tabs>
        <w:rPr>
          <w:bCs/>
          <w:sz w:val="22"/>
          <w:szCs w:val="22"/>
          <w:lang w:val="sr-Latn-ME"/>
        </w:rPr>
      </w:pPr>
      <w:r w:rsidRPr="00EF52A6">
        <w:rPr>
          <w:bCs/>
          <w:sz w:val="22"/>
          <w:szCs w:val="22"/>
          <w:lang w:val="sr-Latn-ME"/>
        </w:rPr>
        <w:t>Svu neiskorišćenu količinu lijeka ili otpadnog materijala nakon njegove upotrebe treba ukloniti, u skladu sa važećim propisima.</w:t>
      </w:r>
    </w:p>
    <w:p w14:paraId="44B4C12B" w14:textId="367708FE" w:rsidR="00EF7810" w:rsidRPr="00EF52A6" w:rsidRDefault="00EF7810" w:rsidP="00480FB1">
      <w:pPr>
        <w:tabs>
          <w:tab w:val="left" w:pos="540"/>
          <w:tab w:val="left" w:pos="569"/>
        </w:tabs>
        <w:rPr>
          <w:bCs/>
          <w:sz w:val="22"/>
          <w:szCs w:val="22"/>
          <w:lang w:val="sr-Latn-ME"/>
        </w:rPr>
      </w:pPr>
    </w:p>
    <w:p w14:paraId="0FA0D231" w14:textId="3735B3DB" w:rsidR="00CC432E" w:rsidRPr="00EF52A6" w:rsidRDefault="00CC432E" w:rsidP="00480FB1">
      <w:pPr>
        <w:tabs>
          <w:tab w:val="left" w:pos="540"/>
          <w:tab w:val="left" w:pos="569"/>
        </w:tabs>
        <w:rPr>
          <w:bCs/>
          <w:sz w:val="22"/>
          <w:szCs w:val="22"/>
          <w:lang w:val="sr-Latn-ME"/>
        </w:rPr>
      </w:pPr>
    </w:p>
    <w:p w14:paraId="229C040E" w14:textId="77777777" w:rsidR="00F8570A" w:rsidRPr="00EF52A6" w:rsidRDefault="0072020E" w:rsidP="00480FB1">
      <w:pPr>
        <w:tabs>
          <w:tab w:val="left" w:pos="540"/>
          <w:tab w:val="left" w:pos="569"/>
        </w:tabs>
        <w:rPr>
          <w:b/>
          <w:bCs/>
          <w:sz w:val="22"/>
          <w:szCs w:val="22"/>
          <w:lang w:val="sr-Latn-ME"/>
        </w:rPr>
      </w:pPr>
      <w:r w:rsidRPr="00EF52A6">
        <w:rPr>
          <w:b/>
          <w:bCs/>
          <w:sz w:val="22"/>
          <w:szCs w:val="22"/>
          <w:lang w:val="sr-Latn-ME"/>
        </w:rPr>
        <w:lastRenderedPageBreak/>
        <w:t xml:space="preserve">7. </w:t>
      </w:r>
      <w:r w:rsidR="00480FB1" w:rsidRPr="00EF52A6">
        <w:rPr>
          <w:b/>
          <w:bCs/>
          <w:sz w:val="22"/>
          <w:szCs w:val="22"/>
          <w:lang w:val="sr-Latn-ME"/>
        </w:rPr>
        <w:tab/>
      </w:r>
      <w:r w:rsidRPr="00EF52A6">
        <w:rPr>
          <w:b/>
          <w:bCs/>
          <w:sz w:val="22"/>
          <w:szCs w:val="22"/>
          <w:lang w:val="sr-Latn-ME"/>
        </w:rPr>
        <w:t>NOSILAC DOZVOLE</w:t>
      </w:r>
      <w:r w:rsidR="00483928" w:rsidRPr="00EF52A6">
        <w:rPr>
          <w:b/>
          <w:bCs/>
          <w:sz w:val="22"/>
          <w:szCs w:val="22"/>
          <w:lang w:val="sr-Latn-ME"/>
        </w:rPr>
        <w:t xml:space="preserve"> </w:t>
      </w:r>
    </w:p>
    <w:p w14:paraId="56544189" w14:textId="77777777" w:rsidR="00C61BE0" w:rsidRPr="00EF52A6" w:rsidRDefault="00C61BE0" w:rsidP="00480FB1">
      <w:pPr>
        <w:tabs>
          <w:tab w:val="left" w:pos="540"/>
          <w:tab w:val="left" w:pos="569"/>
        </w:tabs>
        <w:rPr>
          <w:bCs/>
          <w:sz w:val="22"/>
          <w:szCs w:val="22"/>
          <w:lang w:val="sr-Latn-ME"/>
        </w:rPr>
      </w:pPr>
    </w:p>
    <w:p w14:paraId="5CEDE63F" w14:textId="219D688D" w:rsidR="00FD6720" w:rsidRPr="00EF52A6" w:rsidRDefault="00FD6720" w:rsidP="00FD6720">
      <w:pPr>
        <w:tabs>
          <w:tab w:val="left" w:pos="540"/>
          <w:tab w:val="left" w:pos="569"/>
        </w:tabs>
        <w:rPr>
          <w:bCs/>
          <w:sz w:val="22"/>
          <w:szCs w:val="22"/>
          <w:lang w:val="sr-Latn-ME"/>
        </w:rPr>
      </w:pPr>
      <w:r w:rsidRPr="00EF52A6">
        <w:rPr>
          <w:bCs/>
          <w:sz w:val="22"/>
          <w:szCs w:val="22"/>
          <w:lang w:val="sr-Latn-ME"/>
        </w:rPr>
        <w:t xml:space="preserve">Glosarij d.o.o. </w:t>
      </w:r>
      <w:r w:rsidR="00CC432E" w:rsidRPr="00EF52A6">
        <w:rPr>
          <w:bCs/>
          <w:sz w:val="22"/>
          <w:szCs w:val="22"/>
          <w:lang w:val="sr-Latn-ME"/>
        </w:rPr>
        <w:t>Podgorica</w:t>
      </w:r>
    </w:p>
    <w:p w14:paraId="122F2275" w14:textId="52CC142E" w:rsidR="00FD6720" w:rsidRPr="00EF52A6" w:rsidRDefault="00FD6720" w:rsidP="00FD6720">
      <w:pPr>
        <w:tabs>
          <w:tab w:val="left" w:pos="540"/>
          <w:tab w:val="left" w:pos="569"/>
        </w:tabs>
        <w:rPr>
          <w:bCs/>
          <w:sz w:val="22"/>
          <w:szCs w:val="22"/>
          <w:lang w:val="sr-Latn-ME"/>
        </w:rPr>
      </w:pPr>
      <w:r w:rsidRPr="00EF52A6">
        <w:rPr>
          <w:bCs/>
          <w:sz w:val="22"/>
          <w:szCs w:val="22"/>
          <w:lang w:val="sr-Latn-ME"/>
        </w:rPr>
        <w:t xml:space="preserve">Vojislavljevića 76, </w:t>
      </w:r>
      <w:r w:rsidR="00CC432E" w:rsidRPr="00EF52A6">
        <w:rPr>
          <w:bCs/>
          <w:sz w:val="22"/>
          <w:szCs w:val="22"/>
          <w:lang w:val="sr-Latn-ME"/>
        </w:rPr>
        <w:t xml:space="preserve">81000 </w:t>
      </w:r>
      <w:r w:rsidRPr="00EF52A6">
        <w:rPr>
          <w:bCs/>
          <w:sz w:val="22"/>
          <w:szCs w:val="22"/>
          <w:lang w:val="sr-Latn-ME"/>
        </w:rPr>
        <w:t>Podgorica, Crna Gora</w:t>
      </w:r>
    </w:p>
    <w:p w14:paraId="3BCF1396" w14:textId="77777777" w:rsidR="00FD6720" w:rsidRPr="00EF52A6" w:rsidRDefault="00FD6720" w:rsidP="00480FB1">
      <w:pPr>
        <w:tabs>
          <w:tab w:val="left" w:pos="540"/>
          <w:tab w:val="left" w:pos="569"/>
        </w:tabs>
        <w:rPr>
          <w:bCs/>
          <w:sz w:val="22"/>
          <w:szCs w:val="22"/>
          <w:lang w:val="sr-Latn-ME"/>
        </w:rPr>
      </w:pPr>
    </w:p>
    <w:p w14:paraId="7963044D" w14:textId="77777777" w:rsidR="00C37FD7" w:rsidRPr="00EF52A6" w:rsidRDefault="00C37FD7" w:rsidP="00480FB1">
      <w:pPr>
        <w:tabs>
          <w:tab w:val="left" w:pos="540"/>
          <w:tab w:val="left" w:pos="569"/>
        </w:tabs>
        <w:rPr>
          <w:bCs/>
          <w:sz w:val="22"/>
          <w:szCs w:val="22"/>
          <w:lang w:val="sr-Latn-ME"/>
        </w:rPr>
      </w:pPr>
    </w:p>
    <w:p w14:paraId="66A8EE83"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8. </w:t>
      </w:r>
      <w:r w:rsidR="00480FB1" w:rsidRPr="00EF52A6">
        <w:rPr>
          <w:b/>
          <w:bCs/>
          <w:sz w:val="22"/>
          <w:szCs w:val="22"/>
          <w:lang w:val="sr-Latn-ME"/>
        </w:rPr>
        <w:tab/>
      </w:r>
      <w:r w:rsidRPr="00EF52A6">
        <w:rPr>
          <w:b/>
          <w:bCs/>
          <w:sz w:val="22"/>
          <w:szCs w:val="22"/>
          <w:lang w:val="sr-Latn-ME"/>
        </w:rPr>
        <w:t>BROJ DOZVOLE</w:t>
      </w:r>
      <w:r w:rsidR="008A6D43" w:rsidRPr="00EF52A6">
        <w:rPr>
          <w:b/>
          <w:bCs/>
          <w:sz w:val="22"/>
          <w:szCs w:val="22"/>
          <w:lang w:val="sr-Latn-ME"/>
        </w:rPr>
        <w:t xml:space="preserve"> ZA STAVLJANJE LIJEKA U PROMET</w:t>
      </w:r>
    </w:p>
    <w:p w14:paraId="79D31132" w14:textId="0A6168A8" w:rsidR="0072020E" w:rsidRPr="00EF52A6" w:rsidRDefault="0072020E" w:rsidP="00480FB1">
      <w:pPr>
        <w:tabs>
          <w:tab w:val="left" w:pos="540"/>
          <w:tab w:val="left" w:pos="569"/>
        </w:tabs>
        <w:rPr>
          <w:bCs/>
          <w:sz w:val="22"/>
          <w:szCs w:val="22"/>
          <w:lang w:val="sr-Latn-ME"/>
        </w:rPr>
      </w:pPr>
    </w:p>
    <w:p w14:paraId="55F89E8A" w14:textId="473B5F57" w:rsidR="00CE622B" w:rsidRPr="00EF52A6" w:rsidRDefault="00CE622B" w:rsidP="00480FB1">
      <w:pPr>
        <w:tabs>
          <w:tab w:val="left" w:pos="540"/>
          <w:tab w:val="left" w:pos="569"/>
        </w:tabs>
        <w:rPr>
          <w:bCs/>
          <w:sz w:val="22"/>
          <w:szCs w:val="22"/>
          <w:lang w:val="sr-Latn-ME"/>
        </w:rPr>
      </w:pPr>
      <w:r w:rsidRPr="00EF52A6">
        <w:rPr>
          <w:bCs/>
          <w:sz w:val="22"/>
          <w:szCs w:val="22"/>
          <w:lang w:val="sr-Latn-ME"/>
        </w:rPr>
        <w:t>Koselugo, kapsula, tvrda, 10 mg, bočica, 60 kapsula, tvrdih: 2030/25/1604 - 6128</w:t>
      </w:r>
    </w:p>
    <w:p w14:paraId="2125512D" w14:textId="3B2F7A78" w:rsidR="00CE622B" w:rsidRPr="00EF52A6" w:rsidRDefault="00CE622B" w:rsidP="00480FB1">
      <w:pPr>
        <w:tabs>
          <w:tab w:val="left" w:pos="540"/>
          <w:tab w:val="left" w:pos="569"/>
        </w:tabs>
        <w:rPr>
          <w:bCs/>
          <w:sz w:val="22"/>
          <w:szCs w:val="22"/>
          <w:lang w:val="sr-Latn-ME"/>
        </w:rPr>
      </w:pPr>
      <w:r w:rsidRPr="00EF52A6">
        <w:rPr>
          <w:bCs/>
          <w:sz w:val="22"/>
          <w:szCs w:val="22"/>
          <w:lang w:val="sr-Latn-ME"/>
        </w:rPr>
        <w:t>Koselugo, kapsula, tvrda, 25 mg, bočica, 60 kapsula, tvrdih: 2030/25/1605 - 6129</w:t>
      </w:r>
    </w:p>
    <w:p w14:paraId="29F1AB85" w14:textId="77777777" w:rsidR="00CE622B" w:rsidRPr="00EF52A6" w:rsidRDefault="00CE622B" w:rsidP="00480FB1">
      <w:pPr>
        <w:tabs>
          <w:tab w:val="left" w:pos="540"/>
          <w:tab w:val="left" w:pos="569"/>
        </w:tabs>
        <w:rPr>
          <w:bCs/>
          <w:sz w:val="22"/>
          <w:szCs w:val="22"/>
          <w:lang w:val="sr-Latn-ME"/>
        </w:rPr>
      </w:pPr>
    </w:p>
    <w:p w14:paraId="3147A3CD" w14:textId="77777777" w:rsidR="00F45F77" w:rsidRPr="00EF52A6" w:rsidRDefault="00F45F77" w:rsidP="00480FB1">
      <w:pPr>
        <w:tabs>
          <w:tab w:val="left" w:pos="540"/>
          <w:tab w:val="left" w:pos="569"/>
        </w:tabs>
        <w:rPr>
          <w:bCs/>
          <w:sz w:val="22"/>
          <w:szCs w:val="22"/>
          <w:lang w:val="sr-Latn-ME"/>
        </w:rPr>
      </w:pPr>
    </w:p>
    <w:p w14:paraId="2463B409" w14:textId="77777777" w:rsidR="0072020E" w:rsidRPr="00EF52A6" w:rsidRDefault="0072020E" w:rsidP="00480FB1">
      <w:pPr>
        <w:tabs>
          <w:tab w:val="left" w:pos="540"/>
          <w:tab w:val="left" w:pos="569"/>
        </w:tabs>
        <w:rPr>
          <w:b/>
          <w:bCs/>
          <w:sz w:val="22"/>
          <w:szCs w:val="22"/>
          <w:lang w:val="sr-Latn-ME"/>
        </w:rPr>
      </w:pPr>
      <w:r w:rsidRPr="00EF52A6">
        <w:rPr>
          <w:b/>
          <w:bCs/>
          <w:sz w:val="22"/>
          <w:szCs w:val="22"/>
          <w:lang w:val="sr-Latn-ME"/>
        </w:rPr>
        <w:t xml:space="preserve">9. </w:t>
      </w:r>
      <w:r w:rsidR="00480FB1" w:rsidRPr="00EF52A6">
        <w:rPr>
          <w:b/>
          <w:bCs/>
          <w:sz w:val="22"/>
          <w:szCs w:val="22"/>
          <w:lang w:val="sr-Latn-ME"/>
        </w:rPr>
        <w:tab/>
      </w:r>
      <w:r w:rsidRPr="00EF52A6">
        <w:rPr>
          <w:b/>
          <w:bCs/>
          <w:sz w:val="22"/>
          <w:szCs w:val="22"/>
          <w:lang w:val="sr-Latn-ME"/>
        </w:rPr>
        <w:t xml:space="preserve">DATUM </w:t>
      </w:r>
      <w:r w:rsidR="00C05DF8" w:rsidRPr="00EF52A6">
        <w:rPr>
          <w:b/>
          <w:bCs/>
          <w:sz w:val="22"/>
          <w:szCs w:val="22"/>
          <w:lang w:val="sr-Latn-ME"/>
        </w:rPr>
        <w:t xml:space="preserve">PRVE </w:t>
      </w:r>
      <w:r w:rsidR="008A6D43" w:rsidRPr="00EF52A6">
        <w:rPr>
          <w:b/>
          <w:bCs/>
          <w:sz w:val="22"/>
          <w:szCs w:val="22"/>
          <w:lang w:val="sr-Latn-ME"/>
        </w:rPr>
        <w:t>DOZVOLE</w:t>
      </w:r>
      <w:r w:rsidR="00C05DF8" w:rsidRPr="00EF52A6">
        <w:rPr>
          <w:b/>
          <w:bCs/>
          <w:sz w:val="22"/>
          <w:szCs w:val="22"/>
          <w:lang w:val="sr-Latn-ME"/>
        </w:rPr>
        <w:t>/OBNOVE DOZVOLE</w:t>
      </w:r>
      <w:r w:rsidR="008A6D43" w:rsidRPr="00EF52A6">
        <w:rPr>
          <w:b/>
          <w:bCs/>
          <w:sz w:val="22"/>
          <w:szCs w:val="22"/>
          <w:lang w:val="sr-Latn-ME"/>
        </w:rPr>
        <w:t xml:space="preserve"> ZA STAVLJANJE LIJEKA U PROMET</w:t>
      </w:r>
    </w:p>
    <w:p w14:paraId="1FFE7877" w14:textId="5A4B49C5" w:rsidR="0072020E" w:rsidRPr="00EF52A6" w:rsidRDefault="0072020E" w:rsidP="00480FB1">
      <w:pPr>
        <w:tabs>
          <w:tab w:val="left" w:pos="540"/>
          <w:tab w:val="left" w:pos="569"/>
        </w:tabs>
        <w:rPr>
          <w:bCs/>
          <w:sz w:val="22"/>
          <w:szCs w:val="22"/>
          <w:lang w:val="sr-Latn-ME"/>
        </w:rPr>
      </w:pPr>
    </w:p>
    <w:p w14:paraId="1559FAF6" w14:textId="6E55BA06" w:rsidR="00CE622B" w:rsidRPr="00EF52A6" w:rsidRDefault="00D47E78" w:rsidP="00480FB1">
      <w:pPr>
        <w:tabs>
          <w:tab w:val="left" w:pos="540"/>
          <w:tab w:val="left" w:pos="569"/>
        </w:tabs>
        <w:rPr>
          <w:bCs/>
          <w:sz w:val="22"/>
          <w:szCs w:val="22"/>
          <w:lang w:val="sr-Latn-ME"/>
        </w:rPr>
      </w:pPr>
      <w:r w:rsidRPr="00EF52A6">
        <w:rPr>
          <w:bCs/>
          <w:sz w:val="22"/>
          <w:szCs w:val="22"/>
          <w:lang w:val="sr-Latn-ME"/>
        </w:rPr>
        <w:t>08</w:t>
      </w:r>
      <w:r w:rsidR="00CE622B" w:rsidRPr="00EF52A6">
        <w:rPr>
          <w:bCs/>
          <w:sz w:val="22"/>
          <w:szCs w:val="22"/>
          <w:lang w:val="sr-Latn-ME"/>
        </w:rPr>
        <w:t>.04.2025. godine</w:t>
      </w:r>
    </w:p>
    <w:p w14:paraId="006033BE" w14:textId="49976EA9" w:rsidR="00836B35" w:rsidRPr="00EF52A6" w:rsidRDefault="00836B35" w:rsidP="00480FB1">
      <w:pPr>
        <w:tabs>
          <w:tab w:val="left" w:pos="540"/>
          <w:tab w:val="left" w:pos="569"/>
        </w:tabs>
        <w:rPr>
          <w:bCs/>
          <w:sz w:val="22"/>
          <w:szCs w:val="22"/>
          <w:lang w:val="sr-Latn-ME"/>
        </w:rPr>
      </w:pPr>
    </w:p>
    <w:p w14:paraId="517D38AA" w14:textId="77777777" w:rsidR="00CE622B" w:rsidRPr="00EF52A6" w:rsidRDefault="00CE622B" w:rsidP="00480FB1">
      <w:pPr>
        <w:tabs>
          <w:tab w:val="left" w:pos="540"/>
          <w:tab w:val="left" w:pos="569"/>
        </w:tabs>
        <w:rPr>
          <w:bCs/>
          <w:sz w:val="22"/>
          <w:szCs w:val="22"/>
          <w:lang w:val="sr-Latn-ME"/>
        </w:rPr>
      </w:pPr>
    </w:p>
    <w:p w14:paraId="05ADB095" w14:textId="77777777" w:rsidR="003F6A59" w:rsidRPr="00EF52A6" w:rsidRDefault="0072020E" w:rsidP="00C05DF8">
      <w:pPr>
        <w:tabs>
          <w:tab w:val="left" w:pos="540"/>
          <w:tab w:val="left" w:pos="569"/>
        </w:tabs>
        <w:ind w:left="540" w:hanging="540"/>
        <w:rPr>
          <w:bCs/>
          <w:sz w:val="22"/>
          <w:szCs w:val="22"/>
          <w:lang w:val="sr-Latn-ME"/>
        </w:rPr>
      </w:pPr>
      <w:r w:rsidRPr="00EF52A6">
        <w:rPr>
          <w:b/>
          <w:bCs/>
          <w:sz w:val="22"/>
          <w:szCs w:val="22"/>
          <w:lang w:val="sr-Latn-ME"/>
        </w:rPr>
        <w:t xml:space="preserve">10. </w:t>
      </w:r>
      <w:r w:rsidR="00480FB1" w:rsidRPr="00EF52A6">
        <w:rPr>
          <w:b/>
          <w:bCs/>
          <w:sz w:val="22"/>
          <w:szCs w:val="22"/>
          <w:lang w:val="sr-Latn-ME"/>
        </w:rPr>
        <w:tab/>
      </w:r>
      <w:r w:rsidR="002846DB" w:rsidRPr="00EF52A6">
        <w:rPr>
          <w:b/>
          <w:bCs/>
          <w:sz w:val="22"/>
          <w:szCs w:val="22"/>
          <w:lang w:val="sr-Latn-ME"/>
        </w:rPr>
        <w:t>D</w:t>
      </w:r>
      <w:r w:rsidR="00EC2532" w:rsidRPr="00EF52A6">
        <w:rPr>
          <w:b/>
          <w:bCs/>
          <w:sz w:val="22"/>
          <w:szCs w:val="22"/>
          <w:lang w:val="sr-Latn-ME"/>
        </w:rPr>
        <w:t xml:space="preserve">ATUM REVIZIJE TEKSTA </w:t>
      </w:r>
    </w:p>
    <w:p w14:paraId="735BEC37" w14:textId="77777777" w:rsidR="003F6A59" w:rsidRPr="00EF52A6" w:rsidRDefault="003F6A59" w:rsidP="00480FB1">
      <w:pPr>
        <w:tabs>
          <w:tab w:val="left" w:pos="540"/>
          <w:tab w:val="left" w:pos="569"/>
        </w:tabs>
        <w:rPr>
          <w:bCs/>
          <w:sz w:val="22"/>
          <w:szCs w:val="22"/>
          <w:lang w:val="sr-Latn-ME"/>
        </w:rPr>
      </w:pPr>
    </w:p>
    <w:p w14:paraId="2881E903" w14:textId="4A724453" w:rsidR="008A6D43" w:rsidRPr="00EF52A6" w:rsidRDefault="00CE622B" w:rsidP="00480FB1">
      <w:pPr>
        <w:tabs>
          <w:tab w:val="left" w:pos="540"/>
          <w:tab w:val="left" w:pos="569"/>
        </w:tabs>
        <w:rPr>
          <w:bCs/>
          <w:sz w:val="22"/>
          <w:szCs w:val="22"/>
          <w:lang w:val="sr-Latn-ME"/>
        </w:rPr>
      </w:pPr>
      <w:r w:rsidRPr="00EF52A6">
        <w:rPr>
          <w:bCs/>
          <w:sz w:val="22"/>
          <w:szCs w:val="22"/>
          <w:lang w:val="sr-Latn-ME"/>
        </w:rPr>
        <w:t>April, 2025. godine</w:t>
      </w:r>
    </w:p>
    <w:p w14:paraId="206FB8E0" w14:textId="12567FB0" w:rsidR="003F6A59" w:rsidRPr="00EF52A6" w:rsidRDefault="003F6A59" w:rsidP="00DE3F5C">
      <w:pPr>
        <w:rPr>
          <w:sz w:val="22"/>
          <w:szCs w:val="22"/>
          <w:lang w:val="sr-Latn-ME"/>
        </w:rPr>
      </w:pPr>
    </w:p>
    <w:sectPr w:rsidR="003F6A59" w:rsidRPr="00EF52A6"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B769" w14:textId="77777777" w:rsidR="00D156BF" w:rsidRDefault="00D156BF">
      <w:r>
        <w:separator/>
      </w:r>
    </w:p>
  </w:endnote>
  <w:endnote w:type="continuationSeparator" w:id="0">
    <w:p w14:paraId="7F15F782" w14:textId="77777777" w:rsidR="00D156BF" w:rsidRDefault="00D1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63F4A" w14:textId="3402C955" w:rsidR="00EF52A6" w:rsidRPr="00B23F69" w:rsidRDefault="00EF52A6" w:rsidP="0022241E">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718E0">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718E0">
      <w:rPr>
        <w:noProof/>
        <w:sz w:val="22"/>
        <w:szCs w:val="22"/>
      </w:rPr>
      <w:t>18</w:t>
    </w:r>
    <w:r w:rsidRPr="00B23F69">
      <w:rPr>
        <w:sz w:val="22"/>
        <w:szCs w:val="22"/>
      </w:rPr>
      <w:fldChar w:fldCharType="end"/>
    </w:r>
  </w:p>
  <w:p w14:paraId="68811B7E" w14:textId="50474690" w:rsidR="00EF52A6" w:rsidRDefault="00EF52A6">
    <w:pPr>
      <w:pStyle w:val="BodyText"/>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2BAE" w14:textId="51C4E11C" w:rsidR="00EF52A6" w:rsidRPr="00B23F69" w:rsidRDefault="00EF52A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718E0">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718E0">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B9ECF" w14:textId="77777777" w:rsidR="00D156BF" w:rsidRDefault="00D156BF">
      <w:r>
        <w:separator/>
      </w:r>
    </w:p>
  </w:footnote>
  <w:footnote w:type="continuationSeparator" w:id="0">
    <w:p w14:paraId="0F7FAAD8" w14:textId="77777777" w:rsidR="00D156BF" w:rsidRDefault="00D1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mso-wrap-style:square" o:bullet="t">
        <v:imagedata r:id="rId1" o:title=""/>
      </v:shape>
    </w:pict>
  </w:numPicBullet>
  <w:abstractNum w:abstractNumId="0" w15:restartNumberingAfterBreak="0">
    <w:nsid w:val="09094FF1"/>
    <w:multiLevelType w:val="hybridMultilevel"/>
    <w:tmpl w:val="4C1660CE"/>
    <w:lvl w:ilvl="0" w:tplc="2E2E17DC">
      <w:numFmt w:val="bullet"/>
      <w:lvlText w:val=""/>
      <w:lvlJc w:val="left"/>
      <w:pPr>
        <w:ind w:left="936" w:hanging="360"/>
      </w:pPr>
      <w:rPr>
        <w:rFonts w:ascii="Symbol" w:eastAsia="Symbol" w:hAnsi="Symbol" w:cs="Symbol" w:hint="default"/>
        <w:w w:val="100"/>
        <w:sz w:val="22"/>
        <w:szCs w:val="22"/>
        <w:lang w:val="en-US" w:eastAsia="en-US" w:bidi="ar-SA"/>
      </w:rPr>
    </w:lvl>
    <w:lvl w:ilvl="1" w:tplc="BAA6EEFC">
      <w:numFmt w:val="bullet"/>
      <w:lvlText w:val="•"/>
      <w:lvlJc w:val="left"/>
      <w:pPr>
        <w:ind w:left="1796" w:hanging="360"/>
      </w:pPr>
      <w:rPr>
        <w:rFonts w:hint="default"/>
        <w:lang w:val="en-US" w:eastAsia="en-US" w:bidi="ar-SA"/>
      </w:rPr>
    </w:lvl>
    <w:lvl w:ilvl="2" w:tplc="CFC2D66A">
      <w:numFmt w:val="bullet"/>
      <w:lvlText w:val="•"/>
      <w:lvlJc w:val="left"/>
      <w:pPr>
        <w:ind w:left="2653" w:hanging="360"/>
      </w:pPr>
      <w:rPr>
        <w:rFonts w:hint="default"/>
        <w:lang w:val="en-US" w:eastAsia="en-US" w:bidi="ar-SA"/>
      </w:rPr>
    </w:lvl>
    <w:lvl w:ilvl="3" w:tplc="19C2A6D2">
      <w:numFmt w:val="bullet"/>
      <w:lvlText w:val="•"/>
      <w:lvlJc w:val="left"/>
      <w:pPr>
        <w:ind w:left="3509" w:hanging="360"/>
      </w:pPr>
      <w:rPr>
        <w:rFonts w:hint="default"/>
        <w:lang w:val="en-US" w:eastAsia="en-US" w:bidi="ar-SA"/>
      </w:rPr>
    </w:lvl>
    <w:lvl w:ilvl="4" w:tplc="2F1A694E">
      <w:numFmt w:val="bullet"/>
      <w:lvlText w:val="•"/>
      <w:lvlJc w:val="left"/>
      <w:pPr>
        <w:ind w:left="4366" w:hanging="360"/>
      </w:pPr>
      <w:rPr>
        <w:rFonts w:hint="default"/>
        <w:lang w:val="en-US" w:eastAsia="en-US" w:bidi="ar-SA"/>
      </w:rPr>
    </w:lvl>
    <w:lvl w:ilvl="5" w:tplc="56A69E10">
      <w:numFmt w:val="bullet"/>
      <w:lvlText w:val="•"/>
      <w:lvlJc w:val="left"/>
      <w:pPr>
        <w:ind w:left="5222" w:hanging="360"/>
      </w:pPr>
      <w:rPr>
        <w:rFonts w:hint="default"/>
        <w:lang w:val="en-US" w:eastAsia="en-US" w:bidi="ar-SA"/>
      </w:rPr>
    </w:lvl>
    <w:lvl w:ilvl="6" w:tplc="359E5F40">
      <w:numFmt w:val="bullet"/>
      <w:lvlText w:val="•"/>
      <w:lvlJc w:val="left"/>
      <w:pPr>
        <w:ind w:left="6079" w:hanging="360"/>
      </w:pPr>
      <w:rPr>
        <w:rFonts w:hint="default"/>
        <w:lang w:val="en-US" w:eastAsia="en-US" w:bidi="ar-SA"/>
      </w:rPr>
    </w:lvl>
    <w:lvl w:ilvl="7" w:tplc="B27AA894">
      <w:numFmt w:val="bullet"/>
      <w:lvlText w:val="•"/>
      <w:lvlJc w:val="left"/>
      <w:pPr>
        <w:ind w:left="6935" w:hanging="360"/>
      </w:pPr>
      <w:rPr>
        <w:rFonts w:hint="default"/>
        <w:lang w:val="en-US" w:eastAsia="en-US" w:bidi="ar-SA"/>
      </w:rPr>
    </w:lvl>
    <w:lvl w:ilvl="8" w:tplc="E6E444B6">
      <w:numFmt w:val="bullet"/>
      <w:lvlText w:val="•"/>
      <w:lvlJc w:val="left"/>
      <w:pPr>
        <w:ind w:left="7792" w:hanging="360"/>
      </w:pPr>
      <w:rPr>
        <w:rFonts w:hint="default"/>
        <w:lang w:val="en-US" w:eastAsia="en-US" w:bidi="ar-SA"/>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5946C1"/>
    <w:multiLevelType w:val="multilevel"/>
    <w:tmpl w:val="553C698C"/>
    <w:lvl w:ilvl="0">
      <w:start w:val="1"/>
      <w:numFmt w:val="decimal"/>
      <w:lvlText w:val="%1."/>
      <w:lvlJc w:val="left"/>
      <w:pPr>
        <w:ind w:left="782"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782" w:hanging="567"/>
      </w:pPr>
      <w:rPr>
        <w:rFonts w:hint="default"/>
        <w:b/>
        <w:bCs/>
        <w:spacing w:val="0"/>
        <w:w w:val="100"/>
        <w:lang w:val="en-US" w:eastAsia="en-US" w:bidi="ar-SA"/>
      </w:rPr>
    </w:lvl>
    <w:lvl w:ilvl="2">
      <w:numFmt w:val="bullet"/>
      <w:lvlText w:val="•"/>
      <w:lvlJc w:val="left"/>
      <w:pPr>
        <w:ind w:left="2525" w:hanging="567"/>
      </w:pPr>
      <w:rPr>
        <w:rFonts w:hint="default"/>
        <w:lang w:val="en-US" w:eastAsia="en-US" w:bidi="ar-SA"/>
      </w:rPr>
    </w:lvl>
    <w:lvl w:ilvl="3">
      <w:numFmt w:val="bullet"/>
      <w:lvlText w:val="•"/>
      <w:lvlJc w:val="left"/>
      <w:pPr>
        <w:ind w:left="3397" w:hanging="567"/>
      </w:pPr>
      <w:rPr>
        <w:rFonts w:hint="default"/>
        <w:lang w:val="en-US" w:eastAsia="en-US" w:bidi="ar-SA"/>
      </w:rPr>
    </w:lvl>
    <w:lvl w:ilvl="4">
      <w:numFmt w:val="bullet"/>
      <w:lvlText w:val="•"/>
      <w:lvlJc w:val="left"/>
      <w:pPr>
        <w:ind w:left="4270" w:hanging="567"/>
      </w:pPr>
      <w:rPr>
        <w:rFonts w:hint="default"/>
        <w:lang w:val="en-US" w:eastAsia="en-US" w:bidi="ar-SA"/>
      </w:rPr>
    </w:lvl>
    <w:lvl w:ilvl="5">
      <w:numFmt w:val="bullet"/>
      <w:lvlText w:val="•"/>
      <w:lvlJc w:val="left"/>
      <w:pPr>
        <w:ind w:left="5142" w:hanging="567"/>
      </w:pPr>
      <w:rPr>
        <w:rFonts w:hint="default"/>
        <w:lang w:val="en-US" w:eastAsia="en-US" w:bidi="ar-SA"/>
      </w:rPr>
    </w:lvl>
    <w:lvl w:ilvl="6">
      <w:numFmt w:val="bullet"/>
      <w:lvlText w:val="•"/>
      <w:lvlJc w:val="left"/>
      <w:pPr>
        <w:ind w:left="6015" w:hanging="567"/>
      </w:pPr>
      <w:rPr>
        <w:rFonts w:hint="default"/>
        <w:lang w:val="en-US" w:eastAsia="en-US" w:bidi="ar-SA"/>
      </w:rPr>
    </w:lvl>
    <w:lvl w:ilvl="7">
      <w:numFmt w:val="bullet"/>
      <w:lvlText w:val="•"/>
      <w:lvlJc w:val="left"/>
      <w:pPr>
        <w:ind w:left="6887" w:hanging="567"/>
      </w:pPr>
      <w:rPr>
        <w:rFonts w:hint="default"/>
        <w:lang w:val="en-US" w:eastAsia="en-US" w:bidi="ar-SA"/>
      </w:rPr>
    </w:lvl>
    <w:lvl w:ilvl="8">
      <w:numFmt w:val="bullet"/>
      <w:lvlText w:val="•"/>
      <w:lvlJc w:val="left"/>
      <w:pPr>
        <w:ind w:left="7760" w:hanging="567"/>
      </w:pPr>
      <w:rPr>
        <w:rFonts w:hint="default"/>
        <w:lang w:val="en-US" w:eastAsia="en-US" w:bidi="ar-SA"/>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DE1"/>
    <w:rsid w:val="000176CA"/>
    <w:rsid w:val="00026521"/>
    <w:rsid w:val="00033469"/>
    <w:rsid w:val="00036FA0"/>
    <w:rsid w:val="0003793F"/>
    <w:rsid w:val="00045130"/>
    <w:rsid w:val="00057E35"/>
    <w:rsid w:val="00066B35"/>
    <w:rsid w:val="00075E28"/>
    <w:rsid w:val="00076726"/>
    <w:rsid w:val="00076F76"/>
    <w:rsid w:val="00080303"/>
    <w:rsid w:val="00083D02"/>
    <w:rsid w:val="00093AF9"/>
    <w:rsid w:val="000A3F58"/>
    <w:rsid w:val="000B766D"/>
    <w:rsid w:val="000D2343"/>
    <w:rsid w:val="000D3449"/>
    <w:rsid w:val="000D425A"/>
    <w:rsid w:val="000D60CC"/>
    <w:rsid w:val="000E2084"/>
    <w:rsid w:val="000E6F55"/>
    <w:rsid w:val="000E7401"/>
    <w:rsid w:val="000E786D"/>
    <w:rsid w:val="000F0647"/>
    <w:rsid w:val="000F77FA"/>
    <w:rsid w:val="00107BF7"/>
    <w:rsid w:val="00126F53"/>
    <w:rsid w:val="0014290E"/>
    <w:rsid w:val="0014766D"/>
    <w:rsid w:val="001536CC"/>
    <w:rsid w:val="001700DE"/>
    <w:rsid w:val="00190122"/>
    <w:rsid w:val="001A3FBA"/>
    <w:rsid w:val="001A5518"/>
    <w:rsid w:val="001A60FF"/>
    <w:rsid w:val="001B1C6A"/>
    <w:rsid w:val="001C1263"/>
    <w:rsid w:val="001C1417"/>
    <w:rsid w:val="001E0848"/>
    <w:rsid w:val="001E390B"/>
    <w:rsid w:val="001F25D1"/>
    <w:rsid w:val="001F42FB"/>
    <w:rsid w:val="001F719A"/>
    <w:rsid w:val="002031B3"/>
    <w:rsid w:val="00215931"/>
    <w:rsid w:val="00221CAA"/>
    <w:rsid w:val="0022241E"/>
    <w:rsid w:val="00224C91"/>
    <w:rsid w:val="00227BDB"/>
    <w:rsid w:val="00234CB1"/>
    <w:rsid w:val="002352F8"/>
    <w:rsid w:val="002510A5"/>
    <w:rsid w:val="00254A0A"/>
    <w:rsid w:val="00266046"/>
    <w:rsid w:val="002718E0"/>
    <w:rsid w:val="002846DB"/>
    <w:rsid w:val="00284CCD"/>
    <w:rsid w:val="002B151A"/>
    <w:rsid w:val="002C6637"/>
    <w:rsid w:val="002D12DA"/>
    <w:rsid w:val="002E0135"/>
    <w:rsid w:val="002E37A5"/>
    <w:rsid w:val="002F2EB0"/>
    <w:rsid w:val="00302206"/>
    <w:rsid w:val="00310F03"/>
    <w:rsid w:val="003247D2"/>
    <w:rsid w:val="003445C1"/>
    <w:rsid w:val="003542FB"/>
    <w:rsid w:val="00355B61"/>
    <w:rsid w:val="00362686"/>
    <w:rsid w:val="0036564D"/>
    <w:rsid w:val="00371510"/>
    <w:rsid w:val="00396DFD"/>
    <w:rsid w:val="003A4D40"/>
    <w:rsid w:val="003A7059"/>
    <w:rsid w:val="003B7A36"/>
    <w:rsid w:val="003C17AB"/>
    <w:rsid w:val="003C7823"/>
    <w:rsid w:val="003D5D1F"/>
    <w:rsid w:val="003E1DCC"/>
    <w:rsid w:val="003F11A1"/>
    <w:rsid w:val="003F6A59"/>
    <w:rsid w:val="004065C8"/>
    <w:rsid w:val="00407E86"/>
    <w:rsid w:val="004109FA"/>
    <w:rsid w:val="00411B4B"/>
    <w:rsid w:val="00415BEE"/>
    <w:rsid w:val="0042086F"/>
    <w:rsid w:val="004254E9"/>
    <w:rsid w:val="00427F85"/>
    <w:rsid w:val="00436F42"/>
    <w:rsid w:val="004378B4"/>
    <w:rsid w:val="00443F2A"/>
    <w:rsid w:val="00451314"/>
    <w:rsid w:val="00452E9D"/>
    <w:rsid w:val="004534C7"/>
    <w:rsid w:val="004658B7"/>
    <w:rsid w:val="004671AA"/>
    <w:rsid w:val="00471DF8"/>
    <w:rsid w:val="0047494D"/>
    <w:rsid w:val="004760DF"/>
    <w:rsid w:val="00480FB1"/>
    <w:rsid w:val="00483928"/>
    <w:rsid w:val="004C331F"/>
    <w:rsid w:val="004D6103"/>
    <w:rsid w:val="004E3BCE"/>
    <w:rsid w:val="004E70AD"/>
    <w:rsid w:val="004F0E97"/>
    <w:rsid w:val="004F17E2"/>
    <w:rsid w:val="00501DD1"/>
    <w:rsid w:val="00515C21"/>
    <w:rsid w:val="0052715E"/>
    <w:rsid w:val="00530BD7"/>
    <w:rsid w:val="00545CD2"/>
    <w:rsid w:val="005476F3"/>
    <w:rsid w:val="00567B88"/>
    <w:rsid w:val="00567FD1"/>
    <w:rsid w:val="00572527"/>
    <w:rsid w:val="00573E40"/>
    <w:rsid w:val="00576348"/>
    <w:rsid w:val="0058525D"/>
    <w:rsid w:val="005A0B2E"/>
    <w:rsid w:val="005A23D2"/>
    <w:rsid w:val="005A2E4C"/>
    <w:rsid w:val="005A36CB"/>
    <w:rsid w:val="005A38A0"/>
    <w:rsid w:val="005B49B8"/>
    <w:rsid w:val="005C0741"/>
    <w:rsid w:val="005C30A8"/>
    <w:rsid w:val="005C5EF4"/>
    <w:rsid w:val="005E2E0B"/>
    <w:rsid w:val="005E67AD"/>
    <w:rsid w:val="005E7A7D"/>
    <w:rsid w:val="00602457"/>
    <w:rsid w:val="006109B1"/>
    <w:rsid w:val="00644FC3"/>
    <w:rsid w:val="00646BD1"/>
    <w:rsid w:val="006561C2"/>
    <w:rsid w:val="00662861"/>
    <w:rsid w:val="00671CB3"/>
    <w:rsid w:val="00674BAF"/>
    <w:rsid w:val="00675448"/>
    <w:rsid w:val="00682200"/>
    <w:rsid w:val="00692BF6"/>
    <w:rsid w:val="006A1351"/>
    <w:rsid w:val="006A1497"/>
    <w:rsid w:val="006B0BD1"/>
    <w:rsid w:val="006B5404"/>
    <w:rsid w:val="006C5792"/>
    <w:rsid w:val="006D20A5"/>
    <w:rsid w:val="006D37BF"/>
    <w:rsid w:val="00702E22"/>
    <w:rsid w:val="007039BC"/>
    <w:rsid w:val="0072020E"/>
    <w:rsid w:val="00735500"/>
    <w:rsid w:val="00745829"/>
    <w:rsid w:val="00754902"/>
    <w:rsid w:val="00786071"/>
    <w:rsid w:val="007A3ECB"/>
    <w:rsid w:val="007D7BB3"/>
    <w:rsid w:val="007E31E9"/>
    <w:rsid w:val="007E4264"/>
    <w:rsid w:val="007F05E3"/>
    <w:rsid w:val="007F0C05"/>
    <w:rsid w:val="007F4BF4"/>
    <w:rsid w:val="00814C7F"/>
    <w:rsid w:val="00824AB9"/>
    <w:rsid w:val="00836B35"/>
    <w:rsid w:val="00843BDE"/>
    <w:rsid w:val="0087588C"/>
    <w:rsid w:val="0089705C"/>
    <w:rsid w:val="008A6D43"/>
    <w:rsid w:val="008B491E"/>
    <w:rsid w:val="008C1A28"/>
    <w:rsid w:val="008C2E98"/>
    <w:rsid w:val="008E49BD"/>
    <w:rsid w:val="008E53E9"/>
    <w:rsid w:val="008E5771"/>
    <w:rsid w:val="008F4ACF"/>
    <w:rsid w:val="00901F0F"/>
    <w:rsid w:val="00921734"/>
    <w:rsid w:val="00924166"/>
    <w:rsid w:val="00933DAC"/>
    <w:rsid w:val="00940B9B"/>
    <w:rsid w:val="00953573"/>
    <w:rsid w:val="0095676E"/>
    <w:rsid w:val="00956983"/>
    <w:rsid w:val="00963CF0"/>
    <w:rsid w:val="00964BB1"/>
    <w:rsid w:val="009775D9"/>
    <w:rsid w:val="009777F5"/>
    <w:rsid w:val="00997175"/>
    <w:rsid w:val="00997D4C"/>
    <w:rsid w:val="009A1847"/>
    <w:rsid w:val="009B062A"/>
    <w:rsid w:val="009C5288"/>
    <w:rsid w:val="009E7C6F"/>
    <w:rsid w:val="009F1793"/>
    <w:rsid w:val="009F2D23"/>
    <w:rsid w:val="009F3583"/>
    <w:rsid w:val="00A01D69"/>
    <w:rsid w:val="00A02335"/>
    <w:rsid w:val="00A06FF8"/>
    <w:rsid w:val="00A22F1C"/>
    <w:rsid w:val="00A23C72"/>
    <w:rsid w:val="00A46C9A"/>
    <w:rsid w:val="00A619F3"/>
    <w:rsid w:val="00A62A73"/>
    <w:rsid w:val="00A72AE3"/>
    <w:rsid w:val="00A87FF6"/>
    <w:rsid w:val="00A90C8D"/>
    <w:rsid w:val="00AA0A3B"/>
    <w:rsid w:val="00AA2763"/>
    <w:rsid w:val="00AA33B6"/>
    <w:rsid w:val="00AA3B03"/>
    <w:rsid w:val="00AB50CA"/>
    <w:rsid w:val="00AB6D64"/>
    <w:rsid w:val="00AC4A72"/>
    <w:rsid w:val="00AC53CE"/>
    <w:rsid w:val="00AD2193"/>
    <w:rsid w:val="00AF19F4"/>
    <w:rsid w:val="00AF2AC7"/>
    <w:rsid w:val="00AF62F5"/>
    <w:rsid w:val="00AF74CE"/>
    <w:rsid w:val="00B07325"/>
    <w:rsid w:val="00B208DB"/>
    <w:rsid w:val="00B21524"/>
    <w:rsid w:val="00B23F69"/>
    <w:rsid w:val="00B43CEB"/>
    <w:rsid w:val="00B53232"/>
    <w:rsid w:val="00B56F17"/>
    <w:rsid w:val="00B60619"/>
    <w:rsid w:val="00B66A70"/>
    <w:rsid w:val="00B67366"/>
    <w:rsid w:val="00B80EE1"/>
    <w:rsid w:val="00B84135"/>
    <w:rsid w:val="00B93791"/>
    <w:rsid w:val="00BA5091"/>
    <w:rsid w:val="00BD7212"/>
    <w:rsid w:val="00BE708B"/>
    <w:rsid w:val="00C04D34"/>
    <w:rsid w:val="00C05DF8"/>
    <w:rsid w:val="00C06864"/>
    <w:rsid w:val="00C10F54"/>
    <w:rsid w:val="00C230A2"/>
    <w:rsid w:val="00C23D8D"/>
    <w:rsid w:val="00C37AA3"/>
    <w:rsid w:val="00C37FD7"/>
    <w:rsid w:val="00C43419"/>
    <w:rsid w:val="00C43653"/>
    <w:rsid w:val="00C44CF3"/>
    <w:rsid w:val="00C61BE0"/>
    <w:rsid w:val="00C6707E"/>
    <w:rsid w:val="00C70B0E"/>
    <w:rsid w:val="00C773CA"/>
    <w:rsid w:val="00C83785"/>
    <w:rsid w:val="00C87FA8"/>
    <w:rsid w:val="00C94C0D"/>
    <w:rsid w:val="00CA1FEB"/>
    <w:rsid w:val="00CA6072"/>
    <w:rsid w:val="00CB2F0A"/>
    <w:rsid w:val="00CC432E"/>
    <w:rsid w:val="00CD0267"/>
    <w:rsid w:val="00CD4F85"/>
    <w:rsid w:val="00CD6F02"/>
    <w:rsid w:val="00CE246D"/>
    <w:rsid w:val="00CE622B"/>
    <w:rsid w:val="00CF07A0"/>
    <w:rsid w:val="00CF3E03"/>
    <w:rsid w:val="00D0082A"/>
    <w:rsid w:val="00D00B8B"/>
    <w:rsid w:val="00D00B9E"/>
    <w:rsid w:val="00D156BF"/>
    <w:rsid w:val="00D21455"/>
    <w:rsid w:val="00D24D84"/>
    <w:rsid w:val="00D47350"/>
    <w:rsid w:val="00D47634"/>
    <w:rsid w:val="00D47E78"/>
    <w:rsid w:val="00D709B3"/>
    <w:rsid w:val="00D74534"/>
    <w:rsid w:val="00D74CD2"/>
    <w:rsid w:val="00DA2ED6"/>
    <w:rsid w:val="00DB1D55"/>
    <w:rsid w:val="00DB76B8"/>
    <w:rsid w:val="00DC2EA1"/>
    <w:rsid w:val="00DD6AAF"/>
    <w:rsid w:val="00DE3F5C"/>
    <w:rsid w:val="00DE4475"/>
    <w:rsid w:val="00DF11F1"/>
    <w:rsid w:val="00DF1D20"/>
    <w:rsid w:val="00E15EC4"/>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5DA7"/>
    <w:rsid w:val="00ED7812"/>
    <w:rsid w:val="00EF3B86"/>
    <w:rsid w:val="00EF52A6"/>
    <w:rsid w:val="00EF7810"/>
    <w:rsid w:val="00F317E9"/>
    <w:rsid w:val="00F34554"/>
    <w:rsid w:val="00F35B68"/>
    <w:rsid w:val="00F45F77"/>
    <w:rsid w:val="00F5167F"/>
    <w:rsid w:val="00F52258"/>
    <w:rsid w:val="00F8570A"/>
    <w:rsid w:val="00F85C0B"/>
    <w:rsid w:val="00F8720D"/>
    <w:rsid w:val="00F91C7B"/>
    <w:rsid w:val="00FC12B1"/>
    <w:rsid w:val="00FD33E5"/>
    <w:rsid w:val="00FD6720"/>
    <w:rsid w:val="00FF3EDF"/>
    <w:rsid w:val="00FF5F82"/>
    <w:rsid w:val="00FF69F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E71A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F69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FF69F8"/>
    <w:rPr>
      <w:rFonts w:asciiTheme="majorHAnsi" w:eastAsiaTheme="majorEastAsia" w:hAnsiTheme="majorHAnsi" w:cstheme="majorBidi"/>
      <w:color w:val="2E74B5" w:themeColor="accent1" w:themeShade="BF"/>
      <w:sz w:val="32"/>
      <w:szCs w:val="32"/>
      <w:lang w:val="en-US" w:eastAsia="en-US"/>
    </w:rPr>
  </w:style>
  <w:style w:type="paragraph" w:styleId="BodyText">
    <w:name w:val="Body Text"/>
    <w:basedOn w:val="Normal"/>
    <w:link w:val="BodyTextChar"/>
    <w:rsid w:val="00FF69F8"/>
    <w:pPr>
      <w:spacing w:after="120"/>
    </w:pPr>
  </w:style>
  <w:style w:type="character" w:customStyle="1" w:styleId="BodyTextChar">
    <w:name w:val="Body Text Char"/>
    <w:basedOn w:val="DefaultParagraphFont"/>
    <w:link w:val="BodyText"/>
    <w:rsid w:val="00FF69F8"/>
    <w:rPr>
      <w:sz w:val="24"/>
      <w:szCs w:val="24"/>
      <w:lang w:val="en-US" w:eastAsia="en-US"/>
    </w:rPr>
  </w:style>
  <w:style w:type="paragraph" w:styleId="Revision">
    <w:name w:val="Revision"/>
    <w:hidden/>
    <w:uiPriority w:val="99"/>
    <w:semiHidden/>
    <w:rsid w:val="0047494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B655-5F68-4169-B366-0D52249C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8199</Words>
  <Characters>46737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54827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2</cp:revision>
  <cp:lastPrinted>2023-02-09T08:16:00Z</cp:lastPrinted>
  <dcterms:created xsi:type="dcterms:W3CDTF">2025-04-08T05:42:00Z</dcterms:created>
  <dcterms:modified xsi:type="dcterms:W3CDTF">2025-04-08T05:42:00Z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