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F373" w14:textId="77777777" w:rsidR="002510A5" w:rsidRPr="00AD763B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D763B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1D14564" w14:textId="77777777" w:rsidR="002510A5" w:rsidRPr="00AD763B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F705BE7" w14:textId="77777777" w:rsidR="003C17AB" w:rsidRPr="00AD763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2482912D" w14:textId="77777777" w:rsidR="00C37FD7" w:rsidRPr="00AD763B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08202C" w14:textId="77777777" w:rsidR="00411B4B" w:rsidRPr="00AD763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>1.</w:t>
      </w:r>
      <w:r w:rsidR="00F5167F" w:rsidRPr="00AD763B">
        <w:rPr>
          <w:b/>
          <w:bCs/>
          <w:sz w:val="22"/>
          <w:szCs w:val="22"/>
          <w:lang w:val="sr-Latn-ME"/>
        </w:rPr>
        <w:tab/>
      </w:r>
      <w:r w:rsidR="002846DB" w:rsidRPr="00AD763B">
        <w:rPr>
          <w:b/>
          <w:bCs/>
          <w:sz w:val="22"/>
          <w:szCs w:val="22"/>
          <w:lang w:val="sr-Latn-ME"/>
        </w:rPr>
        <w:t xml:space="preserve">NAZIV </w:t>
      </w:r>
      <w:r w:rsidRPr="00AD763B">
        <w:rPr>
          <w:b/>
          <w:bCs/>
          <w:sz w:val="22"/>
          <w:szCs w:val="22"/>
          <w:lang w:val="sr-Latn-ME"/>
        </w:rPr>
        <w:t>LIJEKA</w:t>
      </w:r>
    </w:p>
    <w:p w14:paraId="12C71400" w14:textId="77777777" w:rsidR="00EC2532" w:rsidRPr="00AD763B" w:rsidRDefault="00EC2532">
      <w:pPr>
        <w:rPr>
          <w:sz w:val="22"/>
          <w:szCs w:val="22"/>
          <w:lang w:val="sr-Latn-ME"/>
        </w:rPr>
      </w:pPr>
    </w:p>
    <w:p w14:paraId="7F7EA915" w14:textId="25DD56A2" w:rsidR="007009EF" w:rsidRPr="00AD763B" w:rsidRDefault="007009EF" w:rsidP="007009EF">
      <w:pPr>
        <w:rPr>
          <w:bCs/>
          <w:sz w:val="22"/>
          <w:szCs w:val="22"/>
          <w:lang w:val="sr-Latn-ME"/>
        </w:rPr>
      </w:pPr>
      <w:r w:rsidRPr="00AD763B">
        <w:rPr>
          <w:bCs/>
          <w:sz w:val="22"/>
          <w:szCs w:val="22"/>
          <w:lang w:val="sr-Latn-ME"/>
        </w:rPr>
        <w:t xml:space="preserve">Lipanthyl </w:t>
      </w:r>
      <w:r w:rsidR="001D6226" w:rsidRPr="00AD763B">
        <w:rPr>
          <w:bCs/>
          <w:sz w:val="22"/>
          <w:szCs w:val="22"/>
          <w:lang w:val="sr-Latn-ME"/>
        </w:rPr>
        <w:t>160</w:t>
      </w:r>
      <w:r w:rsidRPr="00AD763B">
        <w:rPr>
          <w:bCs/>
          <w:sz w:val="22"/>
          <w:szCs w:val="22"/>
          <w:lang w:val="sr-Latn-ME"/>
        </w:rPr>
        <w:t xml:space="preserve">, </w:t>
      </w:r>
      <w:r w:rsidR="001D6226" w:rsidRPr="00AD763B">
        <w:rPr>
          <w:bCs/>
          <w:sz w:val="22"/>
          <w:szCs w:val="22"/>
          <w:lang w:val="sr-Latn-ME"/>
        </w:rPr>
        <w:t>160</w:t>
      </w:r>
      <w:r w:rsidRPr="00AD763B">
        <w:rPr>
          <w:bCs/>
          <w:sz w:val="22"/>
          <w:szCs w:val="22"/>
          <w:lang w:val="sr-Latn-ME"/>
        </w:rPr>
        <w:t xml:space="preserve"> mg, film tablet</w:t>
      </w:r>
      <w:r w:rsidR="00C919B7" w:rsidRPr="00AD763B">
        <w:rPr>
          <w:bCs/>
          <w:sz w:val="22"/>
          <w:szCs w:val="22"/>
          <w:lang w:val="sr-Latn-ME"/>
        </w:rPr>
        <w:t>a</w:t>
      </w:r>
      <w:r w:rsidRPr="00AD763B">
        <w:rPr>
          <w:bCs/>
          <w:sz w:val="22"/>
          <w:szCs w:val="22"/>
          <w:lang w:val="sr-Latn-ME"/>
        </w:rPr>
        <w:t xml:space="preserve">  </w:t>
      </w:r>
    </w:p>
    <w:p w14:paraId="39299087" w14:textId="77777777" w:rsidR="007009EF" w:rsidRPr="00AD763B" w:rsidRDefault="007009EF" w:rsidP="007009EF">
      <w:pPr>
        <w:rPr>
          <w:bCs/>
          <w:sz w:val="22"/>
          <w:szCs w:val="22"/>
          <w:lang w:val="sr-Latn-ME"/>
        </w:rPr>
      </w:pPr>
    </w:p>
    <w:p w14:paraId="0A9A554D" w14:textId="77777777" w:rsidR="007009EF" w:rsidRPr="00AD763B" w:rsidRDefault="007009EF" w:rsidP="007009EF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INN: fenofibrat</w:t>
      </w:r>
    </w:p>
    <w:p w14:paraId="3923E67A" w14:textId="77777777" w:rsidR="006D20A5" w:rsidRPr="00AD763B" w:rsidRDefault="006D20A5">
      <w:pPr>
        <w:rPr>
          <w:bCs/>
          <w:sz w:val="22"/>
          <w:szCs w:val="22"/>
          <w:lang w:val="sr-Latn-ME"/>
        </w:rPr>
      </w:pPr>
    </w:p>
    <w:p w14:paraId="314DB149" w14:textId="77777777" w:rsidR="00530BD7" w:rsidRPr="00AD763B" w:rsidRDefault="00530BD7">
      <w:pPr>
        <w:rPr>
          <w:bCs/>
          <w:sz w:val="22"/>
          <w:szCs w:val="22"/>
          <w:lang w:val="sr-Latn-ME"/>
        </w:rPr>
      </w:pPr>
    </w:p>
    <w:p w14:paraId="0C9704A1" w14:textId="77777777" w:rsidR="00411B4B" w:rsidRPr="00AD763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2. </w:t>
      </w:r>
      <w:r w:rsidR="00F5167F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KVALITATIVNI I KVANTITATIVNI SASTAV</w:t>
      </w:r>
    </w:p>
    <w:p w14:paraId="1899566E" w14:textId="77777777" w:rsidR="005A0B2E" w:rsidRPr="00AD763B" w:rsidRDefault="005A0B2E">
      <w:pPr>
        <w:rPr>
          <w:sz w:val="22"/>
          <w:szCs w:val="22"/>
          <w:lang w:val="sr-Latn-ME"/>
        </w:rPr>
      </w:pPr>
    </w:p>
    <w:p w14:paraId="252947DB" w14:textId="66B8B084" w:rsidR="007009EF" w:rsidRPr="00AD763B" w:rsidRDefault="007009EF" w:rsidP="007009EF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Jedna film tableta sadrži </w:t>
      </w:r>
      <w:r w:rsidR="001D6226" w:rsidRPr="00AD763B">
        <w:rPr>
          <w:sz w:val="22"/>
          <w:szCs w:val="22"/>
          <w:lang w:val="sr-Latn-ME"/>
        </w:rPr>
        <w:t>160</w:t>
      </w:r>
      <w:r w:rsidRPr="00AD763B">
        <w:rPr>
          <w:sz w:val="22"/>
          <w:szCs w:val="22"/>
          <w:lang w:val="sr-Latn-ME"/>
        </w:rPr>
        <w:t xml:space="preserve"> mg fenofibrata. </w:t>
      </w:r>
    </w:p>
    <w:p w14:paraId="5658B349" w14:textId="77777777" w:rsidR="00C919B7" w:rsidRPr="00AD763B" w:rsidRDefault="00C919B7" w:rsidP="007009EF">
      <w:pPr>
        <w:rPr>
          <w:sz w:val="22"/>
          <w:szCs w:val="22"/>
          <w:lang w:val="sr-Latn-ME"/>
        </w:rPr>
      </w:pPr>
    </w:p>
    <w:p w14:paraId="3BB6635E" w14:textId="77777777" w:rsidR="007009EF" w:rsidRPr="00AD763B" w:rsidRDefault="007009EF" w:rsidP="007009EF">
      <w:pPr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Pomoćne supstance sa potvrđenim dejstvom:</w:t>
      </w:r>
    </w:p>
    <w:p w14:paraId="2597A817" w14:textId="1ADA9A8D" w:rsidR="007009EF" w:rsidRPr="00AD763B" w:rsidRDefault="00C919B7" w:rsidP="007009EF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Jedna film tableta sadrži </w:t>
      </w:r>
      <w:r w:rsidR="007009EF" w:rsidRPr="00AD763B">
        <w:rPr>
          <w:sz w:val="22"/>
          <w:szCs w:val="22"/>
          <w:lang w:val="sr-Latn-ME"/>
        </w:rPr>
        <w:t>13</w:t>
      </w:r>
      <w:r w:rsidR="001D44F8" w:rsidRPr="00AD763B">
        <w:rPr>
          <w:sz w:val="22"/>
          <w:szCs w:val="22"/>
          <w:lang w:val="sr-Latn-ME"/>
        </w:rPr>
        <w:t>8,4</w:t>
      </w:r>
      <w:r w:rsidR="007009EF" w:rsidRPr="00AD763B">
        <w:rPr>
          <w:sz w:val="22"/>
          <w:szCs w:val="22"/>
          <w:lang w:val="sr-Latn-ME"/>
        </w:rPr>
        <w:t xml:space="preserve"> mg laktoze monohidrata</w:t>
      </w:r>
      <w:r w:rsidRPr="00AD763B">
        <w:rPr>
          <w:sz w:val="22"/>
          <w:szCs w:val="22"/>
          <w:lang w:val="sr-Latn-ME"/>
        </w:rPr>
        <w:t xml:space="preserve"> i </w:t>
      </w:r>
      <w:r w:rsidR="007009EF" w:rsidRPr="00AD763B">
        <w:rPr>
          <w:sz w:val="22"/>
          <w:szCs w:val="22"/>
          <w:lang w:val="sr-Latn-ME"/>
        </w:rPr>
        <w:t>0,5</w:t>
      </w:r>
      <w:r w:rsidR="00E50639" w:rsidRPr="00AD763B">
        <w:rPr>
          <w:sz w:val="22"/>
          <w:szCs w:val="22"/>
          <w:lang w:val="sr-Latn-ME"/>
        </w:rPr>
        <w:t xml:space="preserve">6 </w:t>
      </w:r>
      <w:r w:rsidR="007009EF" w:rsidRPr="00AD763B">
        <w:rPr>
          <w:sz w:val="22"/>
          <w:szCs w:val="22"/>
          <w:lang w:val="sr-Latn-ME"/>
        </w:rPr>
        <w:t>mg lecitina iz soje</w:t>
      </w:r>
      <w:r w:rsidRPr="00AD763B">
        <w:rPr>
          <w:sz w:val="22"/>
          <w:szCs w:val="22"/>
          <w:lang w:val="sr-Latn-ME"/>
        </w:rPr>
        <w:t>.</w:t>
      </w:r>
    </w:p>
    <w:p w14:paraId="40F70DA3" w14:textId="77777777" w:rsidR="007009EF" w:rsidRPr="00AD763B" w:rsidRDefault="007009EF">
      <w:pPr>
        <w:rPr>
          <w:sz w:val="22"/>
          <w:szCs w:val="22"/>
          <w:lang w:val="sr-Latn-ME"/>
        </w:rPr>
      </w:pPr>
    </w:p>
    <w:p w14:paraId="4D956771" w14:textId="1B485524" w:rsidR="0003793F" w:rsidRPr="00AD763B" w:rsidRDefault="0003793F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Za spisak svih ekscipijenasa, pogledati dio 6.1.</w:t>
      </w:r>
    </w:p>
    <w:p w14:paraId="77AE3DB4" w14:textId="77777777" w:rsidR="0003793F" w:rsidRPr="00AD763B" w:rsidRDefault="0003793F">
      <w:pPr>
        <w:rPr>
          <w:sz w:val="22"/>
          <w:szCs w:val="22"/>
          <w:lang w:val="sr-Latn-ME"/>
        </w:rPr>
      </w:pPr>
    </w:p>
    <w:p w14:paraId="7282128E" w14:textId="77777777" w:rsidR="00C37FD7" w:rsidRPr="00AD763B" w:rsidRDefault="00C37FD7">
      <w:pPr>
        <w:rPr>
          <w:sz w:val="22"/>
          <w:szCs w:val="22"/>
          <w:lang w:val="sr-Latn-ME"/>
        </w:rPr>
      </w:pPr>
    </w:p>
    <w:p w14:paraId="030ECEA5" w14:textId="77777777" w:rsidR="00411B4B" w:rsidRPr="00AD763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3. </w:t>
      </w:r>
      <w:r w:rsidR="00F5167F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FARMACEUTSKI OBLIK</w:t>
      </w:r>
      <w:r w:rsidR="009F2D23" w:rsidRPr="00AD763B">
        <w:rPr>
          <w:b/>
          <w:bCs/>
          <w:sz w:val="22"/>
          <w:szCs w:val="22"/>
          <w:lang w:val="sr-Latn-ME"/>
        </w:rPr>
        <w:t xml:space="preserve"> </w:t>
      </w:r>
    </w:p>
    <w:p w14:paraId="6A1A498F" w14:textId="77777777" w:rsidR="00411B4B" w:rsidRPr="00AD763B" w:rsidRDefault="00411B4B">
      <w:pPr>
        <w:rPr>
          <w:bCs/>
          <w:sz w:val="22"/>
          <w:szCs w:val="22"/>
          <w:lang w:val="sr-Latn-ME"/>
        </w:rPr>
      </w:pPr>
    </w:p>
    <w:p w14:paraId="79C93994" w14:textId="56F18F1F" w:rsidR="007009EF" w:rsidRPr="00AD763B" w:rsidRDefault="007009EF" w:rsidP="007009EF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Film tableta</w:t>
      </w:r>
      <w:r w:rsidR="00C919B7" w:rsidRPr="00AD763B">
        <w:rPr>
          <w:sz w:val="22"/>
          <w:szCs w:val="22"/>
          <w:lang w:val="sr-Latn-ME"/>
        </w:rPr>
        <w:t>.</w:t>
      </w:r>
      <w:r w:rsidRPr="00AD763B">
        <w:rPr>
          <w:sz w:val="22"/>
          <w:szCs w:val="22"/>
          <w:lang w:val="sr-Latn-ME"/>
        </w:rPr>
        <w:t xml:space="preserve">   </w:t>
      </w:r>
    </w:p>
    <w:p w14:paraId="37B2EAFC" w14:textId="4F67E32C" w:rsidR="007009EF" w:rsidRPr="00AD763B" w:rsidRDefault="007009EF" w:rsidP="007009EF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B</w:t>
      </w:r>
      <w:r w:rsidR="001808E7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 xml:space="preserve">ela, </w:t>
      </w:r>
      <w:r w:rsidR="0099457E" w:rsidRPr="00AD763B">
        <w:rPr>
          <w:sz w:val="22"/>
          <w:szCs w:val="22"/>
          <w:lang w:val="sr-Latn-ME"/>
        </w:rPr>
        <w:t>duguljasta</w:t>
      </w:r>
      <w:r w:rsidRPr="00AD763B">
        <w:rPr>
          <w:sz w:val="22"/>
          <w:szCs w:val="22"/>
          <w:lang w:val="sr-Latn-ME"/>
        </w:rPr>
        <w:t xml:space="preserve"> film tableta s utisnutom oznakom „</w:t>
      </w:r>
      <w:r w:rsidR="001D6226" w:rsidRPr="00AD763B">
        <w:rPr>
          <w:sz w:val="22"/>
          <w:szCs w:val="22"/>
          <w:lang w:val="sr-Latn-ME"/>
        </w:rPr>
        <w:t>160</w:t>
      </w:r>
      <w:r w:rsidRPr="00AD763B">
        <w:rPr>
          <w:sz w:val="22"/>
          <w:szCs w:val="22"/>
          <w:lang w:val="sr-Latn-ME"/>
        </w:rPr>
        <w:t>“ na jednoj strani</w:t>
      </w:r>
      <w:r w:rsidR="00C919B7" w:rsidRPr="00AD763B">
        <w:rPr>
          <w:sz w:val="22"/>
          <w:szCs w:val="22"/>
          <w:lang w:val="sr-Latn-ME"/>
        </w:rPr>
        <w:t xml:space="preserve"> tablete</w:t>
      </w:r>
      <w:r w:rsidR="0099457E" w:rsidRPr="00AD763B">
        <w:rPr>
          <w:sz w:val="22"/>
          <w:szCs w:val="22"/>
          <w:lang w:val="sr-Latn-ME"/>
        </w:rPr>
        <w:t>.</w:t>
      </w:r>
    </w:p>
    <w:p w14:paraId="31E0FC68" w14:textId="77777777" w:rsidR="00C919B7" w:rsidRPr="00AD763B" w:rsidRDefault="00C919B7" w:rsidP="007009EF">
      <w:pPr>
        <w:rPr>
          <w:sz w:val="22"/>
          <w:szCs w:val="22"/>
          <w:lang w:val="sr-Latn-ME"/>
        </w:rPr>
      </w:pPr>
    </w:p>
    <w:p w14:paraId="0D84E6F2" w14:textId="77777777" w:rsidR="00EC2532" w:rsidRPr="00AD763B" w:rsidRDefault="00EC2532">
      <w:pPr>
        <w:rPr>
          <w:bCs/>
          <w:sz w:val="22"/>
          <w:szCs w:val="22"/>
          <w:lang w:val="sr-Latn-ME"/>
        </w:rPr>
      </w:pPr>
    </w:p>
    <w:p w14:paraId="3E9C7CEC" w14:textId="77777777" w:rsidR="00411B4B" w:rsidRPr="00AD763B" w:rsidRDefault="00411B4B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KLINIČKI PODACI</w:t>
      </w:r>
    </w:p>
    <w:p w14:paraId="14714D9E" w14:textId="77777777" w:rsidR="00CD6F02" w:rsidRPr="00AD763B" w:rsidRDefault="00CD6F02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BB5EBE" w14:textId="77777777" w:rsidR="00411B4B" w:rsidRPr="00AD763B" w:rsidRDefault="00411B4B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4.1.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Terapijske indikacije</w:t>
      </w:r>
    </w:p>
    <w:p w14:paraId="6064C1EC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779AEF5F" w14:textId="4712A8C4" w:rsidR="007009EF" w:rsidRPr="00AD763B" w:rsidRDefault="0099457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Lijek </w:t>
      </w:r>
      <w:r w:rsidR="007009EF" w:rsidRPr="00AD763B">
        <w:rPr>
          <w:sz w:val="22"/>
          <w:szCs w:val="22"/>
          <w:lang w:val="sr-Latn-ME"/>
        </w:rPr>
        <w:t xml:space="preserve">Lipanthyl </w:t>
      </w:r>
      <w:r w:rsidR="001D6226" w:rsidRPr="00AD763B">
        <w:rPr>
          <w:sz w:val="22"/>
          <w:szCs w:val="22"/>
          <w:lang w:val="sr-Latn-ME"/>
        </w:rPr>
        <w:t>160</w:t>
      </w:r>
      <w:r w:rsidR="007009EF" w:rsidRPr="00AD763B">
        <w:rPr>
          <w:sz w:val="22"/>
          <w:szCs w:val="22"/>
          <w:lang w:val="sr-Latn-ME"/>
        </w:rPr>
        <w:t xml:space="preserve"> je indikovan kao dodatak dijeti i drugim nefarmakološkim m</w:t>
      </w:r>
      <w:r w:rsidR="001808E7" w:rsidRPr="00AD763B">
        <w:rPr>
          <w:sz w:val="22"/>
          <w:szCs w:val="22"/>
          <w:lang w:val="sr-Latn-ME"/>
        </w:rPr>
        <w:t>j</w:t>
      </w:r>
      <w:r w:rsidR="007009EF" w:rsidRPr="00AD763B">
        <w:rPr>
          <w:sz w:val="22"/>
          <w:szCs w:val="22"/>
          <w:lang w:val="sr-Latn-ME"/>
        </w:rPr>
        <w:t>erama (npr. v</w:t>
      </w:r>
      <w:r w:rsidR="001808E7" w:rsidRPr="00AD763B">
        <w:rPr>
          <w:sz w:val="22"/>
          <w:szCs w:val="22"/>
          <w:lang w:val="sr-Latn-ME"/>
        </w:rPr>
        <w:t>j</w:t>
      </w:r>
      <w:r w:rsidR="007009EF" w:rsidRPr="00AD763B">
        <w:rPr>
          <w:sz w:val="22"/>
          <w:szCs w:val="22"/>
          <w:lang w:val="sr-Latn-ME"/>
        </w:rPr>
        <w:t>ežbanje, smanjenje t</w:t>
      </w:r>
      <w:r w:rsidR="001808E7" w:rsidRPr="00AD763B">
        <w:rPr>
          <w:sz w:val="22"/>
          <w:szCs w:val="22"/>
          <w:lang w:val="sr-Latn-ME"/>
        </w:rPr>
        <w:t>j</w:t>
      </w:r>
      <w:r w:rsidR="007009EF" w:rsidRPr="00AD763B">
        <w:rPr>
          <w:sz w:val="22"/>
          <w:szCs w:val="22"/>
          <w:lang w:val="sr-Latn-ME"/>
        </w:rPr>
        <w:t>elesne mase) u sl</w:t>
      </w:r>
      <w:r w:rsidR="001808E7" w:rsidRPr="00AD763B">
        <w:rPr>
          <w:sz w:val="22"/>
          <w:szCs w:val="22"/>
          <w:lang w:val="sr-Latn-ME"/>
        </w:rPr>
        <w:t>j</w:t>
      </w:r>
      <w:r w:rsidR="007009EF" w:rsidRPr="00AD763B">
        <w:rPr>
          <w:sz w:val="22"/>
          <w:szCs w:val="22"/>
          <w:lang w:val="sr-Latn-ME"/>
        </w:rPr>
        <w:t>edećim situacijama:</w:t>
      </w:r>
    </w:p>
    <w:p w14:paraId="0DDDF6C4" w14:textId="63BFCB43" w:rsidR="007009EF" w:rsidRPr="00AD763B" w:rsidRDefault="007009EF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 xml:space="preserve">terapija teške hipertrigliceridemije sa ili bez smanjene </w:t>
      </w:r>
      <w:r w:rsidR="001808E7" w:rsidRPr="00AD763B">
        <w:rPr>
          <w:szCs w:val="22"/>
          <w:lang w:val="sr-Latn-ME"/>
        </w:rPr>
        <w:t>vrijednost</w:t>
      </w:r>
      <w:r w:rsidRPr="00AD763B">
        <w:rPr>
          <w:szCs w:val="22"/>
          <w:lang w:val="sr-Latn-ME"/>
        </w:rPr>
        <w:t>i HDL holesterola</w:t>
      </w:r>
    </w:p>
    <w:p w14:paraId="17507C5F" w14:textId="4FE5B636" w:rsidR="007009EF" w:rsidRPr="00AD763B" w:rsidRDefault="007009EF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m</w:t>
      </w:r>
      <w:r w:rsidR="001808E7" w:rsidRPr="00AD763B">
        <w:rPr>
          <w:szCs w:val="22"/>
          <w:lang w:val="sr-Latn-ME"/>
        </w:rPr>
        <w:t>j</w:t>
      </w:r>
      <w:r w:rsidRPr="00AD763B">
        <w:rPr>
          <w:szCs w:val="22"/>
          <w:lang w:val="sr-Latn-ME"/>
        </w:rPr>
        <w:t>ešovita hiperlipidemija kada je upotreba statina kontraindikovana ili kada je osoba netolerantna na statine</w:t>
      </w:r>
    </w:p>
    <w:p w14:paraId="05C000B6" w14:textId="39C6EF00" w:rsidR="007009EF" w:rsidRPr="00AD763B" w:rsidRDefault="007009EF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m</w:t>
      </w:r>
      <w:r w:rsidR="001808E7" w:rsidRPr="00AD763B">
        <w:rPr>
          <w:szCs w:val="22"/>
          <w:lang w:val="sr-Latn-ME"/>
        </w:rPr>
        <w:t>j</w:t>
      </w:r>
      <w:r w:rsidRPr="00AD763B">
        <w:rPr>
          <w:szCs w:val="22"/>
          <w:lang w:val="sr-Latn-ME"/>
        </w:rPr>
        <w:t xml:space="preserve">ešovita hiperlipidemija kod pacijenata sa visokim kardiovaskularnim rizikom, kao dodatak terapiji statinima, kada </w:t>
      </w:r>
      <w:r w:rsidR="001808E7" w:rsidRPr="00AD763B">
        <w:rPr>
          <w:szCs w:val="22"/>
          <w:lang w:val="sr-Latn-ME"/>
        </w:rPr>
        <w:t>vrijednost</w:t>
      </w:r>
      <w:r w:rsidRPr="00AD763B">
        <w:rPr>
          <w:szCs w:val="22"/>
          <w:lang w:val="sr-Latn-ME"/>
        </w:rPr>
        <w:t>i triglicerida i HDL holesterola ni</w:t>
      </w:r>
      <w:r w:rsidR="001808E7" w:rsidRPr="00AD763B">
        <w:rPr>
          <w:szCs w:val="22"/>
          <w:lang w:val="sr-Latn-ME"/>
        </w:rPr>
        <w:t>je</w:t>
      </w:r>
      <w:r w:rsidRPr="00AD763B">
        <w:rPr>
          <w:szCs w:val="22"/>
          <w:lang w:val="sr-Latn-ME"/>
        </w:rPr>
        <w:t>su adekvatno kontrolisane.</w:t>
      </w:r>
    </w:p>
    <w:p w14:paraId="042E8FA5" w14:textId="77777777" w:rsidR="00411B4B" w:rsidRPr="00AD763B" w:rsidRDefault="00411B4B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4960A5" w14:textId="77777777" w:rsidR="00411B4B" w:rsidRPr="00AD763B" w:rsidRDefault="00411B4B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4.2.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Doziranje i način primjene</w:t>
      </w:r>
    </w:p>
    <w:p w14:paraId="5F0D5A27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41D83B" w14:textId="3E3D9F2E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Dijetetski režim započet</w:t>
      </w:r>
      <w:r w:rsidR="001808E7" w:rsidRPr="00AD763B">
        <w:rPr>
          <w:sz w:val="22"/>
          <w:szCs w:val="22"/>
          <w:lang w:val="sr-Latn-ME"/>
        </w:rPr>
        <w:t xml:space="preserve"> prije </w:t>
      </w:r>
      <w:r w:rsidRPr="00AD763B">
        <w:rPr>
          <w:sz w:val="22"/>
          <w:szCs w:val="22"/>
          <w:lang w:val="sr-Latn-ME"/>
        </w:rPr>
        <w:t xml:space="preserve">započinjanja terapije treba nastaviti. Odgovor na terapiju treba pratiti određivanjem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serumskih lipida. Ako adekvatan odgovor nije postignut nakon nekoliko </w:t>
      </w:r>
      <w:r w:rsidR="001808E7" w:rsidRPr="00AD763B">
        <w:rPr>
          <w:sz w:val="22"/>
          <w:szCs w:val="22"/>
          <w:lang w:val="sr-Latn-ME"/>
        </w:rPr>
        <w:t>mjesec</w:t>
      </w:r>
      <w:r w:rsidRPr="00AD763B">
        <w:rPr>
          <w:sz w:val="22"/>
          <w:szCs w:val="22"/>
          <w:lang w:val="sr-Latn-ME"/>
        </w:rPr>
        <w:t xml:space="preserve">i (npr. 3 </w:t>
      </w:r>
      <w:r w:rsidR="001808E7" w:rsidRPr="00AD763B">
        <w:rPr>
          <w:sz w:val="22"/>
          <w:szCs w:val="22"/>
          <w:lang w:val="sr-Latn-ME"/>
        </w:rPr>
        <w:t>mjesec</w:t>
      </w:r>
      <w:r w:rsidRPr="00AD763B">
        <w:rPr>
          <w:sz w:val="22"/>
          <w:szCs w:val="22"/>
          <w:lang w:val="sr-Latn-ME"/>
        </w:rPr>
        <w:t>a), treba razmotriti dopunske ili druge terapijske m</w:t>
      </w:r>
      <w:r w:rsidR="001808E7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ere.</w:t>
      </w:r>
    </w:p>
    <w:p w14:paraId="5F111AAA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2E38C453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Doziranje</w:t>
      </w:r>
    </w:p>
    <w:p w14:paraId="52D07274" w14:textId="77777777" w:rsidR="007009EF" w:rsidRPr="00AD763B" w:rsidRDefault="007009EF" w:rsidP="00951A07">
      <w:pPr>
        <w:jc w:val="both"/>
        <w:rPr>
          <w:i/>
          <w:sz w:val="22"/>
          <w:szCs w:val="22"/>
          <w:lang w:val="sr-Latn-ME"/>
        </w:rPr>
      </w:pPr>
      <w:r w:rsidRPr="00AD763B">
        <w:rPr>
          <w:i/>
          <w:sz w:val="22"/>
          <w:szCs w:val="22"/>
          <w:lang w:val="sr-Latn-ME"/>
        </w:rPr>
        <w:t>Odrasli:</w:t>
      </w:r>
    </w:p>
    <w:p w14:paraId="21C39EDD" w14:textId="5F82E18E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Preporučena doza je jedna tableta od </w:t>
      </w:r>
      <w:r w:rsidR="001D6226" w:rsidRPr="00AD763B">
        <w:rPr>
          <w:sz w:val="22"/>
          <w:szCs w:val="22"/>
          <w:lang w:val="sr-Latn-ME"/>
        </w:rPr>
        <w:t>160</w:t>
      </w:r>
      <w:r w:rsidRPr="00AD763B">
        <w:rPr>
          <w:sz w:val="22"/>
          <w:szCs w:val="22"/>
          <w:lang w:val="sr-Latn-ME"/>
        </w:rPr>
        <w:t xml:space="preserve"> mg fenofibrata jednom dnevno. Pacijenti koji </w:t>
      </w:r>
      <w:r w:rsidR="0099457E" w:rsidRPr="00AD763B">
        <w:rPr>
          <w:sz w:val="22"/>
          <w:szCs w:val="22"/>
          <w:lang w:val="sr-Latn-ME"/>
        </w:rPr>
        <w:t xml:space="preserve">trenutno koriste kapsule od </w:t>
      </w:r>
      <w:r w:rsidRPr="00AD763B">
        <w:rPr>
          <w:sz w:val="22"/>
          <w:szCs w:val="22"/>
          <w:lang w:val="sr-Latn-ME"/>
        </w:rPr>
        <w:t>200 mg fenofibrata</w:t>
      </w:r>
      <w:r w:rsidR="0099457E" w:rsidRPr="00AD763B">
        <w:rPr>
          <w:sz w:val="22"/>
          <w:szCs w:val="22"/>
          <w:lang w:val="sr-Latn-ME"/>
        </w:rPr>
        <w:t xml:space="preserve"> mogu pre</w:t>
      </w:r>
      <w:r w:rsidR="000910A6" w:rsidRPr="00AD763B">
        <w:rPr>
          <w:sz w:val="22"/>
          <w:szCs w:val="22"/>
          <w:lang w:val="sr-Latn-ME"/>
        </w:rPr>
        <w:t>ć</w:t>
      </w:r>
      <w:r w:rsidR="0099457E" w:rsidRPr="00AD763B">
        <w:rPr>
          <w:sz w:val="22"/>
          <w:szCs w:val="22"/>
          <w:lang w:val="sr-Latn-ME"/>
        </w:rPr>
        <w:t xml:space="preserve">i na jednu tabletu fenofibrata od </w:t>
      </w:r>
      <w:r w:rsidR="001D6226" w:rsidRPr="00AD763B">
        <w:rPr>
          <w:sz w:val="22"/>
          <w:szCs w:val="22"/>
          <w:lang w:val="sr-Latn-ME"/>
        </w:rPr>
        <w:t>160</w:t>
      </w:r>
      <w:r w:rsidRPr="00AD763B">
        <w:rPr>
          <w:sz w:val="22"/>
          <w:szCs w:val="22"/>
          <w:lang w:val="sr-Latn-ME"/>
        </w:rPr>
        <w:t xml:space="preserve"> mg bez dodatnog prilagođavanja doze.</w:t>
      </w:r>
    </w:p>
    <w:p w14:paraId="68B24C24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1B1FE256" w14:textId="77777777" w:rsidR="007009EF" w:rsidRPr="00AD763B" w:rsidRDefault="007009EF" w:rsidP="00951A07">
      <w:pPr>
        <w:jc w:val="both"/>
        <w:rPr>
          <w:i/>
          <w:sz w:val="22"/>
          <w:szCs w:val="22"/>
          <w:lang w:val="sr-Latn-ME"/>
        </w:rPr>
      </w:pPr>
      <w:r w:rsidRPr="00AD763B">
        <w:rPr>
          <w:i/>
          <w:sz w:val="22"/>
          <w:szCs w:val="22"/>
          <w:lang w:val="sr-Latn-ME"/>
        </w:rPr>
        <w:t>Posebne populacije</w:t>
      </w:r>
    </w:p>
    <w:p w14:paraId="313ACE3E" w14:textId="77777777" w:rsidR="007009EF" w:rsidRPr="00AD763B" w:rsidRDefault="007009EF" w:rsidP="00951A07">
      <w:pPr>
        <w:jc w:val="both"/>
        <w:rPr>
          <w:i/>
          <w:sz w:val="22"/>
          <w:szCs w:val="22"/>
          <w:lang w:val="sr-Latn-ME"/>
        </w:rPr>
      </w:pPr>
      <w:r w:rsidRPr="00AD763B">
        <w:rPr>
          <w:i/>
          <w:sz w:val="22"/>
          <w:szCs w:val="22"/>
          <w:lang w:val="sr-Latn-ME"/>
        </w:rPr>
        <w:t>Stariji pacijenti (</w:t>
      </w:r>
      <w:r w:rsidRPr="00AD763B">
        <w:rPr>
          <w:i/>
          <w:sz w:val="22"/>
          <w:szCs w:val="22"/>
          <w:lang w:val="sr-Latn-ME"/>
        </w:rPr>
        <w:sym w:font="Symbol" w:char="F0B3"/>
      </w:r>
      <w:r w:rsidRPr="00AD763B">
        <w:rPr>
          <w:i/>
          <w:sz w:val="22"/>
          <w:szCs w:val="22"/>
          <w:lang w:val="sr-Latn-ME"/>
        </w:rPr>
        <w:t xml:space="preserve"> 65 godina):</w:t>
      </w:r>
    </w:p>
    <w:p w14:paraId="3806E190" w14:textId="039F3C0F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Nije potrebno prilagođavanje doze. Preporučuje se uobičajena doza, osim kod pacijenata sa smanjenom funkcijom bubrega sa glomerularnom filtracijom &lt; 60 </w:t>
      </w:r>
      <w:r w:rsidR="000910A6" w:rsidRPr="00AD763B">
        <w:rPr>
          <w:sz w:val="22"/>
          <w:szCs w:val="22"/>
          <w:lang w:val="sr-Latn-ME"/>
        </w:rPr>
        <w:t>ml</w:t>
      </w:r>
      <w:r w:rsidRPr="00AD763B">
        <w:rPr>
          <w:sz w:val="22"/>
          <w:szCs w:val="22"/>
          <w:lang w:val="sr-Latn-ME"/>
        </w:rPr>
        <w:t>/min/1,73 m</w:t>
      </w:r>
      <w:r w:rsidRPr="00AD763B">
        <w:rPr>
          <w:sz w:val="22"/>
          <w:szCs w:val="22"/>
          <w:vertAlign w:val="superscript"/>
          <w:lang w:val="sr-Latn-ME"/>
        </w:rPr>
        <w:t>2</w:t>
      </w:r>
      <w:r w:rsidRPr="00AD763B">
        <w:rPr>
          <w:sz w:val="22"/>
          <w:szCs w:val="22"/>
          <w:lang w:val="sr-Latn-ME"/>
        </w:rPr>
        <w:t xml:space="preserve"> (</w:t>
      </w:r>
      <w:r w:rsidR="001808E7" w:rsidRPr="00AD763B">
        <w:rPr>
          <w:sz w:val="22"/>
          <w:szCs w:val="22"/>
          <w:lang w:val="sr-Latn-ME"/>
        </w:rPr>
        <w:t>vidjeti</w:t>
      </w:r>
      <w:r w:rsidRPr="00AD763B">
        <w:rPr>
          <w:sz w:val="22"/>
          <w:szCs w:val="22"/>
          <w:lang w:val="sr-Latn-ME"/>
        </w:rPr>
        <w:t xml:space="preserve"> </w:t>
      </w:r>
      <w:r w:rsidR="000910A6" w:rsidRPr="00AD763B">
        <w:rPr>
          <w:sz w:val="22"/>
          <w:szCs w:val="22"/>
          <w:lang w:val="sr-Latn-ME"/>
        </w:rPr>
        <w:t>dio</w:t>
      </w:r>
      <w:r w:rsidRPr="00AD763B">
        <w:rPr>
          <w:sz w:val="22"/>
          <w:szCs w:val="22"/>
          <w:lang w:val="sr-Latn-ME"/>
        </w:rPr>
        <w:t xml:space="preserve"> </w:t>
      </w:r>
      <w:r w:rsidRPr="00AD763B">
        <w:rPr>
          <w:i/>
          <w:sz w:val="22"/>
          <w:szCs w:val="22"/>
          <w:lang w:val="sr-Latn-ME"/>
        </w:rPr>
        <w:t>Pacijenti sa ošte</w:t>
      </w:r>
      <w:r w:rsidR="000910A6" w:rsidRPr="00AD763B">
        <w:rPr>
          <w:i/>
          <w:sz w:val="22"/>
          <w:szCs w:val="22"/>
          <w:lang w:val="sr-Latn-ME"/>
        </w:rPr>
        <w:t>ć</w:t>
      </w:r>
      <w:r w:rsidRPr="00AD763B">
        <w:rPr>
          <w:i/>
          <w:sz w:val="22"/>
          <w:szCs w:val="22"/>
          <w:lang w:val="sr-Latn-ME"/>
        </w:rPr>
        <w:t>enjem funkcije bubrega</w:t>
      </w:r>
      <w:r w:rsidRPr="00AD763B">
        <w:rPr>
          <w:sz w:val="22"/>
          <w:szCs w:val="22"/>
          <w:lang w:val="sr-Latn-ME"/>
        </w:rPr>
        <w:t>).</w:t>
      </w:r>
    </w:p>
    <w:p w14:paraId="7B081E43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017DDF17" w14:textId="0ECFAD2C" w:rsidR="007009EF" w:rsidRPr="00AD763B" w:rsidRDefault="007009EF" w:rsidP="00951A07">
      <w:pPr>
        <w:jc w:val="both"/>
        <w:rPr>
          <w:i/>
          <w:sz w:val="22"/>
          <w:szCs w:val="22"/>
          <w:lang w:val="sr-Latn-ME"/>
        </w:rPr>
      </w:pPr>
      <w:r w:rsidRPr="00AD763B">
        <w:rPr>
          <w:i/>
          <w:sz w:val="22"/>
          <w:szCs w:val="22"/>
          <w:lang w:val="sr-Latn-ME"/>
        </w:rPr>
        <w:lastRenderedPageBreak/>
        <w:t>Pacijenti sa ošte</w:t>
      </w:r>
      <w:r w:rsidR="000910A6" w:rsidRPr="00AD763B">
        <w:rPr>
          <w:i/>
          <w:sz w:val="22"/>
          <w:szCs w:val="22"/>
          <w:lang w:val="sr-Latn-ME"/>
        </w:rPr>
        <w:t>ć</w:t>
      </w:r>
      <w:r w:rsidRPr="00AD763B">
        <w:rPr>
          <w:i/>
          <w:sz w:val="22"/>
          <w:szCs w:val="22"/>
          <w:lang w:val="sr-Latn-ME"/>
        </w:rPr>
        <w:t>enjem funkcije bubrega:</w:t>
      </w:r>
    </w:p>
    <w:p w14:paraId="54E41473" w14:textId="36F926BC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Fenofibrat se ne</w:t>
      </w:r>
      <w:r w:rsidR="001808E7" w:rsidRPr="00AD763B">
        <w:rPr>
          <w:sz w:val="22"/>
          <w:szCs w:val="22"/>
          <w:lang w:val="sr-Latn-ME"/>
        </w:rPr>
        <w:t xml:space="preserve"> smije </w:t>
      </w:r>
      <w:r w:rsidRPr="00AD763B">
        <w:rPr>
          <w:sz w:val="22"/>
          <w:szCs w:val="22"/>
          <w:lang w:val="sr-Latn-ME"/>
        </w:rPr>
        <w:t>upotrebljavati kod pacijenata sa teškim ošte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enjem funkcije bubrega,  definisanim kao proc</w:t>
      </w:r>
      <w:r w:rsidR="001808E7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 xml:space="preserve">enjena brzina glomerularne filtracije eGFR &lt; 30 </w:t>
      </w:r>
      <w:r w:rsidR="000910A6" w:rsidRPr="00AD763B">
        <w:rPr>
          <w:sz w:val="22"/>
          <w:szCs w:val="22"/>
          <w:lang w:val="sr-Latn-ME"/>
        </w:rPr>
        <w:t>ml</w:t>
      </w:r>
      <w:r w:rsidRPr="00AD763B">
        <w:rPr>
          <w:sz w:val="22"/>
          <w:szCs w:val="22"/>
          <w:lang w:val="sr-Latn-ME"/>
        </w:rPr>
        <w:t>/min na 1,73 m</w:t>
      </w:r>
      <w:r w:rsidRPr="00AD763B">
        <w:rPr>
          <w:sz w:val="22"/>
          <w:szCs w:val="22"/>
          <w:vertAlign w:val="superscript"/>
          <w:lang w:val="sr-Latn-ME"/>
        </w:rPr>
        <w:t>2</w:t>
      </w:r>
      <w:r w:rsidRPr="00AD763B">
        <w:rPr>
          <w:sz w:val="22"/>
          <w:szCs w:val="22"/>
          <w:lang w:val="sr-Latn-ME"/>
        </w:rPr>
        <w:t xml:space="preserve">. Ukoliko je eGFR između 30 i 59 </w:t>
      </w:r>
      <w:r w:rsidR="000910A6" w:rsidRPr="00AD763B">
        <w:rPr>
          <w:sz w:val="22"/>
          <w:szCs w:val="22"/>
          <w:lang w:val="sr-Latn-ME"/>
        </w:rPr>
        <w:t>ml</w:t>
      </w:r>
      <w:r w:rsidRPr="00AD763B">
        <w:rPr>
          <w:sz w:val="22"/>
          <w:szCs w:val="22"/>
          <w:lang w:val="sr-Latn-ME"/>
        </w:rPr>
        <w:t>/min na 1,73 m</w:t>
      </w:r>
      <w:r w:rsidRPr="00AD763B">
        <w:rPr>
          <w:sz w:val="22"/>
          <w:szCs w:val="22"/>
          <w:vertAlign w:val="superscript"/>
          <w:lang w:val="sr-Latn-ME"/>
        </w:rPr>
        <w:t>2</w:t>
      </w:r>
      <w:r w:rsidRPr="00AD763B">
        <w:rPr>
          <w:sz w:val="22"/>
          <w:szCs w:val="22"/>
          <w:lang w:val="sr-Latn-ME"/>
        </w:rPr>
        <w:t>, doza fenofibrata ne</w:t>
      </w:r>
      <w:r w:rsidR="001808E7" w:rsidRPr="00AD763B">
        <w:rPr>
          <w:sz w:val="22"/>
          <w:szCs w:val="22"/>
          <w:lang w:val="sr-Latn-ME"/>
        </w:rPr>
        <w:t xml:space="preserve"> smije </w:t>
      </w:r>
      <w:r w:rsidRPr="00AD763B">
        <w:rPr>
          <w:sz w:val="22"/>
          <w:szCs w:val="22"/>
          <w:lang w:val="sr-Latn-ME"/>
        </w:rPr>
        <w:t>da bude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 od 100 mg standardnog ili 67 mg mikronizovanog fenofibrata, jednom dnevno.</w:t>
      </w:r>
    </w:p>
    <w:p w14:paraId="4CF1683A" w14:textId="042858CA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Ukoliko se tokom pra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enja, eGFR uporno smanjuje do &lt; 30 </w:t>
      </w:r>
      <w:r w:rsidR="000910A6" w:rsidRPr="00AD763B">
        <w:rPr>
          <w:sz w:val="22"/>
          <w:szCs w:val="22"/>
          <w:lang w:val="sr-Latn-ME"/>
        </w:rPr>
        <w:t>ml</w:t>
      </w:r>
      <w:r w:rsidRPr="00AD763B">
        <w:rPr>
          <w:sz w:val="22"/>
          <w:szCs w:val="22"/>
          <w:lang w:val="sr-Latn-ME"/>
        </w:rPr>
        <w:t>/min na 1,73 m</w:t>
      </w:r>
      <w:r w:rsidRPr="00AD763B">
        <w:rPr>
          <w:sz w:val="22"/>
          <w:szCs w:val="22"/>
          <w:vertAlign w:val="superscript"/>
          <w:lang w:val="sr-Latn-ME"/>
        </w:rPr>
        <w:t>2</w:t>
      </w:r>
      <w:r w:rsidRPr="00AD763B">
        <w:rPr>
          <w:sz w:val="22"/>
          <w:szCs w:val="22"/>
          <w:lang w:val="sr-Latn-ME"/>
        </w:rPr>
        <w:t xml:space="preserve">, treba prekinuti terapiju fenofibratom. </w:t>
      </w:r>
    </w:p>
    <w:p w14:paraId="64386650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62BA04D2" w14:textId="1AE2E313" w:rsidR="007009EF" w:rsidRPr="00AD763B" w:rsidRDefault="007009EF" w:rsidP="00951A07">
      <w:pPr>
        <w:jc w:val="both"/>
        <w:rPr>
          <w:i/>
          <w:sz w:val="22"/>
          <w:szCs w:val="22"/>
          <w:lang w:val="sr-Latn-ME"/>
        </w:rPr>
      </w:pPr>
      <w:r w:rsidRPr="00AD763B">
        <w:rPr>
          <w:i/>
          <w:sz w:val="22"/>
          <w:szCs w:val="22"/>
          <w:lang w:val="sr-Latn-ME"/>
        </w:rPr>
        <w:t>Pacijenti sa ošte</w:t>
      </w:r>
      <w:r w:rsidR="000910A6" w:rsidRPr="00AD763B">
        <w:rPr>
          <w:i/>
          <w:sz w:val="22"/>
          <w:szCs w:val="22"/>
          <w:lang w:val="sr-Latn-ME"/>
        </w:rPr>
        <w:t>ć</w:t>
      </w:r>
      <w:r w:rsidRPr="00AD763B">
        <w:rPr>
          <w:i/>
          <w:sz w:val="22"/>
          <w:szCs w:val="22"/>
          <w:lang w:val="sr-Latn-ME"/>
        </w:rPr>
        <w:t>enjem funkcije jetre:</w:t>
      </w:r>
    </w:p>
    <w:p w14:paraId="1557CC80" w14:textId="0D2E1165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Ne preporučuje se </w:t>
      </w:r>
      <w:r w:rsidR="004E7FEE" w:rsidRPr="00AD763B">
        <w:rPr>
          <w:sz w:val="22"/>
          <w:szCs w:val="22"/>
          <w:lang w:val="sr-Latn-ME"/>
        </w:rPr>
        <w:t xml:space="preserve">primjena lijeka </w:t>
      </w:r>
      <w:r w:rsidRPr="00AD763B">
        <w:rPr>
          <w:sz w:val="22"/>
          <w:szCs w:val="22"/>
          <w:lang w:val="sr-Latn-ME"/>
        </w:rPr>
        <w:t xml:space="preserve">Lipanthyl </w:t>
      </w:r>
      <w:r w:rsidR="001D6226" w:rsidRPr="00AD763B">
        <w:rPr>
          <w:sz w:val="22"/>
          <w:szCs w:val="22"/>
          <w:lang w:val="sr-Latn-ME"/>
        </w:rPr>
        <w:t>160</w:t>
      </w:r>
      <w:r w:rsidRPr="00AD763B">
        <w:rPr>
          <w:sz w:val="22"/>
          <w:szCs w:val="22"/>
          <w:lang w:val="sr-Latn-ME"/>
        </w:rPr>
        <w:t xml:space="preserve"> mg kod pacijenata sa ošte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enjem funkcije jetre </w:t>
      </w:r>
      <w:r w:rsidR="004E7FEE" w:rsidRPr="00AD763B">
        <w:rPr>
          <w:sz w:val="22"/>
          <w:szCs w:val="22"/>
          <w:lang w:val="sr-Latn-ME"/>
        </w:rPr>
        <w:t>usljed</w:t>
      </w:r>
      <w:r w:rsidRPr="00AD763B">
        <w:rPr>
          <w:sz w:val="22"/>
          <w:szCs w:val="22"/>
          <w:lang w:val="sr-Latn-ME"/>
        </w:rPr>
        <w:t xml:space="preserve"> nedostatka podataka.</w:t>
      </w:r>
    </w:p>
    <w:p w14:paraId="644D06AA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7A05A27D" w14:textId="77777777" w:rsidR="007009EF" w:rsidRPr="00AD763B" w:rsidRDefault="007009EF" w:rsidP="00951A07">
      <w:pPr>
        <w:jc w:val="both"/>
        <w:rPr>
          <w:i/>
          <w:sz w:val="22"/>
          <w:szCs w:val="22"/>
          <w:lang w:val="sr-Latn-ME"/>
        </w:rPr>
      </w:pPr>
      <w:r w:rsidRPr="00AD763B">
        <w:rPr>
          <w:i/>
          <w:sz w:val="22"/>
          <w:szCs w:val="22"/>
          <w:lang w:val="sr-Latn-ME"/>
        </w:rPr>
        <w:t>Pedijatrijska populacija:</w:t>
      </w:r>
    </w:p>
    <w:p w14:paraId="4537837B" w14:textId="1F422A9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B</w:t>
      </w:r>
      <w:r w:rsidR="004E7FEE" w:rsidRPr="00AD763B">
        <w:rPr>
          <w:sz w:val="22"/>
          <w:szCs w:val="22"/>
          <w:lang w:val="sr-Latn-ME"/>
        </w:rPr>
        <w:t>ezbjednost</w:t>
      </w:r>
      <w:r w:rsidRPr="00AD763B">
        <w:rPr>
          <w:sz w:val="22"/>
          <w:szCs w:val="22"/>
          <w:lang w:val="sr-Latn-ME"/>
        </w:rPr>
        <w:t xml:space="preserve"> i efikasnost fenofibrata kod </w:t>
      </w:r>
      <w:r w:rsidR="004E7FEE" w:rsidRPr="00AD763B">
        <w:rPr>
          <w:sz w:val="22"/>
          <w:szCs w:val="22"/>
          <w:lang w:val="sr-Latn-ME"/>
        </w:rPr>
        <w:t>djece</w:t>
      </w:r>
      <w:r w:rsidRPr="00AD763B">
        <w:rPr>
          <w:sz w:val="22"/>
          <w:szCs w:val="22"/>
          <w:lang w:val="sr-Latn-ME"/>
        </w:rPr>
        <w:t xml:space="preserve"> i adolescenata </w:t>
      </w:r>
      <w:r w:rsidR="000910A6" w:rsidRPr="00AD763B">
        <w:rPr>
          <w:sz w:val="22"/>
          <w:szCs w:val="22"/>
          <w:lang w:val="sr-Latn-ME"/>
        </w:rPr>
        <w:t>ml</w:t>
      </w:r>
      <w:r w:rsidRPr="00AD763B">
        <w:rPr>
          <w:sz w:val="22"/>
          <w:szCs w:val="22"/>
          <w:lang w:val="sr-Latn-ME"/>
        </w:rPr>
        <w:t>ađih od 18 godina nije ustanovljena. Podaci</w:t>
      </w:r>
      <w:r w:rsidR="001808E7" w:rsidRPr="00AD763B">
        <w:rPr>
          <w:sz w:val="22"/>
          <w:szCs w:val="22"/>
          <w:lang w:val="sr-Latn-ME"/>
        </w:rPr>
        <w:t xml:space="preserve"> nijesu </w:t>
      </w:r>
      <w:r w:rsidRPr="00AD763B">
        <w:rPr>
          <w:sz w:val="22"/>
          <w:szCs w:val="22"/>
          <w:lang w:val="sr-Latn-ME"/>
        </w:rPr>
        <w:t xml:space="preserve">dostupni. Upotreba fenofibrata se ne preporučuje kod pacijenata </w:t>
      </w:r>
      <w:r w:rsidR="000910A6" w:rsidRPr="00AD763B">
        <w:rPr>
          <w:sz w:val="22"/>
          <w:szCs w:val="22"/>
          <w:lang w:val="sr-Latn-ME"/>
        </w:rPr>
        <w:t>ml</w:t>
      </w:r>
      <w:r w:rsidRPr="00AD763B">
        <w:rPr>
          <w:sz w:val="22"/>
          <w:szCs w:val="22"/>
          <w:lang w:val="sr-Latn-ME"/>
        </w:rPr>
        <w:t>ađih od 18 godina.</w:t>
      </w:r>
    </w:p>
    <w:p w14:paraId="7DBBD913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2A83B47A" w14:textId="3AD96D44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 xml:space="preserve">Način </w:t>
      </w:r>
      <w:r w:rsidR="004E7FEE" w:rsidRPr="00AD763B">
        <w:rPr>
          <w:sz w:val="22"/>
          <w:szCs w:val="22"/>
          <w:u w:val="single"/>
          <w:lang w:val="sr-Latn-ME"/>
        </w:rPr>
        <w:t>primjene</w:t>
      </w:r>
      <w:r w:rsidRPr="00AD763B">
        <w:rPr>
          <w:sz w:val="22"/>
          <w:szCs w:val="22"/>
          <w:u w:val="single"/>
          <w:lang w:val="sr-Latn-ME"/>
        </w:rPr>
        <w:t>:</w:t>
      </w:r>
    </w:p>
    <w:p w14:paraId="19AF687E" w14:textId="0EDCDCAF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Tablete treba progutati c</w:t>
      </w:r>
      <w:r w:rsidR="004E7FEE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ele</w:t>
      </w:r>
      <w:r w:rsidR="00BD3B05" w:rsidRPr="00AD763B">
        <w:rPr>
          <w:sz w:val="22"/>
          <w:szCs w:val="22"/>
          <w:lang w:val="sr-Latn-ME"/>
        </w:rPr>
        <w:t>, za vrijeme jela</w:t>
      </w:r>
      <w:r w:rsidRPr="00AD763B">
        <w:rPr>
          <w:sz w:val="22"/>
          <w:szCs w:val="22"/>
          <w:lang w:val="sr-Latn-ME"/>
        </w:rPr>
        <w:t>.</w:t>
      </w:r>
    </w:p>
    <w:p w14:paraId="660594C8" w14:textId="77777777" w:rsidR="00452E9D" w:rsidRPr="00AD763B" w:rsidRDefault="00452E9D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29A328" w14:textId="77777777" w:rsidR="00411B4B" w:rsidRPr="00AD763B" w:rsidRDefault="00411B4B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4.3.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Kontraindikacije</w:t>
      </w:r>
    </w:p>
    <w:p w14:paraId="7B6521F3" w14:textId="48470458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8B1871" w14:textId="1ECDC708" w:rsidR="007009EF" w:rsidRPr="00AD763B" w:rsidRDefault="00BD3B0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P</w:t>
      </w:r>
      <w:r w:rsidR="004E7FEE" w:rsidRPr="00AD763B">
        <w:rPr>
          <w:szCs w:val="22"/>
          <w:lang w:val="sr-Latn-ME"/>
        </w:rPr>
        <w:t>reosjetljivost</w:t>
      </w:r>
      <w:r w:rsidR="007009EF" w:rsidRPr="00AD763B">
        <w:rPr>
          <w:szCs w:val="22"/>
          <w:lang w:val="sr-Latn-ME"/>
        </w:rPr>
        <w:t xml:space="preserve"> na aktivnu supstancu ili na bilo koju od pomo</w:t>
      </w:r>
      <w:r w:rsidR="000910A6" w:rsidRPr="00AD763B">
        <w:rPr>
          <w:szCs w:val="22"/>
          <w:lang w:val="sr-Latn-ME"/>
        </w:rPr>
        <w:t>ć</w:t>
      </w:r>
      <w:r w:rsidR="007009EF" w:rsidRPr="00AD763B">
        <w:rPr>
          <w:szCs w:val="22"/>
          <w:lang w:val="sr-Latn-ME"/>
        </w:rPr>
        <w:t>nih supstanci navedenih u od</w:t>
      </w:r>
      <w:r w:rsidR="0036288E" w:rsidRPr="00AD763B">
        <w:rPr>
          <w:szCs w:val="22"/>
          <w:lang w:val="sr-Latn-ME"/>
        </w:rPr>
        <w:t>j</w:t>
      </w:r>
      <w:r w:rsidR="007009EF" w:rsidRPr="00AD763B">
        <w:rPr>
          <w:szCs w:val="22"/>
          <w:lang w:val="sr-Latn-ME"/>
        </w:rPr>
        <w:t>eljku 6.1.</w:t>
      </w:r>
    </w:p>
    <w:p w14:paraId="0B35902E" w14:textId="7DDB33B4" w:rsidR="007009EF" w:rsidRPr="00AD763B" w:rsidRDefault="00BD3B0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I</w:t>
      </w:r>
      <w:r w:rsidR="007009EF" w:rsidRPr="00AD763B">
        <w:rPr>
          <w:szCs w:val="22"/>
          <w:lang w:val="sr-Latn-ME"/>
        </w:rPr>
        <w:t>nsuficijencija jetre (uključuju</w:t>
      </w:r>
      <w:r w:rsidR="000910A6" w:rsidRPr="00AD763B">
        <w:rPr>
          <w:szCs w:val="22"/>
          <w:lang w:val="sr-Latn-ME"/>
        </w:rPr>
        <w:t>ć</w:t>
      </w:r>
      <w:r w:rsidR="007009EF" w:rsidRPr="00AD763B">
        <w:rPr>
          <w:szCs w:val="22"/>
          <w:lang w:val="sr-Latn-ME"/>
        </w:rPr>
        <w:t>i bilijarnu cirozu i neobjašnjiv perzistentan poreme</w:t>
      </w:r>
      <w:r w:rsidR="000910A6" w:rsidRPr="00AD763B">
        <w:rPr>
          <w:szCs w:val="22"/>
          <w:lang w:val="sr-Latn-ME"/>
        </w:rPr>
        <w:t>ć</w:t>
      </w:r>
      <w:r w:rsidR="007009EF" w:rsidRPr="00AD763B">
        <w:rPr>
          <w:szCs w:val="22"/>
          <w:lang w:val="sr-Latn-ME"/>
        </w:rPr>
        <w:t>aj funkcije jetre)</w:t>
      </w:r>
    </w:p>
    <w:p w14:paraId="20E8E232" w14:textId="5D5B8EC1" w:rsidR="007009EF" w:rsidRPr="00AD763B" w:rsidRDefault="00BD3B0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P</w:t>
      </w:r>
      <w:r w:rsidR="007009EF" w:rsidRPr="00AD763B">
        <w:rPr>
          <w:szCs w:val="22"/>
          <w:lang w:val="sr-Latn-ME"/>
        </w:rPr>
        <w:t>oznata oboljenja žučne kese</w:t>
      </w:r>
    </w:p>
    <w:p w14:paraId="213A5575" w14:textId="0400E98F" w:rsidR="007009EF" w:rsidRPr="00AD763B" w:rsidRDefault="00BD3B0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T</w:t>
      </w:r>
      <w:r w:rsidR="007009EF" w:rsidRPr="00AD763B">
        <w:rPr>
          <w:szCs w:val="22"/>
          <w:lang w:val="sr-Latn-ME"/>
        </w:rPr>
        <w:t>eška renalna insuficijencija (proc</w:t>
      </w:r>
      <w:r w:rsidR="0036288E" w:rsidRPr="00AD763B">
        <w:rPr>
          <w:szCs w:val="22"/>
          <w:lang w:val="sr-Latn-ME"/>
        </w:rPr>
        <w:t>ij</w:t>
      </w:r>
      <w:r w:rsidR="007009EF" w:rsidRPr="00AD763B">
        <w:rPr>
          <w:szCs w:val="22"/>
          <w:lang w:val="sr-Latn-ME"/>
        </w:rPr>
        <w:t xml:space="preserve">enjena brzina glomerularne filtracije &lt; 30 </w:t>
      </w:r>
      <w:r w:rsidR="000910A6" w:rsidRPr="00AD763B">
        <w:rPr>
          <w:szCs w:val="22"/>
          <w:lang w:val="sr-Latn-ME"/>
        </w:rPr>
        <w:t>ml</w:t>
      </w:r>
      <w:r w:rsidR="007009EF" w:rsidRPr="00AD763B">
        <w:rPr>
          <w:szCs w:val="22"/>
          <w:lang w:val="sr-Latn-ME"/>
        </w:rPr>
        <w:t>/min/1,73 m</w:t>
      </w:r>
      <w:r w:rsidR="007009EF" w:rsidRPr="00AD763B">
        <w:rPr>
          <w:szCs w:val="22"/>
          <w:vertAlign w:val="superscript"/>
          <w:lang w:val="sr-Latn-ME"/>
        </w:rPr>
        <w:t>2</w:t>
      </w:r>
      <w:r w:rsidR="007009EF" w:rsidRPr="00AD763B">
        <w:rPr>
          <w:szCs w:val="22"/>
          <w:lang w:val="sr-Latn-ME"/>
        </w:rPr>
        <w:t>)</w:t>
      </w:r>
    </w:p>
    <w:p w14:paraId="55ED334F" w14:textId="320CB4E5" w:rsidR="007009EF" w:rsidRPr="00AD763B" w:rsidRDefault="00BD3B0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H</w:t>
      </w:r>
      <w:r w:rsidR="007009EF" w:rsidRPr="00AD763B">
        <w:rPr>
          <w:szCs w:val="22"/>
          <w:lang w:val="sr-Latn-ME"/>
        </w:rPr>
        <w:t>ronični ili akutni pankreatitis sa izuzetkom akutnog pankreatitisa uzrokovanog teškom hipertrigliceridemijom</w:t>
      </w:r>
    </w:p>
    <w:p w14:paraId="07D63452" w14:textId="2C847389" w:rsidR="007009EF" w:rsidRPr="00AD763B" w:rsidRDefault="00BD3B0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D763B">
        <w:rPr>
          <w:szCs w:val="22"/>
          <w:lang w:val="sr-Latn-ME"/>
        </w:rPr>
        <w:t>P</w:t>
      </w:r>
      <w:r w:rsidR="007009EF" w:rsidRPr="00AD763B">
        <w:rPr>
          <w:szCs w:val="22"/>
          <w:lang w:val="sr-Latn-ME"/>
        </w:rPr>
        <w:t>oznata fotoalergija ili fototoksična reakcija tokom terapije sa fibratima ili ketoprofenom</w:t>
      </w:r>
    </w:p>
    <w:p w14:paraId="3FA1E05E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402940ED" w14:textId="63A900E4" w:rsidR="007009EF" w:rsidRPr="00AD763B" w:rsidRDefault="004E7FE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Lijek </w:t>
      </w:r>
      <w:r w:rsidR="007009EF" w:rsidRPr="00AD763B">
        <w:rPr>
          <w:sz w:val="22"/>
          <w:szCs w:val="22"/>
          <w:lang w:val="sr-Latn-ME"/>
        </w:rPr>
        <w:t xml:space="preserve">Lipanthyl </w:t>
      </w:r>
      <w:r w:rsidR="001D6226" w:rsidRPr="00AD763B">
        <w:rPr>
          <w:sz w:val="22"/>
          <w:szCs w:val="22"/>
          <w:lang w:val="sr-Latn-ME"/>
        </w:rPr>
        <w:t>160</w:t>
      </w:r>
      <w:r w:rsidR="007009EF" w:rsidRPr="00AD763B">
        <w:rPr>
          <w:sz w:val="22"/>
          <w:szCs w:val="22"/>
          <w:lang w:val="sr-Latn-ME"/>
        </w:rPr>
        <w:t xml:space="preserve"> mg ne treba da uzimaju pacijenti preos</w:t>
      </w:r>
      <w:r w:rsidR="0032632C" w:rsidRPr="00AD763B">
        <w:rPr>
          <w:sz w:val="22"/>
          <w:szCs w:val="22"/>
          <w:lang w:val="sr-Latn-ME"/>
        </w:rPr>
        <w:t>j</w:t>
      </w:r>
      <w:r w:rsidR="007009EF" w:rsidRPr="00AD763B">
        <w:rPr>
          <w:sz w:val="22"/>
          <w:szCs w:val="22"/>
          <w:lang w:val="sr-Latn-ME"/>
        </w:rPr>
        <w:t xml:space="preserve">etljivi (alergični) na kikiriki, ulje kikirikija, lecitin iz soje ili slične proizvode, zbog rizika od pojave reakcija </w:t>
      </w:r>
      <w:r w:rsidRPr="00AD763B">
        <w:rPr>
          <w:sz w:val="22"/>
          <w:szCs w:val="22"/>
          <w:lang w:val="sr-Latn-ME"/>
        </w:rPr>
        <w:t>preosjetljivost</w:t>
      </w:r>
      <w:r w:rsidR="007009EF" w:rsidRPr="00AD763B">
        <w:rPr>
          <w:sz w:val="22"/>
          <w:szCs w:val="22"/>
          <w:lang w:val="sr-Latn-ME"/>
        </w:rPr>
        <w:t>i.</w:t>
      </w:r>
    </w:p>
    <w:p w14:paraId="677E6F92" w14:textId="77777777" w:rsidR="007009EF" w:rsidRPr="00AD763B" w:rsidRDefault="007009EF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D4612F" w14:textId="77777777" w:rsidR="00411B4B" w:rsidRPr="00AD763B" w:rsidRDefault="00411B4B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4.4.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BA1364A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236FA2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Sekundarni uzroci hiperlipidemije:</w:t>
      </w:r>
    </w:p>
    <w:p w14:paraId="727E69F2" w14:textId="6F87F44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Sekundarni uzroci hiperholesterolemije, kao što su nekontrolisani dijabetes melitus tip</w:t>
      </w:r>
      <w:r w:rsidR="00BD3B05" w:rsidRPr="00AD763B">
        <w:rPr>
          <w:sz w:val="22"/>
          <w:szCs w:val="22"/>
          <w:lang w:val="sr-Latn-ME"/>
        </w:rPr>
        <w:t>a</w:t>
      </w:r>
      <w:r w:rsidRPr="00AD763B">
        <w:rPr>
          <w:sz w:val="22"/>
          <w:szCs w:val="22"/>
          <w:lang w:val="sr-Latn-ME"/>
        </w:rPr>
        <w:t xml:space="preserve"> 2, hipotir</w:t>
      </w:r>
      <w:r w:rsidR="00FB4AA3" w:rsidRPr="00AD763B">
        <w:rPr>
          <w:sz w:val="22"/>
          <w:szCs w:val="22"/>
          <w:lang w:val="sr-Latn-ME"/>
        </w:rPr>
        <w:t>e</w:t>
      </w:r>
      <w:r w:rsidRPr="00AD763B">
        <w:rPr>
          <w:sz w:val="22"/>
          <w:szCs w:val="22"/>
          <w:lang w:val="sr-Latn-ME"/>
        </w:rPr>
        <w:t xml:space="preserve">oidizam, nefrotski sindrom, disproteinemija, opstruktivne bolesti jetre ili alkoholizam, treba da budu adekvatno </w:t>
      </w:r>
      <w:r w:rsidR="0032632C" w:rsidRPr="00AD763B">
        <w:rPr>
          <w:sz w:val="22"/>
          <w:szCs w:val="22"/>
          <w:lang w:val="sr-Latn-ME"/>
        </w:rPr>
        <w:t>liječeni</w:t>
      </w:r>
      <w:r w:rsidR="001808E7" w:rsidRPr="00AD763B">
        <w:rPr>
          <w:sz w:val="22"/>
          <w:szCs w:val="22"/>
          <w:lang w:val="sr-Latn-ME"/>
        </w:rPr>
        <w:t xml:space="preserve"> prije </w:t>
      </w:r>
      <w:r w:rsidRPr="00AD763B">
        <w:rPr>
          <w:sz w:val="22"/>
          <w:szCs w:val="22"/>
          <w:lang w:val="sr-Latn-ME"/>
        </w:rPr>
        <w:t xml:space="preserve">početka terapije fenofibratom. Sekundarno uzrokovana hiperholesterolemija dovedena u vezu sa farmakološkim </w:t>
      </w:r>
      <w:r w:rsidR="0032632C" w:rsidRPr="00AD763B">
        <w:rPr>
          <w:sz w:val="22"/>
          <w:szCs w:val="22"/>
          <w:lang w:val="sr-Latn-ME"/>
        </w:rPr>
        <w:t>liječenje</w:t>
      </w:r>
      <w:r w:rsidRPr="00AD763B">
        <w:rPr>
          <w:sz w:val="22"/>
          <w:szCs w:val="22"/>
          <w:lang w:val="sr-Latn-ME"/>
        </w:rPr>
        <w:t>m može se pojaviti tokom terapije diureticima, beta-blokatorima, estrogenima, progestagenima, kombinovanim oralnim kontraceptivima, imunosupresivima i inhibitorima proteaze. U ovim slučajevima trebalo bi utvrditi da li je hiperlipidemija primarne ili sekundarne prirode (mogu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lipida izazvanih ovim terapijskim agensima). </w:t>
      </w:r>
    </w:p>
    <w:p w14:paraId="76B36FC8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5CD44A0F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 xml:space="preserve">Funkcija jetre: </w:t>
      </w:r>
    </w:p>
    <w:p w14:paraId="572A0BC5" w14:textId="3E840866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Kao i kod drugih agenasa za smanjenje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lipida, kod nekih pacijenata su opisane povišene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 transaminaza. U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ini slučajeva povišene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transaminaza su prolazne, male i asimptomatske. Preporučuje se da se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transaminaza prate svaka 3 </w:t>
      </w:r>
      <w:r w:rsidR="001808E7" w:rsidRPr="00AD763B">
        <w:rPr>
          <w:sz w:val="22"/>
          <w:szCs w:val="22"/>
          <w:lang w:val="sr-Latn-ME"/>
        </w:rPr>
        <w:t>mjesec</w:t>
      </w:r>
      <w:r w:rsidRPr="00AD763B">
        <w:rPr>
          <w:sz w:val="22"/>
          <w:szCs w:val="22"/>
          <w:lang w:val="sr-Latn-ME"/>
        </w:rPr>
        <w:t xml:space="preserve">a tokom prvih 12 </w:t>
      </w:r>
      <w:r w:rsidR="001808E7" w:rsidRPr="00AD763B">
        <w:rPr>
          <w:sz w:val="22"/>
          <w:szCs w:val="22"/>
          <w:lang w:val="sr-Latn-ME"/>
        </w:rPr>
        <w:t>mjesec</w:t>
      </w:r>
      <w:r w:rsidRPr="00AD763B">
        <w:rPr>
          <w:sz w:val="22"/>
          <w:szCs w:val="22"/>
          <w:lang w:val="sr-Latn-ME"/>
        </w:rPr>
        <w:t xml:space="preserve">i od početka </w:t>
      </w:r>
      <w:r w:rsidR="0032632C" w:rsidRPr="00AD763B">
        <w:rPr>
          <w:sz w:val="22"/>
          <w:szCs w:val="22"/>
          <w:lang w:val="sr-Latn-ME"/>
        </w:rPr>
        <w:t>liječenja</w:t>
      </w:r>
      <w:r w:rsidRPr="00AD763B">
        <w:rPr>
          <w:sz w:val="22"/>
          <w:szCs w:val="22"/>
          <w:lang w:val="sr-Latn-ME"/>
        </w:rPr>
        <w:t>, i nakon toga povremeno. Potreban je oprez kod pacijenata kod kojih dolazi do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anja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 transaminaza i terapiju treba prekinuti  ako se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 aspartat aminotransferaze (AST tj. SGOT) i alanin aminotransferaze (ALT tj. SGPT)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avaju više od 3 puta od gornje granice normalnih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i. Ako se pojave simptomi koji ukazuju na hepatitis (npr. žutica, pruritus) treba uraditi laboratorijske testove i ako se simptomi potvrde, terapiju fenofibratom treba obustaviti.</w:t>
      </w:r>
    </w:p>
    <w:p w14:paraId="03127B1B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77097BEB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lastRenderedPageBreak/>
        <w:t>Pankreas:</w:t>
      </w:r>
    </w:p>
    <w:p w14:paraId="41E3E0A8" w14:textId="39BED84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Pankreatitis je opisan kod pacijenata koji su uzimali frenofibrat (</w:t>
      </w:r>
      <w:r w:rsidR="001808E7" w:rsidRPr="00AD763B">
        <w:rPr>
          <w:sz w:val="22"/>
          <w:szCs w:val="22"/>
          <w:lang w:val="sr-Latn-ME"/>
        </w:rPr>
        <w:t>vidjeti</w:t>
      </w:r>
      <w:r w:rsidRPr="00AD763B">
        <w:rPr>
          <w:sz w:val="22"/>
          <w:szCs w:val="22"/>
          <w:lang w:val="sr-Latn-ME"/>
        </w:rPr>
        <w:t xml:space="preserve"> </w:t>
      </w:r>
      <w:r w:rsidR="0032632C" w:rsidRPr="00AD763B">
        <w:rPr>
          <w:sz w:val="22"/>
          <w:szCs w:val="22"/>
          <w:lang w:val="sr-Latn-ME"/>
        </w:rPr>
        <w:t>odjeljke</w:t>
      </w:r>
      <w:r w:rsidRPr="00AD763B">
        <w:rPr>
          <w:sz w:val="22"/>
          <w:szCs w:val="22"/>
          <w:lang w:val="sr-Latn-ME"/>
        </w:rPr>
        <w:t xml:space="preserve"> 4.3 i 4.8). Ova pojava može predstavljati nedostatak efikasnosti kod pacijenata sa teškom hipertrigliceridemijom, ili direktan efekat</w:t>
      </w:r>
      <w:r w:rsidR="004E7FEE" w:rsidRPr="00AD763B">
        <w:rPr>
          <w:sz w:val="22"/>
          <w:szCs w:val="22"/>
          <w:lang w:val="sr-Latn-ME"/>
        </w:rPr>
        <w:t xml:space="preserve"> lijeka </w:t>
      </w:r>
      <w:r w:rsidRPr="00AD763B">
        <w:rPr>
          <w:sz w:val="22"/>
          <w:szCs w:val="22"/>
          <w:lang w:val="sr-Latn-ME"/>
        </w:rPr>
        <w:t>ili sekundarni fenomen koji je rezultat kamena ili p</w:t>
      </w:r>
      <w:r w:rsidR="0032632C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 xml:space="preserve">eska u bilijarnom traktu, sa opstrukcijom zajedničkog žučnog kanala.  </w:t>
      </w:r>
    </w:p>
    <w:p w14:paraId="5E2E685E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3566C819" w14:textId="6A4311C9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Miši</w:t>
      </w:r>
      <w:r w:rsidR="000910A6" w:rsidRPr="00AD763B">
        <w:rPr>
          <w:sz w:val="22"/>
          <w:szCs w:val="22"/>
          <w:u w:val="single"/>
          <w:lang w:val="sr-Latn-ME"/>
        </w:rPr>
        <w:t>ć</w:t>
      </w:r>
      <w:r w:rsidRPr="00AD763B">
        <w:rPr>
          <w:sz w:val="22"/>
          <w:szCs w:val="22"/>
          <w:u w:val="single"/>
          <w:lang w:val="sr-Latn-ME"/>
        </w:rPr>
        <w:t>i:</w:t>
      </w:r>
    </w:p>
    <w:p w14:paraId="43173AC7" w14:textId="56E61E54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Pri upotrebi fibrata i drugih hipolipemika opisana je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na toksičnost, uključuju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 r</w:t>
      </w:r>
      <w:r w:rsidR="0032632C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etke slučajeve rabdomiolize, sa ili bez bubrežne insuficijencije. Incidenca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ne toksičnosti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ava se kod pacijenata sa hipoalbuminemijom i prethodnom renalnom insuficijencijom. Pacijenti sa predisponiraju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im faktorima za miopatiju i/ili rabdomiolizu, uključuju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 osobe starije od 70 godina, osobe sa ličnom ili porodičnom anamnezom nasl</w:t>
      </w:r>
      <w:r w:rsidR="0032632C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ednih poreme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aja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a, ošte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enjem funkcije bubrega, hipotireoidizmom ili visokim unosom alkohola, mogu imati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ani rizik od razvoja rabdomiolize. Za ove pacijente, korist i rizik terapije fenofibratom treba pažljivo razmotriti. </w:t>
      </w:r>
    </w:p>
    <w:p w14:paraId="6D36BA02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678AD722" w14:textId="6788C4FB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nu toksičnost treba očekivati kod pacijenata sa difuznom mijalgijom, miozitisom, grčevima u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ima i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nom slaboš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u i/ili znatnim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anjem kreatin fosfokinaze CPK (preko 5 puta iznad gornje granice normalnih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i). U navedenim slučajevima terapiju fenofibratom treba prekinuti.</w:t>
      </w:r>
    </w:p>
    <w:p w14:paraId="546C2FA8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556D26FB" w14:textId="0FF33C70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Rizik od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ne toksičnosti može se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ati ako se </w:t>
      </w:r>
      <w:r w:rsidR="0032632C" w:rsidRPr="00AD763B">
        <w:rPr>
          <w:sz w:val="22"/>
          <w:szCs w:val="22"/>
          <w:lang w:val="sr-Latn-ME"/>
        </w:rPr>
        <w:t>l</w:t>
      </w:r>
      <w:r w:rsidR="004E7FEE" w:rsidRPr="00AD763B">
        <w:rPr>
          <w:sz w:val="22"/>
          <w:szCs w:val="22"/>
          <w:lang w:val="sr-Latn-ME"/>
        </w:rPr>
        <w:t xml:space="preserve">ijek </w:t>
      </w:r>
      <w:r w:rsidRPr="00AD763B">
        <w:rPr>
          <w:sz w:val="22"/>
          <w:szCs w:val="22"/>
          <w:lang w:val="sr-Latn-ME"/>
        </w:rPr>
        <w:t>istovremeno prim</w:t>
      </w:r>
      <w:r w:rsidR="0032632C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enjuje sa drugim fibratom ili inhibitorom HMG-CoA reduktaze, posebno kod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 postoje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ne slabosti. Zbog toga je istovremena </w:t>
      </w:r>
      <w:r w:rsidR="004E7FEE" w:rsidRPr="00AD763B">
        <w:rPr>
          <w:sz w:val="22"/>
          <w:szCs w:val="22"/>
          <w:lang w:val="sr-Latn-ME"/>
        </w:rPr>
        <w:t>primjena</w:t>
      </w:r>
      <w:r w:rsidRPr="00AD763B">
        <w:rPr>
          <w:sz w:val="22"/>
          <w:szCs w:val="22"/>
          <w:lang w:val="sr-Latn-ME"/>
        </w:rPr>
        <w:t xml:space="preserve"> fenofibrata i inhibitora HMG-CoA reduktaze ili drugog fibrata </w:t>
      </w:r>
      <w:r w:rsidR="0032632C" w:rsidRPr="00AD763B">
        <w:rPr>
          <w:sz w:val="22"/>
          <w:szCs w:val="22"/>
          <w:lang w:val="sr-Latn-ME"/>
        </w:rPr>
        <w:t>namijenjen</w:t>
      </w:r>
      <w:r w:rsidRPr="00AD763B">
        <w:rPr>
          <w:sz w:val="22"/>
          <w:szCs w:val="22"/>
          <w:lang w:val="sr-Latn-ME"/>
        </w:rPr>
        <w:t>a pacijentima sa teškom kombinovanom dislipidemijom i visokim kardiovaskularnim rizikom, a kod kojih u anamnezi nema poreme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aja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a. Kod ovih pacijenata neophodno je pažljivo pratiti potencijalne znake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ne toksičnosti.</w:t>
      </w:r>
    </w:p>
    <w:p w14:paraId="577D5B0D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7F1AE2D4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Renalna funkcija:</w:t>
      </w:r>
    </w:p>
    <w:p w14:paraId="457CC871" w14:textId="32D620AA" w:rsidR="007009EF" w:rsidRPr="00AD763B" w:rsidRDefault="004E7FE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Lijek </w:t>
      </w:r>
      <w:r w:rsidR="007009EF" w:rsidRPr="00AD763B">
        <w:rPr>
          <w:sz w:val="22"/>
          <w:szCs w:val="22"/>
          <w:lang w:val="sr-Latn-ME"/>
        </w:rPr>
        <w:t xml:space="preserve">Lipanthyl </w:t>
      </w:r>
      <w:r w:rsidR="001D6226" w:rsidRPr="00AD763B">
        <w:rPr>
          <w:sz w:val="22"/>
          <w:szCs w:val="22"/>
          <w:lang w:val="sr-Latn-ME"/>
        </w:rPr>
        <w:t>160</w:t>
      </w:r>
      <w:r w:rsidR="007009EF" w:rsidRPr="00AD763B">
        <w:rPr>
          <w:sz w:val="22"/>
          <w:szCs w:val="22"/>
          <w:lang w:val="sr-Latn-ME"/>
        </w:rPr>
        <w:t xml:space="preserve"> mg je kontraindikovan kod teškog ošte</w:t>
      </w:r>
      <w:r w:rsidR="000910A6" w:rsidRPr="00AD763B">
        <w:rPr>
          <w:sz w:val="22"/>
          <w:szCs w:val="22"/>
          <w:lang w:val="sr-Latn-ME"/>
        </w:rPr>
        <w:t>ć</w:t>
      </w:r>
      <w:r w:rsidR="007009EF" w:rsidRPr="00AD763B">
        <w:rPr>
          <w:sz w:val="22"/>
          <w:szCs w:val="22"/>
          <w:lang w:val="sr-Latn-ME"/>
        </w:rPr>
        <w:t>enja funkcije bubrega (</w:t>
      </w:r>
      <w:r w:rsidR="001808E7" w:rsidRPr="00AD763B">
        <w:rPr>
          <w:sz w:val="22"/>
          <w:szCs w:val="22"/>
          <w:lang w:val="sr-Latn-ME"/>
        </w:rPr>
        <w:t>vidjeti</w:t>
      </w:r>
      <w:r w:rsidR="007009EF" w:rsidRPr="00AD763B">
        <w:rPr>
          <w:sz w:val="22"/>
          <w:szCs w:val="22"/>
          <w:lang w:val="sr-Latn-ME"/>
        </w:rPr>
        <w:t xml:space="preserve"> </w:t>
      </w:r>
      <w:r w:rsidR="000910A6" w:rsidRPr="00AD763B">
        <w:rPr>
          <w:sz w:val="22"/>
          <w:szCs w:val="22"/>
          <w:lang w:val="sr-Latn-ME"/>
        </w:rPr>
        <w:t>dio</w:t>
      </w:r>
      <w:r w:rsidR="007009EF" w:rsidRPr="00AD763B">
        <w:rPr>
          <w:sz w:val="22"/>
          <w:szCs w:val="22"/>
          <w:lang w:val="sr-Latn-ME"/>
        </w:rPr>
        <w:t xml:space="preserve"> 4.3).</w:t>
      </w:r>
    </w:p>
    <w:p w14:paraId="5F226067" w14:textId="04EDD69E" w:rsidR="007009EF" w:rsidRPr="00AD763B" w:rsidRDefault="004E7FE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Lijek </w:t>
      </w:r>
      <w:r w:rsidR="007009EF" w:rsidRPr="00AD763B">
        <w:rPr>
          <w:sz w:val="22"/>
          <w:szCs w:val="22"/>
          <w:lang w:val="sr-Latn-ME"/>
        </w:rPr>
        <w:t xml:space="preserve">Lipanthyl </w:t>
      </w:r>
      <w:r w:rsidR="001D6226" w:rsidRPr="00AD763B">
        <w:rPr>
          <w:sz w:val="22"/>
          <w:szCs w:val="22"/>
          <w:lang w:val="sr-Latn-ME"/>
        </w:rPr>
        <w:t>160</w:t>
      </w:r>
      <w:r w:rsidR="007009EF" w:rsidRPr="00AD763B">
        <w:rPr>
          <w:sz w:val="22"/>
          <w:szCs w:val="22"/>
          <w:lang w:val="sr-Latn-ME"/>
        </w:rPr>
        <w:t xml:space="preserve"> mg treba pažljivo </w:t>
      </w:r>
      <w:r w:rsidR="00132B77" w:rsidRPr="00AD763B">
        <w:rPr>
          <w:sz w:val="22"/>
          <w:szCs w:val="22"/>
          <w:lang w:val="sr-Latn-ME"/>
        </w:rPr>
        <w:t>primjenjivati</w:t>
      </w:r>
      <w:r w:rsidR="007009EF" w:rsidRPr="00AD763B">
        <w:rPr>
          <w:sz w:val="22"/>
          <w:szCs w:val="22"/>
          <w:lang w:val="sr-Latn-ME"/>
        </w:rPr>
        <w:t xml:space="preserve"> kod pacijenata sa blagom do </w:t>
      </w:r>
      <w:r w:rsidR="00132B77" w:rsidRPr="00AD763B">
        <w:rPr>
          <w:sz w:val="22"/>
          <w:szCs w:val="22"/>
          <w:lang w:val="sr-Latn-ME"/>
        </w:rPr>
        <w:t>umjeren</w:t>
      </w:r>
      <w:r w:rsidR="007009EF" w:rsidRPr="00AD763B">
        <w:rPr>
          <w:sz w:val="22"/>
          <w:szCs w:val="22"/>
          <w:lang w:val="sr-Latn-ME"/>
        </w:rPr>
        <w:t xml:space="preserve">om renalnom insuficijencijom. Kod pacijenata kod kojih </w:t>
      </w:r>
      <w:r w:rsidR="00132B77" w:rsidRPr="00AD763B">
        <w:rPr>
          <w:sz w:val="22"/>
          <w:szCs w:val="22"/>
          <w:lang w:val="sr-Latn-ME"/>
        </w:rPr>
        <w:t>procijenjen</w:t>
      </w:r>
      <w:r w:rsidR="007009EF" w:rsidRPr="00AD763B">
        <w:rPr>
          <w:sz w:val="22"/>
          <w:szCs w:val="22"/>
          <w:lang w:val="sr-Latn-ME"/>
        </w:rPr>
        <w:t xml:space="preserve">a brzina glomerularne filtracije iznosi 30 do 59 </w:t>
      </w:r>
      <w:r w:rsidR="000910A6" w:rsidRPr="00AD763B">
        <w:rPr>
          <w:sz w:val="22"/>
          <w:szCs w:val="22"/>
          <w:lang w:val="sr-Latn-ME"/>
        </w:rPr>
        <w:t>ml</w:t>
      </w:r>
      <w:r w:rsidR="007009EF" w:rsidRPr="00AD763B">
        <w:rPr>
          <w:sz w:val="22"/>
          <w:szCs w:val="22"/>
          <w:lang w:val="sr-Latn-ME"/>
        </w:rPr>
        <w:t>/min/1,73 m</w:t>
      </w:r>
      <w:r w:rsidR="007009EF" w:rsidRPr="00AD763B">
        <w:rPr>
          <w:sz w:val="22"/>
          <w:szCs w:val="22"/>
          <w:vertAlign w:val="superscript"/>
          <w:lang w:val="sr-Latn-ME"/>
        </w:rPr>
        <w:t>2</w:t>
      </w:r>
      <w:r w:rsidR="007009EF" w:rsidRPr="00AD763B">
        <w:rPr>
          <w:sz w:val="22"/>
          <w:szCs w:val="22"/>
          <w:lang w:val="sr-Latn-ME"/>
        </w:rPr>
        <w:t xml:space="preserve"> dozu treba individualno prilagoditi (</w:t>
      </w:r>
      <w:r w:rsidR="001808E7" w:rsidRPr="00AD763B">
        <w:rPr>
          <w:sz w:val="22"/>
          <w:szCs w:val="22"/>
          <w:lang w:val="sr-Latn-ME"/>
        </w:rPr>
        <w:t>vidjeti</w:t>
      </w:r>
      <w:r w:rsidR="007009EF" w:rsidRPr="00AD763B">
        <w:rPr>
          <w:sz w:val="22"/>
          <w:szCs w:val="22"/>
          <w:lang w:val="sr-Latn-ME"/>
        </w:rPr>
        <w:t xml:space="preserve"> </w:t>
      </w:r>
      <w:r w:rsidR="000910A6" w:rsidRPr="00AD763B">
        <w:rPr>
          <w:sz w:val="22"/>
          <w:szCs w:val="22"/>
          <w:lang w:val="sr-Latn-ME"/>
        </w:rPr>
        <w:t>dio</w:t>
      </w:r>
      <w:r w:rsidR="007009EF" w:rsidRPr="00AD763B">
        <w:rPr>
          <w:sz w:val="22"/>
          <w:szCs w:val="22"/>
          <w:lang w:val="sr-Latn-ME"/>
        </w:rPr>
        <w:t xml:space="preserve"> 4.2).</w:t>
      </w:r>
    </w:p>
    <w:p w14:paraId="44D948F4" w14:textId="0261A4B6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Reverzibilna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anja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kreatinina u serumu </w:t>
      </w:r>
      <w:r w:rsidR="00132B77" w:rsidRPr="00AD763B">
        <w:rPr>
          <w:sz w:val="22"/>
          <w:szCs w:val="22"/>
          <w:lang w:val="sr-Latn-ME"/>
        </w:rPr>
        <w:t>zabilježen</w:t>
      </w:r>
      <w:r w:rsidRPr="00AD763B">
        <w:rPr>
          <w:sz w:val="22"/>
          <w:szCs w:val="22"/>
          <w:lang w:val="sr-Latn-ME"/>
        </w:rPr>
        <w:t>a su kod pacijenata koji su bili na monoterapiji fenofibratom ili istovremeno sa statinima.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 kreatinina u serumu je generalno stabilno tokom vremena bez dokaza o kontinuiranom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anju kreatinina u serumu kod dugotrajne terapije i sa tendencijom vra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anja na osnovne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nakon prestanka </w:t>
      </w:r>
      <w:r w:rsidR="0032632C" w:rsidRPr="00AD763B">
        <w:rPr>
          <w:sz w:val="22"/>
          <w:szCs w:val="22"/>
          <w:lang w:val="sr-Latn-ME"/>
        </w:rPr>
        <w:t>liječenja</w:t>
      </w:r>
      <w:r w:rsidRPr="00AD763B">
        <w:rPr>
          <w:sz w:val="22"/>
          <w:szCs w:val="22"/>
          <w:lang w:val="sr-Latn-ME"/>
        </w:rPr>
        <w:t>.</w:t>
      </w:r>
    </w:p>
    <w:p w14:paraId="5ED083F1" w14:textId="6A54AA38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Tokom kliničkih ispitivanja, 10% pacijenata je imalo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anje kreatinina u odnosu na početnu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 od 30 mikromol/</w:t>
      </w:r>
      <w:r w:rsidR="000910A6" w:rsidRPr="00AD763B">
        <w:rPr>
          <w:sz w:val="22"/>
          <w:szCs w:val="22"/>
          <w:lang w:val="sr-Latn-ME"/>
        </w:rPr>
        <w:t>l</w:t>
      </w:r>
      <w:r w:rsidRPr="00AD763B">
        <w:rPr>
          <w:sz w:val="22"/>
          <w:szCs w:val="22"/>
          <w:lang w:val="sr-Latn-ME"/>
        </w:rPr>
        <w:t xml:space="preserve"> pri istovremenoj prim</w:t>
      </w:r>
      <w:r w:rsidR="00132B77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eni fenofibrata i simvastatina u odnosu na 4,4% pacijenata koji su bili na monoterapiji statinom. 0,3% pacijenata koji su bili na istovremenoj terapiji, imali su klinički značajno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 kreatinina do &gt; 200 mikromol/</w:t>
      </w:r>
      <w:r w:rsidR="000910A6" w:rsidRPr="00AD763B">
        <w:rPr>
          <w:sz w:val="22"/>
          <w:szCs w:val="22"/>
          <w:lang w:val="sr-Latn-ME"/>
        </w:rPr>
        <w:t>l</w:t>
      </w:r>
      <w:r w:rsidRPr="00AD763B">
        <w:rPr>
          <w:sz w:val="22"/>
          <w:szCs w:val="22"/>
          <w:lang w:val="sr-Latn-ME"/>
        </w:rPr>
        <w:t>.</w:t>
      </w:r>
    </w:p>
    <w:p w14:paraId="0062A373" w14:textId="4D131264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Terapiju fenofibratom treba prekinuti u slučaju kada 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 kreatinina 50% iznad gornje granice normalnih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i. Preporučuje se pra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enje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kreatinina tokom prva 3 </w:t>
      </w:r>
      <w:r w:rsidR="001808E7" w:rsidRPr="00AD763B">
        <w:rPr>
          <w:sz w:val="22"/>
          <w:szCs w:val="22"/>
          <w:lang w:val="sr-Latn-ME"/>
        </w:rPr>
        <w:t>mjesec</w:t>
      </w:r>
      <w:r w:rsidRPr="00AD763B">
        <w:rPr>
          <w:sz w:val="22"/>
          <w:szCs w:val="22"/>
          <w:lang w:val="sr-Latn-ME"/>
        </w:rPr>
        <w:t>a od uvođenja terapije, a zatim periodično.</w:t>
      </w:r>
    </w:p>
    <w:p w14:paraId="63251FA8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223C68AB" w14:textId="6FB55D51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Pomo</w:t>
      </w:r>
      <w:r w:rsidR="000910A6" w:rsidRPr="00AD763B">
        <w:rPr>
          <w:sz w:val="22"/>
          <w:szCs w:val="22"/>
          <w:u w:val="single"/>
          <w:lang w:val="sr-Latn-ME"/>
        </w:rPr>
        <w:t>ć</w:t>
      </w:r>
      <w:r w:rsidRPr="00AD763B">
        <w:rPr>
          <w:sz w:val="22"/>
          <w:szCs w:val="22"/>
          <w:u w:val="single"/>
          <w:lang w:val="sr-Latn-ME"/>
        </w:rPr>
        <w:t>ne supstance:</w:t>
      </w:r>
    </w:p>
    <w:p w14:paraId="02883AEC" w14:textId="1BC9E836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Ovaj </w:t>
      </w:r>
      <w:r w:rsidR="00132B77" w:rsidRPr="00AD763B">
        <w:rPr>
          <w:sz w:val="22"/>
          <w:szCs w:val="22"/>
          <w:lang w:val="sr-Latn-ME"/>
        </w:rPr>
        <w:t>l</w:t>
      </w:r>
      <w:r w:rsidR="004E7FEE" w:rsidRPr="00AD763B">
        <w:rPr>
          <w:sz w:val="22"/>
          <w:szCs w:val="22"/>
          <w:lang w:val="sr-Latn-ME"/>
        </w:rPr>
        <w:t xml:space="preserve">ijek </w:t>
      </w:r>
      <w:r w:rsidRPr="00AD763B">
        <w:rPr>
          <w:sz w:val="22"/>
          <w:szCs w:val="22"/>
          <w:lang w:val="sr-Latn-ME"/>
        </w:rPr>
        <w:t>sadrži laktozu monohidrat pa pacijenti sa r</w:t>
      </w:r>
      <w:r w:rsidR="00132B77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etkim nasl</w:t>
      </w:r>
      <w:r w:rsidR="00132B77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ednim oboljenjima intolerancije na galaktozu, potpunim nedostatkom laktaze ili glukozno-galaktoznom malapsorpcijom, ne sm</w:t>
      </w:r>
      <w:r w:rsidR="00132B77" w:rsidRPr="00AD763B">
        <w:rPr>
          <w:sz w:val="22"/>
          <w:szCs w:val="22"/>
          <w:lang w:val="sr-Latn-ME"/>
        </w:rPr>
        <w:t>i</w:t>
      </w:r>
      <w:r w:rsidRPr="00AD763B">
        <w:rPr>
          <w:sz w:val="22"/>
          <w:szCs w:val="22"/>
          <w:lang w:val="sr-Latn-ME"/>
        </w:rPr>
        <w:t xml:space="preserve">ju koristiti ovaj </w:t>
      </w:r>
      <w:r w:rsidR="00132B77" w:rsidRPr="00AD763B">
        <w:rPr>
          <w:sz w:val="22"/>
          <w:szCs w:val="22"/>
          <w:lang w:val="sr-Latn-ME"/>
        </w:rPr>
        <w:t>lijek</w:t>
      </w:r>
      <w:r w:rsidRPr="00AD763B">
        <w:rPr>
          <w:sz w:val="22"/>
          <w:szCs w:val="22"/>
          <w:lang w:val="sr-Latn-ME"/>
        </w:rPr>
        <w:t>.</w:t>
      </w:r>
    </w:p>
    <w:p w14:paraId="4EF25F9C" w14:textId="77777777" w:rsidR="000E3620" w:rsidRPr="00AD763B" w:rsidRDefault="000E3620" w:rsidP="00951A07">
      <w:pPr>
        <w:jc w:val="both"/>
        <w:rPr>
          <w:sz w:val="22"/>
          <w:szCs w:val="22"/>
          <w:lang w:val="sr-Latn-ME"/>
        </w:rPr>
      </w:pPr>
    </w:p>
    <w:p w14:paraId="623F8638" w14:textId="103FDEB6" w:rsidR="007009EF" w:rsidRPr="00AD763B" w:rsidRDefault="004E7FE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Lijek </w:t>
      </w:r>
      <w:r w:rsidR="007009EF" w:rsidRPr="00AD763B">
        <w:rPr>
          <w:sz w:val="22"/>
          <w:szCs w:val="22"/>
          <w:lang w:val="sr-Latn-ME"/>
        </w:rPr>
        <w:t>sadrži manje od 1 mmol natrijuma (23 mg) po tableti, tako da je suštinski „bez natrijuma“.</w:t>
      </w:r>
    </w:p>
    <w:p w14:paraId="67CB51CE" w14:textId="77777777" w:rsidR="00057E35" w:rsidRPr="00AD763B" w:rsidRDefault="00057E35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0E3628" w14:textId="77777777" w:rsidR="00411B4B" w:rsidRPr="00AD763B" w:rsidRDefault="00411B4B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>4.5.</w:t>
      </w:r>
      <w:r w:rsidR="000D60CC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7EB21B3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</w:p>
    <w:p w14:paraId="6A98F243" w14:textId="5021489A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Oralni antikoagulansi</w:t>
      </w:r>
    </w:p>
    <w:p w14:paraId="0892DD65" w14:textId="01F6CCBD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Fenofibrat pojačava efekat antikoagulanasa i može da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 rizik od krvarenja. Preporučuje se da se doze antikoagulanasa smanje za jednu tre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inu na početku </w:t>
      </w:r>
      <w:r w:rsidR="0032632C" w:rsidRPr="00AD763B">
        <w:rPr>
          <w:sz w:val="22"/>
          <w:szCs w:val="22"/>
          <w:lang w:val="sr-Latn-ME"/>
        </w:rPr>
        <w:t>liječenja</w:t>
      </w:r>
      <w:r w:rsidRPr="00AD763B">
        <w:rPr>
          <w:sz w:val="22"/>
          <w:szCs w:val="22"/>
          <w:lang w:val="sr-Latn-ME"/>
        </w:rPr>
        <w:t xml:space="preserve">, a potom ukoliko je potrebno da se postepeno uskladi prema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ima internacionalnog normalizovanog odnosa (engl. </w:t>
      </w:r>
      <w:r w:rsidRPr="00AD763B">
        <w:rPr>
          <w:i/>
          <w:sz w:val="22"/>
          <w:szCs w:val="22"/>
          <w:lang w:val="sr-Latn-ME"/>
        </w:rPr>
        <w:t>International Normalised Ratio</w:t>
      </w:r>
      <w:r w:rsidRPr="00AD763B">
        <w:rPr>
          <w:sz w:val="22"/>
          <w:szCs w:val="22"/>
          <w:lang w:val="sr-Latn-ME"/>
        </w:rPr>
        <w:t xml:space="preserve">, INR ).  </w:t>
      </w:r>
    </w:p>
    <w:p w14:paraId="05441222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1F785CCC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Ciklosporin</w:t>
      </w:r>
    </w:p>
    <w:p w14:paraId="678CCBA8" w14:textId="03F1A260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Nekoliko teških slučajeva reverzibilnog ošte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enja bubrežne funkcije je prijavljeno tokom istovreme</w:t>
      </w:r>
      <w:r w:rsidR="00132B77" w:rsidRPr="00AD763B">
        <w:rPr>
          <w:sz w:val="22"/>
          <w:szCs w:val="22"/>
          <w:lang w:val="sr-Latn-ME"/>
        </w:rPr>
        <w:t xml:space="preserve">ne </w:t>
      </w:r>
      <w:r w:rsidR="004E7FEE" w:rsidRPr="00AD763B">
        <w:rPr>
          <w:sz w:val="22"/>
          <w:szCs w:val="22"/>
          <w:lang w:val="sr-Latn-ME"/>
        </w:rPr>
        <w:t>primjene</w:t>
      </w:r>
      <w:r w:rsidRPr="00AD763B">
        <w:rPr>
          <w:sz w:val="22"/>
          <w:szCs w:val="22"/>
          <w:lang w:val="sr-Latn-ME"/>
        </w:rPr>
        <w:t xml:space="preserve"> fenofibrata i ciklosporina. Bubrežna funkcija ovih pacijenata mora pažljivo da se prati i terapiju fenofibratom treba prekinuti u slučaju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 prom</w:t>
      </w:r>
      <w:r w:rsidR="00132B77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 xml:space="preserve">ene laboratorijskih parametara.  </w:t>
      </w:r>
    </w:p>
    <w:p w14:paraId="1F6DEC29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5709AB99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Inhibitori HMG-CoA reduktaze i drugi fibrati</w:t>
      </w:r>
    </w:p>
    <w:p w14:paraId="2908EA18" w14:textId="6510F60E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Rizik od ozbiljne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ne toksičnosti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ava se ako se fibrati istovremeno koriste sa inhibitorima HMG-CoA reduktaze ili sa drugim fibratima. Ovu terapijsku kombinaciju treba koristiti sa oprezom i pacijenti se moraju pažljivo pratiti na pojavu znakova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ne toksičnosti (</w:t>
      </w:r>
      <w:r w:rsidR="001808E7" w:rsidRPr="00AD763B">
        <w:rPr>
          <w:sz w:val="22"/>
          <w:szCs w:val="22"/>
          <w:lang w:val="sr-Latn-ME"/>
        </w:rPr>
        <w:t>vidjeti</w:t>
      </w:r>
      <w:r w:rsidRPr="00AD763B">
        <w:rPr>
          <w:sz w:val="22"/>
          <w:szCs w:val="22"/>
          <w:lang w:val="sr-Latn-ME"/>
        </w:rPr>
        <w:t xml:space="preserve"> </w:t>
      </w:r>
      <w:r w:rsidR="000910A6" w:rsidRPr="00AD763B">
        <w:rPr>
          <w:sz w:val="22"/>
          <w:szCs w:val="22"/>
          <w:lang w:val="sr-Latn-ME"/>
        </w:rPr>
        <w:t>dio</w:t>
      </w:r>
      <w:r w:rsidRPr="00AD763B">
        <w:rPr>
          <w:sz w:val="22"/>
          <w:szCs w:val="22"/>
          <w:lang w:val="sr-Latn-ME"/>
        </w:rPr>
        <w:t xml:space="preserve"> 4.4).</w:t>
      </w:r>
    </w:p>
    <w:p w14:paraId="56096891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41FD7850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Glitazoni</w:t>
      </w:r>
    </w:p>
    <w:p w14:paraId="33FD75A5" w14:textId="56BC74E4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Nekoliko slučajeva reverzibilnog paradoksalnog smanjenja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HDL-holesterola opisano je prilikom istovremene </w:t>
      </w:r>
      <w:r w:rsidR="004E7FEE" w:rsidRPr="00AD763B">
        <w:rPr>
          <w:sz w:val="22"/>
          <w:szCs w:val="22"/>
          <w:lang w:val="sr-Latn-ME"/>
        </w:rPr>
        <w:t>primjene</w:t>
      </w:r>
      <w:r w:rsidRPr="00AD763B">
        <w:rPr>
          <w:sz w:val="22"/>
          <w:szCs w:val="22"/>
          <w:lang w:val="sr-Latn-ME"/>
        </w:rPr>
        <w:t xml:space="preserve"> fenofibrata i glitazona. Zbog toga se preporučuje pra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enje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i HDL-holesterola ukoliko se jedan od ovih </w:t>
      </w:r>
      <w:r w:rsidR="00132B77" w:rsidRPr="00AD763B">
        <w:rPr>
          <w:sz w:val="22"/>
          <w:szCs w:val="22"/>
          <w:lang w:val="sr-Latn-ME"/>
        </w:rPr>
        <w:t>ljekova</w:t>
      </w:r>
      <w:r w:rsidRPr="00AD763B">
        <w:rPr>
          <w:sz w:val="22"/>
          <w:szCs w:val="22"/>
          <w:lang w:val="sr-Latn-ME"/>
        </w:rPr>
        <w:t xml:space="preserve"> dodaje drugom, a ako je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 xml:space="preserve"> HDL-holesterola isuviše mala treba prekinuti terapiju jednim od ova dva </w:t>
      </w:r>
      <w:r w:rsidR="00132B77" w:rsidRPr="00AD763B">
        <w:rPr>
          <w:sz w:val="22"/>
          <w:szCs w:val="22"/>
          <w:lang w:val="sr-Latn-ME"/>
        </w:rPr>
        <w:t>lijeka</w:t>
      </w:r>
      <w:r w:rsidRPr="00AD763B">
        <w:rPr>
          <w:sz w:val="22"/>
          <w:szCs w:val="22"/>
          <w:lang w:val="sr-Latn-ME"/>
        </w:rPr>
        <w:t>.</w:t>
      </w:r>
    </w:p>
    <w:p w14:paraId="1D9719F4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48CB6568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Enzimi citohroma P450</w:t>
      </w:r>
    </w:p>
    <w:p w14:paraId="3DFE105C" w14:textId="3D489B7A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i/>
          <w:sz w:val="22"/>
          <w:szCs w:val="22"/>
          <w:lang w:val="sr-Latn-ME"/>
        </w:rPr>
        <w:t>In vitro</w:t>
      </w:r>
      <w:r w:rsidRPr="00AD763B">
        <w:rPr>
          <w:sz w:val="22"/>
          <w:szCs w:val="22"/>
          <w:lang w:val="sr-Latn-ME"/>
        </w:rPr>
        <w:t xml:space="preserve"> studije na mikrozomima ljudske jetre ukazuju da fenofibrat i fenofibrinska kiselina</w:t>
      </w:r>
      <w:r w:rsidR="001808E7" w:rsidRPr="00AD763B">
        <w:rPr>
          <w:sz w:val="22"/>
          <w:szCs w:val="22"/>
          <w:lang w:val="sr-Latn-ME"/>
        </w:rPr>
        <w:t xml:space="preserve"> nijesu </w:t>
      </w:r>
      <w:r w:rsidRPr="00AD763B">
        <w:rPr>
          <w:sz w:val="22"/>
          <w:szCs w:val="22"/>
          <w:lang w:val="sr-Latn-ME"/>
        </w:rPr>
        <w:t>inhibitori</w:t>
      </w:r>
      <w:r w:rsidR="00BD3B05" w:rsidRPr="00AD763B">
        <w:rPr>
          <w:sz w:val="22"/>
          <w:szCs w:val="22"/>
          <w:lang w:val="sr-Latn-ME"/>
        </w:rPr>
        <w:t xml:space="preserve"> </w:t>
      </w:r>
      <w:r w:rsidRPr="00AD763B">
        <w:rPr>
          <w:sz w:val="22"/>
          <w:szCs w:val="22"/>
          <w:lang w:val="sr-Latn-ME"/>
        </w:rPr>
        <w:t>citohroma (CYP) P450</w:t>
      </w:r>
      <w:r w:rsidR="00BD3B05" w:rsidRPr="00AD763B">
        <w:rPr>
          <w:sz w:val="22"/>
          <w:szCs w:val="22"/>
          <w:lang w:val="sr-Latn-ME"/>
        </w:rPr>
        <w:t xml:space="preserve"> izoformi</w:t>
      </w:r>
      <w:r w:rsidRPr="00AD763B">
        <w:rPr>
          <w:sz w:val="22"/>
          <w:szCs w:val="22"/>
          <w:lang w:val="sr-Latn-ME"/>
        </w:rPr>
        <w:t xml:space="preserve"> CYP3A4, CYP2D6, CYP2E1 ili CYP1A2. Pri terapijskim koncentracijama oni su slabi inhibitori CYP2C19 i CYP2A6 i blagi do </w:t>
      </w:r>
      <w:r w:rsidR="00132B77" w:rsidRPr="00AD763B">
        <w:rPr>
          <w:sz w:val="22"/>
          <w:szCs w:val="22"/>
          <w:lang w:val="sr-Latn-ME"/>
        </w:rPr>
        <w:t>umjeren</w:t>
      </w:r>
      <w:r w:rsidRPr="00AD763B">
        <w:rPr>
          <w:sz w:val="22"/>
          <w:szCs w:val="22"/>
          <w:lang w:val="sr-Latn-ME"/>
        </w:rPr>
        <w:t>i inhibitori CYP2C9.</w:t>
      </w:r>
    </w:p>
    <w:p w14:paraId="56C6817F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1862CA71" w14:textId="47D12E13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Pacijenti kod kojih se u </w:t>
      </w:r>
      <w:r w:rsidR="00132B77" w:rsidRPr="00AD763B">
        <w:rPr>
          <w:sz w:val="22"/>
          <w:szCs w:val="22"/>
          <w:lang w:val="sr-Latn-ME"/>
        </w:rPr>
        <w:t>liječenju</w:t>
      </w:r>
      <w:r w:rsidRPr="00AD763B">
        <w:rPr>
          <w:sz w:val="22"/>
          <w:szCs w:val="22"/>
          <w:lang w:val="sr-Latn-ME"/>
        </w:rPr>
        <w:t xml:space="preserve"> istovremeno koriste fenofibrati i </w:t>
      </w:r>
      <w:r w:rsidR="00132B77" w:rsidRPr="00AD763B">
        <w:rPr>
          <w:sz w:val="22"/>
          <w:szCs w:val="22"/>
          <w:lang w:val="sr-Latn-ME"/>
        </w:rPr>
        <w:t>ljekovi</w:t>
      </w:r>
      <w:r w:rsidRPr="00AD763B">
        <w:rPr>
          <w:sz w:val="22"/>
          <w:szCs w:val="22"/>
          <w:lang w:val="sr-Latn-ME"/>
        </w:rPr>
        <w:t xml:space="preserve"> sa uskim terapijskim indeksom, a koji se metabolišu putem CYP2C19, CYP2A6 i CYP2C9 enzima, treba pažljivo da se prate. Ako je potrebno, preporučuje se prilagođavanje doze ovih </w:t>
      </w:r>
      <w:r w:rsidR="00132B77" w:rsidRPr="00AD763B">
        <w:rPr>
          <w:sz w:val="22"/>
          <w:szCs w:val="22"/>
          <w:lang w:val="sr-Latn-ME"/>
        </w:rPr>
        <w:t>ljekova</w:t>
      </w:r>
      <w:r w:rsidRPr="00AD763B">
        <w:rPr>
          <w:sz w:val="22"/>
          <w:szCs w:val="22"/>
          <w:lang w:val="sr-Latn-ME"/>
        </w:rPr>
        <w:t>.</w:t>
      </w:r>
    </w:p>
    <w:p w14:paraId="02409312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56DACE" w14:textId="2581598F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4.6.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="006D20A5" w:rsidRPr="00AD763B">
        <w:rPr>
          <w:b/>
          <w:sz w:val="22"/>
          <w:szCs w:val="22"/>
          <w:lang w:val="sr-Latn-ME"/>
        </w:rPr>
        <w:t>Plodnost, trudno</w:t>
      </w:r>
      <w:r w:rsidR="000910A6" w:rsidRPr="00AD763B">
        <w:rPr>
          <w:b/>
          <w:sz w:val="22"/>
          <w:szCs w:val="22"/>
          <w:lang w:val="sr-Latn-ME"/>
        </w:rPr>
        <w:t>ć</w:t>
      </w:r>
      <w:r w:rsidR="006D20A5" w:rsidRPr="00AD763B">
        <w:rPr>
          <w:b/>
          <w:sz w:val="22"/>
          <w:szCs w:val="22"/>
          <w:lang w:val="sr-Latn-ME"/>
        </w:rPr>
        <w:t>a i dojenje</w:t>
      </w:r>
    </w:p>
    <w:p w14:paraId="5914CC55" w14:textId="77777777" w:rsidR="002031B3" w:rsidRPr="00AD763B" w:rsidRDefault="002031B3" w:rsidP="00951A0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5386602" w14:textId="77777777" w:rsidR="005D46CB" w:rsidRPr="00AD763B" w:rsidRDefault="005D46CB" w:rsidP="005D46CB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Plodnost</w:t>
      </w:r>
    </w:p>
    <w:p w14:paraId="1FAE2D4D" w14:textId="0BC59501" w:rsidR="005D46CB" w:rsidRPr="00AD763B" w:rsidRDefault="005D46CB" w:rsidP="005D46CB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Kod životinja su uočeni reverzibini efekti na plodnost (vidjeti </w:t>
      </w:r>
      <w:r w:rsidR="000910A6" w:rsidRPr="00AD763B">
        <w:rPr>
          <w:sz w:val="22"/>
          <w:szCs w:val="22"/>
          <w:lang w:val="sr-Latn-ME"/>
        </w:rPr>
        <w:t>dio</w:t>
      </w:r>
      <w:r w:rsidRPr="00AD763B">
        <w:rPr>
          <w:sz w:val="22"/>
          <w:szCs w:val="22"/>
          <w:lang w:val="sr-Latn-ME"/>
        </w:rPr>
        <w:t xml:space="preserve"> 5.3). Nema kliničkih podataka o uticaju na plodnost pri upotrebi lijeka Lipanthyl 160.  </w:t>
      </w:r>
    </w:p>
    <w:p w14:paraId="460F394D" w14:textId="77777777" w:rsidR="005D46CB" w:rsidRPr="00AD763B" w:rsidRDefault="005D46CB" w:rsidP="005D46CB">
      <w:pPr>
        <w:jc w:val="both"/>
        <w:rPr>
          <w:sz w:val="22"/>
          <w:szCs w:val="22"/>
          <w:lang w:val="sr-Latn-ME"/>
        </w:rPr>
      </w:pPr>
    </w:p>
    <w:p w14:paraId="60608BB0" w14:textId="35F204BB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Trudno</w:t>
      </w:r>
      <w:r w:rsidR="000910A6" w:rsidRPr="00AD763B">
        <w:rPr>
          <w:sz w:val="22"/>
          <w:szCs w:val="22"/>
          <w:u w:val="single"/>
          <w:lang w:val="sr-Latn-ME"/>
        </w:rPr>
        <w:t>ć</w:t>
      </w:r>
      <w:r w:rsidRPr="00AD763B">
        <w:rPr>
          <w:sz w:val="22"/>
          <w:szCs w:val="22"/>
          <w:u w:val="single"/>
          <w:lang w:val="sr-Latn-ME"/>
        </w:rPr>
        <w:t>a</w:t>
      </w:r>
    </w:p>
    <w:p w14:paraId="72DBBCAC" w14:textId="20AC4AB5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Nema adekvatnih kliničkih podataka o prim</w:t>
      </w:r>
      <w:r w:rsidR="00132B77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eni fenofibrata kod trudnica. Ispitivanja na životinjama ne ukazuju na teratogene efekte. Embriotoksičnost je prikazana pri dozama koje izazivaju toksičnost kod majke (</w:t>
      </w:r>
      <w:r w:rsidR="001808E7" w:rsidRPr="00AD763B">
        <w:rPr>
          <w:sz w:val="22"/>
          <w:szCs w:val="22"/>
          <w:lang w:val="sr-Latn-ME"/>
        </w:rPr>
        <w:t>vidjeti</w:t>
      </w:r>
      <w:r w:rsidRPr="00AD763B">
        <w:rPr>
          <w:sz w:val="22"/>
          <w:szCs w:val="22"/>
          <w:lang w:val="sr-Latn-ME"/>
        </w:rPr>
        <w:t xml:space="preserve"> </w:t>
      </w:r>
      <w:r w:rsidR="000910A6" w:rsidRPr="00AD763B">
        <w:rPr>
          <w:sz w:val="22"/>
          <w:szCs w:val="22"/>
          <w:lang w:val="sr-Latn-ME"/>
        </w:rPr>
        <w:t>dio</w:t>
      </w:r>
      <w:r w:rsidRPr="00AD763B">
        <w:rPr>
          <w:sz w:val="22"/>
          <w:szCs w:val="22"/>
          <w:lang w:val="sr-Latn-ME"/>
        </w:rPr>
        <w:t xml:space="preserve"> 5.3). Potencijalni rizik za ljude je nepoznat. Stoga, </w:t>
      </w:r>
      <w:r w:rsidR="00890A28" w:rsidRPr="00AD763B">
        <w:rPr>
          <w:sz w:val="22"/>
          <w:szCs w:val="22"/>
          <w:lang w:val="sr-Latn-ME"/>
        </w:rPr>
        <w:t>lijek Lipanthyl 160</w:t>
      </w:r>
      <w:r w:rsidRPr="00AD763B">
        <w:rPr>
          <w:sz w:val="22"/>
          <w:szCs w:val="22"/>
          <w:lang w:val="sr-Latn-ME"/>
        </w:rPr>
        <w:t xml:space="preserve">, treba propisivati trudnicama samo nakon pažljive </w:t>
      </w:r>
      <w:r w:rsidR="004145DB" w:rsidRPr="00AD763B">
        <w:rPr>
          <w:sz w:val="22"/>
          <w:szCs w:val="22"/>
          <w:lang w:val="sr-Latn-ME"/>
        </w:rPr>
        <w:t>procjene</w:t>
      </w:r>
      <w:r w:rsidRPr="00AD763B">
        <w:rPr>
          <w:sz w:val="22"/>
          <w:szCs w:val="22"/>
          <w:lang w:val="sr-Latn-ME"/>
        </w:rPr>
        <w:t xml:space="preserve"> odnosa koristi i rizika. </w:t>
      </w:r>
    </w:p>
    <w:p w14:paraId="72E1F53D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618A0E95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Dojenje</w:t>
      </w:r>
    </w:p>
    <w:p w14:paraId="26A9AD01" w14:textId="766D7490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Nije poznato da li se fenofibrat i/ili njegovi metaboliti izlučuju u majčino </w:t>
      </w:r>
      <w:r w:rsidR="000910A6" w:rsidRPr="00AD763B">
        <w:rPr>
          <w:sz w:val="22"/>
          <w:szCs w:val="22"/>
          <w:lang w:val="sr-Latn-ME"/>
        </w:rPr>
        <w:t>ml</w:t>
      </w:r>
      <w:r w:rsidR="004145DB" w:rsidRPr="00AD763B">
        <w:rPr>
          <w:sz w:val="22"/>
          <w:szCs w:val="22"/>
          <w:lang w:val="sr-Latn-ME"/>
        </w:rPr>
        <w:t>ijeko</w:t>
      </w:r>
      <w:r w:rsidRPr="00AD763B">
        <w:rPr>
          <w:sz w:val="22"/>
          <w:szCs w:val="22"/>
          <w:lang w:val="sr-Latn-ME"/>
        </w:rPr>
        <w:t>. Ne može se isključiti rizik po novorođenče/odojče. Stoga fenofibrat ne treba koristiti tokom dojenja.</w:t>
      </w:r>
    </w:p>
    <w:p w14:paraId="5A78142B" w14:textId="77777777" w:rsidR="00227BDB" w:rsidRPr="00AD763B" w:rsidRDefault="00227BDB" w:rsidP="00951A0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BAA9F7F" w14:textId="77777777" w:rsidR="0072020E" w:rsidRPr="00AD763B" w:rsidRDefault="0072020E" w:rsidP="00951A0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4.7.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 xml:space="preserve">Uticaj na </w:t>
      </w:r>
      <w:r w:rsidR="002031B3" w:rsidRPr="00AD763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D763B">
        <w:rPr>
          <w:b/>
          <w:bCs/>
          <w:sz w:val="22"/>
          <w:szCs w:val="22"/>
          <w:lang w:val="sr-Latn-ME"/>
        </w:rPr>
        <w:t>upravljanja vozili</w:t>
      </w:r>
      <w:r w:rsidRPr="00AD763B">
        <w:rPr>
          <w:b/>
          <w:bCs/>
          <w:sz w:val="22"/>
          <w:szCs w:val="22"/>
          <w:lang w:val="sr-Latn-ME"/>
        </w:rPr>
        <w:t>m</w:t>
      </w:r>
      <w:r w:rsidR="00F34554" w:rsidRPr="00AD763B">
        <w:rPr>
          <w:b/>
          <w:bCs/>
          <w:sz w:val="22"/>
          <w:szCs w:val="22"/>
          <w:lang w:val="sr-Latn-ME"/>
        </w:rPr>
        <w:t>a</w:t>
      </w:r>
      <w:r w:rsidRPr="00AD763B">
        <w:rPr>
          <w:b/>
          <w:bCs/>
          <w:sz w:val="22"/>
          <w:szCs w:val="22"/>
          <w:lang w:val="sr-Latn-ME"/>
        </w:rPr>
        <w:t xml:space="preserve"> i </w:t>
      </w:r>
      <w:r w:rsidR="000D3449" w:rsidRPr="00AD763B">
        <w:rPr>
          <w:b/>
          <w:bCs/>
          <w:sz w:val="22"/>
          <w:szCs w:val="22"/>
          <w:lang w:val="sr-Latn-ME"/>
        </w:rPr>
        <w:t xml:space="preserve">rukovanje </w:t>
      </w:r>
      <w:r w:rsidRPr="00AD763B">
        <w:rPr>
          <w:b/>
          <w:bCs/>
          <w:sz w:val="22"/>
          <w:szCs w:val="22"/>
          <w:lang w:val="sr-Latn-ME"/>
        </w:rPr>
        <w:t>mašinama</w:t>
      </w:r>
    </w:p>
    <w:p w14:paraId="6BB597DC" w14:textId="59145DF1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689DA2" w14:textId="2ED559EF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Lipanthyl </w:t>
      </w:r>
      <w:r w:rsidR="001D6226" w:rsidRPr="00AD763B">
        <w:rPr>
          <w:sz w:val="22"/>
          <w:szCs w:val="22"/>
          <w:lang w:val="sr-Latn-ME"/>
        </w:rPr>
        <w:t>160</w:t>
      </w:r>
      <w:r w:rsidRPr="00AD763B">
        <w:rPr>
          <w:sz w:val="22"/>
          <w:szCs w:val="22"/>
          <w:lang w:val="sr-Latn-ME"/>
        </w:rPr>
        <w:t xml:space="preserve"> mg nema ili ima zanemarljiv uticaj na sposobnost upravljanja vozilom ili rukovanja mašinama.</w:t>
      </w:r>
    </w:p>
    <w:p w14:paraId="7D64DC69" w14:textId="77777777" w:rsidR="007009EF" w:rsidRPr="00AD763B" w:rsidRDefault="007009EF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08FD320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4.8.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Neželjena dejstva</w:t>
      </w:r>
    </w:p>
    <w:p w14:paraId="18A34460" w14:textId="36273AE2" w:rsidR="004E70AD" w:rsidRPr="00AD763B" w:rsidRDefault="004E70AD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05E7CF" w14:textId="5A3591B6" w:rsidR="007009EF" w:rsidRPr="00AD763B" w:rsidRDefault="007009EF" w:rsidP="00951A07">
      <w:pPr>
        <w:jc w:val="both"/>
        <w:rPr>
          <w:noProof/>
          <w:sz w:val="22"/>
          <w:szCs w:val="22"/>
          <w:lang w:val="sr-Latn-ME"/>
        </w:rPr>
      </w:pPr>
      <w:r w:rsidRPr="00AD763B">
        <w:rPr>
          <w:noProof/>
          <w:sz w:val="22"/>
          <w:szCs w:val="22"/>
          <w:lang w:val="sr-Latn-ME"/>
        </w:rPr>
        <w:t>Najčeš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 xml:space="preserve">e opisane neželjene reakcije u toku </w:t>
      </w:r>
      <w:r w:rsidR="004E7FEE" w:rsidRPr="00AD763B">
        <w:rPr>
          <w:noProof/>
          <w:sz w:val="22"/>
          <w:szCs w:val="22"/>
          <w:lang w:val="sr-Latn-ME"/>
        </w:rPr>
        <w:t>primjene</w:t>
      </w:r>
      <w:r w:rsidRPr="00AD763B">
        <w:rPr>
          <w:noProof/>
          <w:sz w:val="22"/>
          <w:szCs w:val="22"/>
          <w:lang w:val="sr-Latn-ME"/>
        </w:rPr>
        <w:t xml:space="preserve"> fenofibrata su digestivni ili gastrointestinalni poreme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>aji.</w:t>
      </w:r>
    </w:p>
    <w:p w14:paraId="799ABD99" w14:textId="5EC564B8" w:rsidR="007009EF" w:rsidRPr="00AD763B" w:rsidRDefault="001808E7" w:rsidP="00951A07">
      <w:pPr>
        <w:jc w:val="both"/>
        <w:rPr>
          <w:noProof/>
          <w:sz w:val="22"/>
          <w:szCs w:val="22"/>
          <w:lang w:val="sr-Latn-ME"/>
        </w:rPr>
      </w:pPr>
      <w:r w:rsidRPr="00AD763B">
        <w:rPr>
          <w:noProof/>
          <w:sz w:val="22"/>
          <w:szCs w:val="22"/>
          <w:lang w:val="sr-Latn-ME"/>
        </w:rPr>
        <w:t>Sljede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>i</w:t>
      </w:r>
      <w:r w:rsidR="007009EF" w:rsidRPr="00AD763B">
        <w:rPr>
          <w:noProof/>
          <w:sz w:val="22"/>
          <w:szCs w:val="22"/>
          <w:lang w:val="sr-Latn-ME"/>
        </w:rPr>
        <w:t xml:space="preserve"> neželjeni efekti su prime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="007009EF" w:rsidRPr="00AD763B">
        <w:rPr>
          <w:noProof/>
          <w:sz w:val="22"/>
          <w:szCs w:val="22"/>
          <w:lang w:val="sr-Latn-ME"/>
        </w:rPr>
        <w:t>eni tokom placebo kontrolisanih kliničkih ispitivanja (n=2344) i postmarketinških ispitivanja sa</w:t>
      </w:r>
      <w:r w:rsidR="004145DB" w:rsidRPr="00AD763B">
        <w:rPr>
          <w:noProof/>
          <w:sz w:val="22"/>
          <w:szCs w:val="22"/>
          <w:lang w:val="sr-Latn-ME"/>
        </w:rPr>
        <w:t xml:space="preserve"> dolje </w:t>
      </w:r>
      <w:r w:rsidR="007009EF" w:rsidRPr="00AD763B">
        <w:rPr>
          <w:noProof/>
          <w:sz w:val="22"/>
          <w:szCs w:val="22"/>
          <w:lang w:val="sr-Latn-ME"/>
        </w:rPr>
        <w:t>navedenom učestaloš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="007009EF" w:rsidRPr="00AD763B">
        <w:rPr>
          <w:noProof/>
          <w:sz w:val="22"/>
          <w:szCs w:val="22"/>
          <w:lang w:val="sr-Latn-ME"/>
        </w:rPr>
        <w:t>u:</w:t>
      </w:r>
    </w:p>
    <w:p w14:paraId="406888C6" w14:textId="5C9FA1C5" w:rsidR="007009EF" w:rsidRDefault="007009EF" w:rsidP="007009EF">
      <w:pPr>
        <w:rPr>
          <w:noProof/>
          <w:sz w:val="22"/>
          <w:szCs w:val="22"/>
          <w:lang w:val="sr-Latn-ME"/>
        </w:rPr>
      </w:pPr>
    </w:p>
    <w:p w14:paraId="730DFB46" w14:textId="77777777" w:rsidR="00AD763B" w:rsidRPr="00AD763B" w:rsidRDefault="00AD763B" w:rsidP="007009EF">
      <w:pPr>
        <w:rPr>
          <w:noProof/>
          <w:sz w:val="22"/>
          <w:szCs w:val="22"/>
          <w:lang w:val="sr-Latn-M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569"/>
        <w:gridCol w:w="1702"/>
        <w:gridCol w:w="1771"/>
        <w:gridCol w:w="1492"/>
        <w:gridCol w:w="1520"/>
      </w:tblGrid>
      <w:tr w:rsidR="007009EF" w:rsidRPr="00AD763B" w14:paraId="123B7C97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6E1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lastRenderedPageBreak/>
              <w:t>MedDRA klasa sistema organa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C22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bCs/>
                <w:sz w:val="22"/>
                <w:szCs w:val="22"/>
                <w:lang w:val="sr-Latn-ME"/>
              </w:rPr>
              <w:t>Često</w:t>
            </w:r>
            <w:r w:rsidRPr="00AD763B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  <w:p w14:paraId="18F19F9C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≥1/100, &lt;1/10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5DF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bCs/>
                <w:sz w:val="22"/>
                <w:szCs w:val="22"/>
                <w:lang w:val="sr-Latn-ME"/>
              </w:rPr>
              <w:t xml:space="preserve">Povremeno </w:t>
            </w:r>
            <w:r w:rsidRPr="00AD763B">
              <w:rPr>
                <w:b/>
                <w:sz w:val="22"/>
                <w:szCs w:val="22"/>
                <w:lang w:val="sr-Latn-ME"/>
              </w:rPr>
              <w:t>≥1/1.000, &lt;1/100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2973" w14:textId="546B97A6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bCs/>
                <w:sz w:val="22"/>
                <w:szCs w:val="22"/>
                <w:lang w:val="sr-Latn-ME"/>
              </w:rPr>
            </w:pPr>
            <w:r w:rsidRPr="00AD763B">
              <w:rPr>
                <w:b/>
                <w:bCs/>
                <w:sz w:val="22"/>
                <w:szCs w:val="22"/>
                <w:lang w:val="sr-Latn-ME"/>
              </w:rPr>
              <w:t>R</w:t>
            </w:r>
            <w:r w:rsidR="004145DB" w:rsidRPr="00AD763B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AD763B">
              <w:rPr>
                <w:b/>
                <w:bCs/>
                <w:sz w:val="22"/>
                <w:szCs w:val="22"/>
                <w:lang w:val="sr-Latn-ME"/>
              </w:rPr>
              <w:t>etko</w:t>
            </w:r>
          </w:p>
          <w:p w14:paraId="79181EE1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 xml:space="preserve"> ≥1/10000, &lt;1/1000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28E" w14:textId="55B5CC12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bCs/>
                <w:sz w:val="22"/>
                <w:szCs w:val="22"/>
                <w:lang w:val="sr-Latn-ME"/>
              </w:rPr>
              <w:t>Veoma r</w:t>
            </w:r>
            <w:r w:rsidR="004145DB" w:rsidRPr="00AD763B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AD763B">
              <w:rPr>
                <w:b/>
                <w:bCs/>
                <w:sz w:val="22"/>
                <w:szCs w:val="22"/>
                <w:lang w:val="sr-Latn-ME"/>
              </w:rPr>
              <w:t xml:space="preserve">etko </w:t>
            </w:r>
            <w:r w:rsidRPr="00AD763B">
              <w:rPr>
                <w:b/>
                <w:sz w:val="22"/>
                <w:szCs w:val="22"/>
                <w:lang w:val="sr-Latn-ME"/>
              </w:rPr>
              <w:t>&lt;1/10000 uključuju</w:t>
            </w:r>
            <w:r w:rsidR="000910A6" w:rsidRPr="00AD763B">
              <w:rPr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i izolovane slučajeve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BF5" w14:textId="08DC046C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bCs/>
                <w:iCs/>
                <w:sz w:val="22"/>
                <w:szCs w:val="22"/>
                <w:vertAlign w:val="superscript"/>
                <w:lang w:val="sr-Latn-ME"/>
              </w:rPr>
            </w:pPr>
            <w:r w:rsidRPr="00AD763B">
              <w:rPr>
                <w:b/>
                <w:bCs/>
                <w:iCs/>
                <w:sz w:val="22"/>
                <w:szCs w:val="22"/>
                <w:lang w:val="sr-Latn-ME"/>
              </w:rPr>
              <w:t>Nepoznato (ne može se proc</w:t>
            </w:r>
            <w:r w:rsidR="004145DB" w:rsidRPr="00AD763B">
              <w:rPr>
                <w:b/>
                <w:bCs/>
                <w:iCs/>
                <w:sz w:val="22"/>
                <w:szCs w:val="22"/>
                <w:lang w:val="sr-Latn-ME"/>
              </w:rPr>
              <w:t>ij</w:t>
            </w:r>
            <w:r w:rsidRPr="00AD763B">
              <w:rPr>
                <w:b/>
                <w:bCs/>
                <w:iCs/>
                <w:sz w:val="22"/>
                <w:szCs w:val="22"/>
                <w:lang w:val="sr-Latn-ME"/>
              </w:rPr>
              <w:t>eniti na osnovu dostupnih podataka)</w:t>
            </w:r>
          </w:p>
        </w:tc>
      </w:tr>
      <w:tr w:rsidR="007009EF" w:rsidRPr="00AD763B" w14:paraId="3EE17460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461" w14:textId="3A62B79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 krvi i limfnog sistema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790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6B6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7048" w14:textId="6875FF58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 xml:space="preserve">Smanjene </w:t>
            </w:r>
            <w:r w:rsidR="001808E7" w:rsidRPr="00AD763B">
              <w:rPr>
                <w:sz w:val="22"/>
                <w:szCs w:val="22"/>
                <w:lang w:val="sr-Latn-ME"/>
              </w:rPr>
              <w:t>vrijednost</w:t>
            </w:r>
            <w:r w:rsidRPr="00AD763B">
              <w:rPr>
                <w:sz w:val="22"/>
                <w:szCs w:val="22"/>
                <w:lang w:val="sr-Latn-ME"/>
              </w:rPr>
              <w:t>i  hemoglobina</w:t>
            </w:r>
          </w:p>
          <w:p w14:paraId="6A4C74E3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Smanjen broj leukocita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16B0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8D4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D763B" w14:paraId="12DA0614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E46" w14:textId="7829E8A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bCs/>
                <w:iCs/>
                <w:strike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 imunskog sistema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6BE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75C5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BE1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Hipersenzitivnost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AE4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07C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D763B" w14:paraId="255C9364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8A6" w14:textId="7ACF55D6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 nervnog sistema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38AB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9BDC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96A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B6D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F39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D763B" w14:paraId="5811BBC7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3A51" w14:textId="7F1CE6A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Vaskularni 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134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ACB" w14:textId="12C994E0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Tromboembolija (plu</w:t>
            </w:r>
            <w:r w:rsidR="000910A6" w:rsidRPr="00AD763B">
              <w:rPr>
                <w:sz w:val="22"/>
                <w:szCs w:val="22"/>
                <w:lang w:val="sr-Latn-ME"/>
              </w:rPr>
              <w:t>ć</w:t>
            </w:r>
            <w:r w:rsidRPr="00AD763B">
              <w:rPr>
                <w:sz w:val="22"/>
                <w:szCs w:val="22"/>
                <w:lang w:val="sr-Latn-ME"/>
              </w:rPr>
              <w:t>na embolija, tromboza dubokih vena)*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DCF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73A7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542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D763B" w14:paraId="2370BF1F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33A" w14:textId="5A6100C2" w:rsidR="007009EF" w:rsidRPr="00AD763B" w:rsidRDefault="007009EF" w:rsidP="000910A6">
            <w:pPr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Respiratorni, torakalni i medijastinalni 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AB0F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0C2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929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F4F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574" w14:textId="5666F2D5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Intersticijalna bolest plu</w:t>
            </w:r>
            <w:r w:rsidR="000910A6" w:rsidRPr="00AD763B">
              <w:rPr>
                <w:bCs/>
                <w:iCs/>
                <w:sz w:val="22"/>
                <w:szCs w:val="22"/>
                <w:lang w:val="sr-Latn-ME"/>
              </w:rPr>
              <w:t>ć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>a</w:t>
            </w:r>
            <w:r w:rsidRPr="00AD763B">
              <w:rPr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7009EF" w:rsidRPr="00AD763B" w14:paraId="602B5000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C2C8" w14:textId="467EC5D9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Gastrointestinalni 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72E" w14:textId="0878E1F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Gastrointestinalni znaci i simptomi </w:t>
            </w:r>
            <w:r w:rsidRPr="00AD763B">
              <w:rPr>
                <w:sz w:val="22"/>
                <w:szCs w:val="22"/>
                <w:lang w:val="sr-Latn-ME"/>
              </w:rPr>
              <w:t>(abdominalni bol, mučnina, povra</w:t>
            </w:r>
            <w:r w:rsidR="000910A6" w:rsidRPr="00AD763B">
              <w:rPr>
                <w:sz w:val="22"/>
                <w:szCs w:val="22"/>
                <w:lang w:val="sr-Latn-ME"/>
              </w:rPr>
              <w:t>ć</w:t>
            </w:r>
            <w:r w:rsidRPr="00AD763B">
              <w:rPr>
                <w:sz w:val="22"/>
                <w:szCs w:val="22"/>
                <w:lang w:val="sr-Latn-ME"/>
              </w:rPr>
              <w:t>anje, dijareja nadutost)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EFD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Pankreatitis*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015A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B3D6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FEC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D763B" w14:paraId="06356694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615" w14:textId="208162D3" w:rsidR="007009EF" w:rsidRPr="00AD763B" w:rsidRDefault="007009EF" w:rsidP="000910A6">
            <w:pPr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Hepatobilijarni 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E06" w14:textId="1EB904EF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Pove</w:t>
            </w:r>
            <w:r w:rsidR="000910A6" w:rsidRPr="00AD763B">
              <w:rPr>
                <w:sz w:val="22"/>
                <w:szCs w:val="22"/>
                <w:lang w:val="sr-Latn-ME"/>
              </w:rPr>
              <w:t>ć</w:t>
            </w:r>
            <w:r w:rsidRPr="00AD763B">
              <w:rPr>
                <w:sz w:val="22"/>
                <w:szCs w:val="22"/>
                <w:lang w:val="sr-Latn-ME"/>
              </w:rPr>
              <w:t xml:space="preserve">ane </w:t>
            </w:r>
            <w:r w:rsidR="001808E7" w:rsidRPr="00AD763B">
              <w:rPr>
                <w:sz w:val="22"/>
                <w:szCs w:val="22"/>
                <w:lang w:val="sr-Latn-ME"/>
              </w:rPr>
              <w:t>vrijednost</w:t>
            </w:r>
            <w:r w:rsidRPr="00AD763B">
              <w:rPr>
                <w:sz w:val="22"/>
                <w:szCs w:val="22"/>
                <w:lang w:val="sr-Latn-ME"/>
              </w:rPr>
              <w:t>i  transaminaza</w:t>
            </w:r>
          </w:p>
          <w:p w14:paraId="5732D289" w14:textId="3AFEF4DB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(</w:t>
            </w:r>
            <w:r w:rsidR="001808E7" w:rsidRPr="00AD763B">
              <w:rPr>
                <w:bCs/>
                <w:iCs/>
                <w:sz w:val="22"/>
                <w:szCs w:val="22"/>
                <w:lang w:val="sr-Latn-ME"/>
              </w:rPr>
              <w:t>vidjeti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 </w:t>
            </w:r>
            <w:r w:rsidR="000910A6" w:rsidRPr="00AD763B">
              <w:rPr>
                <w:bCs/>
                <w:iCs/>
                <w:sz w:val="22"/>
                <w:szCs w:val="22"/>
                <w:lang w:val="sr-Latn-ME"/>
              </w:rPr>
              <w:t>dio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 4.4)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11D" w14:textId="6204399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Holelitijaza (</w:t>
            </w:r>
            <w:r w:rsidR="001808E7" w:rsidRPr="00AD763B">
              <w:rPr>
                <w:bCs/>
                <w:iCs/>
                <w:sz w:val="22"/>
                <w:szCs w:val="22"/>
                <w:lang w:val="sr-Latn-ME"/>
              </w:rPr>
              <w:t>vidjeti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 </w:t>
            </w:r>
            <w:r w:rsidR="000910A6" w:rsidRPr="00AD763B">
              <w:rPr>
                <w:bCs/>
                <w:iCs/>
                <w:sz w:val="22"/>
                <w:szCs w:val="22"/>
                <w:lang w:val="sr-Latn-ME"/>
              </w:rPr>
              <w:t>dio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 4.4)</w:t>
            </w:r>
          </w:p>
          <w:p w14:paraId="17D44C3B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2CFA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Hepatitis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FD7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FF6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Žutica, komplikacije holelitijaze</w:t>
            </w:r>
            <w:r w:rsidRPr="00AD763B">
              <w:rPr>
                <w:sz w:val="22"/>
                <w:szCs w:val="22"/>
                <w:vertAlign w:val="superscript"/>
                <w:lang w:val="sr-Latn-ME"/>
              </w:rPr>
              <w:t>a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 (npr. holecistitis, holangitis, bilijarne kolike)</w:t>
            </w:r>
          </w:p>
        </w:tc>
      </w:tr>
      <w:tr w:rsidR="007009EF" w:rsidRPr="00AD763B" w14:paraId="6D2328DF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6CF" w14:textId="5722535C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Poreme</w:t>
            </w:r>
            <w:r w:rsidR="000910A6" w:rsidRPr="00AD763B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 kože i potkožnog tkiva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4223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183" w14:textId="50A2D7D4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Kožna </w:t>
            </w:r>
            <w:r w:rsidR="004E7FEE" w:rsidRPr="00AD763B">
              <w:rPr>
                <w:bCs/>
                <w:iCs/>
                <w:sz w:val="22"/>
                <w:szCs w:val="22"/>
                <w:lang w:val="sr-Latn-ME"/>
              </w:rPr>
              <w:t>preosjetljivost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 (npr. raš,</w:t>
            </w:r>
            <w:r w:rsidRPr="00AD763B">
              <w:rPr>
                <w:sz w:val="22"/>
                <w:szCs w:val="22"/>
                <w:lang w:val="sr-Latn-ME"/>
              </w:rPr>
              <w:t xml:space="preserve"> pruritus, urtikarija)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C4A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Alopecija</w:t>
            </w:r>
          </w:p>
          <w:p w14:paraId="4EFA8A95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Reakcije fotosenzitivnosti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5EF3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4E7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Teške  reakcije na koži</w:t>
            </w:r>
            <w:r w:rsidRPr="00AD763B">
              <w:rPr>
                <w:sz w:val="22"/>
                <w:szCs w:val="22"/>
                <w:vertAlign w:val="superscript"/>
                <w:lang w:val="sr-Latn-ME"/>
              </w:rPr>
              <w:t>a</w:t>
            </w:r>
            <w:r w:rsidRPr="00AD763B">
              <w:rPr>
                <w:sz w:val="22"/>
                <w:szCs w:val="22"/>
                <w:lang w:val="sr-Latn-ME"/>
              </w:rPr>
              <w:t xml:space="preserve"> (npr.  multiformni eritem, </w:t>
            </w:r>
            <w:r w:rsidRPr="00AD763B">
              <w:rPr>
                <w:i/>
                <w:sz w:val="22"/>
                <w:szCs w:val="22"/>
                <w:lang w:val="sr-Latn-ME"/>
              </w:rPr>
              <w:t>Steven</w:t>
            </w:r>
            <w:r w:rsidRPr="00AD763B">
              <w:rPr>
                <w:sz w:val="22"/>
                <w:szCs w:val="22"/>
                <w:lang w:val="sr-Latn-ME"/>
              </w:rPr>
              <w:t>-</w:t>
            </w:r>
            <w:r w:rsidRPr="00AD763B">
              <w:rPr>
                <w:i/>
                <w:sz w:val="22"/>
                <w:szCs w:val="22"/>
                <w:lang w:val="sr-Latn-ME"/>
              </w:rPr>
              <w:t>Jonhson</w:t>
            </w:r>
            <w:r w:rsidRPr="00AD763B">
              <w:rPr>
                <w:sz w:val="22"/>
                <w:szCs w:val="22"/>
                <w:lang w:val="sr-Latn-ME"/>
              </w:rPr>
              <w:t>-ov sindrom, toksična epidermalna nekroliza)</w:t>
            </w:r>
          </w:p>
        </w:tc>
      </w:tr>
      <w:tr w:rsidR="007009EF" w:rsidRPr="00AD763B" w14:paraId="1F720609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3BC" w14:textId="5AE4D3C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Poreme</w:t>
            </w:r>
            <w:r w:rsidR="000910A6" w:rsidRPr="00AD763B">
              <w:rPr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</w:t>
            </w:r>
          </w:p>
          <w:p w14:paraId="5C0A75E5" w14:textId="179D4D9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miši</w:t>
            </w:r>
            <w:r w:rsidR="000910A6" w:rsidRPr="00AD763B">
              <w:rPr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no-koštanog sistema i vezivnog tkiva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31C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D8BF" w14:textId="56BE50A9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Poreme</w:t>
            </w:r>
            <w:r w:rsidR="000910A6" w:rsidRPr="00AD763B">
              <w:rPr>
                <w:bCs/>
                <w:iCs/>
                <w:sz w:val="22"/>
                <w:szCs w:val="22"/>
                <w:lang w:val="sr-Latn-ME"/>
              </w:rPr>
              <w:t>ć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>aji miši</w:t>
            </w:r>
            <w:r w:rsidR="000910A6" w:rsidRPr="00AD763B">
              <w:rPr>
                <w:bCs/>
                <w:iCs/>
                <w:sz w:val="22"/>
                <w:szCs w:val="22"/>
                <w:lang w:val="sr-Latn-ME"/>
              </w:rPr>
              <w:t>ć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>a</w:t>
            </w:r>
          </w:p>
          <w:p w14:paraId="56EDED7A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(npr. mijalgija,</w:t>
            </w:r>
          </w:p>
          <w:p w14:paraId="00BC5636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miozitis, grčevi i</w:t>
            </w:r>
          </w:p>
          <w:p w14:paraId="544416E1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slabost u</w:t>
            </w:r>
          </w:p>
          <w:p w14:paraId="532E9798" w14:textId="5E293C42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lastRenderedPageBreak/>
              <w:t>miši</w:t>
            </w:r>
            <w:r w:rsidR="000910A6" w:rsidRPr="00AD763B">
              <w:rPr>
                <w:bCs/>
                <w:iCs/>
                <w:sz w:val="22"/>
                <w:szCs w:val="22"/>
                <w:lang w:val="sr-Latn-ME"/>
              </w:rPr>
              <w:t>ć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>ima)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9010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A98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875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Rabdomioliza</w:t>
            </w:r>
            <w:r w:rsidRPr="00AD763B">
              <w:rPr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7009EF" w:rsidRPr="00AD763B" w14:paraId="2D9E6AD0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F76" w14:textId="6EF99A26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Poreme</w:t>
            </w:r>
            <w:r w:rsidR="000910A6" w:rsidRPr="00AD763B">
              <w:rPr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</w:t>
            </w:r>
          </w:p>
          <w:p w14:paraId="5EB59AE9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reproduktivnog</w:t>
            </w:r>
          </w:p>
          <w:p w14:paraId="7804BF06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sistema i dojki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35F9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87C5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Seksualna</w:t>
            </w:r>
          </w:p>
          <w:p w14:paraId="0D056324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disfunkcija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1600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C123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BF7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D763B" w14:paraId="315078EE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D5D" w14:textId="789B8C6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Opšti poreme</w:t>
            </w:r>
            <w:r w:rsidR="000910A6" w:rsidRPr="00AD763B">
              <w:rPr>
                <w:b/>
                <w:sz w:val="22"/>
                <w:szCs w:val="22"/>
                <w:lang w:val="sr-Latn-ME"/>
              </w:rPr>
              <w:t>ć</w:t>
            </w:r>
            <w:r w:rsidRPr="00AD763B">
              <w:rPr>
                <w:b/>
                <w:sz w:val="22"/>
                <w:szCs w:val="22"/>
                <w:lang w:val="sr-Latn-ME"/>
              </w:rPr>
              <w:t>aji i reakcije na m</w:t>
            </w:r>
            <w:r w:rsidR="004145DB" w:rsidRPr="00AD763B">
              <w:rPr>
                <w:b/>
                <w:sz w:val="22"/>
                <w:szCs w:val="22"/>
                <w:lang w:val="sr-Latn-ME"/>
              </w:rPr>
              <w:t>j</w:t>
            </w:r>
            <w:r w:rsidRPr="00AD763B">
              <w:rPr>
                <w:b/>
                <w:sz w:val="22"/>
                <w:szCs w:val="22"/>
                <w:lang w:val="sr-Latn-ME"/>
              </w:rPr>
              <w:t xml:space="preserve">estu </w:t>
            </w:r>
            <w:r w:rsidR="004E7FEE" w:rsidRPr="00AD763B">
              <w:rPr>
                <w:b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D6B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A66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D72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F58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4E5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Zamor</w:t>
            </w:r>
            <w:r w:rsidRPr="00AD763B">
              <w:rPr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7009EF" w:rsidRPr="00AD763B" w14:paraId="0FF05DA1" w14:textId="77777777" w:rsidTr="000910A6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1957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D763B">
              <w:rPr>
                <w:b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3C1" w14:textId="02663B24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Pove</w:t>
            </w:r>
            <w:r w:rsidR="000910A6" w:rsidRPr="00AD763B">
              <w:rPr>
                <w:sz w:val="22"/>
                <w:szCs w:val="22"/>
                <w:lang w:val="sr-Latn-ME"/>
              </w:rPr>
              <w:t>ć</w:t>
            </w:r>
            <w:r w:rsidRPr="00AD763B">
              <w:rPr>
                <w:sz w:val="22"/>
                <w:szCs w:val="22"/>
                <w:lang w:val="sr-Latn-ME"/>
              </w:rPr>
              <w:t xml:space="preserve">ane </w:t>
            </w:r>
            <w:r w:rsidR="001808E7" w:rsidRPr="00AD763B">
              <w:rPr>
                <w:sz w:val="22"/>
                <w:szCs w:val="22"/>
                <w:lang w:val="sr-Latn-ME"/>
              </w:rPr>
              <w:t>vrijednost</w:t>
            </w:r>
            <w:r w:rsidRPr="00AD763B">
              <w:rPr>
                <w:sz w:val="22"/>
                <w:szCs w:val="22"/>
                <w:lang w:val="sr-Latn-ME"/>
              </w:rPr>
              <w:t>i homocisteina u krvi**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FFB" w14:textId="26F780F6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D763B">
              <w:rPr>
                <w:bCs/>
                <w:iCs/>
                <w:sz w:val="22"/>
                <w:szCs w:val="22"/>
                <w:lang w:val="sr-Latn-ME"/>
              </w:rPr>
              <w:t>Pove</w:t>
            </w:r>
            <w:r w:rsidR="000910A6" w:rsidRPr="00AD763B">
              <w:rPr>
                <w:bCs/>
                <w:iCs/>
                <w:sz w:val="22"/>
                <w:szCs w:val="22"/>
                <w:lang w:val="sr-Latn-ME"/>
              </w:rPr>
              <w:t>ć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 xml:space="preserve">ane </w:t>
            </w:r>
            <w:r w:rsidR="001808E7" w:rsidRPr="00AD763B">
              <w:rPr>
                <w:bCs/>
                <w:iCs/>
                <w:sz w:val="22"/>
                <w:szCs w:val="22"/>
                <w:lang w:val="sr-Latn-ME"/>
              </w:rPr>
              <w:t>vrijednost</w:t>
            </w:r>
            <w:r w:rsidRPr="00AD763B">
              <w:rPr>
                <w:bCs/>
                <w:iCs/>
                <w:sz w:val="22"/>
                <w:szCs w:val="22"/>
                <w:lang w:val="sr-Latn-ME"/>
              </w:rPr>
              <w:t>i kreatinina u krvi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D78" w14:textId="001B2FA5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D763B">
              <w:rPr>
                <w:sz w:val="22"/>
                <w:szCs w:val="22"/>
                <w:lang w:val="sr-Latn-ME"/>
              </w:rPr>
              <w:t>Pove</w:t>
            </w:r>
            <w:r w:rsidR="000910A6" w:rsidRPr="00AD763B">
              <w:rPr>
                <w:sz w:val="22"/>
                <w:szCs w:val="22"/>
                <w:lang w:val="sr-Latn-ME"/>
              </w:rPr>
              <w:t>ć</w:t>
            </w:r>
            <w:r w:rsidRPr="00AD763B">
              <w:rPr>
                <w:sz w:val="22"/>
                <w:szCs w:val="22"/>
                <w:lang w:val="sr-Latn-ME"/>
              </w:rPr>
              <w:t xml:space="preserve">ane </w:t>
            </w:r>
            <w:r w:rsidR="001808E7" w:rsidRPr="00AD763B">
              <w:rPr>
                <w:sz w:val="22"/>
                <w:szCs w:val="22"/>
                <w:lang w:val="sr-Latn-ME"/>
              </w:rPr>
              <w:t>vrijednost</w:t>
            </w:r>
            <w:r w:rsidRPr="00AD763B">
              <w:rPr>
                <w:sz w:val="22"/>
                <w:szCs w:val="22"/>
                <w:lang w:val="sr-Latn-ME"/>
              </w:rPr>
              <w:t>i uree u krvi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8CAE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FDF" w14:textId="77777777" w:rsidR="007009EF" w:rsidRPr="00AD763B" w:rsidRDefault="007009EF" w:rsidP="000910A6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</w:tr>
    </w:tbl>
    <w:p w14:paraId="1344A522" w14:textId="7C19D11D" w:rsidR="007009EF" w:rsidRPr="00AD763B" w:rsidRDefault="007009EF" w:rsidP="00951A07">
      <w:pPr>
        <w:jc w:val="both"/>
        <w:rPr>
          <w:noProof/>
          <w:sz w:val="22"/>
          <w:szCs w:val="22"/>
          <w:lang w:val="sr-Latn-ME"/>
        </w:rPr>
      </w:pPr>
      <w:r w:rsidRPr="00AD763B">
        <w:rPr>
          <w:noProof/>
          <w:sz w:val="22"/>
          <w:szCs w:val="22"/>
          <w:lang w:val="sr-Latn-ME"/>
        </w:rPr>
        <w:t>*U FIELD studiji, randomizovanom placebo kontrolisanom ispitivanju sprovedenom na 9795 pacijenata sa dijabetes melitusom tip</w:t>
      </w:r>
      <w:r w:rsidR="007B3084" w:rsidRPr="00AD763B">
        <w:rPr>
          <w:noProof/>
          <w:sz w:val="22"/>
          <w:szCs w:val="22"/>
          <w:lang w:val="sr-Latn-ME"/>
        </w:rPr>
        <w:t>a</w:t>
      </w:r>
      <w:r w:rsidRPr="00AD763B">
        <w:rPr>
          <w:noProof/>
          <w:sz w:val="22"/>
          <w:szCs w:val="22"/>
          <w:lang w:val="sr-Latn-ME"/>
        </w:rPr>
        <w:t xml:space="preserve"> 2, prim</w:t>
      </w:r>
      <w:r w:rsidR="004145DB" w:rsidRPr="00AD763B">
        <w:rPr>
          <w:noProof/>
          <w:sz w:val="22"/>
          <w:szCs w:val="22"/>
          <w:lang w:val="sr-Latn-ME"/>
        </w:rPr>
        <w:t>ij</w:t>
      </w:r>
      <w:r w:rsidRPr="00AD763B">
        <w:rPr>
          <w:noProof/>
          <w:sz w:val="22"/>
          <w:szCs w:val="22"/>
          <w:lang w:val="sr-Latn-ME"/>
        </w:rPr>
        <w:t>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>en je statistički značajan porast učestalosti pankreatitisa kod pacijenata koji su primali fenofibrat u poređenju sa pacijentima koji su primali placebo (0,8% prema 0,5%; p = 0,031). U istoj studiji je prim</w:t>
      </w:r>
      <w:r w:rsidR="004145DB" w:rsidRPr="00AD763B">
        <w:rPr>
          <w:noProof/>
          <w:sz w:val="22"/>
          <w:szCs w:val="22"/>
          <w:lang w:val="sr-Latn-ME"/>
        </w:rPr>
        <w:t>ij</w:t>
      </w:r>
      <w:r w:rsidRPr="00AD763B">
        <w:rPr>
          <w:noProof/>
          <w:sz w:val="22"/>
          <w:szCs w:val="22"/>
          <w:lang w:val="sr-Latn-ME"/>
        </w:rPr>
        <w:t>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>en statistički značajan porast incidence plu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>ne embolije (0,7% u placebo grupi u odnosu 1,1% u grupi koja je primala fenofibrat; p = 0,022) i statistički neznačajno pove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 xml:space="preserve">anje tromboza dubokih vena </w:t>
      </w:r>
      <w:r w:rsidR="00890A28" w:rsidRPr="00AD763B">
        <w:rPr>
          <w:noProof/>
          <w:sz w:val="22"/>
          <w:szCs w:val="22"/>
          <w:lang w:val="sr-Latn-ME"/>
        </w:rPr>
        <w:t>bez statističkog značaja</w:t>
      </w:r>
      <w:r w:rsidRPr="00AD763B">
        <w:rPr>
          <w:noProof/>
          <w:sz w:val="22"/>
          <w:szCs w:val="22"/>
          <w:lang w:val="sr-Latn-ME"/>
        </w:rPr>
        <w:t xml:space="preserve"> (placebo: 1,0% [48/4</w:t>
      </w:r>
      <w:r w:rsidR="00F7485E" w:rsidRPr="00AD763B">
        <w:rPr>
          <w:noProof/>
          <w:sz w:val="22"/>
          <w:szCs w:val="22"/>
          <w:lang w:val="sr-Latn-ME"/>
        </w:rPr>
        <w:t>.</w:t>
      </w:r>
      <w:r w:rsidRPr="00AD763B">
        <w:rPr>
          <w:noProof/>
          <w:sz w:val="22"/>
          <w:szCs w:val="22"/>
          <w:lang w:val="sr-Latn-ME"/>
        </w:rPr>
        <w:t>900 pacijenata] u odnosu na grupu koja je primala fenofibrat: 1,4% [67/4</w:t>
      </w:r>
      <w:r w:rsidR="00F7485E" w:rsidRPr="00AD763B">
        <w:rPr>
          <w:noProof/>
          <w:sz w:val="22"/>
          <w:szCs w:val="22"/>
          <w:lang w:val="sr-Latn-ME"/>
        </w:rPr>
        <w:t>.</w:t>
      </w:r>
      <w:r w:rsidRPr="00AD763B">
        <w:rPr>
          <w:noProof/>
          <w:sz w:val="22"/>
          <w:szCs w:val="22"/>
          <w:lang w:val="sr-Latn-ME"/>
        </w:rPr>
        <w:t>895 pacijenata]; p = 0,074).</w:t>
      </w:r>
    </w:p>
    <w:p w14:paraId="4B7FD34E" w14:textId="77777777" w:rsidR="007009EF" w:rsidRPr="00AD763B" w:rsidRDefault="007009EF" w:rsidP="00951A07">
      <w:pPr>
        <w:jc w:val="both"/>
        <w:rPr>
          <w:noProof/>
          <w:sz w:val="22"/>
          <w:szCs w:val="22"/>
          <w:lang w:val="sr-Latn-ME"/>
        </w:rPr>
      </w:pPr>
    </w:p>
    <w:p w14:paraId="01DA3BE5" w14:textId="4F09CCC9" w:rsidR="007009EF" w:rsidRPr="00AD763B" w:rsidRDefault="007009EF" w:rsidP="00951A07">
      <w:pPr>
        <w:jc w:val="both"/>
        <w:rPr>
          <w:noProof/>
          <w:sz w:val="22"/>
          <w:szCs w:val="22"/>
          <w:lang w:val="sr-Latn-ME"/>
        </w:rPr>
      </w:pPr>
      <w:r w:rsidRPr="00AD763B">
        <w:rPr>
          <w:noProof/>
          <w:sz w:val="22"/>
          <w:szCs w:val="22"/>
          <w:lang w:val="sr-Latn-ME"/>
        </w:rPr>
        <w:t>**U FIELD studiji pros</w:t>
      </w:r>
      <w:r w:rsidR="004145DB" w:rsidRPr="00AD763B">
        <w:rPr>
          <w:noProof/>
          <w:sz w:val="22"/>
          <w:szCs w:val="22"/>
          <w:lang w:val="sr-Latn-ME"/>
        </w:rPr>
        <w:t>j</w:t>
      </w:r>
      <w:r w:rsidRPr="00AD763B">
        <w:rPr>
          <w:noProof/>
          <w:sz w:val="22"/>
          <w:szCs w:val="22"/>
          <w:lang w:val="sr-Latn-ME"/>
        </w:rPr>
        <w:t>ečno pove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 xml:space="preserve">anje </w:t>
      </w:r>
      <w:r w:rsidR="001808E7" w:rsidRPr="00AD763B">
        <w:rPr>
          <w:noProof/>
          <w:sz w:val="22"/>
          <w:szCs w:val="22"/>
          <w:lang w:val="sr-Latn-ME"/>
        </w:rPr>
        <w:t>vrijednost</w:t>
      </w:r>
      <w:r w:rsidRPr="00AD763B">
        <w:rPr>
          <w:noProof/>
          <w:sz w:val="22"/>
          <w:szCs w:val="22"/>
          <w:lang w:val="sr-Latn-ME"/>
        </w:rPr>
        <w:t xml:space="preserve">i homocisteina u krvi kod pacijenata koji su primali fenofibrat  bilo je 6,5 mikromol/L i bilo je reverzibilno nakon prestanka </w:t>
      </w:r>
      <w:r w:rsidR="004E7FEE" w:rsidRPr="00AD763B">
        <w:rPr>
          <w:noProof/>
          <w:sz w:val="22"/>
          <w:szCs w:val="22"/>
          <w:lang w:val="sr-Latn-ME"/>
        </w:rPr>
        <w:t>primjene</w:t>
      </w:r>
      <w:r w:rsidRPr="00AD763B">
        <w:rPr>
          <w:noProof/>
          <w:sz w:val="22"/>
          <w:szCs w:val="22"/>
          <w:lang w:val="sr-Latn-ME"/>
        </w:rPr>
        <w:t xml:space="preserve"> fenofibrata. Pove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>an rizik od venskih trombotskih događaja može biti u vezi sa pove</w:t>
      </w:r>
      <w:r w:rsidR="000910A6" w:rsidRPr="00AD763B">
        <w:rPr>
          <w:noProof/>
          <w:sz w:val="22"/>
          <w:szCs w:val="22"/>
          <w:lang w:val="sr-Latn-ME"/>
        </w:rPr>
        <w:t>ć</w:t>
      </w:r>
      <w:r w:rsidRPr="00AD763B">
        <w:rPr>
          <w:noProof/>
          <w:sz w:val="22"/>
          <w:szCs w:val="22"/>
          <w:lang w:val="sr-Latn-ME"/>
        </w:rPr>
        <w:t xml:space="preserve">anim  </w:t>
      </w:r>
      <w:r w:rsidR="001808E7" w:rsidRPr="00AD763B">
        <w:rPr>
          <w:noProof/>
          <w:sz w:val="22"/>
          <w:szCs w:val="22"/>
          <w:lang w:val="sr-Latn-ME"/>
        </w:rPr>
        <w:t>vrijednost</w:t>
      </w:r>
      <w:r w:rsidRPr="00AD763B">
        <w:rPr>
          <w:noProof/>
          <w:sz w:val="22"/>
          <w:szCs w:val="22"/>
          <w:lang w:val="sr-Latn-ME"/>
        </w:rPr>
        <w:t>ima homocisteina. Klinički značaj ovog nalaza nije jasan.</w:t>
      </w:r>
    </w:p>
    <w:p w14:paraId="76925F36" w14:textId="77777777" w:rsidR="007009EF" w:rsidRPr="00AD763B" w:rsidRDefault="007009EF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A82D0DF" w14:textId="77777777" w:rsidR="005A23D2" w:rsidRPr="00AD763B" w:rsidRDefault="005A23D2" w:rsidP="00951A07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AD763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793C51E" w14:textId="460218C1" w:rsidR="005A23D2" w:rsidRPr="00AD763B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AD763B">
        <w:rPr>
          <w:rFonts w:eastAsia="Calibri"/>
          <w:sz w:val="22"/>
          <w:szCs w:val="22"/>
          <w:lang w:val="sr-Latn-ME"/>
        </w:rPr>
        <w:t>inuirano pra</w:t>
      </w:r>
      <w:r w:rsidR="000910A6" w:rsidRPr="00AD763B">
        <w:rPr>
          <w:rFonts w:eastAsia="Calibri"/>
          <w:sz w:val="22"/>
          <w:szCs w:val="22"/>
          <w:lang w:val="sr-Latn-ME"/>
        </w:rPr>
        <w:t>ć</w:t>
      </w:r>
      <w:r w:rsidR="00EA5765" w:rsidRPr="00AD763B">
        <w:rPr>
          <w:rFonts w:eastAsia="Calibri"/>
          <w:sz w:val="22"/>
          <w:szCs w:val="22"/>
          <w:lang w:val="sr-Latn-ME"/>
        </w:rPr>
        <w:t>enje odnosa korist</w:t>
      </w:r>
      <w:r w:rsidRPr="00AD763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AD763B">
        <w:rPr>
          <w:rFonts w:eastAsia="Calibri"/>
          <w:sz w:val="22"/>
          <w:szCs w:val="22"/>
          <w:lang w:val="sr-Latn-ME"/>
        </w:rPr>
        <w:t xml:space="preserve"> </w:t>
      </w:r>
      <w:r w:rsidRPr="00AD763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AD763B">
        <w:rPr>
          <w:rFonts w:eastAsia="Calibri"/>
          <w:sz w:val="22"/>
          <w:szCs w:val="22"/>
          <w:lang w:val="sr-Latn-ME"/>
        </w:rPr>
        <w:t>Institutu</w:t>
      </w:r>
      <w:r w:rsidRPr="00AD763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AD763B">
        <w:rPr>
          <w:rFonts w:eastAsia="Calibri"/>
          <w:sz w:val="22"/>
          <w:szCs w:val="22"/>
          <w:lang w:val="sr-Latn-ME"/>
        </w:rPr>
        <w:t xml:space="preserve"> </w:t>
      </w:r>
      <w:r w:rsidRPr="00AD763B">
        <w:rPr>
          <w:rFonts w:eastAsia="Calibri"/>
          <w:sz w:val="22"/>
          <w:szCs w:val="22"/>
          <w:lang w:val="sr-Latn-ME"/>
        </w:rPr>
        <w:t>(</w:t>
      </w:r>
      <w:r w:rsidR="004E70AD" w:rsidRPr="00AD763B">
        <w:rPr>
          <w:rFonts w:eastAsia="Calibri"/>
          <w:sz w:val="22"/>
          <w:szCs w:val="22"/>
          <w:lang w:val="sr-Latn-ME"/>
        </w:rPr>
        <w:t>CInMED</w:t>
      </w:r>
      <w:r w:rsidRPr="00AD763B">
        <w:rPr>
          <w:rFonts w:eastAsia="Calibri"/>
          <w:sz w:val="22"/>
          <w:szCs w:val="22"/>
          <w:lang w:val="sr-Latn-ME"/>
        </w:rPr>
        <w:t>):</w:t>
      </w:r>
    </w:p>
    <w:p w14:paraId="1AFDDC07" w14:textId="77777777" w:rsidR="005A23D2" w:rsidRPr="00AD763B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AD763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7EEC100" w14:textId="77777777" w:rsidR="005A23D2" w:rsidRPr="00AD763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>Odjeljenje za farmakovigilancu</w:t>
      </w:r>
    </w:p>
    <w:p w14:paraId="3D6EE947" w14:textId="597C86DE" w:rsidR="00EA5765" w:rsidRPr="00AD763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>Bulevar Ivana Crnojevi</w:t>
      </w:r>
      <w:r w:rsidR="000910A6" w:rsidRPr="00AD763B">
        <w:rPr>
          <w:rFonts w:eastAsia="Calibri"/>
          <w:sz w:val="22"/>
          <w:szCs w:val="22"/>
          <w:lang w:val="sr-Latn-ME"/>
        </w:rPr>
        <w:t>ć</w:t>
      </w:r>
      <w:r w:rsidRPr="00AD763B">
        <w:rPr>
          <w:rFonts w:eastAsia="Calibri"/>
          <w:sz w:val="22"/>
          <w:szCs w:val="22"/>
          <w:lang w:val="sr-Latn-ME"/>
        </w:rPr>
        <w:t>a 64a, 81000 Podgorica</w:t>
      </w:r>
    </w:p>
    <w:p w14:paraId="62F81F2F" w14:textId="77777777" w:rsidR="00EA5765" w:rsidRPr="00AD763B" w:rsidRDefault="00EA5765" w:rsidP="00951A0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3D13878" w14:textId="77777777" w:rsidR="005A23D2" w:rsidRPr="00AD763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>tel: +382 (0) 20 310 280</w:t>
      </w:r>
    </w:p>
    <w:p w14:paraId="6C705119" w14:textId="77777777" w:rsidR="00EA5765" w:rsidRPr="00AD763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>fax:</w:t>
      </w:r>
      <w:r w:rsidR="00EA5765" w:rsidRPr="00AD763B">
        <w:rPr>
          <w:rFonts w:eastAsia="Calibri"/>
          <w:sz w:val="22"/>
          <w:szCs w:val="22"/>
          <w:lang w:val="sr-Latn-ME"/>
        </w:rPr>
        <w:t xml:space="preserve"> </w:t>
      </w:r>
      <w:r w:rsidRPr="00AD763B">
        <w:rPr>
          <w:rFonts w:eastAsia="Calibri"/>
          <w:sz w:val="22"/>
          <w:szCs w:val="22"/>
          <w:lang w:val="sr-Latn-ME"/>
        </w:rPr>
        <w:t>+382 (0) 20 310 581</w:t>
      </w:r>
    </w:p>
    <w:p w14:paraId="2BE40F70" w14:textId="77777777" w:rsidR="005A23D2" w:rsidRPr="00AD763B" w:rsidRDefault="003F0D4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AD763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7311021" w14:textId="77777777" w:rsidR="00EA5765" w:rsidRPr="00AD763B" w:rsidRDefault="003F0D4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AD763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044B706" w14:textId="77777777" w:rsidR="005A23D2" w:rsidRPr="00AD763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>putem IS zdravstvene zaštite</w:t>
      </w:r>
    </w:p>
    <w:p w14:paraId="6CC20042" w14:textId="77777777" w:rsidR="007B3084" w:rsidRPr="00AD763B" w:rsidRDefault="007B3084" w:rsidP="007B308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D763B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6990C47B" w14:textId="77777777" w:rsidR="007B3084" w:rsidRPr="00AD763B" w:rsidRDefault="007B3084" w:rsidP="007B3084">
      <w:pPr>
        <w:pStyle w:val="NoSpacing"/>
        <w:rPr>
          <w:rFonts w:eastAsia="Calibri"/>
          <w:sz w:val="22"/>
          <w:szCs w:val="22"/>
          <w:lang w:val="sr-Latn-ME"/>
        </w:rPr>
      </w:pPr>
    </w:p>
    <w:p w14:paraId="71CEA116" w14:textId="77777777" w:rsidR="007B3084" w:rsidRPr="00AD763B" w:rsidRDefault="007B3084" w:rsidP="007B308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1F06B33E" wp14:editId="4DA85068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E56BE" w14:textId="77777777" w:rsidR="00836B35" w:rsidRPr="00AD763B" w:rsidRDefault="00836B35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C290A3" w14:textId="77777777" w:rsidR="00CD6F02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4.9.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Predoziranje</w:t>
      </w:r>
      <w:r w:rsidR="002846DB" w:rsidRPr="00AD763B">
        <w:rPr>
          <w:b/>
          <w:bCs/>
          <w:sz w:val="22"/>
          <w:szCs w:val="22"/>
          <w:lang w:val="sr-Latn-ME"/>
        </w:rPr>
        <w:t xml:space="preserve"> </w:t>
      </w:r>
    </w:p>
    <w:p w14:paraId="5E33A058" w14:textId="77777777" w:rsidR="00CD6F02" w:rsidRPr="00AD763B" w:rsidRDefault="00CD6F02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AC66B5" w14:textId="597CE543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Opisani su sporadični slučajevi predoziranja fenofibratom. U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ini slučajeva nije bilo simptoma predoziranja.</w:t>
      </w:r>
    </w:p>
    <w:p w14:paraId="55ECF29D" w14:textId="277423B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Ne postoji specifičan antidot. Ako se sumnja na predoziranje, terapija je simptomatska i prim</w:t>
      </w:r>
      <w:r w:rsidR="004145DB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enjuju se odgovaraju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 adekvatne suportivne mere. Fenofibrat se ne može eliminisati hemodijalizom.</w:t>
      </w:r>
    </w:p>
    <w:p w14:paraId="7D9B35B8" w14:textId="5F81D6DD" w:rsidR="00227BDB" w:rsidRPr="00AD763B" w:rsidRDefault="00227BDB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31CCBB5" w14:textId="77777777" w:rsidR="000910A6" w:rsidRPr="00AD763B" w:rsidRDefault="000910A6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68C74F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FARMAKOLOŠK</w:t>
      </w:r>
      <w:r w:rsidR="000D425A" w:rsidRPr="00AD763B">
        <w:rPr>
          <w:b/>
          <w:bCs/>
          <w:sz w:val="22"/>
          <w:szCs w:val="22"/>
          <w:lang w:val="sr-Latn-ME"/>
        </w:rPr>
        <w:t>I</w:t>
      </w:r>
      <w:r w:rsidRPr="00AD763B">
        <w:rPr>
          <w:b/>
          <w:bCs/>
          <w:sz w:val="22"/>
          <w:szCs w:val="22"/>
          <w:lang w:val="sr-Latn-ME"/>
        </w:rPr>
        <w:t xml:space="preserve"> PODACI</w:t>
      </w:r>
    </w:p>
    <w:p w14:paraId="3CB2F818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E474C1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5.1.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Farmakodinamski podaci</w:t>
      </w:r>
      <w:r w:rsidR="003A7059" w:rsidRPr="00AD763B">
        <w:rPr>
          <w:b/>
          <w:bCs/>
          <w:sz w:val="22"/>
          <w:szCs w:val="22"/>
          <w:lang w:val="sr-Latn-ME"/>
        </w:rPr>
        <w:t xml:space="preserve"> </w:t>
      </w:r>
    </w:p>
    <w:p w14:paraId="2F5FE742" w14:textId="77777777" w:rsidR="00F45F77" w:rsidRPr="00AD763B" w:rsidRDefault="00F45F77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378BF9" w14:textId="1EF59611" w:rsidR="0072020E" w:rsidRPr="00AD763B" w:rsidRDefault="0072020E" w:rsidP="00951A07">
      <w:pPr>
        <w:jc w:val="both"/>
        <w:rPr>
          <w:b/>
          <w:bCs/>
          <w:sz w:val="22"/>
          <w:szCs w:val="22"/>
          <w:lang w:val="sr-Latn-ME"/>
        </w:rPr>
      </w:pPr>
      <w:r w:rsidRPr="00AD763B">
        <w:rPr>
          <w:bCs/>
          <w:sz w:val="22"/>
          <w:szCs w:val="22"/>
          <w:lang w:val="sr-Latn-ME"/>
        </w:rPr>
        <w:t>Farmakoterapijska grupa:</w:t>
      </w:r>
      <w:r w:rsidR="007009EF" w:rsidRPr="00AD763B">
        <w:rPr>
          <w:bCs/>
          <w:sz w:val="22"/>
          <w:szCs w:val="22"/>
          <w:lang w:val="sr-Latn-ME"/>
        </w:rPr>
        <w:t xml:space="preserve"> Sredstva koja smanjuju lipide u serumu (hipolipemici). </w:t>
      </w:r>
      <w:r w:rsidR="00132B77" w:rsidRPr="00AD763B">
        <w:rPr>
          <w:bCs/>
          <w:sz w:val="22"/>
          <w:szCs w:val="22"/>
          <w:lang w:val="sr-Latn-ME"/>
        </w:rPr>
        <w:t>Ljekovi</w:t>
      </w:r>
      <w:r w:rsidR="007009EF" w:rsidRPr="00AD763B">
        <w:rPr>
          <w:bCs/>
          <w:sz w:val="22"/>
          <w:szCs w:val="22"/>
          <w:lang w:val="sr-Latn-ME"/>
        </w:rPr>
        <w:t xml:space="preserve"> koji smanjuju </w:t>
      </w:r>
      <w:r w:rsidR="001808E7" w:rsidRPr="00AD763B">
        <w:rPr>
          <w:bCs/>
          <w:sz w:val="22"/>
          <w:szCs w:val="22"/>
          <w:lang w:val="sr-Latn-ME"/>
        </w:rPr>
        <w:t>vrijednost</w:t>
      </w:r>
      <w:r w:rsidR="007009EF" w:rsidRPr="00AD763B">
        <w:rPr>
          <w:bCs/>
          <w:sz w:val="22"/>
          <w:szCs w:val="22"/>
          <w:lang w:val="sr-Latn-ME"/>
        </w:rPr>
        <w:t>i holesterola i triglicerida; Fibrati</w:t>
      </w:r>
    </w:p>
    <w:p w14:paraId="27017D64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342610" w14:textId="1B558E6C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D763B">
        <w:rPr>
          <w:bCs/>
          <w:sz w:val="22"/>
          <w:szCs w:val="22"/>
          <w:lang w:val="sr-Latn-ME"/>
        </w:rPr>
        <w:t>ATC kod:</w:t>
      </w:r>
      <w:r w:rsidR="007009EF" w:rsidRPr="00AD763B">
        <w:rPr>
          <w:bCs/>
          <w:sz w:val="22"/>
          <w:szCs w:val="22"/>
          <w:lang w:val="sr-Latn-ME"/>
        </w:rPr>
        <w:t xml:space="preserve"> C10AB05</w:t>
      </w:r>
    </w:p>
    <w:p w14:paraId="0EA5319F" w14:textId="057529D5" w:rsidR="002E37A5" w:rsidRPr="00AD763B" w:rsidRDefault="002E37A5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C89257" w14:textId="2D8AFE4C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Fenofibrat je derivat fibrinske kiseline, čiji su efekti izm</w:t>
      </w:r>
      <w:r w:rsidR="004145DB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ene lipidnog statusa kod ljudi posredovani aktivacijom peroksizomalnog proliferativnog aktiviraju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eg receptora tipa alfa (PPAR</w:t>
      </w:r>
      <w:r w:rsidRPr="00AD763B">
        <w:rPr>
          <w:sz w:val="22"/>
          <w:szCs w:val="22"/>
          <w:lang w:val="sr-Latn-ME"/>
        </w:rPr>
        <w:sym w:font="Symbol" w:char="F061"/>
      </w:r>
      <w:r w:rsidRPr="00AD763B">
        <w:rPr>
          <w:sz w:val="22"/>
          <w:szCs w:val="22"/>
          <w:lang w:val="sr-Latn-ME"/>
        </w:rPr>
        <w:t>).</w:t>
      </w:r>
    </w:p>
    <w:p w14:paraId="1EA2FE3B" w14:textId="484A62C8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Aktivacijom PPAR</w:t>
      </w:r>
      <w:r w:rsidRPr="00AD763B">
        <w:rPr>
          <w:sz w:val="22"/>
          <w:szCs w:val="22"/>
          <w:lang w:val="sr-Latn-ME"/>
        </w:rPr>
        <w:sym w:font="Symbol" w:char="F061"/>
      </w:r>
      <w:r w:rsidRPr="00AD763B">
        <w:rPr>
          <w:sz w:val="22"/>
          <w:szCs w:val="22"/>
          <w:lang w:val="sr-Latn-ME"/>
        </w:rPr>
        <w:t>, fenofibrati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avaju lipolizu i eliminaciju iz plazme aterogenih čestica bogatih trigliceridima aktivacijom lipoproteinske lipaze i smanjenom produkcijom apolipoproteina CIII. Aktivacija PPARα takođe indukuje i porast sinteze apolipoproteina AI i AII. </w:t>
      </w:r>
    </w:p>
    <w:p w14:paraId="6DFFE330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0CBBACC4" w14:textId="1D4250D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Navedeni efekti fenofibrata na lipoproteine dovode do smanjenja frakcije veoma male i male gustine lipoproteina (VLDL i LDL), koje sadrže apoliprotein B i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anja lipoproteinske frakcije velike gustine (HDL) koja sadrži apolipoprotein AI i AII. </w:t>
      </w:r>
    </w:p>
    <w:p w14:paraId="16DF864A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182F895F" w14:textId="3FE02743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Pored toga, kroz modulaciju sinteze i katabolizma VLDL frakcija, fenofibrat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ava klirens LDL i smanjuje LDL frakciju male gustine, čiji nivoi su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ani kod aterogenog-lipoproteinskog fenotipa, što je čest poreme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aj kod pacijenata sa rizikom od koronarne bolesti.</w:t>
      </w:r>
    </w:p>
    <w:p w14:paraId="72B5B5BC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4009DE4A" w14:textId="154F0B23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Tokom kliničkog ispitivanja fenofibrata, nivo ukupnog holesterola je smanjen za 20 do 25%, triglicerida za 40 do 55% i HDL holesterola je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an za 10 do 30%.</w:t>
      </w:r>
    </w:p>
    <w:p w14:paraId="55A1936D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32A18E92" w14:textId="4479C3D5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Kod pacijenata sa hiperholesterolemijom, kod kojih se koncentracija LDL holesterola </w:t>
      </w:r>
      <w:r w:rsidR="00AC58C7" w:rsidRPr="00AD763B">
        <w:rPr>
          <w:sz w:val="22"/>
          <w:szCs w:val="22"/>
          <w:lang w:val="sr-Latn-ME"/>
        </w:rPr>
        <w:t xml:space="preserve">smanjila </w:t>
      </w:r>
      <w:r w:rsidRPr="00AD763B">
        <w:rPr>
          <w:sz w:val="22"/>
          <w:szCs w:val="22"/>
          <w:lang w:val="sr-Latn-ME"/>
        </w:rPr>
        <w:t>za 20 do 35%, ukupni efekat na nivo holesterola rezultira</w:t>
      </w:r>
      <w:r w:rsidR="00AC58C7" w:rsidRPr="00AD763B">
        <w:rPr>
          <w:sz w:val="22"/>
          <w:szCs w:val="22"/>
          <w:lang w:val="sr-Latn-ME"/>
        </w:rPr>
        <w:t>o je</w:t>
      </w:r>
      <w:r w:rsidRPr="00AD763B">
        <w:rPr>
          <w:sz w:val="22"/>
          <w:szCs w:val="22"/>
          <w:lang w:val="sr-Latn-ME"/>
        </w:rPr>
        <w:t xml:space="preserve"> padom u odnosima </w:t>
      </w:r>
      <w:r w:rsidR="00AC58C7" w:rsidRPr="00AD763B">
        <w:rPr>
          <w:sz w:val="22"/>
          <w:szCs w:val="22"/>
          <w:lang w:val="sr-Latn-ME"/>
        </w:rPr>
        <w:t xml:space="preserve">ukupni </w:t>
      </w:r>
      <w:r w:rsidRPr="00AD763B">
        <w:rPr>
          <w:sz w:val="22"/>
          <w:szCs w:val="22"/>
          <w:lang w:val="sr-Latn-ME"/>
        </w:rPr>
        <w:t>holesterol</w:t>
      </w:r>
      <w:r w:rsidR="00AC58C7" w:rsidRPr="00AD763B">
        <w:rPr>
          <w:sz w:val="22"/>
          <w:szCs w:val="22"/>
          <w:lang w:val="sr-Latn-ME"/>
        </w:rPr>
        <w:t>/</w:t>
      </w:r>
      <w:r w:rsidRPr="00AD763B">
        <w:rPr>
          <w:sz w:val="22"/>
          <w:szCs w:val="22"/>
          <w:lang w:val="sr-Latn-ME"/>
        </w:rPr>
        <w:t>HDL holesterol, LDL holesterol</w:t>
      </w:r>
      <w:r w:rsidR="00AC58C7" w:rsidRPr="00AD763B">
        <w:rPr>
          <w:sz w:val="22"/>
          <w:szCs w:val="22"/>
          <w:lang w:val="sr-Latn-ME"/>
        </w:rPr>
        <w:t>/</w:t>
      </w:r>
      <w:r w:rsidRPr="00AD763B">
        <w:rPr>
          <w:sz w:val="22"/>
          <w:szCs w:val="22"/>
          <w:lang w:val="sr-Latn-ME"/>
        </w:rPr>
        <w:t>HDL holesterol i Apo B</w:t>
      </w:r>
      <w:r w:rsidR="00AC58C7" w:rsidRPr="00AD763B">
        <w:rPr>
          <w:sz w:val="22"/>
          <w:szCs w:val="22"/>
          <w:lang w:val="sr-Latn-ME"/>
        </w:rPr>
        <w:t>/</w:t>
      </w:r>
      <w:r w:rsidRPr="00AD763B">
        <w:rPr>
          <w:sz w:val="22"/>
          <w:szCs w:val="22"/>
          <w:lang w:val="sr-Latn-ME"/>
        </w:rPr>
        <w:t xml:space="preserve">Apo AI, </w:t>
      </w:r>
      <w:r w:rsidR="00532568" w:rsidRPr="00AD763B">
        <w:rPr>
          <w:sz w:val="22"/>
          <w:szCs w:val="22"/>
          <w:lang w:val="sr-Latn-ME"/>
        </w:rPr>
        <w:t>a svi</w:t>
      </w:r>
      <w:r w:rsidRPr="00AD763B">
        <w:rPr>
          <w:sz w:val="22"/>
          <w:szCs w:val="22"/>
          <w:lang w:val="sr-Latn-ME"/>
        </w:rPr>
        <w:t xml:space="preserve"> su</w:t>
      </w:r>
      <w:r w:rsidR="00532568" w:rsidRPr="00AD763B">
        <w:rPr>
          <w:sz w:val="22"/>
          <w:szCs w:val="22"/>
          <w:lang w:val="sr-Latn-ME"/>
        </w:rPr>
        <w:t xml:space="preserve"> oni</w:t>
      </w:r>
      <w:r w:rsidRPr="00AD763B">
        <w:rPr>
          <w:sz w:val="22"/>
          <w:szCs w:val="22"/>
          <w:lang w:val="sr-Latn-ME"/>
        </w:rPr>
        <w:t xml:space="preserve"> markeri aterogenog rizika.</w:t>
      </w:r>
    </w:p>
    <w:p w14:paraId="7AE745EF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1572EC4B" w14:textId="6C8222D0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Dokazano je da </w:t>
      </w:r>
      <w:r w:rsidR="0032632C" w:rsidRPr="00AD763B">
        <w:rPr>
          <w:sz w:val="22"/>
          <w:szCs w:val="22"/>
          <w:lang w:val="sr-Latn-ME"/>
        </w:rPr>
        <w:t>liječenje</w:t>
      </w:r>
      <w:r w:rsidRPr="00AD763B">
        <w:rPr>
          <w:sz w:val="22"/>
          <w:szCs w:val="22"/>
          <w:lang w:val="sr-Latn-ME"/>
        </w:rPr>
        <w:t xml:space="preserve"> fenofibratom može da smanji pojavu srčane bolesti, ali nije dokazano da smanjuje sve uzroke smrtnosti kod primarne ili sekundarne prevencije od kardiovaskularnih bolesti.  </w:t>
      </w:r>
    </w:p>
    <w:p w14:paraId="74DFC67F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47CEDA64" w14:textId="0A4A1311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ACCORD studija (engl. </w:t>
      </w:r>
      <w:r w:rsidRPr="00AD763B">
        <w:rPr>
          <w:i/>
          <w:sz w:val="22"/>
          <w:szCs w:val="22"/>
          <w:lang w:val="sr-Latn-ME"/>
        </w:rPr>
        <w:t>The Action to Control Cardiovascular Risk in Diabetes</w:t>
      </w:r>
      <w:r w:rsidRPr="00AD763B">
        <w:rPr>
          <w:sz w:val="22"/>
          <w:szCs w:val="22"/>
          <w:lang w:val="sr-Latn-ME"/>
        </w:rPr>
        <w:t xml:space="preserve">) bila je randomizovana, placebo kontrolisana studija na 5518 pacijenata sa dijabetes melitusom tipa 2 </w:t>
      </w:r>
      <w:r w:rsidR="0032632C" w:rsidRPr="00AD763B">
        <w:rPr>
          <w:sz w:val="22"/>
          <w:szCs w:val="22"/>
          <w:lang w:val="sr-Latn-ME"/>
        </w:rPr>
        <w:t>liječeni</w:t>
      </w:r>
      <w:r w:rsidRPr="00AD763B">
        <w:rPr>
          <w:sz w:val="22"/>
          <w:szCs w:val="22"/>
          <w:lang w:val="sr-Latn-ME"/>
        </w:rPr>
        <w:t>h fenofibratom pored simvastatina. Kombinovana terapija fenofibratom i simvastatinom nije pokazala značajne razlike u poređenju sa monoterapijom simvastatinom u primarnim ishodima infarkta miokarda bez smrtnog ishoda, moždanog udara bez smrtnog ishoda i kardiovaskularne smrti (koeficijent rizika [HR] 0,92; 95% CI 0,79-1,08; p = 0,32; smanjenje apsolutnog rizika: 0,74%). U prethodno izdvojenoj podgrupi pacijenata sa dislipidemijom u kojoj je bila tre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ina pacijenata sa najnižim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ima HDL</w:t>
      </w:r>
      <w:r w:rsidR="00AC58C7" w:rsidRPr="00AD763B">
        <w:rPr>
          <w:sz w:val="22"/>
          <w:szCs w:val="22"/>
          <w:lang w:val="sr-Latn-ME"/>
        </w:rPr>
        <w:t xml:space="preserve"> </w:t>
      </w:r>
      <w:r w:rsidRPr="00AD763B">
        <w:rPr>
          <w:sz w:val="22"/>
          <w:szCs w:val="22"/>
          <w:lang w:val="sr-Latn-ME"/>
        </w:rPr>
        <w:t>holesterola (≤ 34 mg/d</w:t>
      </w:r>
      <w:r w:rsidR="000910A6" w:rsidRPr="00AD763B">
        <w:rPr>
          <w:sz w:val="22"/>
          <w:szCs w:val="22"/>
          <w:lang w:val="sr-Latn-ME"/>
        </w:rPr>
        <w:t>l</w:t>
      </w:r>
      <w:r w:rsidRPr="00AD763B">
        <w:rPr>
          <w:sz w:val="22"/>
          <w:szCs w:val="22"/>
          <w:lang w:val="sr-Latn-ME"/>
        </w:rPr>
        <w:t xml:space="preserve"> ili 0,88 mmol/</w:t>
      </w:r>
      <w:r w:rsidR="000910A6" w:rsidRPr="00AD763B">
        <w:rPr>
          <w:sz w:val="22"/>
          <w:szCs w:val="22"/>
          <w:lang w:val="sr-Latn-ME"/>
        </w:rPr>
        <w:t>l</w:t>
      </w:r>
      <w:r w:rsidRPr="00AD763B">
        <w:rPr>
          <w:sz w:val="22"/>
          <w:szCs w:val="22"/>
          <w:lang w:val="sr-Latn-ME"/>
        </w:rPr>
        <w:t>) i tre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ina pacijenata sa najvišim </w:t>
      </w:r>
      <w:r w:rsidR="001808E7" w:rsidRPr="00AD763B">
        <w:rPr>
          <w:sz w:val="22"/>
          <w:szCs w:val="22"/>
          <w:lang w:val="sr-Latn-ME"/>
        </w:rPr>
        <w:t>vrijednost</w:t>
      </w:r>
      <w:r w:rsidRPr="00AD763B">
        <w:rPr>
          <w:sz w:val="22"/>
          <w:szCs w:val="22"/>
          <w:lang w:val="sr-Latn-ME"/>
        </w:rPr>
        <w:t>ima triglicerida (≥ 204 mg/d</w:t>
      </w:r>
      <w:r w:rsidR="000910A6" w:rsidRPr="00AD763B">
        <w:rPr>
          <w:sz w:val="22"/>
          <w:szCs w:val="22"/>
          <w:lang w:val="sr-Latn-ME"/>
        </w:rPr>
        <w:t>l</w:t>
      </w:r>
      <w:r w:rsidRPr="00AD763B">
        <w:rPr>
          <w:sz w:val="22"/>
          <w:szCs w:val="22"/>
          <w:lang w:val="sr-Latn-ME"/>
        </w:rPr>
        <w:t xml:space="preserve"> ili 2,3 mmol/</w:t>
      </w:r>
      <w:r w:rsidR="000910A6" w:rsidRPr="00AD763B">
        <w:rPr>
          <w:sz w:val="22"/>
          <w:szCs w:val="22"/>
          <w:lang w:val="sr-Latn-ME"/>
        </w:rPr>
        <w:t>l</w:t>
      </w:r>
      <w:r w:rsidRPr="00AD763B">
        <w:rPr>
          <w:sz w:val="22"/>
          <w:szCs w:val="22"/>
          <w:lang w:val="sr-Latn-ME"/>
        </w:rPr>
        <w:t xml:space="preserve">) na početku studije, kombinovana terapija fenofibrata i simvastatina pokazuje relativno smanjenje od 31% u poređenju sa monoterapijom simvastatinom po pitanju primarnih parametara (koeficijent rizika [HR] 0,69; 95% CI 0,49-0,97; p=0,03; smanjenje apsolutnog rizika: 4,95%). Druga analiza prethodno izdvojene podgrupe je pokazala statistički značajnu interakciju </w:t>
      </w:r>
      <w:r w:rsidR="0032632C" w:rsidRPr="00AD763B">
        <w:rPr>
          <w:sz w:val="22"/>
          <w:szCs w:val="22"/>
          <w:lang w:val="sr-Latn-ME"/>
        </w:rPr>
        <w:t>liječenja</w:t>
      </w:r>
      <w:r w:rsidRPr="00AD763B">
        <w:rPr>
          <w:sz w:val="22"/>
          <w:szCs w:val="22"/>
          <w:lang w:val="sr-Latn-ME"/>
        </w:rPr>
        <w:t xml:space="preserve"> prema polu pacijenata (p=0,01) ukazuju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 na mogu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u korist kombinovane terapije kod muškaraca (p=0,037), ali i mogu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nost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anog rizika po pitanju primarnih ishoda kod žena kod kojih se prim</w:t>
      </w:r>
      <w:r w:rsidR="000910A6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enjuje kombinovana terapija u poređenju sa monoterapijom simvastatinom (p=0,069). Ovakva interakcija nije uočena kod prethodno navedene podgrupe pacijenata sa dislipidemijom, ali takođe nije jasna ni korist kombinovane terapije kod žena sa dislipidemijom, pa se mogu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 štetan efekat u ovoj podgrupi ne može isključiti.</w:t>
      </w:r>
    </w:p>
    <w:p w14:paraId="659D09AA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5488A8B5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Ekstravaskularni depoi holesterola (tetivni i tuberozni ksantomi) mogu se značajno smanjiti ili potpuno eliminisati tokom terapije fenofibratom.</w:t>
      </w:r>
    </w:p>
    <w:p w14:paraId="19BCFB74" w14:textId="63AE0F91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Kod pacijenta sa povišenim nivoom fibrinogena </w:t>
      </w:r>
      <w:r w:rsidR="0032632C" w:rsidRPr="00AD763B">
        <w:rPr>
          <w:sz w:val="22"/>
          <w:szCs w:val="22"/>
          <w:lang w:val="sr-Latn-ME"/>
        </w:rPr>
        <w:t>liječeni</w:t>
      </w:r>
      <w:r w:rsidRPr="00AD763B">
        <w:rPr>
          <w:sz w:val="22"/>
          <w:szCs w:val="22"/>
          <w:lang w:val="sr-Latn-ME"/>
        </w:rPr>
        <w:t xml:space="preserve">h fenofibratom uočeno je znatno smanjenje fibrinogena, kao i kod pacijenata sa povišenim nivoima Lp(a). Ostali markeri zapaljenja. kao što je C-reaktivni protein, smanjuju su terapijom fenofibratom.  </w:t>
      </w:r>
    </w:p>
    <w:p w14:paraId="02074080" w14:textId="56CA3915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lastRenderedPageBreak/>
        <w:t>Urikozurični efekat fenofibrata, koji dovodi do smanjenja nivoa mokra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ne kiseline za 25%, može biti dodatna korist u </w:t>
      </w:r>
      <w:r w:rsidR="00132B77" w:rsidRPr="00AD763B">
        <w:rPr>
          <w:sz w:val="22"/>
          <w:szCs w:val="22"/>
          <w:lang w:val="sr-Latn-ME"/>
        </w:rPr>
        <w:t>liječenju</w:t>
      </w:r>
      <w:r w:rsidRPr="00AD763B">
        <w:rPr>
          <w:sz w:val="22"/>
          <w:szCs w:val="22"/>
          <w:lang w:val="sr-Latn-ME"/>
        </w:rPr>
        <w:t xml:space="preserve"> dislipidemičnih pacijenata sa hiperurikemijom. </w:t>
      </w:r>
    </w:p>
    <w:p w14:paraId="6B421A2E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Fenofibrat pokazuje antiagregacijski efekat na trombocite kod životinja i u kliničkim studijama, koje pokazuju smanjenje agregacije trombocita indukovanih ADP-om, arahidonskom kiselinom i epinefrinom.</w:t>
      </w:r>
    </w:p>
    <w:p w14:paraId="7AD2886C" w14:textId="77777777" w:rsidR="007009EF" w:rsidRPr="00AD763B" w:rsidRDefault="007009EF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6D5356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5.2.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Farmakokinetički podaci</w:t>
      </w:r>
      <w:r w:rsidR="003A7059" w:rsidRPr="00AD763B">
        <w:rPr>
          <w:b/>
          <w:bCs/>
          <w:sz w:val="22"/>
          <w:szCs w:val="22"/>
          <w:lang w:val="sr-Latn-ME"/>
        </w:rPr>
        <w:t xml:space="preserve"> </w:t>
      </w:r>
    </w:p>
    <w:p w14:paraId="6722FB62" w14:textId="766B1F7C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0ABCA7" w14:textId="26FCC687" w:rsidR="007009EF" w:rsidRPr="00AD763B" w:rsidRDefault="004E7FE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Lijek </w:t>
      </w:r>
      <w:r w:rsidR="007009EF" w:rsidRPr="00AD763B">
        <w:rPr>
          <w:sz w:val="22"/>
          <w:szCs w:val="22"/>
          <w:lang w:val="sr-Latn-ME"/>
        </w:rPr>
        <w:t xml:space="preserve">Lipanthyl </w:t>
      </w:r>
      <w:r w:rsidR="001D6226" w:rsidRPr="00AD763B">
        <w:rPr>
          <w:sz w:val="22"/>
          <w:szCs w:val="22"/>
          <w:lang w:val="sr-Latn-ME"/>
        </w:rPr>
        <w:t>160</w:t>
      </w:r>
      <w:r w:rsidR="007009EF" w:rsidRPr="00AD763B">
        <w:rPr>
          <w:sz w:val="22"/>
          <w:szCs w:val="22"/>
          <w:lang w:val="sr-Latn-ME"/>
        </w:rPr>
        <w:t xml:space="preserve"> film tablete sadrže </w:t>
      </w:r>
      <w:r w:rsidR="001D6226" w:rsidRPr="00AD763B">
        <w:rPr>
          <w:sz w:val="22"/>
          <w:szCs w:val="22"/>
          <w:lang w:val="sr-Latn-ME"/>
        </w:rPr>
        <w:t>160</w:t>
      </w:r>
      <w:r w:rsidR="007009EF" w:rsidRPr="00AD763B">
        <w:rPr>
          <w:sz w:val="22"/>
          <w:szCs w:val="22"/>
          <w:lang w:val="sr-Latn-ME"/>
        </w:rPr>
        <w:t xml:space="preserve"> mg </w:t>
      </w:r>
      <w:r w:rsidR="004E66F7" w:rsidRPr="00AD763B">
        <w:rPr>
          <w:sz w:val="22"/>
          <w:szCs w:val="22"/>
          <w:lang w:val="sr-Latn-ME"/>
        </w:rPr>
        <w:t>mikronizovanog</w:t>
      </w:r>
      <w:r w:rsidR="007009EF" w:rsidRPr="00AD763B">
        <w:rPr>
          <w:sz w:val="22"/>
          <w:szCs w:val="22"/>
          <w:lang w:val="sr-Latn-ME"/>
        </w:rPr>
        <w:t xml:space="preserve"> fenofibrata</w:t>
      </w:r>
      <w:r w:rsidR="004E66F7" w:rsidRPr="00AD763B">
        <w:rPr>
          <w:sz w:val="22"/>
          <w:szCs w:val="22"/>
          <w:lang w:val="sr-Latn-ME"/>
        </w:rPr>
        <w:t xml:space="preserve"> koji ima ve</w:t>
      </w:r>
      <w:r w:rsidR="000910A6" w:rsidRPr="00AD763B">
        <w:rPr>
          <w:sz w:val="22"/>
          <w:szCs w:val="22"/>
          <w:lang w:val="sr-Latn-ME"/>
        </w:rPr>
        <w:t>ć</w:t>
      </w:r>
      <w:r w:rsidR="004E66F7" w:rsidRPr="00AD763B">
        <w:rPr>
          <w:sz w:val="22"/>
          <w:szCs w:val="22"/>
          <w:lang w:val="sr-Latn-ME"/>
        </w:rPr>
        <w:t>u bioraspoloživost u poređenju sa prethodnom formulacijom</w:t>
      </w:r>
      <w:r w:rsidR="007009EF" w:rsidRPr="00AD763B">
        <w:rPr>
          <w:sz w:val="22"/>
          <w:szCs w:val="22"/>
          <w:lang w:val="sr-Latn-ME"/>
        </w:rPr>
        <w:t>.</w:t>
      </w:r>
    </w:p>
    <w:p w14:paraId="51F43D84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21E8CB8B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Resorpcija</w:t>
      </w:r>
    </w:p>
    <w:p w14:paraId="7AD55E1F" w14:textId="4B521D92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Maksimalna koncentracija u plazmi (Cmax) postiže se u roku od </w:t>
      </w:r>
      <w:r w:rsidR="004E66F7" w:rsidRPr="00AD763B">
        <w:rPr>
          <w:sz w:val="22"/>
          <w:szCs w:val="22"/>
          <w:lang w:val="sr-Latn-ME"/>
        </w:rPr>
        <w:t>4 do 5 sati</w:t>
      </w:r>
      <w:r w:rsidRPr="00AD763B">
        <w:rPr>
          <w:sz w:val="22"/>
          <w:szCs w:val="22"/>
          <w:lang w:val="sr-Latn-ME"/>
        </w:rPr>
        <w:t xml:space="preserve"> nakon oralne </w:t>
      </w:r>
      <w:r w:rsidR="004E7FEE" w:rsidRPr="00AD763B">
        <w:rPr>
          <w:sz w:val="22"/>
          <w:szCs w:val="22"/>
          <w:lang w:val="sr-Latn-ME"/>
        </w:rPr>
        <w:t>primjene</w:t>
      </w:r>
      <w:r w:rsidRPr="00AD763B">
        <w:rPr>
          <w:sz w:val="22"/>
          <w:szCs w:val="22"/>
          <w:lang w:val="sr-Latn-ME"/>
        </w:rPr>
        <w:t>. Koncentracije</w:t>
      </w:r>
      <w:r w:rsidR="004E7FEE" w:rsidRPr="00AD763B">
        <w:rPr>
          <w:sz w:val="22"/>
          <w:szCs w:val="22"/>
          <w:lang w:val="sr-Latn-ME"/>
        </w:rPr>
        <w:t xml:space="preserve"> lijeka </w:t>
      </w:r>
      <w:r w:rsidRPr="00AD763B">
        <w:rPr>
          <w:sz w:val="22"/>
          <w:szCs w:val="22"/>
          <w:lang w:val="sr-Latn-ME"/>
        </w:rPr>
        <w:t xml:space="preserve">u plazmi stabilne su tokom kontinuiranog </w:t>
      </w:r>
      <w:r w:rsidR="0032632C" w:rsidRPr="00AD763B">
        <w:rPr>
          <w:sz w:val="22"/>
          <w:szCs w:val="22"/>
          <w:lang w:val="sr-Latn-ME"/>
        </w:rPr>
        <w:t>liječenja</w:t>
      </w:r>
      <w:r w:rsidRPr="00AD763B">
        <w:rPr>
          <w:sz w:val="22"/>
          <w:szCs w:val="22"/>
          <w:lang w:val="sr-Latn-ME"/>
        </w:rPr>
        <w:t xml:space="preserve"> kod svih pacijenata.</w:t>
      </w:r>
    </w:p>
    <w:p w14:paraId="2873EBAB" w14:textId="4A58F219" w:rsidR="007009EF" w:rsidRPr="00AD763B" w:rsidRDefault="004E66F7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Resorpcija fenofibrata se pove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ava ako se lijek uzima sa hranom.</w:t>
      </w:r>
    </w:p>
    <w:p w14:paraId="0224D4FE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5A0BCDE4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Distribucija</w:t>
      </w:r>
    </w:p>
    <w:p w14:paraId="11E697D3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Fenofibrinska kiselina se čvrsto vezuje za albumine plazme (više od 99%).</w:t>
      </w:r>
    </w:p>
    <w:p w14:paraId="565B24A9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019A4B47" w14:textId="77777777" w:rsidR="007009EF" w:rsidRPr="00AD763B" w:rsidRDefault="007009EF" w:rsidP="00951A07">
      <w:pPr>
        <w:jc w:val="both"/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Metabolizam i eliminacija</w:t>
      </w:r>
    </w:p>
    <w:p w14:paraId="17469B24" w14:textId="56394AD3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Nakon oralne </w:t>
      </w:r>
      <w:r w:rsidR="004E7FEE" w:rsidRPr="00AD763B">
        <w:rPr>
          <w:sz w:val="22"/>
          <w:szCs w:val="22"/>
          <w:lang w:val="sr-Latn-ME"/>
        </w:rPr>
        <w:t>primjene</w:t>
      </w:r>
      <w:r w:rsidRPr="00AD763B">
        <w:rPr>
          <w:sz w:val="22"/>
          <w:szCs w:val="22"/>
          <w:lang w:val="sr-Latn-ME"/>
        </w:rPr>
        <w:t>, fenofibrat se brzo hidrolizuje esterazama do aktivnog metabolita fenofibrinske kiseline. Neprom</w:t>
      </w:r>
      <w:r w:rsidR="00CE44AA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enjeni fenofibrat se ne može detektovati u plazmi. Fenofibrat nije supstrat enzima CYP 3A4. Mikrozomalni metabolizam jetre nije uključen.</w:t>
      </w:r>
    </w:p>
    <w:p w14:paraId="0ABA7E56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2F8D6872" w14:textId="3F97D0E8" w:rsidR="007009EF" w:rsidRPr="00AD763B" w:rsidRDefault="004E7FE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Lijek </w:t>
      </w:r>
      <w:r w:rsidR="007009EF" w:rsidRPr="00AD763B">
        <w:rPr>
          <w:sz w:val="22"/>
          <w:szCs w:val="22"/>
          <w:lang w:val="sr-Latn-ME"/>
        </w:rPr>
        <w:t>se uglavnom izlučuje putem urina. Potpuna eliminacija</w:t>
      </w:r>
      <w:r w:rsidRPr="00AD763B">
        <w:rPr>
          <w:sz w:val="22"/>
          <w:szCs w:val="22"/>
          <w:lang w:val="sr-Latn-ME"/>
        </w:rPr>
        <w:t xml:space="preserve"> lijeka </w:t>
      </w:r>
      <w:r w:rsidR="007009EF" w:rsidRPr="00AD763B">
        <w:rPr>
          <w:sz w:val="22"/>
          <w:szCs w:val="22"/>
          <w:lang w:val="sr-Latn-ME"/>
        </w:rPr>
        <w:t xml:space="preserve">postiže se u toku 6 dana. </w:t>
      </w:r>
    </w:p>
    <w:p w14:paraId="5EECAC46" w14:textId="2DB58904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Fenofibrat se uglavnom izlučuje u obliku fenofibrinske kiseline i njenih glukuronidnih konjugata. Kod starijih pacijenata ukupni plazma klirens fenofibrinske kiseline se ne m</w:t>
      </w:r>
      <w:r w:rsidR="00CE44AA" w:rsidRPr="00AD763B">
        <w:rPr>
          <w:sz w:val="22"/>
          <w:szCs w:val="22"/>
          <w:lang w:val="sr-Latn-ME"/>
        </w:rPr>
        <w:t>ije</w:t>
      </w:r>
      <w:r w:rsidRPr="00AD763B">
        <w:rPr>
          <w:sz w:val="22"/>
          <w:szCs w:val="22"/>
          <w:lang w:val="sr-Latn-ME"/>
        </w:rPr>
        <w:t>nja.</w:t>
      </w:r>
    </w:p>
    <w:p w14:paraId="3899ED3B" w14:textId="7F0EA5F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Kinetičke studije</w:t>
      </w:r>
      <w:r w:rsidR="00CE44AA" w:rsidRPr="00AD763B">
        <w:rPr>
          <w:sz w:val="22"/>
          <w:szCs w:val="22"/>
          <w:lang w:val="sr-Latn-ME"/>
        </w:rPr>
        <w:t xml:space="preserve"> poslije </w:t>
      </w:r>
      <w:r w:rsidRPr="00AD763B">
        <w:rPr>
          <w:sz w:val="22"/>
          <w:szCs w:val="22"/>
          <w:lang w:val="sr-Latn-ME"/>
        </w:rPr>
        <w:t xml:space="preserve">pojedinačne i ponovljene oralne </w:t>
      </w:r>
      <w:r w:rsidR="004E7FEE" w:rsidRPr="00AD763B">
        <w:rPr>
          <w:sz w:val="22"/>
          <w:szCs w:val="22"/>
          <w:lang w:val="sr-Latn-ME"/>
        </w:rPr>
        <w:t xml:space="preserve">primjene lijeka </w:t>
      </w:r>
      <w:r w:rsidRPr="00AD763B">
        <w:rPr>
          <w:sz w:val="22"/>
          <w:szCs w:val="22"/>
          <w:lang w:val="sr-Latn-ME"/>
        </w:rPr>
        <w:t xml:space="preserve">pokazale su da se </w:t>
      </w:r>
      <w:r w:rsidR="00CE44AA" w:rsidRPr="00AD763B">
        <w:rPr>
          <w:sz w:val="22"/>
          <w:szCs w:val="22"/>
          <w:lang w:val="sr-Latn-ME"/>
        </w:rPr>
        <w:t>lijek</w:t>
      </w:r>
      <w:r w:rsidR="004E7FEE" w:rsidRPr="00AD763B">
        <w:rPr>
          <w:sz w:val="22"/>
          <w:szCs w:val="22"/>
          <w:lang w:val="sr-Latn-ME"/>
        </w:rPr>
        <w:t xml:space="preserve"> </w:t>
      </w:r>
      <w:r w:rsidRPr="00AD763B">
        <w:rPr>
          <w:sz w:val="22"/>
          <w:szCs w:val="22"/>
          <w:lang w:val="sr-Latn-ME"/>
        </w:rPr>
        <w:t xml:space="preserve">ne akumulira. Fenofibrinska kiselina se ne eliminiše hemodijalizom. </w:t>
      </w:r>
    </w:p>
    <w:p w14:paraId="042ED2E5" w14:textId="77E12CE2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Poluvr</w:t>
      </w:r>
      <w:r w:rsidR="00CE44AA" w:rsidRPr="00AD763B">
        <w:rPr>
          <w:sz w:val="22"/>
          <w:szCs w:val="22"/>
          <w:lang w:val="sr-Latn-ME"/>
        </w:rPr>
        <w:t>ije</w:t>
      </w:r>
      <w:r w:rsidRPr="00AD763B">
        <w:rPr>
          <w:sz w:val="22"/>
          <w:szCs w:val="22"/>
          <w:lang w:val="sr-Latn-ME"/>
        </w:rPr>
        <w:t>me eliminacije fenofibrinske kiseline je oko 20 sati.</w:t>
      </w:r>
    </w:p>
    <w:p w14:paraId="06A3DABA" w14:textId="77777777" w:rsidR="007009EF" w:rsidRPr="00AD763B" w:rsidRDefault="007009EF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12C33B" w14:textId="77777777" w:rsidR="0072020E" w:rsidRPr="00AD763B" w:rsidRDefault="0072020E" w:rsidP="00951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5.3.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ED8861A" w14:textId="77777777" w:rsidR="00836B35" w:rsidRPr="00AD763B" w:rsidRDefault="00836B35" w:rsidP="00951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0C1A1A" w14:textId="0E030D31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U trom</w:t>
      </w:r>
      <w:r w:rsidR="00CE44AA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 xml:space="preserve">esečnoj pretkliničkoj studiji oralne </w:t>
      </w:r>
      <w:r w:rsidR="004E7FEE" w:rsidRPr="00AD763B">
        <w:rPr>
          <w:sz w:val="22"/>
          <w:szCs w:val="22"/>
          <w:lang w:val="sr-Latn-ME"/>
        </w:rPr>
        <w:t>primjene</w:t>
      </w:r>
      <w:r w:rsidRPr="00AD763B">
        <w:rPr>
          <w:sz w:val="22"/>
          <w:szCs w:val="22"/>
          <w:lang w:val="sr-Latn-ME"/>
        </w:rPr>
        <w:t xml:space="preserve"> fenofibrinske kiseline na pacovima aktivnim metabolitom fenofibrata, uočeni su toksičnost na skeletnim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ima (posebno onim bogatim vlaknima tipa I) i srčana degeneracija, anemija i smanjenje t</w:t>
      </w:r>
      <w:r w:rsidR="00F87B9D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elesne mase. Toksičnost na skeletnim miši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ima nije uočena pri dozama do 30 mg/kg (oko 17 puta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 izloženost u odnosu na maksimalnu preporučenu dozu za ljude). Nije uočena kardiomiotoksičnost pri izloženosti dozama oko 3 puta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 xml:space="preserve">im od maksimalne preporučene doze za ljude. Reverzibilni ulkusi i erozije u gastrointestinalnom traktu javili su se kod pasa tretiranih tokom tri </w:t>
      </w:r>
      <w:r w:rsidR="001808E7" w:rsidRPr="00AD763B">
        <w:rPr>
          <w:sz w:val="22"/>
          <w:szCs w:val="22"/>
          <w:lang w:val="sr-Latn-ME"/>
        </w:rPr>
        <w:t>mjesec</w:t>
      </w:r>
      <w:r w:rsidRPr="00AD763B">
        <w:rPr>
          <w:sz w:val="22"/>
          <w:szCs w:val="22"/>
          <w:lang w:val="sr-Latn-ME"/>
        </w:rPr>
        <w:t>a.</w:t>
      </w:r>
      <w:r w:rsidR="001808E7" w:rsidRPr="00AD763B">
        <w:rPr>
          <w:sz w:val="22"/>
          <w:szCs w:val="22"/>
          <w:lang w:val="sr-Latn-ME"/>
        </w:rPr>
        <w:t xml:space="preserve"> </w:t>
      </w:r>
      <w:r w:rsidR="00F87B9D" w:rsidRPr="00AD763B">
        <w:rPr>
          <w:sz w:val="22"/>
          <w:szCs w:val="22"/>
          <w:lang w:val="sr-Latn-ME"/>
        </w:rPr>
        <w:t>Ni</w:t>
      </w:r>
      <w:r w:rsidR="001808E7" w:rsidRPr="00AD763B">
        <w:rPr>
          <w:sz w:val="22"/>
          <w:szCs w:val="22"/>
          <w:lang w:val="sr-Latn-ME"/>
        </w:rPr>
        <w:t xml:space="preserve">jesu </w:t>
      </w:r>
      <w:r w:rsidRPr="00AD763B">
        <w:rPr>
          <w:sz w:val="22"/>
          <w:szCs w:val="22"/>
          <w:lang w:val="sr-Latn-ME"/>
        </w:rPr>
        <w:t>uočene gastrointestinalne lezije u studiji izloženosti oko 5 puta ve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oj od maksimalne preporučene doze za ljude.</w:t>
      </w:r>
    </w:p>
    <w:p w14:paraId="20521A49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08C716E6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Studije mutagenosti fenofibrata bile su negativne.</w:t>
      </w:r>
    </w:p>
    <w:p w14:paraId="58C627C1" w14:textId="6069D92B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Kod pacova i miševa prim</w:t>
      </w:r>
      <w:r w:rsidR="00F87B9D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eni su tumori jetre pri visokim dozama, što je pripisano proliferaciji peroksizoma. Ove prom</w:t>
      </w:r>
      <w:r w:rsidR="00F87B9D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ene su specifične za male glodare i</w:t>
      </w:r>
      <w:r w:rsidR="001808E7" w:rsidRPr="00AD763B">
        <w:rPr>
          <w:sz w:val="22"/>
          <w:szCs w:val="22"/>
          <w:lang w:val="sr-Latn-ME"/>
        </w:rPr>
        <w:t xml:space="preserve"> nijesu </w:t>
      </w:r>
      <w:r w:rsidRPr="00AD763B">
        <w:rPr>
          <w:sz w:val="22"/>
          <w:szCs w:val="22"/>
          <w:lang w:val="sr-Latn-ME"/>
        </w:rPr>
        <w:t>prim</w:t>
      </w:r>
      <w:r w:rsidR="00AC58C7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ene kod drugih životinjskih vrsta. Ovo nema terapijski značaj za upotrebu kod ljudi.</w:t>
      </w:r>
    </w:p>
    <w:p w14:paraId="46F00F9D" w14:textId="77777777" w:rsidR="00DE549E" w:rsidRPr="00AD763B" w:rsidRDefault="00DE549E" w:rsidP="00951A07">
      <w:pPr>
        <w:jc w:val="both"/>
        <w:rPr>
          <w:sz w:val="22"/>
          <w:szCs w:val="22"/>
          <w:lang w:val="sr-Latn-ME"/>
        </w:rPr>
      </w:pPr>
    </w:p>
    <w:p w14:paraId="44F00BC7" w14:textId="14A5BCF3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Studije na miševima, pacovima i kuni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ima</w:t>
      </w:r>
      <w:r w:rsidR="001808E7" w:rsidRPr="00AD763B">
        <w:rPr>
          <w:sz w:val="22"/>
          <w:szCs w:val="22"/>
          <w:lang w:val="sr-Latn-ME"/>
        </w:rPr>
        <w:t xml:space="preserve"> nijesu </w:t>
      </w:r>
      <w:r w:rsidRPr="00AD763B">
        <w:rPr>
          <w:sz w:val="22"/>
          <w:szCs w:val="22"/>
          <w:lang w:val="sr-Latn-ME"/>
        </w:rPr>
        <w:t>pokazale teratogene efekte. Embriotoksični efekti su prim</w:t>
      </w:r>
      <w:r w:rsidR="00F87B9D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eni pri dozama koje su u opsegu maternalne toksičnosti. Produženje gestacionog perioda i poteško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 prilikom porođaja prim</w:t>
      </w:r>
      <w:r w:rsidR="00F87B9D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ene su pri visokim dozama. Efekti fenofibrata na fertilitet</w:t>
      </w:r>
      <w:r w:rsidR="001808E7" w:rsidRPr="00AD763B">
        <w:rPr>
          <w:sz w:val="22"/>
          <w:szCs w:val="22"/>
          <w:lang w:val="sr-Latn-ME"/>
        </w:rPr>
        <w:t xml:space="preserve"> nijesu </w:t>
      </w:r>
      <w:r w:rsidRPr="00AD763B">
        <w:rPr>
          <w:sz w:val="22"/>
          <w:szCs w:val="22"/>
          <w:lang w:val="sr-Latn-ME"/>
        </w:rPr>
        <w:t>uočeni.</w:t>
      </w:r>
    </w:p>
    <w:p w14:paraId="4800A403" w14:textId="77777777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</w:p>
    <w:p w14:paraId="5BA0F54F" w14:textId="1E2A4C8B" w:rsidR="007009EF" w:rsidRPr="00AD763B" w:rsidRDefault="007009EF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Reverzibilna hipospermija, vakuolizacija testisa i nezrelost jajnika je uočena u studiji toksičnosti ponovljene doze sa fenofibrinskom kiselinom kod </w:t>
      </w:r>
      <w:r w:rsidR="000910A6" w:rsidRPr="00AD763B">
        <w:rPr>
          <w:sz w:val="22"/>
          <w:szCs w:val="22"/>
          <w:lang w:val="sr-Latn-ME"/>
        </w:rPr>
        <w:t>ml</w:t>
      </w:r>
      <w:r w:rsidRPr="00AD763B">
        <w:rPr>
          <w:sz w:val="22"/>
          <w:szCs w:val="22"/>
          <w:lang w:val="sr-Latn-ME"/>
        </w:rPr>
        <w:t>adih pasa. Efekti na plodnost</w:t>
      </w:r>
      <w:r w:rsidR="001808E7" w:rsidRPr="00AD763B">
        <w:rPr>
          <w:sz w:val="22"/>
          <w:szCs w:val="22"/>
          <w:lang w:val="sr-Latn-ME"/>
        </w:rPr>
        <w:t xml:space="preserve"> nijesu </w:t>
      </w:r>
      <w:r w:rsidRPr="00AD763B">
        <w:rPr>
          <w:sz w:val="22"/>
          <w:szCs w:val="22"/>
          <w:lang w:val="sr-Latn-ME"/>
        </w:rPr>
        <w:t>prim</w:t>
      </w:r>
      <w:r w:rsidR="00F87B9D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eni u pretkliničkim studijama reproduktivne toksičnosti sprovedenim sa fenofibratom.</w:t>
      </w:r>
    </w:p>
    <w:p w14:paraId="739D5AD9" w14:textId="6DB4C2A8" w:rsidR="00396DFD" w:rsidRPr="00AD763B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C86CA" w14:textId="77777777" w:rsidR="009D5CCC" w:rsidRPr="00AD763B" w:rsidRDefault="009D5CC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6B33B01" w14:textId="77777777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FARMACEUTSKI PODACI</w:t>
      </w:r>
    </w:p>
    <w:p w14:paraId="54EB7F16" w14:textId="77777777" w:rsidR="00836B35" w:rsidRPr="00AD763B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775438" w14:textId="57C7379A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6.1.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Lista pomo</w:t>
      </w:r>
      <w:r w:rsidR="000910A6" w:rsidRPr="00AD763B">
        <w:rPr>
          <w:b/>
          <w:bCs/>
          <w:sz w:val="22"/>
          <w:szCs w:val="22"/>
          <w:lang w:val="sr-Latn-ME"/>
        </w:rPr>
        <w:t>ć</w:t>
      </w:r>
      <w:r w:rsidRPr="00AD763B">
        <w:rPr>
          <w:b/>
          <w:bCs/>
          <w:sz w:val="22"/>
          <w:szCs w:val="22"/>
          <w:lang w:val="sr-Latn-ME"/>
        </w:rPr>
        <w:t>nih supstanci</w:t>
      </w:r>
      <w:r w:rsidR="002E0135" w:rsidRPr="00AD763B">
        <w:rPr>
          <w:b/>
          <w:bCs/>
          <w:sz w:val="22"/>
          <w:szCs w:val="22"/>
          <w:lang w:val="sr-Latn-ME"/>
        </w:rPr>
        <w:t xml:space="preserve"> (ekscipijenasa)</w:t>
      </w:r>
    </w:p>
    <w:p w14:paraId="21E6D165" w14:textId="0ADF4611" w:rsidR="0072020E" w:rsidRPr="00AD763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A67E96" w14:textId="77777777" w:rsidR="00DE549E" w:rsidRPr="00AD763B" w:rsidRDefault="00DE549E" w:rsidP="00DE549E">
      <w:pPr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Jezgro tablete:</w:t>
      </w:r>
    </w:p>
    <w:p w14:paraId="047CA572" w14:textId="5695FFBB" w:rsidR="00B52F33" w:rsidRPr="00AD763B" w:rsidRDefault="009D5CCC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n</w:t>
      </w:r>
      <w:r w:rsidR="00B52F33" w:rsidRPr="00AD763B">
        <w:rPr>
          <w:sz w:val="22"/>
          <w:szCs w:val="22"/>
          <w:lang w:val="sr-Latn-ME"/>
        </w:rPr>
        <w:t>atrijum</w:t>
      </w:r>
      <w:r w:rsidRPr="00AD763B">
        <w:rPr>
          <w:sz w:val="22"/>
          <w:szCs w:val="22"/>
          <w:lang w:val="sr-Latn-ME"/>
        </w:rPr>
        <w:t xml:space="preserve"> </w:t>
      </w:r>
      <w:r w:rsidR="00B52F33" w:rsidRPr="00AD763B">
        <w:rPr>
          <w:sz w:val="22"/>
          <w:szCs w:val="22"/>
          <w:lang w:val="sr-Latn-ME"/>
        </w:rPr>
        <w:t>laurilsulfat</w:t>
      </w:r>
    </w:p>
    <w:p w14:paraId="44D1F215" w14:textId="53808C96" w:rsidR="00B52F33" w:rsidRPr="00AD763B" w:rsidRDefault="00B52F33" w:rsidP="00B52F33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laktoza monohidrat</w:t>
      </w:r>
    </w:p>
    <w:p w14:paraId="37D6BB6A" w14:textId="43E09CD0" w:rsidR="00B52F33" w:rsidRPr="00AD763B" w:rsidRDefault="00B52F33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povidon</w:t>
      </w:r>
    </w:p>
    <w:p w14:paraId="4456FF37" w14:textId="77777777" w:rsidR="00B52F33" w:rsidRPr="00AD763B" w:rsidRDefault="00B52F33" w:rsidP="00B52F33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krospovidon</w:t>
      </w:r>
    </w:p>
    <w:p w14:paraId="7BB37A1D" w14:textId="77777777" w:rsidR="00B52F33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celuloza, mikrokristalna </w:t>
      </w:r>
    </w:p>
    <w:p w14:paraId="5B7683F3" w14:textId="059E46AA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silicijum</w:t>
      </w:r>
      <w:r w:rsidR="009D5CCC" w:rsidRPr="00AD763B">
        <w:rPr>
          <w:sz w:val="22"/>
          <w:szCs w:val="22"/>
          <w:lang w:val="sr-Latn-ME"/>
        </w:rPr>
        <w:t xml:space="preserve"> </w:t>
      </w:r>
      <w:r w:rsidRPr="00AD763B">
        <w:rPr>
          <w:sz w:val="22"/>
          <w:szCs w:val="22"/>
          <w:lang w:val="sr-Latn-ME"/>
        </w:rPr>
        <w:t xml:space="preserve">dioksid, koloidni, bezvodni </w:t>
      </w:r>
    </w:p>
    <w:p w14:paraId="6CB0E6F4" w14:textId="24099803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natrijum</w:t>
      </w:r>
      <w:r w:rsidR="009D5CCC" w:rsidRPr="00AD763B">
        <w:rPr>
          <w:sz w:val="22"/>
          <w:szCs w:val="22"/>
          <w:lang w:val="sr-Latn-ME"/>
        </w:rPr>
        <w:t xml:space="preserve"> </w:t>
      </w:r>
      <w:r w:rsidR="00B52F33" w:rsidRPr="00AD763B">
        <w:rPr>
          <w:sz w:val="22"/>
          <w:szCs w:val="22"/>
          <w:lang w:val="sr-Latn-ME"/>
        </w:rPr>
        <w:t>stearilfumarat</w:t>
      </w:r>
    </w:p>
    <w:p w14:paraId="2BA4733A" w14:textId="77777777" w:rsidR="00DE549E" w:rsidRPr="00AD763B" w:rsidRDefault="00DE549E" w:rsidP="00DE549E">
      <w:pPr>
        <w:rPr>
          <w:sz w:val="22"/>
          <w:szCs w:val="22"/>
          <w:lang w:val="sr-Latn-ME"/>
        </w:rPr>
      </w:pPr>
    </w:p>
    <w:p w14:paraId="071AA7BF" w14:textId="77777777" w:rsidR="009D5CCC" w:rsidRPr="00AD763B" w:rsidRDefault="009D5CCC" w:rsidP="009D5CCC">
      <w:pPr>
        <w:rPr>
          <w:sz w:val="22"/>
          <w:szCs w:val="22"/>
          <w:u w:val="single"/>
          <w:lang w:val="sr-Latn-ME"/>
        </w:rPr>
      </w:pPr>
      <w:r w:rsidRPr="00AD763B">
        <w:rPr>
          <w:sz w:val="22"/>
          <w:szCs w:val="22"/>
          <w:u w:val="single"/>
          <w:lang w:val="sr-Latn-ME"/>
        </w:rPr>
        <w:t>Film omotač tablete (Opadry® OY-B-28920):</w:t>
      </w:r>
    </w:p>
    <w:p w14:paraId="19822300" w14:textId="4046AB0E" w:rsidR="00DE549E" w:rsidRPr="00AD763B" w:rsidRDefault="009D5CCC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polivinil </w:t>
      </w:r>
      <w:r w:rsidR="00DE549E" w:rsidRPr="00AD763B">
        <w:rPr>
          <w:sz w:val="22"/>
          <w:szCs w:val="22"/>
          <w:lang w:val="sr-Latn-ME"/>
        </w:rPr>
        <w:t>alkohol</w:t>
      </w:r>
    </w:p>
    <w:p w14:paraId="30856695" w14:textId="721D01D0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titan</w:t>
      </w:r>
      <w:r w:rsidR="009D5CCC" w:rsidRPr="00AD763B">
        <w:rPr>
          <w:sz w:val="22"/>
          <w:szCs w:val="22"/>
          <w:lang w:val="sr-Latn-ME"/>
        </w:rPr>
        <w:t xml:space="preserve"> </w:t>
      </w:r>
      <w:r w:rsidRPr="00AD763B">
        <w:rPr>
          <w:sz w:val="22"/>
          <w:szCs w:val="22"/>
          <w:lang w:val="sr-Latn-ME"/>
        </w:rPr>
        <w:t>dioksid</w:t>
      </w:r>
    </w:p>
    <w:p w14:paraId="08BD22B9" w14:textId="77777777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talk</w:t>
      </w:r>
    </w:p>
    <w:p w14:paraId="5AE9B659" w14:textId="77777777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lecitin iz soje</w:t>
      </w:r>
    </w:p>
    <w:p w14:paraId="53055570" w14:textId="77777777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ksantan guma</w:t>
      </w:r>
    </w:p>
    <w:p w14:paraId="328FB884" w14:textId="77777777" w:rsidR="00DE549E" w:rsidRPr="00AD763B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FBDC7F" w14:textId="77777777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6.2.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Inkompatibilnost</w:t>
      </w:r>
      <w:r w:rsidR="002846DB" w:rsidRPr="00AD763B">
        <w:rPr>
          <w:b/>
          <w:bCs/>
          <w:sz w:val="22"/>
          <w:szCs w:val="22"/>
          <w:lang w:val="sr-Latn-ME"/>
        </w:rPr>
        <w:t>i</w:t>
      </w:r>
    </w:p>
    <w:p w14:paraId="43DABE08" w14:textId="77777777" w:rsidR="00DE549E" w:rsidRPr="00AD763B" w:rsidRDefault="00DE549E" w:rsidP="00DE549E">
      <w:pPr>
        <w:rPr>
          <w:sz w:val="22"/>
          <w:szCs w:val="22"/>
          <w:lang w:val="sr-Latn-ME"/>
        </w:rPr>
      </w:pPr>
    </w:p>
    <w:p w14:paraId="39B91931" w14:textId="07897830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Nije prim</w:t>
      </w:r>
      <w:r w:rsidR="00F87B9D" w:rsidRPr="00AD763B">
        <w:rPr>
          <w:sz w:val="22"/>
          <w:szCs w:val="22"/>
          <w:lang w:val="sr-Latn-ME"/>
        </w:rPr>
        <w:t>j</w:t>
      </w:r>
      <w:r w:rsidRPr="00AD763B">
        <w:rPr>
          <w:sz w:val="22"/>
          <w:szCs w:val="22"/>
          <w:lang w:val="sr-Latn-ME"/>
        </w:rPr>
        <w:t>enljivo.</w:t>
      </w:r>
    </w:p>
    <w:p w14:paraId="0F46AE96" w14:textId="77777777" w:rsidR="0072020E" w:rsidRPr="00AD763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A457AE" w14:textId="77777777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>6.3.</w:t>
      </w:r>
      <w:r w:rsidR="00C05DF8" w:rsidRPr="00AD763B">
        <w:rPr>
          <w:b/>
          <w:bCs/>
          <w:sz w:val="22"/>
          <w:szCs w:val="22"/>
          <w:lang w:val="sr-Latn-ME"/>
        </w:rPr>
        <w:t xml:space="preserve">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Rok upotrebe</w:t>
      </w:r>
    </w:p>
    <w:p w14:paraId="2CC487FA" w14:textId="32AF332B" w:rsidR="0072020E" w:rsidRPr="00AD763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36AD83" w14:textId="6115A961" w:rsidR="00DE549E" w:rsidRPr="00AD763B" w:rsidRDefault="005C2A51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2</w:t>
      </w:r>
      <w:r w:rsidR="00DE549E" w:rsidRPr="00AD763B">
        <w:rPr>
          <w:sz w:val="22"/>
          <w:szCs w:val="22"/>
          <w:lang w:val="sr-Latn-ME"/>
        </w:rPr>
        <w:t xml:space="preserve"> godine</w:t>
      </w:r>
    </w:p>
    <w:p w14:paraId="064AD0BE" w14:textId="77777777" w:rsidR="00DE549E" w:rsidRPr="00AD763B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A14C87" w14:textId="77777777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6.4.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D763B">
        <w:rPr>
          <w:b/>
          <w:bCs/>
          <w:sz w:val="22"/>
          <w:szCs w:val="22"/>
          <w:lang w:val="sr-Latn-ME"/>
        </w:rPr>
        <w:t xml:space="preserve"> lijeka</w:t>
      </w:r>
    </w:p>
    <w:p w14:paraId="69018E30" w14:textId="2D8F319E" w:rsidR="00EC2532" w:rsidRPr="00AD763B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5895D2" w14:textId="7DF32967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Čuvati </w:t>
      </w:r>
      <w:r w:rsidR="005C2A51" w:rsidRPr="00AD763B">
        <w:rPr>
          <w:sz w:val="22"/>
          <w:szCs w:val="22"/>
          <w:lang w:val="sr-Latn-ME"/>
        </w:rPr>
        <w:t xml:space="preserve">na temperaturi do 30ºC, </w:t>
      </w:r>
      <w:r w:rsidRPr="00AD763B">
        <w:rPr>
          <w:sz w:val="22"/>
          <w:szCs w:val="22"/>
          <w:lang w:val="sr-Latn-ME"/>
        </w:rPr>
        <w:t>u originalnom pakovanju, radi zaštite od vlage.</w:t>
      </w:r>
    </w:p>
    <w:p w14:paraId="696F568F" w14:textId="77777777" w:rsidR="00DE549E" w:rsidRPr="00AD763B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B8BBA6" w14:textId="77777777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6.5.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="002846DB" w:rsidRPr="00AD763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D763B">
        <w:rPr>
          <w:b/>
          <w:bCs/>
          <w:sz w:val="22"/>
          <w:szCs w:val="22"/>
          <w:lang w:val="sr-Latn-ME"/>
        </w:rPr>
        <w:t>pakovanja</w:t>
      </w:r>
      <w:r w:rsidR="00C06864" w:rsidRPr="00AD763B">
        <w:rPr>
          <w:b/>
          <w:bCs/>
          <w:sz w:val="22"/>
          <w:szCs w:val="22"/>
          <w:lang w:val="sr-Latn-ME"/>
        </w:rPr>
        <w:t xml:space="preserve"> </w:t>
      </w:r>
    </w:p>
    <w:p w14:paraId="7903C4F0" w14:textId="4CB37055" w:rsidR="0072020E" w:rsidRPr="00AD763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BD4AD1" w14:textId="5DDB7E93" w:rsidR="00DE549E" w:rsidRPr="00AD763B" w:rsidRDefault="00DE549E" w:rsidP="00DE549E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Unutrašnje pakovanje </w:t>
      </w:r>
      <w:r w:rsidR="009D5CCC" w:rsidRPr="00AD763B">
        <w:rPr>
          <w:sz w:val="22"/>
          <w:szCs w:val="22"/>
          <w:lang w:val="sr-Latn-ME"/>
        </w:rPr>
        <w:t xml:space="preserve">lijeka </w:t>
      </w:r>
      <w:r w:rsidRPr="00AD763B">
        <w:rPr>
          <w:sz w:val="22"/>
          <w:szCs w:val="22"/>
          <w:lang w:val="sr-Latn-ME"/>
        </w:rPr>
        <w:t xml:space="preserve">je PVC/PE/PVDC/Al blister </w:t>
      </w:r>
      <w:r w:rsidR="009D5CCC" w:rsidRPr="00AD763B">
        <w:rPr>
          <w:sz w:val="22"/>
          <w:szCs w:val="22"/>
          <w:lang w:val="sr-Latn-ME"/>
        </w:rPr>
        <w:t xml:space="preserve">koji sadrži </w:t>
      </w:r>
      <w:r w:rsidRPr="00AD763B">
        <w:rPr>
          <w:sz w:val="22"/>
          <w:szCs w:val="22"/>
          <w:lang w:val="sr-Latn-ME"/>
        </w:rPr>
        <w:t>10 film tableta.</w:t>
      </w:r>
    </w:p>
    <w:p w14:paraId="34FC03D0" w14:textId="77777777" w:rsidR="009D5CCC" w:rsidRPr="00AD763B" w:rsidRDefault="009D5CCC" w:rsidP="00DE549E">
      <w:pPr>
        <w:rPr>
          <w:sz w:val="22"/>
          <w:szCs w:val="22"/>
          <w:lang w:val="sr-Latn-ME"/>
        </w:rPr>
      </w:pPr>
    </w:p>
    <w:p w14:paraId="49EBE7C7" w14:textId="4597D5BE" w:rsidR="00DE549E" w:rsidRPr="00AD763B" w:rsidRDefault="00DE549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 xml:space="preserve">Spoljašnje pakovanje </w:t>
      </w:r>
      <w:r w:rsidR="009D5CCC" w:rsidRPr="00AD763B">
        <w:rPr>
          <w:sz w:val="22"/>
          <w:szCs w:val="22"/>
          <w:lang w:val="sr-Latn-ME"/>
        </w:rPr>
        <w:t xml:space="preserve">lijeka </w:t>
      </w:r>
      <w:r w:rsidRPr="00AD763B">
        <w:rPr>
          <w:sz w:val="22"/>
          <w:szCs w:val="22"/>
          <w:lang w:val="sr-Latn-ME"/>
        </w:rPr>
        <w:t xml:space="preserve">je složiva kartonska kutija </w:t>
      </w:r>
      <w:r w:rsidR="009D5CCC" w:rsidRPr="00AD763B">
        <w:rPr>
          <w:sz w:val="22"/>
          <w:szCs w:val="22"/>
          <w:lang w:val="sr-Latn-ME"/>
        </w:rPr>
        <w:t xml:space="preserve">koja sadrži </w:t>
      </w:r>
      <w:r w:rsidRPr="00AD763B">
        <w:rPr>
          <w:sz w:val="22"/>
          <w:szCs w:val="22"/>
          <w:lang w:val="sr-Latn-ME"/>
        </w:rPr>
        <w:t>3 blistera</w:t>
      </w:r>
      <w:r w:rsidR="009D5CCC" w:rsidRPr="00AD763B">
        <w:rPr>
          <w:sz w:val="22"/>
          <w:szCs w:val="22"/>
          <w:lang w:val="sr-Latn-ME"/>
        </w:rPr>
        <w:t xml:space="preserve"> sa po 10 film tableta</w:t>
      </w:r>
      <w:r w:rsidRPr="00AD763B">
        <w:rPr>
          <w:sz w:val="22"/>
          <w:szCs w:val="22"/>
          <w:lang w:val="sr-Latn-ME"/>
        </w:rPr>
        <w:t xml:space="preserve"> (ukupno 30 film tableta) i Uputstvo za l</w:t>
      </w:r>
      <w:r w:rsidR="00F87B9D" w:rsidRPr="00AD763B">
        <w:rPr>
          <w:sz w:val="22"/>
          <w:szCs w:val="22"/>
          <w:lang w:val="sr-Latn-ME"/>
        </w:rPr>
        <w:t>ij</w:t>
      </w:r>
      <w:r w:rsidRPr="00AD763B">
        <w:rPr>
          <w:sz w:val="22"/>
          <w:szCs w:val="22"/>
          <w:lang w:val="sr-Latn-ME"/>
        </w:rPr>
        <w:t>ek.</w:t>
      </w:r>
    </w:p>
    <w:p w14:paraId="1AE95DB9" w14:textId="77777777" w:rsidR="00DE549E" w:rsidRPr="00AD763B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A73249" w14:textId="77777777" w:rsidR="002846DB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6.6.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D763B">
        <w:rPr>
          <w:b/>
          <w:bCs/>
          <w:sz w:val="22"/>
          <w:szCs w:val="22"/>
          <w:lang w:val="sr-Latn-ME"/>
        </w:rPr>
        <w:t xml:space="preserve"> </w:t>
      </w:r>
      <w:r w:rsidR="00310F03" w:rsidRPr="00AD763B">
        <w:rPr>
          <w:b/>
          <w:bCs/>
          <w:sz w:val="22"/>
          <w:szCs w:val="22"/>
          <w:lang w:val="sr-Latn-ME"/>
        </w:rPr>
        <w:t>(i druga uputs</w:t>
      </w:r>
      <w:r w:rsidR="004109FA" w:rsidRPr="00AD763B">
        <w:rPr>
          <w:b/>
          <w:bCs/>
          <w:sz w:val="22"/>
          <w:szCs w:val="22"/>
          <w:lang w:val="sr-Latn-ME"/>
        </w:rPr>
        <w:t>t</w:t>
      </w:r>
      <w:r w:rsidR="00310F03" w:rsidRPr="00AD763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940E12D" w14:textId="77777777" w:rsidR="00B66A70" w:rsidRPr="00AD763B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D4E19F" w14:textId="5896D15C" w:rsidR="00DE549E" w:rsidRPr="00AD763B" w:rsidRDefault="00DE549E" w:rsidP="00951A07">
      <w:pPr>
        <w:jc w:val="both"/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Svu neiskoriš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enu količinu</w:t>
      </w:r>
      <w:r w:rsidR="004E7FEE" w:rsidRPr="00AD763B">
        <w:rPr>
          <w:sz w:val="22"/>
          <w:szCs w:val="22"/>
          <w:lang w:val="sr-Latn-ME"/>
        </w:rPr>
        <w:t xml:space="preserve"> lijeka </w:t>
      </w:r>
      <w:r w:rsidRPr="00AD763B">
        <w:rPr>
          <w:sz w:val="22"/>
          <w:szCs w:val="22"/>
          <w:lang w:val="sr-Latn-ME"/>
        </w:rPr>
        <w:t>ili otpadnog materijala nakon njegove upotrebe treba ukloniti u skladu sa važe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im propisima.</w:t>
      </w:r>
    </w:p>
    <w:p w14:paraId="590B6033" w14:textId="638D8AD1" w:rsidR="0072020E" w:rsidRPr="00AD763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134F30" w14:textId="77777777" w:rsidR="009D5CCC" w:rsidRPr="00AD763B" w:rsidRDefault="009D5CC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76711A" w14:textId="77777777" w:rsidR="00F8570A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7.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NOSILAC DOZVOLE</w:t>
      </w:r>
      <w:r w:rsidR="00483928" w:rsidRPr="00AD763B">
        <w:rPr>
          <w:b/>
          <w:bCs/>
          <w:sz w:val="22"/>
          <w:szCs w:val="22"/>
          <w:lang w:val="sr-Latn-ME"/>
        </w:rPr>
        <w:t xml:space="preserve"> </w:t>
      </w:r>
    </w:p>
    <w:p w14:paraId="498C5534" w14:textId="77777777" w:rsidR="00F87B9D" w:rsidRPr="00AD763B" w:rsidRDefault="00F87B9D" w:rsidP="00F87B9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AD92C5" w14:textId="5D918DE1" w:rsidR="00F87B9D" w:rsidRPr="00AD763B" w:rsidRDefault="009D5CCC" w:rsidP="00F87B9D">
      <w:pPr>
        <w:tabs>
          <w:tab w:val="left" w:pos="284"/>
        </w:tabs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Glosarij d.o.o.,</w:t>
      </w:r>
    </w:p>
    <w:p w14:paraId="6EDDAD7C" w14:textId="2CEAA3F8" w:rsidR="00C61BE0" w:rsidRPr="00AD763B" w:rsidRDefault="00F87B9D" w:rsidP="00F87B9D">
      <w:pPr>
        <w:tabs>
          <w:tab w:val="left" w:pos="284"/>
        </w:tabs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Vojislavljevi</w:t>
      </w:r>
      <w:r w:rsidR="000910A6" w:rsidRPr="00AD763B">
        <w:rPr>
          <w:sz w:val="22"/>
          <w:szCs w:val="22"/>
          <w:lang w:val="sr-Latn-ME"/>
        </w:rPr>
        <w:t>ć</w:t>
      </w:r>
      <w:r w:rsidRPr="00AD763B">
        <w:rPr>
          <w:sz w:val="22"/>
          <w:szCs w:val="22"/>
          <w:lang w:val="sr-Latn-ME"/>
        </w:rPr>
        <w:t>a 76, 81 000 Podgorica, Crna Gora</w:t>
      </w:r>
    </w:p>
    <w:p w14:paraId="49557358" w14:textId="7E135B07" w:rsidR="00C37FD7" w:rsidRPr="00AD763B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981FA4" w14:textId="77777777" w:rsidR="009D5CCC" w:rsidRPr="00AD763B" w:rsidRDefault="009D5CC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36D633" w14:textId="77777777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8.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>BROJ DOZVOLE</w:t>
      </w:r>
      <w:r w:rsidR="008A6D43" w:rsidRPr="00AD763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995B368" w14:textId="02308AC2" w:rsidR="00FE2870" w:rsidRPr="00AD763B" w:rsidRDefault="00FE287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E8A0BD" w14:textId="4EC5CBD6" w:rsidR="00AD763B" w:rsidRPr="00AD763B" w:rsidRDefault="00AD763B" w:rsidP="00AD763B">
      <w:pPr>
        <w:rPr>
          <w:b/>
          <w:sz w:val="22"/>
          <w:szCs w:val="22"/>
          <w:lang w:val="sr-Latn-ME"/>
        </w:rPr>
      </w:pPr>
      <w:r w:rsidRPr="00AD763B">
        <w:rPr>
          <w:bCs/>
          <w:sz w:val="22"/>
          <w:szCs w:val="22"/>
          <w:lang w:val="sr-Latn-ME"/>
        </w:rPr>
        <w:t xml:space="preserve">2030/25/1676 – 2898 </w:t>
      </w:r>
    </w:p>
    <w:p w14:paraId="1B47DC0B" w14:textId="554434F0" w:rsidR="009D5CCC" w:rsidRPr="00AD763B" w:rsidRDefault="009D5CC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DF9DC2" w14:textId="77777777" w:rsidR="009D5CCC" w:rsidRPr="00AD763B" w:rsidRDefault="009D5CC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7A55FD" w14:textId="77777777" w:rsidR="0072020E" w:rsidRPr="00AD763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Pr="00AD763B">
        <w:rPr>
          <w:b/>
          <w:bCs/>
          <w:sz w:val="22"/>
          <w:szCs w:val="22"/>
          <w:lang w:val="sr-Latn-ME"/>
        </w:rPr>
        <w:t xml:space="preserve">DATUM </w:t>
      </w:r>
      <w:r w:rsidR="00C05DF8" w:rsidRPr="00AD763B">
        <w:rPr>
          <w:b/>
          <w:bCs/>
          <w:sz w:val="22"/>
          <w:szCs w:val="22"/>
          <w:lang w:val="sr-Latn-ME"/>
        </w:rPr>
        <w:t xml:space="preserve">PRVE </w:t>
      </w:r>
      <w:r w:rsidR="008A6D43" w:rsidRPr="00AD763B">
        <w:rPr>
          <w:b/>
          <w:bCs/>
          <w:sz w:val="22"/>
          <w:szCs w:val="22"/>
          <w:lang w:val="sr-Latn-ME"/>
        </w:rPr>
        <w:t>DOZVOLE</w:t>
      </w:r>
      <w:r w:rsidR="00C05DF8" w:rsidRPr="00AD763B">
        <w:rPr>
          <w:b/>
          <w:bCs/>
          <w:sz w:val="22"/>
          <w:szCs w:val="22"/>
          <w:lang w:val="sr-Latn-ME"/>
        </w:rPr>
        <w:t>/OBNOVE DOZVOLE</w:t>
      </w:r>
      <w:r w:rsidR="008A6D43" w:rsidRPr="00AD763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C41770B" w14:textId="77777777" w:rsidR="0072020E" w:rsidRPr="00AD763B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80BA50" w14:textId="6A4A4FD8" w:rsidR="00836B35" w:rsidRPr="00AD763B" w:rsidRDefault="00A2585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D763B">
        <w:rPr>
          <w:bCs/>
          <w:sz w:val="22"/>
          <w:szCs w:val="22"/>
          <w:lang w:val="sr-Latn-ME"/>
        </w:rPr>
        <w:t>Datum prve dozvole: 15.01.2018.</w:t>
      </w:r>
      <w:r w:rsidR="009D5CCC" w:rsidRPr="00AD763B">
        <w:rPr>
          <w:bCs/>
          <w:sz w:val="22"/>
          <w:szCs w:val="22"/>
          <w:lang w:val="sr-Latn-ME"/>
        </w:rPr>
        <w:t xml:space="preserve"> godine</w:t>
      </w:r>
    </w:p>
    <w:p w14:paraId="7DA442ED" w14:textId="549B28D4" w:rsidR="00AD763B" w:rsidRPr="00AD763B" w:rsidRDefault="009D5CCC" w:rsidP="00AD763B">
      <w:pPr>
        <w:rPr>
          <w:bCs/>
          <w:sz w:val="22"/>
          <w:szCs w:val="22"/>
          <w:lang w:val="sr-Latn-ME"/>
        </w:rPr>
      </w:pPr>
      <w:r w:rsidRPr="00AD763B">
        <w:rPr>
          <w:bCs/>
          <w:sz w:val="22"/>
          <w:szCs w:val="22"/>
          <w:lang w:val="sr-Latn-ME"/>
        </w:rPr>
        <w:t>Datum posljednje obnove dozvole:</w:t>
      </w:r>
      <w:r w:rsidR="00AD763B" w:rsidRPr="00AD763B">
        <w:rPr>
          <w:bCs/>
          <w:sz w:val="22"/>
          <w:szCs w:val="22"/>
          <w:lang w:val="sr-Latn-ME"/>
        </w:rPr>
        <w:t xml:space="preserve"> </w:t>
      </w:r>
      <w:r w:rsidR="00AD763B" w:rsidRPr="00AD763B">
        <w:rPr>
          <w:bCs/>
          <w:sz w:val="22"/>
          <w:szCs w:val="22"/>
          <w:lang w:val="sr-Latn-ME"/>
        </w:rPr>
        <w:t>09.04.2025. godine</w:t>
      </w:r>
    </w:p>
    <w:p w14:paraId="21A86799" w14:textId="77777777" w:rsidR="00AD763B" w:rsidRPr="00AD763B" w:rsidRDefault="00AD763B" w:rsidP="00AD763B">
      <w:pPr>
        <w:rPr>
          <w:b/>
          <w:sz w:val="22"/>
          <w:szCs w:val="22"/>
          <w:lang w:val="sr-Latn-ME"/>
        </w:rPr>
      </w:pPr>
    </w:p>
    <w:p w14:paraId="1FC7E7E7" w14:textId="77777777" w:rsidR="00A25856" w:rsidRPr="00AD763B" w:rsidRDefault="00A2585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13785653" w14:textId="77777777" w:rsidR="003F6A59" w:rsidRPr="00AD763B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AD763B">
        <w:rPr>
          <w:b/>
          <w:bCs/>
          <w:sz w:val="22"/>
          <w:szCs w:val="22"/>
          <w:lang w:val="sr-Latn-ME"/>
        </w:rPr>
        <w:t xml:space="preserve">10. </w:t>
      </w:r>
      <w:r w:rsidR="00480FB1" w:rsidRPr="00AD763B">
        <w:rPr>
          <w:b/>
          <w:bCs/>
          <w:sz w:val="22"/>
          <w:szCs w:val="22"/>
          <w:lang w:val="sr-Latn-ME"/>
        </w:rPr>
        <w:tab/>
      </w:r>
      <w:r w:rsidR="002846DB" w:rsidRPr="00AD763B">
        <w:rPr>
          <w:b/>
          <w:bCs/>
          <w:sz w:val="22"/>
          <w:szCs w:val="22"/>
          <w:lang w:val="sr-Latn-ME"/>
        </w:rPr>
        <w:t>D</w:t>
      </w:r>
      <w:r w:rsidR="00EC2532" w:rsidRPr="00AD763B">
        <w:rPr>
          <w:b/>
          <w:bCs/>
          <w:sz w:val="22"/>
          <w:szCs w:val="22"/>
          <w:lang w:val="sr-Latn-ME"/>
        </w:rPr>
        <w:t xml:space="preserve">ATUM REVIZIJE TEKSTA </w:t>
      </w:r>
    </w:p>
    <w:p w14:paraId="0A9457AB" w14:textId="77777777" w:rsidR="003F6A59" w:rsidRPr="00AD763B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719F92" w14:textId="282AFBD0" w:rsidR="003F6A59" w:rsidRPr="00AD763B" w:rsidRDefault="00AD763B" w:rsidP="00DE3F5C">
      <w:pPr>
        <w:rPr>
          <w:sz w:val="22"/>
          <w:szCs w:val="22"/>
          <w:lang w:val="sr-Latn-ME"/>
        </w:rPr>
      </w:pPr>
      <w:r w:rsidRPr="00AD763B">
        <w:rPr>
          <w:sz w:val="22"/>
          <w:szCs w:val="22"/>
          <w:lang w:val="sr-Latn-ME"/>
        </w:rPr>
        <w:t>April, 2025. godine</w:t>
      </w:r>
    </w:p>
    <w:sectPr w:rsidR="003F6A59" w:rsidRPr="00AD763B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5907BE" w16cex:dateUtc="2025-03-04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01CC31" w16cid:durableId="4401CC31"/>
  <w16cid:commentId w16cid:paraId="56618EB5" w16cid:durableId="695907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49D4D" w14:textId="77777777" w:rsidR="003F0D45" w:rsidRDefault="003F0D45">
      <w:r>
        <w:separator/>
      </w:r>
    </w:p>
  </w:endnote>
  <w:endnote w:type="continuationSeparator" w:id="0">
    <w:p w14:paraId="03458B16" w14:textId="77777777" w:rsidR="003F0D45" w:rsidRDefault="003F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C366E" w14:textId="34A44067" w:rsidR="000910A6" w:rsidRPr="00B23F69" w:rsidRDefault="000910A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D763B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D763B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005F7" w14:textId="77777777" w:rsidR="003F0D45" w:rsidRDefault="003F0D45">
      <w:r>
        <w:separator/>
      </w:r>
    </w:p>
  </w:footnote>
  <w:footnote w:type="continuationSeparator" w:id="0">
    <w:p w14:paraId="141AA460" w14:textId="77777777" w:rsidR="003F0D45" w:rsidRDefault="003F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9pt;height:13.7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AF2FD2"/>
    <w:multiLevelType w:val="hybridMultilevel"/>
    <w:tmpl w:val="B60A414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99A0D6B"/>
    <w:multiLevelType w:val="hybridMultilevel"/>
    <w:tmpl w:val="09F453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910A6"/>
    <w:rsid w:val="000A3F58"/>
    <w:rsid w:val="000D2343"/>
    <w:rsid w:val="000D3449"/>
    <w:rsid w:val="000D425A"/>
    <w:rsid w:val="000D60CC"/>
    <w:rsid w:val="000E2084"/>
    <w:rsid w:val="000E3620"/>
    <w:rsid w:val="000E6F55"/>
    <w:rsid w:val="000F77FA"/>
    <w:rsid w:val="00107BF7"/>
    <w:rsid w:val="00124FD1"/>
    <w:rsid w:val="00126F53"/>
    <w:rsid w:val="00132B77"/>
    <w:rsid w:val="0014766D"/>
    <w:rsid w:val="001536CC"/>
    <w:rsid w:val="001808E7"/>
    <w:rsid w:val="001A3FBA"/>
    <w:rsid w:val="001A5518"/>
    <w:rsid w:val="001B1C6A"/>
    <w:rsid w:val="001C1263"/>
    <w:rsid w:val="001C1417"/>
    <w:rsid w:val="001D44F8"/>
    <w:rsid w:val="001D6226"/>
    <w:rsid w:val="001E390B"/>
    <w:rsid w:val="001F42FB"/>
    <w:rsid w:val="001F719A"/>
    <w:rsid w:val="002031B3"/>
    <w:rsid w:val="00207A3E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2632C"/>
    <w:rsid w:val="003445C1"/>
    <w:rsid w:val="00355B61"/>
    <w:rsid w:val="00362686"/>
    <w:rsid w:val="0036288E"/>
    <w:rsid w:val="00371510"/>
    <w:rsid w:val="00392B9E"/>
    <w:rsid w:val="00396DFD"/>
    <w:rsid w:val="003A7059"/>
    <w:rsid w:val="003B7A36"/>
    <w:rsid w:val="003C17AB"/>
    <w:rsid w:val="003C7823"/>
    <w:rsid w:val="003D3F98"/>
    <w:rsid w:val="003E1DCC"/>
    <w:rsid w:val="003F0D45"/>
    <w:rsid w:val="003F11A1"/>
    <w:rsid w:val="003F6A59"/>
    <w:rsid w:val="004065C8"/>
    <w:rsid w:val="004109FA"/>
    <w:rsid w:val="004118BB"/>
    <w:rsid w:val="00411B4B"/>
    <w:rsid w:val="004145DB"/>
    <w:rsid w:val="00415BEE"/>
    <w:rsid w:val="00427F85"/>
    <w:rsid w:val="00436F42"/>
    <w:rsid w:val="004378B4"/>
    <w:rsid w:val="00440BF9"/>
    <w:rsid w:val="00451314"/>
    <w:rsid w:val="00452E9D"/>
    <w:rsid w:val="004534C7"/>
    <w:rsid w:val="004671AA"/>
    <w:rsid w:val="00480FB1"/>
    <w:rsid w:val="00483928"/>
    <w:rsid w:val="004C331F"/>
    <w:rsid w:val="004D6103"/>
    <w:rsid w:val="004E3BCE"/>
    <w:rsid w:val="004E66F7"/>
    <w:rsid w:val="004E70AD"/>
    <w:rsid w:val="004E7FEE"/>
    <w:rsid w:val="004F0E97"/>
    <w:rsid w:val="00501DD1"/>
    <w:rsid w:val="00515C21"/>
    <w:rsid w:val="00530BD7"/>
    <w:rsid w:val="00532568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B5399"/>
    <w:rsid w:val="005C0741"/>
    <w:rsid w:val="005C2A51"/>
    <w:rsid w:val="005C5EF4"/>
    <w:rsid w:val="005D46CB"/>
    <w:rsid w:val="005E2E0B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7009EF"/>
    <w:rsid w:val="00702E22"/>
    <w:rsid w:val="0072020E"/>
    <w:rsid w:val="00720485"/>
    <w:rsid w:val="0076635D"/>
    <w:rsid w:val="00780342"/>
    <w:rsid w:val="00786071"/>
    <w:rsid w:val="007A3ECB"/>
    <w:rsid w:val="007B3084"/>
    <w:rsid w:val="007D7BB3"/>
    <w:rsid w:val="008062C4"/>
    <w:rsid w:val="00824AB9"/>
    <w:rsid w:val="00825F3E"/>
    <w:rsid w:val="00836B35"/>
    <w:rsid w:val="00843BDE"/>
    <w:rsid w:val="0087588C"/>
    <w:rsid w:val="00890A28"/>
    <w:rsid w:val="0089705C"/>
    <w:rsid w:val="008A6D43"/>
    <w:rsid w:val="008B491E"/>
    <w:rsid w:val="008C1A28"/>
    <w:rsid w:val="008C2E98"/>
    <w:rsid w:val="008D0F5A"/>
    <w:rsid w:val="008E49BD"/>
    <w:rsid w:val="008E53E9"/>
    <w:rsid w:val="008E5771"/>
    <w:rsid w:val="008F4ACF"/>
    <w:rsid w:val="00924166"/>
    <w:rsid w:val="00940B9B"/>
    <w:rsid w:val="00951A07"/>
    <w:rsid w:val="0095676E"/>
    <w:rsid w:val="00956983"/>
    <w:rsid w:val="00963CF0"/>
    <w:rsid w:val="00964BB1"/>
    <w:rsid w:val="009775D9"/>
    <w:rsid w:val="0099457E"/>
    <w:rsid w:val="00997175"/>
    <w:rsid w:val="009A1847"/>
    <w:rsid w:val="009B062A"/>
    <w:rsid w:val="009D178A"/>
    <w:rsid w:val="009D5CCC"/>
    <w:rsid w:val="009E7C6F"/>
    <w:rsid w:val="009F1793"/>
    <w:rsid w:val="009F2D23"/>
    <w:rsid w:val="00A01D69"/>
    <w:rsid w:val="00A02335"/>
    <w:rsid w:val="00A25856"/>
    <w:rsid w:val="00A46C9A"/>
    <w:rsid w:val="00A5575F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C58C7"/>
    <w:rsid w:val="00AD2193"/>
    <w:rsid w:val="00AD763B"/>
    <w:rsid w:val="00AF2AC7"/>
    <w:rsid w:val="00AF74CE"/>
    <w:rsid w:val="00B208DB"/>
    <w:rsid w:val="00B23F69"/>
    <w:rsid w:val="00B52F33"/>
    <w:rsid w:val="00B60619"/>
    <w:rsid w:val="00B66A70"/>
    <w:rsid w:val="00B67366"/>
    <w:rsid w:val="00B80EE1"/>
    <w:rsid w:val="00B84135"/>
    <w:rsid w:val="00BD3B05"/>
    <w:rsid w:val="00C02F21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19B7"/>
    <w:rsid w:val="00C94C0D"/>
    <w:rsid w:val="00CA1FEB"/>
    <w:rsid w:val="00CD4F85"/>
    <w:rsid w:val="00CD6F02"/>
    <w:rsid w:val="00CE101C"/>
    <w:rsid w:val="00CE16A9"/>
    <w:rsid w:val="00CE246D"/>
    <w:rsid w:val="00CE44AA"/>
    <w:rsid w:val="00CF07A0"/>
    <w:rsid w:val="00CF3E03"/>
    <w:rsid w:val="00D0082A"/>
    <w:rsid w:val="00D21455"/>
    <w:rsid w:val="00D216A4"/>
    <w:rsid w:val="00D47634"/>
    <w:rsid w:val="00D709B3"/>
    <w:rsid w:val="00DA2ED6"/>
    <w:rsid w:val="00DB76B8"/>
    <w:rsid w:val="00DC2EA1"/>
    <w:rsid w:val="00DC4835"/>
    <w:rsid w:val="00DD6AAF"/>
    <w:rsid w:val="00DE3F5C"/>
    <w:rsid w:val="00DE549E"/>
    <w:rsid w:val="00DF1D20"/>
    <w:rsid w:val="00E061C6"/>
    <w:rsid w:val="00E21324"/>
    <w:rsid w:val="00E246B9"/>
    <w:rsid w:val="00E31FEA"/>
    <w:rsid w:val="00E45169"/>
    <w:rsid w:val="00E47787"/>
    <w:rsid w:val="00E50639"/>
    <w:rsid w:val="00E51C30"/>
    <w:rsid w:val="00E64180"/>
    <w:rsid w:val="00E74AEE"/>
    <w:rsid w:val="00E868E5"/>
    <w:rsid w:val="00E9237A"/>
    <w:rsid w:val="00E939FA"/>
    <w:rsid w:val="00EA5765"/>
    <w:rsid w:val="00EC2532"/>
    <w:rsid w:val="00EC4EC1"/>
    <w:rsid w:val="00ED7812"/>
    <w:rsid w:val="00EF3B86"/>
    <w:rsid w:val="00F317E9"/>
    <w:rsid w:val="00F34554"/>
    <w:rsid w:val="00F35FDD"/>
    <w:rsid w:val="00F45F77"/>
    <w:rsid w:val="00F5167F"/>
    <w:rsid w:val="00F52258"/>
    <w:rsid w:val="00F7485E"/>
    <w:rsid w:val="00F8570A"/>
    <w:rsid w:val="00F87B9D"/>
    <w:rsid w:val="00F91C7B"/>
    <w:rsid w:val="00FB4AA3"/>
    <w:rsid w:val="00FE287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50A4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9EF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customStyle="1" w:styleId="tabg0">
    <w:name w:val="tab:g:0"/>
    <w:basedOn w:val="Normal"/>
    <w:uiPriority w:val="99"/>
    <w:rsid w:val="007009EF"/>
    <w:pPr>
      <w:spacing w:before="50" w:after="50" w:line="300" w:lineRule="atLeast"/>
      <w:jc w:val="both"/>
    </w:pPr>
    <w:rPr>
      <w:sz w:val="20"/>
      <w:szCs w:val="20"/>
      <w:lang w:val="fr-FR" w:eastAsia="fr-FR"/>
    </w:rPr>
  </w:style>
  <w:style w:type="paragraph" w:styleId="Revision">
    <w:name w:val="Revision"/>
    <w:hidden/>
    <w:uiPriority w:val="99"/>
    <w:semiHidden/>
    <w:rsid w:val="009D178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034F-22D9-4C7D-8BB7-5A5764B7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3671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24547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5</cp:revision>
  <dcterms:created xsi:type="dcterms:W3CDTF">2025-03-03T15:16:00Z</dcterms:created>
  <dcterms:modified xsi:type="dcterms:W3CDTF">2025-04-09T07:35:00Z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