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07ECF" w14:textId="77777777" w:rsidR="00DD2A82" w:rsidRPr="00180C9F" w:rsidRDefault="00DD2A82" w:rsidP="00180C9F">
      <w:pPr>
        <w:ind w:left="113"/>
        <w:rPr>
          <w:lang w:val="sr-Latn-RS"/>
        </w:rPr>
      </w:pPr>
    </w:p>
    <w:p w14:paraId="700F2912" w14:textId="77777777" w:rsidR="00D43BC5" w:rsidRPr="001F7037" w:rsidRDefault="00D43BC5" w:rsidP="00D43BC5">
      <w:pPr>
        <w:jc w:val="center"/>
        <w:rPr>
          <w:b/>
          <w:bCs/>
          <w:iCs/>
          <w:szCs w:val="22"/>
          <w:u w:val="single"/>
          <w:lang w:val="sr-Latn-ME"/>
        </w:rPr>
      </w:pPr>
      <w:r w:rsidRPr="001F7037">
        <w:rPr>
          <w:b/>
          <w:bCs/>
          <w:iCs/>
          <w:szCs w:val="22"/>
          <w:u w:val="single"/>
          <w:lang w:val="sr-Latn-ME"/>
        </w:rPr>
        <w:t>SAŽETAK KARAKTERISTIKA LIJEKA</w:t>
      </w:r>
    </w:p>
    <w:p w14:paraId="6CE07ED1" w14:textId="663C25F1" w:rsidR="00383195" w:rsidRDefault="00383195" w:rsidP="00923865">
      <w:pPr>
        <w:rPr>
          <w:szCs w:val="22"/>
          <w:lang w:val="sr-Latn-ME"/>
        </w:rPr>
      </w:pPr>
    </w:p>
    <w:p w14:paraId="2C888C22" w14:textId="77777777" w:rsidR="001F7037" w:rsidRPr="001F7037" w:rsidRDefault="001F7037" w:rsidP="00923865">
      <w:pPr>
        <w:rPr>
          <w:szCs w:val="22"/>
          <w:lang w:val="sr-Latn-ME"/>
        </w:rPr>
      </w:pPr>
    </w:p>
    <w:p w14:paraId="1F325716" w14:textId="6E8016A2" w:rsidR="00D43BC5" w:rsidRPr="006F34F9" w:rsidRDefault="00D43BC5" w:rsidP="00E708C7">
      <w:pPr>
        <w:tabs>
          <w:tab w:val="left" w:pos="540"/>
          <w:tab w:val="left" w:pos="569"/>
        </w:tabs>
        <w:rPr>
          <w:b/>
          <w:bCs/>
          <w:szCs w:val="22"/>
          <w:lang w:val="sr-Latn-ME"/>
        </w:rPr>
      </w:pPr>
      <w:r w:rsidRPr="006F34F9">
        <w:rPr>
          <w:b/>
          <w:bCs/>
          <w:szCs w:val="22"/>
          <w:lang w:val="sr-Latn-ME"/>
        </w:rPr>
        <w:t>1.</w:t>
      </w:r>
      <w:r w:rsidR="00591D18" w:rsidRPr="006F34F9">
        <w:rPr>
          <w:b/>
          <w:bCs/>
          <w:szCs w:val="22"/>
          <w:lang w:val="sr-Latn-ME"/>
        </w:rPr>
        <w:t xml:space="preserve">  </w:t>
      </w:r>
      <w:r w:rsidRPr="006F34F9">
        <w:rPr>
          <w:b/>
          <w:bCs/>
          <w:szCs w:val="22"/>
          <w:lang w:val="sr-Latn-ME"/>
        </w:rPr>
        <w:t>NAZIV LIJEKA</w:t>
      </w:r>
    </w:p>
    <w:p w14:paraId="4D7D89B7" w14:textId="77777777" w:rsidR="00D43BC5" w:rsidRPr="006F34F9" w:rsidRDefault="00D43BC5" w:rsidP="00A5182D">
      <w:pPr>
        <w:rPr>
          <w:bCs/>
          <w:szCs w:val="22"/>
          <w:lang w:val="sr-Latn-ME"/>
        </w:rPr>
      </w:pPr>
    </w:p>
    <w:p w14:paraId="2EBEA51A" w14:textId="4E79F877" w:rsidR="004876DA" w:rsidRPr="006F34F9" w:rsidRDefault="004876DA" w:rsidP="00823C07">
      <w:pPr>
        <w:rPr>
          <w:bCs/>
          <w:szCs w:val="22"/>
          <w:lang w:val="sr-Latn-ME"/>
        </w:rPr>
      </w:pPr>
      <w:r w:rsidRPr="006F34F9">
        <w:rPr>
          <w:bCs/>
          <w:szCs w:val="22"/>
          <w:lang w:val="sr-Latn-ME"/>
        </w:rPr>
        <w:t xml:space="preserve">Entyvio </w:t>
      </w:r>
      <w:bookmarkStart w:id="0" w:name="_Hlk100653316"/>
      <w:r w:rsidRPr="006F34F9">
        <w:rPr>
          <w:bCs/>
          <w:szCs w:val="22"/>
          <w:lang w:val="sr-Latn-ME"/>
        </w:rPr>
        <w:t>108mg</w:t>
      </w:r>
      <w:r w:rsidR="009B0CA9">
        <w:rPr>
          <w:bCs/>
          <w:szCs w:val="22"/>
          <w:lang w:val="sr-Latn-ME"/>
        </w:rPr>
        <w:t>/0,</w:t>
      </w:r>
      <w:r w:rsidR="00DE61AB" w:rsidRPr="006F34F9">
        <w:rPr>
          <w:bCs/>
          <w:szCs w:val="22"/>
          <w:lang w:val="sr-Latn-ME"/>
        </w:rPr>
        <w:t>68ml</w:t>
      </w:r>
      <w:bookmarkEnd w:id="0"/>
      <w:r w:rsidRPr="006F34F9">
        <w:rPr>
          <w:bCs/>
          <w:szCs w:val="22"/>
          <w:lang w:val="sr-Latn-ME"/>
        </w:rPr>
        <w:t xml:space="preserve"> rastvor za injekciju u napunjeno</w:t>
      </w:r>
      <w:r w:rsidR="00D45416" w:rsidRPr="006F34F9">
        <w:rPr>
          <w:bCs/>
          <w:szCs w:val="22"/>
          <w:lang w:val="sr-Latn-ME"/>
        </w:rPr>
        <w:t>m injekcionom</w:t>
      </w:r>
      <w:r w:rsidRPr="006F34F9">
        <w:rPr>
          <w:bCs/>
          <w:szCs w:val="22"/>
          <w:lang w:val="sr-Latn-ME"/>
        </w:rPr>
        <w:t xml:space="preserve"> špricu</w:t>
      </w:r>
    </w:p>
    <w:p w14:paraId="6CE07EDD" w14:textId="51505233" w:rsidR="00CE09F3" w:rsidRPr="006F34F9" w:rsidRDefault="004876DA" w:rsidP="000B42A8">
      <w:pPr>
        <w:rPr>
          <w:bCs/>
          <w:szCs w:val="22"/>
          <w:lang w:val="sr-Latn-ME"/>
        </w:rPr>
      </w:pPr>
      <w:r w:rsidRPr="006F34F9">
        <w:rPr>
          <w:bCs/>
          <w:szCs w:val="22"/>
          <w:lang w:val="sr-Latn-ME"/>
        </w:rPr>
        <w:t>Entyvio 108mg</w:t>
      </w:r>
      <w:r w:rsidR="009B0CA9">
        <w:rPr>
          <w:bCs/>
          <w:szCs w:val="22"/>
          <w:lang w:val="sr-Latn-ME"/>
        </w:rPr>
        <w:t>/0,</w:t>
      </w:r>
      <w:r w:rsidR="00DE61AB" w:rsidRPr="006F34F9">
        <w:rPr>
          <w:bCs/>
          <w:szCs w:val="22"/>
          <w:lang w:val="sr-Latn-ME"/>
        </w:rPr>
        <w:t>68ml</w:t>
      </w:r>
      <w:r w:rsidRPr="006F34F9">
        <w:rPr>
          <w:bCs/>
          <w:szCs w:val="22"/>
          <w:lang w:val="sr-Latn-ME"/>
        </w:rPr>
        <w:t xml:space="preserve"> </w:t>
      </w:r>
      <w:r w:rsidR="00D45416" w:rsidRPr="006F34F9">
        <w:rPr>
          <w:bCs/>
          <w:szCs w:val="22"/>
          <w:lang w:val="sr-Latn-ME"/>
        </w:rPr>
        <w:t>rastvor za injekciju u napunjenom injekcionom penu</w:t>
      </w:r>
    </w:p>
    <w:p w14:paraId="0F86CFA6" w14:textId="77777777" w:rsidR="004876DA" w:rsidRPr="006F34F9" w:rsidRDefault="004876DA">
      <w:pPr>
        <w:rPr>
          <w:bCs/>
          <w:szCs w:val="22"/>
          <w:lang w:val="sr-Latn-ME"/>
        </w:rPr>
      </w:pPr>
    </w:p>
    <w:p w14:paraId="6CE07EE0" w14:textId="3AE7D35F" w:rsidR="00CE09F3" w:rsidRPr="006F34F9" w:rsidRDefault="00CE09F3">
      <w:pPr>
        <w:rPr>
          <w:bCs/>
          <w:szCs w:val="22"/>
          <w:lang w:val="sr-Latn-ME"/>
        </w:rPr>
      </w:pPr>
      <w:r w:rsidRPr="006F34F9">
        <w:rPr>
          <w:szCs w:val="22"/>
          <w:lang w:val="sr-Latn-ME"/>
        </w:rPr>
        <w:t>INN:</w:t>
      </w:r>
      <w:r w:rsidR="004B33B3" w:rsidRPr="006F34F9">
        <w:rPr>
          <w:bCs/>
          <w:szCs w:val="22"/>
          <w:lang w:val="sr-Latn-ME"/>
        </w:rPr>
        <w:t xml:space="preserve"> v</w:t>
      </w:r>
      <w:r w:rsidR="007328CE" w:rsidRPr="006F34F9">
        <w:rPr>
          <w:bCs/>
          <w:szCs w:val="22"/>
          <w:lang w:val="sr-Latn-ME"/>
        </w:rPr>
        <w:t>edolizumab</w:t>
      </w:r>
    </w:p>
    <w:p w14:paraId="5064D316" w14:textId="1910690A" w:rsidR="00E708C7" w:rsidRPr="006F34F9" w:rsidRDefault="00E708C7">
      <w:pPr>
        <w:rPr>
          <w:bCs/>
          <w:szCs w:val="22"/>
          <w:lang w:val="sr-Latn-ME"/>
        </w:rPr>
      </w:pPr>
    </w:p>
    <w:p w14:paraId="259A5650" w14:textId="77777777" w:rsidR="002C254F" w:rsidRPr="006F34F9" w:rsidRDefault="002C254F">
      <w:pPr>
        <w:rPr>
          <w:bCs/>
          <w:szCs w:val="22"/>
          <w:lang w:val="sr-Latn-ME"/>
        </w:rPr>
      </w:pPr>
    </w:p>
    <w:p w14:paraId="4BF93DC8" w14:textId="190D0042" w:rsidR="00D43BC5" w:rsidRPr="006F34F9" w:rsidRDefault="00D43BC5">
      <w:pPr>
        <w:tabs>
          <w:tab w:val="left" w:pos="540"/>
          <w:tab w:val="left" w:pos="569"/>
        </w:tabs>
        <w:rPr>
          <w:b/>
          <w:bCs/>
          <w:szCs w:val="22"/>
          <w:lang w:val="sr-Latn-ME"/>
        </w:rPr>
      </w:pPr>
      <w:r w:rsidRPr="006F34F9">
        <w:rPr>
          <w:b/>
          <w:bCs/>
          <w:szCs w:val="22"/>
          <w:lang w:val="sr-Latn-ME"/>
        </w:rPr>
        <w:t xml:space="preserve">2. </w:t>
      </w:r>
      <w:r w:rsidRPr="006F34F9">
        <w:rPr>
          <w:b/>
          <w:bCs/>
          <w:szCs w:val="22"/>
          <w:lang w:val="sr-Latn-ME"/>
        </w:rPr>
        <w:tab/>
        <w:t>KVALITATIVNI I KVANTITATIVNI SASTAV</w:t>
      </w:r>
    </w:p>
    <w:p w14:paraId="3F8F2D53" w14:textId="77777777" w:rsidR="00D43BC5" w:rsidRPr="006F34F9" w:rsidRDefault="00D43BC5">
      <w:pPr>
        <w:rPr>
          <w:bCs/>
          <w:szCs w:val="22"/>
          <w:lang w:val="sr-Latn-ME"/>
        </w:rPr>
      </w:pPr>
    </w:p>
    <w:p w14:paraId="6CE07EE4" w14:textId="5BB7A5F7" w:rsidR="00CE09F3" w:rsidRPr="006F34F9" w:rsidRDefault="007328CE">
      <w:pPr>
        <w:rPr>
          <w:bCs/>
          <w:szCs w:val="22"/>
          <w:u w:val="single"/>
          <w:lang w:val="sr-Latn-ME"/>
        </w:rPr>
      </w:pPr>
      <w:r w:rsidRPr="006F34F9">
        <w:rPr>
          <w:bCs/>
          <w:szCs w:val="22"/>
          <w:u w:val="single"/>
          <w:lang w:val="sr-Latn-ME"/>
        </w:rPr>
        <w:t xml:space="preserve">Entyvio </w:t>
      </w:r>
      <w:r w:rsidR="009B0CA9">
        <w:rPr>
          <w:bCs/>
          <w:szCs w:val="22"/>
          <w:u w:val="single"/>
          <w:lang w:val="sr-Latn-ME"/>
        </w:rPr>
        <w:t>108mg/0,</w:t>
      </w:r>
      <w:r w:rsidR="00DE61AB" w:rsidRPr="006F34F9">
        <w:rPr>
          <w:bCs/>
          <w:szCs w:val="22"/>
          <w:u w:val="single"/>
          <w:lang w:val="sr-Latn-ME"/>
        </w:rPr>
        <w:t>68ml</w:t>
      </w:r>
      <w:r w:rsidRPr="006F34F9">
        <w:rPr>
          <w:bCs/>
          <w:szCs w:val="22"/>
          <w:u w:val="single"/>
          <w:lang w:val="sr-Latn-ME"/>
        </w:rPr>
        <w:t xml:space="preserve"> rastvor za injekciju u napunjenom injekcionom špricu</w:t>
      </w:r>
    </w:p>
    <w:p w14:paraId="48B89450" w14:textId="4B173FCB" w:rsidR="007328CE" w:rsidRPr="006F34F9" w:rsidRDefault="007328CE">
      <w:pPr>
        <w:rPr>
          <w:szCs w:val="22"/>
          <w:lang w:val="sr-Latn-ME"/>
        </w:rPr>
      </w:pPr>
      <w:r w:rsidRPr="006F34F9">
        <w:rPr>
          <w:bCs/>
          <w:szCs w:val="22"/>
          <w:lang w:val="sr-Latn-ME"/>
        </w:rPr>
        <w:t>Jedan napunjeni injekcioni špric sadrži 108mg vedolizumaba u 0,68m</w:t>
      </w:r>
      <w:r w:rsidR="00DE61AB" w:rsidRPr="006F34F9">
        <w:rPr>
          <w:bCs/>
          <w:szCs w:val="22"/>
          <w:lang w:val="sr-Latn-ME"/>
        </w:rPr>
        <w:t>l</w:t>
      </w:r>
    </w:p>
    <w:p w14:paraId="6CE07EE5" w14:textId="6CF21752" w:rsidR="00CE09F3" w:rsidRPr="006F34F9" w:rsidRDefault="00CE09F3">
      <w:pPr>
        <w:rPr>
          <w:szCs w:val="22"/>
          <w:lang w:val="sr-Latn-ME"/>
        </w:rPr>
      </w:pPr>
    </w:p>
    <w:p w14:paraId="1A3D6194" w14:textId="62A8949D" w:rsidR="007328CE" w:rsidRPr="006F34F9" w:rsidRDefault="007328CE">
      <w:pPr>
        <w:rPr>
          <w:bCs/>
          <w:szCs w:val="22"/>
          <w:u w:val="single"/>
          <w:lang w:val="sr-Latn-ME"/>
        </w:rPr>
      </w:pPr>
      <w:r w:rsidRPr="006F34F9">
        <w:rPr>
          <w:bCs/>
          <w:szCs w:val="22"/>
          <w:u w:val="single"/>
          <w:lang w:val="sr-Latn-ME"/>
        </w:rPr>
        <w:t xml:space="preserve">Entyvio </w:t>
      </w:r>
      <w:r w:rsidR="009B0CA9">
        <w:rPr>
          <w:bCs/>
          <w:szCs w:val="22"/>
          <w:u w:val="single"/>
          <w:lang w:val="sr-Latn-ME"/>
        </w:rPr>
        <w:t>108mg/0,</w:t>
      </w:r>
      <w:r w:rsidR="00DE61AB" w:rsidRPr="006F34F9">
        <w:rPr>
          <w:bCs/>
          <w:szCs w:val="22"/>
          <w:u w:val="single"/>
          <w:lang w:val="sr-Latn-ME"/>
        </w:rPr>
        <w:t>68ml</w:t>
      </w:r>
      <w:r w:rsidRPr="006F34F9">
        <w:rPr>
          <w:bCs/>
          <w:szCs w:val="22"/>
          <w:u w:val="single"/>
          <w:lang w:val="sr-Latn-ME"/>
        </w:rPr>
        <w:t xml:space="preserve"> rastvor za injekciju u napunjenom injekcionom penu</w:t>
      </w:r>
    </w:p>
    <w:p w14:paraId="1E758AD8" w14:textId="03982E4B" w:rsidR="007328CE" w:rsidRPr="006F34F9" w:rsidRDefault="007328CE">
      <w:pPr>
        <w:rPr>
          <w:bCs/>
          <w:szCs w:val="22"/>
          <w:lang w:val="sr-Latn-ME"/>
        </w:rPr>
      </w:pPr>
      <w:r w:rsidRPr="006F34F9">
        <w:rPr>
          <w:szCs w:val="22"/>
          <w:lang w:val="sr-Latn-ME"/>
        </w:rPr>
        <w:t xml:space="preserve">Jedan napunjeni injekcioni pen </w:t>
      </w:r>
      <w:r w:rsidRPr="006F34F9">
        <w:rPr>
          <w:bCs/>
          <w:szCs w:val="22"/>
          <w:lang w:val="sr-Latn-ME"/>
        </w:rPr>
        <w:t>sadrži 108mg vedolizumaba u 0,68m</w:t>
      </w:r>
      <w:r w:rsidR="00DE61AB" w:rsidRPr="006F34F9">
        <w:rPr>
          <w:bCs/>
          <w:szCs w:val="22"/>
          <w:lang w:val="sr-Latn-ME"/>
        </w:rPr>
        <w:t>l</w:t>
      </w:r>
    </w:p>
    <w:p w14:paraId="262CED24" w14:textId="24924EEE" w:rsidR="007328CE" w:rsidRPr="006F34F9" w:rsidRDefault="007328CE">
      <w:pPr>
        <w:rPr>
          <w:bCs/>
          <w:szCs w:val="22"/>
          <w:lang w:val="sr-Latn-ME"/>
        </w:rPr>
      </w:pPr>
    </w:p>
    <w:p w14:paraId="1BEAB391" w14:textId="7D20ED91" w:rsidR="007328CE" w:rsidRPr="006F34F9" w:rsidRDefault="007328CE">
      <w:pPr>
        <w:rPr>
          <w:szCs w:val="22"/>
          <w:lang w:val="sr-Latn-ME"/>
        </w:rPr>
      </w:pPr>
      <w:r w:rsidRPr="006F34F9">
        <w:rPr>
          <w:szCs w:val="22"/>
          <w:lang w:val="sr-Latn-ME"/>
        </w:rPr>
        <w:t>Vedolizumab je humanizovano monoklonsko antit</w:t>
      </w:r>
      <w:r w:rsidR="00DE61AB" w:rsidRPr="006F34F9">
        <w:rPr>
          <w:szCs w:val="22"/>
          <w:lang w:val="sr-Latn-ME"/>
        </w:rPr>
        <w:t>ij</w:t>
      </w:r>
      <w:r w:rsidRPr="006F34F9">
        <w:rPr>
          <w:szCs w:val="22"/>
          <w:lang w:val="sr-Latn-ME"/>
        </w:rPr>
        <w:t>elo IgG</w:t>
      </w:r>
      <w:r w:rsidRPr="006F34F9">
        <w:rPr>
          <w:szCs w:val="22"/>
          <w:vertAlign w:val="subscript"/>
          <w:lang w:val="sr-Latn-ME"/>
        </w:rPr>
        <w:t>1</w:t>
      </w:r>
      <w:r w:rsidRPr="006F34F9">
        <w:rPr>
          <w:szCs w:val="22"/>
          <w:lang w:val="sr-Latn-ME"/>
        </w:rPr>
        <w:t xml:space="preserve"> proizvedeno u ćelijama jajnika kineskog hrčka putem rekombinantne DNK tehnologije.</w:t>
      </w:r>
    </w:p>
    <w:p w14:paraId="1696925D" w14:textId="2979AC24" w:rsidR="007328CE" w:rsidRPr="006F34F9" w:rsidRDefault="007328CE">
      <w:pPr>
        <w:rPr>
          <w:szCs w:val="22"/>
          <w:lang w:val="sr-Latn-ME"/>
        </w:rPr>
      </w:pPr>
    </w:p>
    <w:p w14:paraId="60C51400" w14:textId="77777777" w:rsidR="00D43BC5" w:rsidRPr="006F34F9" w:rsidRDefault="00D43BC5">
      <w:pPr>
        <w:rPr>
          <w:szCs w:val="22"/>
          <w:lang w:val="sr-Latn-ME"/>
        </w:rPr>
      </w:pPr>
      <w:r w:rsidRPr="006F34F9">
        <w:rPr>
          <w:szCs w:val="22"/>
          <w:lang w:val="sr-Latn-ME"/>
        </w:rPr>
        <w:t>Za spisak svih ekscipijenasa, pogledati dio 6.1.</w:t>
      </w:r>
    </w:p>
    <w:p w14:paraId="74265D1F" w14:textId="502A0A38" w:rsidR="00D43BC5" w:rsidRPr="006F34F9" w:rsidRDefault="00D43BC5">
      <w:pPr>
        <w:tabs>
          <w:tab w:val="left" w:pos="540"/>
          <w:tab w:val="left" w:pos="569"/>
        </w:tabs>
        <w:rPr>
          <w:b/>
          <w:bCs/>
          <w:szCs w:val="22"/>
          <w:lang w:val="sr-Latn-ME"/>
        </w:rPr>
      </w:pPr>
    </w:p>
    <w:p w14:paraId="77D6F370" w14:textId="77777777" w:rsidR="002C254F" w:rsidRPr="006F34F9" w:rsidRDefault="002C254F">
      <w:pPr>
        <w:tabs>
          <w:tab w:val="left" w:pos="540"/>
          <w:tab w:val="left" w:pos="569"/>
        </w:tabs>
        <w:rPr>
          <w:b/>
          <w:bCs/>
          <w:szCs w:val="22"/>
          <w:lang w:val="sr-Latn-ME"/>
        </w:rPr>
      </w:pPr>
    </w:p>
    <w:p w14:paraId="2EEDB653" w14:textId="3E21045E" w:rsidR="00D43BC5" w:rsidRPr="006F34F9" w:rsidRDefault="00D43BC5">
      <w:pPr>
        <w:tabs>
          <w:tab w:val="left" w:pos="540"/>
          <w:tab w:val="left" w:pos="569"/>
        </w:tabs>
        <w:rPr>
          <w:b/>
          <w:bCs/>
          <w:szCs w:val="22"/>
          <w:lang w:val="sr-Latn-ME"/>
        </w:rPr>
      </w:pPr>
      <w:r w:rsidRPr="006F34F9">
        <w:rPr>
          <w:b/>
          <w:bCs/>
          <w:szCs w:val="22"/>
          <w:lang w:val="sr-Latn-ME"/>
        </w:rPr>
        <w:t xml:space="preserve">3. </w:t>
      </w:r>
      <w:r w:rsidRPr="006F34F9">
        <w:rPr>
          <w:b/>
          <w:bCs/>
          <w:szCs w:val="22"/>
          <w:lang w:val="sr-Latn-ME"/>
        </w:rPr>
        <w:tab/>
        <w:t>FARMACEUTSKI OBLIK</w:t>
      </w:r>
    </w:p>
    <w:p w14:paraId="27FB73BF" w14:textId="77777777" w:rsidR="00D43BC5" w:rsidRPr="006F34F9" w:rsidRDefault="00D43BC5">
      <w:pPr>
        <w:rPr>
          <w:szCs w:val="22"/>
          <w:lang w:val="sr-Latn-ME"/>
        </w:rPr>
      </w:pPr>
    </w:p>
    <w:p w14:paraId="6CE07EE7" w14:textId="4B8E2A59" w:rsidR="00CE09F3" w:rsidRPr="006F34F9" w:rsidRDefault="007328CE">
      <w:pPr>
        <w:rPr>
          <w:szCs w:val="22"/>
          <w:lang w:val="sr-Latn-ME"/>
        </w:rPr>
      </w:pPr>
      <w:r w:rsidRPr="006F34F9">
        <w:rPr>
          <w:szCs w:val="22"/>
          <w:lang w:val="sr-Latn-ME"/>
        </w:rPr>
        <w:t>Rastvor za injekciju (injekcija)</w:t>
      </w:r>
    </w:p>
    <w:p w14:paraId="6CE07EE8" w14:textId="4EE5FE51" w:rsidR="00CE09F3" w:rsidRPr="006F34F9" w:rsidRDefault="007328CE">
      <w:pPr>
        <w:rPr>
          <w:szCs w:val="22"/>
          <w:lang w:val="sr-Latn-ME"/>
        </w:rPr>
      </w:pPr>
      <w:r w:rsidRPr="006F34F9">
        <w:rPr>
          <w:szCs w:val="22"/>
          <w:lang w:val="sr-Latn-ME"/>
        </w:rPr>
        <w:t>Bezbojan do žut rastvor.</w:t>
      </w:r>
    </w:p>
    <w:p w14:paraId="685A3E05" w14:textId="689B24D3" w:rsidR="00591D18" w:rsidRPr="006F34F9" w:rsidRDefault="00591D18">
      <w:pPr>
        <w:rPr>
          <w:szCs w:val="22"/>
          <w:lang w:val="sr-Latn-ME"/>
        </w:rPr>
      </w:pPr>
    </w:p>
    <w:p w14:paraId="22E0B3E8" w14:textId="77777777" w:rsidR="002C254F" w:rsidRPr="006F34F9" w:rsidRDefault="002C254F">
      <w:pPr>
        <w:rPr>
          <w:szCs w:val="22"/>
          <w:lang w:val="sr-Latn-ME"/>
        </w:rPr>
      </w:pPr>
    </w:p>
    <w:p w14:paraId="6CE07EE9" w14:textId="6AA4B2A2" w:rsidR="00CE09F3" w:rsidRPr="006F34F9" w:rsidRDefault="00CE09F3" w:rsidP="00180C9F">
      <w:pPr>
        <w:tabs>
          <w:tab w:val="left" w:pos="540"/>
          <w:tab w:val="left" w:pos="569"/>
        </w:tabs>
        <w:rPr>
          <w:bCs/>
          <w:szCs w:val="22"/>
          <w:lang w:val="sr-Latn-ME"/>
        </w:rPr>
      </w:pPr>
      <w:r w:rsidRPr="006F34F9">
        <w:rPr>
          <w:b/>
          <w:bCs/>
          <w:szCs w:val="22"/>
          <w:lang w:val="sr-Latn-ME"/>
        </w:rPr>
        <w:t>4.</w:t>
      </w:r>
      <w:r w:rsidR="00591D18" w:rsidRPr="006F34F9">
        <w:rPr>
          <w:b/>
          <w:bCs/>
          <w:szCs w:val="22"/>
          <w:lang w:val="sr-Latn-ME"/>
        </w:rPr>
        <w:t xml:space="preserve">  </w:t>
      </w:r>
      <w:r w:rsidRPr="006F34F9">
        <w:rPr>
          <w:b/>
          <w:bCs/>
          <w:szCs w:val="22"/>
          <w:lang w:val="sr-Latn-ME"/>
        </w:rPr>
        <w:t>KLINIČKI PODACI</w:t>
      </w:r>
    </w:p>
    <w:p w14:paraId="68C7CF8F" w14:textId="77777777" w:rsidR="00591D18" w:rsidRPr="006F34F9" w:rsidRDefault="00591D18" w:rsidP="00180C9F">
      <w:pPr>
        <w:tabs>
          <w:tab w:val="left" w:pos="540"/>
          <w:tab w:val="left" w:pos="569"/>
        </w:tabs>
        <w:rPr>
          <w:bCs/>
          <w:szCs w:val="22"/>
          <w:lang w:val="sr-Latn-ME"/>
        </w:rPr>
      </w:pPr>
    </w:p>
    <w:p w14:paraId="6CE07EEA" w14:textId="4B65E9DC" w:rsidR="00CE09F3" w:rsidRPr="006F34F9" w:rsidRDefault="00CE09F3" w:rsidP="00E708C7">
      <w:pPr>
        <w:rPr>
          <w:b/>
          <w:bCs/>
          <w:szCs w:val="22"/>
          <w:lang w:val="sr-Latn-ME"/>
        </w:rPr>
      </w:pPr>
      <w:r w:rsidRPr="006F34F9">
        <w:rPr>
          <w:b/>
          <w:bCs/>
          <w:szCs w:val="22"/>
          <w:lang w:val="sr-Latn-ME"/>
        </w:rPr>
        <w:t>4.1.</w:t>
      </w:r>
      <w:r w:rsidR="00591D18" w:rsidRPr="006F34F9">
        <w:rPr>
          <w:b/>
          <w:bCs/>
          <w:szCs w:val="22"/>
          <w:lang w:val="sr-Latn-ME"/>
        </w:rPr>
        <w:t xml:space="preserve">  </w:t>
      </w:r>
      <w:r w:rsidRPr="006F34F9">
        <w:rPr>
          <w:b/>
          <w:bCs/>
          <w:szCs w:val="22"/>
          <w:lang w:val="sr-Latn-ME"/>
        </w:rPr>
        <w:t>Terapijske indikacije</w:t>
      </w:r>
    </w:p>
    <w:p w14:paraId="6CE07EEB" w14:textId="644C027A" w:rsidR="00CE09F3" w:rsidRPr="006F34F9" w:rsidRDefault="00CE09F3" w:rsidP="00A5182D">
      <w:pPr>
        <w:rPr>
          <w:szCs w:val="22"/>
          <w:lang w:val="sr-Latn-ME"/>
        </w:rPr>
      </w:pPr>
    </w:p>
    <w:p w14:paraId="71FA2704" w14:textId="77777777" w:rsidR="007328CE" w:rsidRPr="006F34F9" w:rsidRDefault="007328CE" w:rsidP="00823C07">
      <w:pPr>
        <w:pStyle w:val="Header"/>
        <w:rPr>
          <w:szCs w:val="22"/>
          <w:u w:val="single"/>
          <w:lang w:val="sr-Latn-ME"/>
        </w:rPr>
      </w:pPr>
      <w:r w:rsidRPr="006F34F9">
        <w:rPr>
          <w:szCs w:val="22"/>
          <w:u w:val="single"/>
          <w:lang w:val="sr-Latn-ME"/>
        </w:rPr>
        <w:t>Ulcerozni kolitis</w:t>
      </w:r>
    </w:p>
    <w:p w14:paraId="24B7C8C7" w14:textId="77777777" w:rsidR="007328CE" w:rsidRPr="006F34F9" w:rsidRDefault="007328CE" w:rsidP="000B42A8">
      <w:pPr>
        <w:pStyle w:val="Header"/>
        <w:rPr>
          <w:szCs w:val="22"/>
          <w:lang w:val="sr-Latn-ME"/>
        </w:rPr>
      </w:pPr>
    </w:p>
    <w:p w14:paraId="399E4BBE" w14:textId="7F780E57" w:rsidR="007328CE" w:rsidRPr="006F34F9" w:rsidRDefault="007328CE">
      <w:pPr>
        <w:pStyle w:val="Header"/>
        <w:rPr>
          <w:szCs w:val="22"/>
          <w:lang w:val="sr-Latn-ME"/>
        </w:rPr>
      </w:pPr>
      <w:r w:rsidRPr="006F34F9">
        <w:rPr>
          <w:szCs w:val="22"/>
          <w:lang w:val="sr-Latn-ME"/>
        </w:rPr>
        <w:t>L</w:t>
      </w:r>
      <w:r w:rsidR="00E708C7" w:rsidRPr="006F34F9">
        <w:rPr>
          <w:szCs w:val="22"/>
          <w:lang w:val="sr-Latn-ME"/>
        </w:rPr>
        <w:t>ij</w:t>
      </w:r>
      <w:r w:rsidRPr="006F34F9">
        <w:rPr>
          <w:szCs w:val="22"/>
          <w:lang w:val="sr-Latn-ME"/>
        </w:rPr>
        <w:t>ek Entyvio je indikovan za l</w:t>
      </w:r>
      <w:r w:rsidR="00E708C7" w:rsidRPr="006F34F9">
        <w:rPr>
          <w:szCs w:val="22"/>
          <w:lang w:val="sr-Latn-ME"/>
        </w:rPr>
        <w:t>ij</w:t>
      </w:r>
      <w:r w:rsidRPr="006F34F9">
        <w:rPr>
          <w:szCs w:val="22"/>
          <w:lang w:val="sr-Latn-ME"/>
        </w:rPr>
        <w:t xml:space="preserve">ečenje odraslih pacijenata sa </w:t>
      </w:r>
      <w:r w:rsidR="008062E2" w:rsidRPr="006F34F9">
        <w:rPr>
          <w:szCs w:val="22"/>
          <w:lang w:val="sr-Latn-ME"/>
        </w:rPr>
        <w:t>umjereno</w:t>
      </w:r>
      <w:r w:rsidRPr="006F34F9">
        <w:rPr>
          <w:szCs w:val="22"/>
          <w:lang w:val="sr-Latn-ME"/>
        </w:rPr>
        <w:t xml:space="preserve"> do izrazito aktivnim ulceroznim kolitisom kod kojih nije postignut zadovoljavajući odgovor ili je odgovor postao neadekvatan bilo na standardnu terapiju ili na antagoniste faktora nekroze tumora alfa (TNFα), kao i kod onih koji takvu terapiju ni</w:t>
      </w:r>
      <w:r w:rsidR="00A5182D" w:rsidRPr="006F34F9">
        <w:rPr>
          <w:szCs w:val="22"/>
          <w:lang w:val="sr-Latn-ME"/>
        </w:rPr>
        <w:t>je</w:t>
      </w:r>
      <w:r w:rsidRPr="006F34F9">
        <w:rPr>
          <w:szCs w:val="22"/>
          <w:lang w:val="sr-Latn-ME"/>
        </w:rPr>
        <w:t>su podnosili.</w:t>
      </w:r>
    </w:p>
    <w:p w14:paraId="08CC7C83" w14:textId="77777777" w:rsidR="007328CE" w:rsidRPr="006F34F9" w:rsidRDefault="007328CE">
      <w:pPr>
        <w:pStyle w:val="Header"/>
        <w:rPr>
          <w:szCs w:val="22"/>
          <w:lang w:val="sr-Latn-ME"/>
        </w:rPr>
      </w:pPr>
    </w:p>
    <w:p w14:paraId="27D161D1" w14:textId="77777777" w:rsidR="007328CE" w:rsidRPr="006F34F9" w:rsidRDefault="007328CE">
      <w:pPr>
        <w:pStyle w:val="Header"/>
        <w:rPr>
          <w:szCs w:val="22"/>
          <w:u w:val="single"/>
          <w:lang w:val="sr-Latn-ME"/>
        </w:rPr>
      </w:pPr>
      <w:r w:rsidRPr="006F34F9">
        <w:rPr>
          <w:szCs w:val="22"/>
          <w:u w:val="single"/>
          <w:lang w:val="sr-Latn-ME"/>
        </w:rPr>
        <w:t>Kronova bolest</w:t>
      </w:r>
    </w:p>
    <w:p w14:paraId="26A2598E" w14:textId="77777777" w:rsidR="007328CE" w:rsidRPr="006F34F9" w:rsidRDefault="007328CE">
      <w:pPr>
        <w:pStyle w:val="Header"/>
        <w:rPr>
          <w:szCs w:val="22"/>
          <w:lang w:val="sr-Latn-ME"/>
        </w:rPr>
      </w:pPr>
    </w:p>
    <w:p w14:paraId="3D527321" w14:textId="54790D55" w:rsidR="007328CE" w:rsidRPr="006F34F9" w:rsidRDefault="007328CE">
      <w:pPr>
        <w:pStyle w:val="Header"/>
        <w:tabs>
          <w:tab w:val="left" w:pos="284"/>
        </w:tabs>
        <w:rPr>
          <w:szCs w:val="22"/>
          <w:lang w:val="sr-Latn-ME"/>
        </w:rPr>
      </w:pPr>
      <w:r w:rsidRPr="006F34F9">
        <w:rPr>
          <w:szCs w:val="22"/>
          <w:lang w:val="sr-Latn-ME"/>
        </w:rPr>
        <w:t>L</w:t>
      </w:r>
      <w:r w:rsidR="00A5182D" w:rsidRPr="006F34F9">
        <w:rPr>
          <w:szCs w:val="22"/>
          <w:lang w:val="sr-Latn-ME"/>
        </w:rPr>
        <w:t>ij</w:t>
      </w:r>
      <w:r w:rsidRPr="006F34F9">
        <w:rPr>
          <w:szCs w:val="22"/>
          <w:lang w:val="sr-Latn-ME"/>
        </w:rPr>
        <w:t>ek Entyvio je indikovan za l</w:t>
      </w:r>
      <w:r w:rsidR="00A5182D" w:rsidRPr="006F34F9">
        <w:rPr>
          <w:szCs w:val="22"/>
          <w:lang w:val="sr-Latn-ME"/>
        </w:rPr>
        <w:t>ij</w:t>
      </w:r>
      <w:r w:rsidRPr="006F34F9">
        <w:rPr>
          <w:szCs w:val="22"/>
          <w:lang w:val="sr-Latn-ME"/>
        </w:rPr>
        <w:t xml:space="preserve">ečenje odraslih pacijenata sa </w:t>
      </w:r>
      <w:r w:rsidR="008062E2" w:rsidRPr="006F34F9">
        <w:rPr>
          <w:szCs w:val="22"/>
          <w:lang w:val="sr-Latn-ME"/>
        </w:rPr>
        <w:t>umjereno</w:t>
      </w:r>
      <w:r w:rsidRPr="006F34F9">
        <w:rPr>
          <w:szCs w:val="22"/>
          <w:lang w:val="sr-Latn-ME"/>
        </w:rPr>
        <w:t xml:space="preserve"> do izrazito aktivnom Kronovom bolešću kod kojih nije postignut zadovoljavajući odgovor ili je odgovor postao neadekvatan bilo na standardnu terapiju ili na antagoniste faktora nekroze tumora alfa (TNFα), kao i kod onih koji takvu terapiju ni</w:t>
      </w:r>
      <w:r w:rsidR="00A5182D" w:rsidRPr="006F34F9">
        <w:rPr>
          <w:szCs w:val="22"/>
          <w:lang w:val="sr-Latn-ME"/>
        </w:rPr>
        <w:t>je</w:t>
      </w:r>
      <w:r w:rsidRPr="006F34F9">
        <w:rPr>
          <w:szCs w:val="22"/>
          <w:lang w:val="sr-Latn-ME"/>
        </w:rPr>
        <w:t>su podnosili.</w:t>
      </w:r>
    </w:p>
    <w:p w14:paraId="1966848B" w14:textId="1C74DAB6" w:rsidR="002C254F" w:rsidRPr="006F34F9" w:rsidRDefault="002C254F" w:rsidP="00A5182D">
      <w:pPr>
        <w:rPr>
          <w:szCs w:val="22"/>
          <w:lang w:val="sr-Latn-ME"/>
        </w:rPr>
      </w:pPr>
    </w:p>
    <w:p w14:paraId="79552AA6" w14:textId="77777777" w:rsidR="001F7037" w:rsidRPr="006F34F9" w:rsidRDefault="001F7037" w:rsidP="00823C07">
      <w:pPr>
        <w:rPr>
          <w:b/>
          <w:bCs/>
          <w:szCs w:val="22"/>
          <w:lang w:val="sr-Latn-ME"/>
        </w:rPr>
      </w:pPr>
    </w:p>
    <w:p w14:paraId="449707DD" w14:textId="77777777" w:rsidR="001F7037" w:rsidRPr="006F34F9" w:rsidRDefault="001F7037" w:rsidP="00823C07">
      <w:pPr>
        <w:rPr>
          <w:b/>
          <w:bCs/>
          <w:szCs w:val="22"/>
          <w:lang w:val="sr-Latn-ME"/>
        </w:rPr>
      </w:pPr>
    </w:p>
    <w:p w14:paraId="61021646" w14:textId="77777777" w:rsidR="001F7037" w:rsidRPr="006F34F9" w:rsidRDefault="001F7037" w:rsidP="00823C07">
      <w:pPr>
        <w:rPr>
          <w:b/>
          <w:bCs/>
          <w:szCs w:val="22"/>
          <w:lang w:val="sr-Latn-ME"/>
        </w:rPr>
      </w:pPr>
    </w:p>
    <w:p w14:paraId="786C9CB9" w14:textId="77777777" w:rsidR="001F7037" w:rsidRPr="006F34F9" w:rsidRDefault="001F7037" w:rsidP="00823C07">
      <w:pPr>
        <w:rPr>
          <w:b/>
          <w:bCs/>
          <w:szCs w:val="22"/>
          <w:lang w:val="sr-Latn-ME"/>
        </w:rPr>
      </w:pPr>
    </w:p>
    <w:p w14:paraId="6CE07EED" w14:textId="4B7C3E3E" w:rsidR="00CE09F3" w:rsidRPr="006F34F9" w:rsidRDefault="00CE09F3" w:rsidP="00823C07">
      <w:pPr>
        <w:rPr>
          <w:b/>
          <w:bCs/>
          <w:szCs w:val="22"/>
          <w:lang w:val="sr-Latn-ME"/>
        </w:rPr>
      </w:pPr>
      <w:r w:rsidRPr="006F34F9">
        <w:rPr>
          <w:b/>
          <w:bCs/>
          <w:szCs w:val="22"/>
          <w:lang w:val="sr-Latn-ME"/>
        </w:rPr>
        <w:lastRenderedPageBreak/>
        <w:t>4.2.</w:t>
      </w:r>
      <w:r w:rsidR="00591D18" w:rsidRPr="006F34F9">
        <w:rPr>
          <w:b/>
          <w:bCs/>
          <w:szCs w:val="22"/>
          <w:lang w:val="sr-Latn-ME"/>
        </w:rPr>
        <w:t xml:space="preserve">  </w:t>
      </w:r>
      <w:r w:rsidRPr="006F34F9">
        <w:rPr>
          <w:b/>
          <w:bCs/>
          <w:szCs w:val="22"/>
          <w:lang w:val="sr-Latn-ME"/>
        </w:rPr>
        <w:t>Doziranje i način prim</w:t>
      </w:r>
      <w:r w:rsidR="00D43BC5" w:rsidRPr="006F34F9">
        <w:rPr>
          <w:b/>
          <w:bCs/>
          <w:szCs w:val="22"/>
          <w:lang w:val="sr-Latn-ME"/>
        </w:rPr>
        <w:t>j</w:t>
      </w:r>
      <w:r w:rsidRPr="006F34F9">
        <w:rPr>
          <w:b/>
          <w:bCs/>
          <w:szCs w:val="22"/>
          <w:lang w:val="sr-Latn-ME"/>
        </w:rPr>
        <w:t>ene</w:t>
      </w:r>
    </w:p>
    <w:p w14:paraId="6CE07EEE" w14:textId="1E506B86" w:rsidR="00CE09F3" w:rsidRPr="006F34F9" w:rsidRDefault="00CE09F3" w:rsidP="000B42A8">
      <w:pPr>
        <w:rPr>
          <w:szCs w:val="22"/>
          <w:lang w:val="sr-Latn-ME"/>
        </w:rPr>
      </w:pPr>
    </w:p>
    <w:p w14:paraId="7EA7DB05" w14:textId="77777777" w:rsidR="003A58E8" w:rsidRDefault="007328CE" w:rsidP="004305EC">
      <w:pPr>
        <w:pStyle w:val="Header"/>
        <w:rPr>
          <w:szCs w:val="22"/>
          <w:lang w:val="sr-Latn-ME"/>
        </w:rPr>
      </w:pPr>
      <w:r w:rsidRPr="006F34F9">
        <w:rPr>
          <w:szCs w:val="22"/>
          <w:lang w:val="sr-Latn-ME"/>
        </w:rPr>
        <w:t>L</w:t>
      </w:r>
      <w:r w:rsidR="00A5182D" w:rsidRPr="006F34F9">
        <w:rPr>
          <w:szCs w:val="22"/>
          <w:lang w:val="sr-Latn-ME"/>
        </w:rPr>
        <w:t>ij</w:t>
      </w:r>
      <w:r w:rsidRPr="006F34F9">
        <w:rPr>
          <w:szCs w:val="22"/>
          <w:lang w:val="sr-Latn-ME"/>
        </w:rPr>
        <w:t xml:space="preserve">ečenje treba da započne i nadgleda </w:t>
      </w:r>
      <w:r w:rsidR="00DE61AB" w:rsidRPr="006F34F9">
        <w:rPr>
          <w:szCs w:val="22"/>
          <w:lang w:val="sr-Latn-ME"/>
        </w:rPr>
        <w:t>ljekar</w:t>
      </w:r>
      <w:r w:rsidRPr="006F34F9">
        <w:rPr>
          <w:szCs w:val="22"/>
          <w:lang w:val="sr-Latn-ME"/>
        </w:rPr>
        <w:t xml:space="preserve"> specijalista sa iskustvom u postavljanju dijagnoze i l</w:t>
      </w:r>
      <w:r w:rsidR="00DE61AB" w:rsidRPr="006F34F9">
        <w:rPr>
          <w:szCs w:val="22"/>
          <w:lang w:val="sr-Latn-ME"/>
        </w:rPr>
        <w:t>ij</w:t>
      </w:r>
      <w:r w:rsidRPr="006F34F9">
        <w:rPr>
          <w:szCs w:val="22"/>
          <w:lang w:val="sr-Latn-ME"/>
        </w:rPr>
        <w:t>ečenju ulceroznog kolitisa ili Kronove bolesti. Pacijenti moraju dobiti Uputstvo za l</w:t>
      </w:r>
      <w:r w:rsidR="00A5182D" w:rsidRPr="006F34F9">
        <w:rPr>
          <w:szCs w:val="22"/>
          <w:lang w:val="sr-Latn-ME"/>
        </w:rPr>
        <w:t>ij</w:t>
      </w:r>
      <w:r w:rsidRPr="006F34F9">
        <w:rPr>
          <w:szCs w:val="22"/>
          <w:lang w:val="sr-Latn-ME"/>
        </w:rPr>
        <w:t>ek</w:t>
      </w:r>
      <w:r w:rsidR="003A58E8">
        <w:rPr>
          <w:szCs w:val="22"/>
          <w:lang w:val="sr-Latn-ME"/>
        </w:rPr>
        <w:t>.</w:t>
      </w:r>
    </w:p>
    <w:p w14:paraId="5687A075" w14:textId="77777777" w:rsidR="009A3BB0" w:rsidRPr="006F34F9" w:rsidRDefault="009A3BB0" w:rsidP="004305EC">
      <w:pPr>
        <w:pStyle w:val="Header"/>
        <w:rPr>
          <w:szCs w:val="22"/>
          <w:lang w:val="sr-Latn-ME"/>
        </w:rPr>
      </w:pPr>
    </w:p>
    <w:p w14:paraId="5DAD100B" w14:textId="2C238797" w:rsidR="007328CE" w:rsidRPr="006F34F9" w:rsidRDefault="009A3BB0" w:rsidP="004305EC">
      <w:pPr>
        <w:pStyle w:val="BodyText1"/>
        <w:keepNext/>
        <w:spacing w:before="0"/>
        <w:ind w:firstLine="0"/>
        <w:jc w:val="both"/>
        <w:rPr>
          <w:rFonts w:ascii="Times New Roman" w:hAnsi="Times New Roman"/>
          <w:iCs/>
          <w:sz w:val="22"/>
          <w:szCs w:val="22"/>
          <w:u w:val="single"/>
          <w:lang w:val="sr-Latn-ME"/>
        </w:rPr>
      </w:pPr>
      <w:r w:rsidRPr="006F34F9">
        <w:rPr>
          <w:rFonts w:ascii="Times New Roman" w:hAnsi="Times New Roman"/>
          <w:iCs/>
          <w:sz w:val="22"/>
          <w:szCs w:val="22"/>
          <w:u w:val="single"/>
          <w:lang w:val="sr-Latn-ME"/>
        </w:rPr>
        <w:t>Doziranje</w:t>
      </w:r>
    </w:p>
    <w:p w14:paraId="6A157296" w14:textId="77777777" w:rsidR="009A3BB0" w:rsidRPr="006F34F9" w:rsidRDefault="009A3BB0" w:rsidP="004305EC">
      <w:pPr>
        <w:pStyle w:val="BodyText1"/>
        <w:keepNext/>
        <w:spacing w:before="0"/>
        <w:ind w:firstLine="0"/>
        <w:jc w:val="both"/>
        <w:rPr>
          <w:rFonts w:ascii="Times New Roman" w:hAnsi="Times New Roman"/>
          <w:iCs/>
          <w:sz w:val="22"/>
          <w:szCs w:val="22"/>
          <w:u w:val="single"/>
          <w:lang w:val="sr-Latn-ME"/>
        </w:rPr>
      </w:pPr>
    </w:p>
    <w:p w14:paraId="6F2E88A5" w14:textId="742C2C51" w:rsidR="007328CE" w:rsidRPr="006F34F9" w:rsidRDefault="007328CE" w:rsidP="004305EC">
      <w:pPr>
        <w:pStyle w:val="BodyText1"/>
        <w:keepNext/>
        <w:spacing w:before="0"/>
        <w:ind w:firstLine="0"/>
        <w:jc w:val="both"/>
        <w:rPr>
          <w:rFonts w:ascii="Times New Roman" w:hAnsi="Times New Roman"/>
          <w:sz w:val="22"/>
          <w:szCs w:val="22"/>
          <w:lang w:val="sr-Latn-ME"/>
        </w:rPr>
      </w:pPr>
      <w:r w:rsidRPr="006F34F9">
        <w:rPr>
          <w:rFonts w:ascii="Times New Roman" w:hAnsi="Times New Roman"/>
          <w:i/>
          <w:sz w:val="22"/>
          <w:szCs w:val="22"/>
          <w:u w:val="single"/>
          <w:lang w:val="sr-Latn-ME"/>
        </w:rPr>
        <w:t xml:space="preserve">Ulcerozni kolitis i Kronova bolest </w:t>
      </w:r>
    </w:p>
    <w:p w14:paraId="673D128E" w14:textId="77777777" w:rsidR="007328CE" w:rsidRPr="006F34F9" w:rsidRDefault="007328CE" w:rsidP="004305EC">
      <w:pPr>
        <w:pStyle w:val="BodyText1"/>
        <w:spacing w:before="0"/>
        <w:ind w:firstLine="0"/>
        <w:jc w:val="both"/>
        <w:rPr>
          <w:rFonts w:ascii="Times New Roman" w:hAnsi="Times New Roman"/>
          <w:sz w:val="22"/>
          <w:szCs w:val="22"/>
          <w:lang w:val="sr-Latn-ME"/>
        </w:rPr>
      </w:pPr>
    </w:p>
    <w:p w14:paraId="2CFDD217" w14:textId="0D69CD69" w:rsidR="007328CE" w:rsidRPr="006F34F9" w:rsidRDefault="008062E2" w:rsidP="0066419A">
      <w:pPr>
        <w:autoSpaceDE w:val="0"/>
        <w:autoSpaceDN w:val="0"/>
        <w:adjustRightInd w:val="0"/>
        <w:rPr>
          <w:szCs w:val="22"/>
          <w:lang w:val="sr-Latn-ME"/>
        </w:rPr>
      </w:pPr>
      <w:r w:rsidRPr="006F34F9">
        <w:rPr>
          <w:szCs w:val="22"/>
          <w:lang w:val="sr-Latn-ME"/>
        </w:rPr>
        <w:t>Pre</w:t>
      </w:r>
      <w:r w:rsidR="007328CE" w:rsidRPr="006F34F9">
        <w:rPr>
          <w:szCs w:val="22"/>
          <w:lang w:val="sr-Latn-ME"/>
        </w:rPr>
        <w:t>poručen</w:t>
      </w:r>
      <w:r w:rsidR="00A5182D" w:rsidRPr="006F34F9">
        <w:rPr>
          <w:szCs w:val="22"/>
          <w:lang w:val="sr-Latn-ME"/>
        </w:rPr>
        <w:t>a</w:t>
      </w:r>
      <w:r w:rsidR="007328CE" w:rsidRPr="006F34F9">
        <w:rPr>
          <w:szCs w:val="22"/>
          <w:lang w:val="sr-Latn-ME"/>
        </w:rPr>
        <w:t xml:space="preserve"> doz</w:t>
      </w:r>
      <w:r w:rsidR="00A5182D" w:rsidRPr="006F34F9">
        <w:rPr>
          <w:szCs w:val="22"/>
          <w:lang w:val="sr-Latn-ME"/>
        </w:rPr>
        <w:t>a</w:t>
      </w:r>
      <w:r w:rsidR="007328CE" w:rsidRPr="006F34F9">
        <w:rPr>
          <w:szCs w:val="22"/>
          <w:lang w:val="sr-Latn-ME"/>
        </w:rPr>
        <w:t xml:space="preserve"> kod </w:t>
      </w:r>
      <w:r w:rsidR="0069571E" w:rsidRPr="006F34F9">
        <w:rPr>
          <w:szCs w:val="22"/>
          <w:lang w:val="sr-Latn-ME"/>
        </w:rPr>
        <w:t>primjene</w:t>
      </w:r>
      <w:r w:rsidR="007328CE" w:rsidRPr="006F34F9">
        <w:rPr>
          <w:szCs w:val="22"/>
          <w:lang w:val="sr-Latn-ME"/>
        </w:rPr>
        <w:t xml:space="preserve"> su</w:t>
      </w:r>
      <w:r w:rsidR="00B2461A" w:rsidRPr="006F34F9">
        <w:rPr>
          <w:szCs w:val="22"/>
          <w:lang w:val="sr-Latn-ME"/>
        </w:rPr>
        <w:t>b</w:t>
      </w:r>
      <w:r w:rsidR="007328CE" w:rsidRPr="006F34F9">
        <w:rPr>
          <w:szCs w:val="22"/>
          <w:lang w:val="sr-Latn-ME"/>
        </w:rPr>
        <w:t>kutanog oblika vedolizumaba kao terapije održavanja, koja sl</w:t>
      </w:r>
      <w:r w:rsidR="00DE61AB" w:rsidRPr="006F34F9">
        <w:rPr>
          <w:szCs w:val="22"/>
          <w:lang w:val="sr-Latn-ME"/>
        </w:rPr>
        <w:t>ij</w:t>
      </w:r>
      <w:r w:rsidR="007328CE" w:rsidRPr="006F34F9">
        <w:rPr>
          <w:szCs w:val="22"/>
          <w:lang w:val="sr-Latn-ME"/>
        </w:rPr>
        <w:t>edi nakon barem 2 intravenske infuzije, je 108 mg putem su</w:t>
      </w:r>
      <w:r w:rsidR="00B2461A" w:rsidRPr="006F34F9">
        <w:rPr>
          <w:szCs w:val="22"/>
          <w:lang w:val="sr-Latn-ME"/>
        </w:rPr>
        <w:t>b</w:t>
      </w:r>
      <w:r w:rsidR="007328CE" w:rsidRPr="006F34F9">
        <w:rPr>
          <w:szCs w:val="22"/>
          <w:lang w:val="sr-Latn-ME"/>
        </w:rPr>
        <w:t xml:space="preserve">kutane injekcije jedanput svake 2 </w:t>
      </w:r>
      <w:r w:rsidR="00A22425" w:rsidRPr="006F34F9">
        <w:rPr>
          <w:szCs w:val="22"/>
          <w:lang w:val="sr-Latn-ME"/>
        </w:rPr>
        <w:t>nedjelje</w:t>
      </w:r>
      <w:r w:rsidR="007328CE" w:rsidRPr="006F34F9">
        <w:rPr>
          <w:szCs w:val="22"/>
          <w:lang w:val="sr-Latn-ME"/>
        </w:rPr>
        <w:t>. Prvu su</w:t>
      </w:r>
      <w:r w:rsidR="00B2461A" w:rsidRPr="006F34F9">
        <w:rPr>
          <w:szCs w:val="22"/>
          <w:lang w:val="sr-Latn-ME"/>
        </w:rPr>
        <w:t>b</w:t>
      </w:r>
      <w:r w:rsidR="007328CE" w:rsidRPr="006F34F9">
        <w:rPr>
          <w:szCs w:val="22"/>
          <w:lang w:val="sr-Latn-ME"/>
        </w:rPr>
        <w:t>kutanu injekciju treba prim</w:t>
      </w:r>
      <w:r w:rsidR="00A5182D" w:rsidRPr="006F34F9">
        <w:rPr>
          <w:szCs w:val="22"/>
          <w:lang w:val="sr-Latn-ME"/>
        </w:rPr>
        <w:t>ij</w:t>
      </w:r>
      <w:r w:rsidR="007328CE" w:rsidRPr="006F34F9">
        <w:rPr>
          <w:szCs w:val="22"/>
          <w:lang w:val="sr-Latn-ME"/>
        </w:rPr>
        <w:t>eniti um</w:t>
      </w:r>
      <w:r w:rsidR="00A5182D" w:rsidRPr="006F34F9">
        <w:rPr>
          <w:szCs w:val="22"/>
          <w:lang w:val="sr-Latn-ME"/>
        </w:rPr>
        <w:t>j</w:t>
      </w:r>
      <w:r w:rsidR="007328CE" w:rsidRPr="006F34F9">
        <w:rPr>
          <w:szCs w:val="22"/>
          <w:lang w:val="sr-Latn-ME"/>
        </w:rPr>
        <w:t>esto sl</w:t>
      </w:r>
      <w:r w:rsidR="00A5182D" w:rsidRPr="006F34F9">
        <w:rPr>
          <w:szCs w:val="22"/>
          <w:lang w:val="sr-Latn-ME"/>
        </w:rPr>
        <w:t>j</w:t>
      </w:r>
      <w:r w:rsidR="007328CE" w:rsidRPr="006F34F9">
        <w:rPr>
          <w:szCs w:val="22"/>
          <w:lang w:val="sr-Latn-ME"/>
        </w:rPr>
        <w:t xml:space="preserve">edeće zakazane intravenske doze, </w:t>
      </w:r>
      <w:r w:rsidR="00B2461A" w:rsidRPr="006F34F9">
        <w:rPr>
          <w:szCs w:val="22"/>
          <w:lang w:val="sr-Latn-ME"/>
        </w:rPr>
        <w:t>kao i</w:t>
      </w:r>
      <w:r w:rsidR="007328CE" w:rsidRPr="006F34F9">
        <w:rPr>
          <w:szCs w:val="22"/>
          <w:lang w:val="sr-Latn-ME"/>
        </w:rPr>
        <w:t xml:space="preserve"> svak</w:t>
      </w:r>
      <w:r w:rsidR="00B2461A" w:rsidRPr="006F34F9">
        <w:rPr>
          <w:szCs w:val="22"/>
          <w:lang w:val="sr-Latn-ME"/>
        </w:rPr>
        <w:t>e</w:t>
      </w:r>
      <w:r w:rsidR="007328CE" w:rsidRPr="006F34F9">
        <w:rPr>
          <w:szCs w:val="22"/>
          <w:lang w:val="sr-Latn-ME"/>
        </w:rPr>
        <w:t xml:space="preserve"> 2 </w:t>
      </w:r>
      <w:r w:rsidR="00A22425" w:rsidRPr="006F34F9">
        <w:rPr>
          <w:szCs w:val="22"/>
          <w:lang w:val="sr-Latn-ME"/>
        </w:rPr>
        <w:t>nedjelje</w:t>
      </w:r>
      <w:r w:rsidR="007328CE" w:rsidRPr="006F34F9">
        <w:rPr>
          <w:szCs w:val="22"/>
          <w:lang w:val="sr-Latn-ME"/>
        </w:rPr>
        <w:t xml:space="preserve"> nakon toga. </w:t>
      </w:r>
    </w:p>
    <w:p w14:paraId="69B9F3E4" w14:textId="77777777" w:rsidR="00CC5A59" w:rsidRPr="006F34F9" w:rsidRDefault="00CC5A59" w:rsidP="0066419A">
      <w:pPr>
        <w:autoSpaceDE w:val="0"/>
        <w:autoSpaceDN w:val="0"/>
        <w:adjustRightInd w:val="0"/>
        <w:rPr>
          <w:szCs w:val="22"/>
          <w:lang w:val="sr-Latn-ME"/>
        </w:rPr>
      </w:pPr>
    </w:p>
    <w:p w14:paraId="3DD00E0A" w14:textId="6067DF83" w:rsidR="007328CE" w:rsidRPr="006F34F9" w:rsidRDefault="007328CE" w:rsidP="0066419A">
      <w:pPr>
        <w:autoSpaceDE w:val="0"/>
        <w:autoSpaceDN w:val="0"/>
        <w:adjustRightInd w:val="0"/>
        <w:rPr>
          <w:szCs w:val="22"/>
          <w:lang w:val="sr-Latn-ME"/>
        </w:rPr>
      </w:pPr>
      <w:r w:rsidRPr="006F34F9">
        <w:rPr>
          <w:szCs w:val="22"/>
          <w:lang w:val="sr-Latn-ME"/>
        </w:rPr>
        <w:t xml:space="preserve">Za intravensko doziranje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Pr="006F34F9">
        <w:rPr>
          <w:szCs w:val="22"/>
          <w:lang w:val="sr-Latn-ME"/>
        </w:rPr>
        <w:t xml:space="preserve"> 4.2 </w:t>
      </w:r>
      <w:r w:rsidR="00A5182D" w:rsidRPr="006F34F9">
        <w:rPr>
          <w:szCs w:val="22"/>
          <w:lang w:val="sr-Latn-ME"/>
        </w:rPr>
        <w:t>S</w:t>
      </w:r>
      <w:r w:rsidRPr="006F34F9">
        <w:rPr>
          <w:szCs w:val="22"/>
          <w:lang w:val="sr-Latn-ME"/>
        </w:rPr>
        <w:t xml:space="preserve">ažetka </w:t>
      </w:r>
      <w:r w:rsidR="00B2461A" w:rsidRPr="006F34F9">
        <w:rPr>
          <w:szCs w:val="22"/>
          <w:lang w:val="sr-Latn-ME"/>
        </w:rPr>
        <w:t>karakteristika</w:t>
      </w:r>
      <w:r w:rsidRPr="006F34F9">
        <w:rPr>
          <w:szCs w:val="22"/>
          <w:lang w:val="sr-Latn-ME"/>
        </w:rPr>
        <w:t xml:space="preserve"> </w:t>
      </w:r>
      <w:r w:rsidR="008559D3" w:rsidRPr="006F34F9">
        <w:rPr>
          <w:szCs w:val="22"/>
          <w:lang w:val="sr-Latn-ME"/>
        </w:rPr>
        <w:t>lijeka</w:t>
      </w:r>
      <w:r w:rsidRPr="006F34F9">
        <w:rPr>
          <w:szCs w:val="22"/>
          <w:lang w:val="sr-Latn-ME"/>
        </w:rPr>
        <w:t xml:space="preserve"> za Entyvio 300</w:t>
      </w:r>
      <w:r w:rsidR="0005441C">
        <w:rPr>
          <w:szCs w:val="22"/>
          <w:lang w:val="sr-Latn-ME"/>
        </w:rPr>
        <w:t xml:space="preserve"> </w:t>
      </w:r>
      <w:r w:rsidRPr="006F34F9">
        <w:rPr>
          <w:szCs w:val="22"/>
          <w:lang w:val="sr-Latn-ME"/>
        </w:rPr>
        <w:t xml:space="preserve">mg prašak za koncentrat za </w:t>
      </w:r>
      <w:r w:rsidR="00B2461A" w:rsidRPr="006F34F9">
        <w:rPr>
          <w:szCs w:val="22"/>
          <w:lang w:val="sr-Latn-ME"/>
        </w:rPr>
        <w:t>rastvor</w:t>
      </w:r>
      <w:r w:rsidRPr="006F34F9">
        <w:rPr>
          <w:szCs w:val="22"/>
          <w:lang w:val="sr-Latn-ME"/>
        </w:rPr>
        <w:t xml:space="preserve"> za infuziju.</w:t>
      </w:r>
    </w:p>
    <w:p w14:paraId="71B7655B" w14:textId="77777777" w:rsidR="007328CE" w:rsidRPr="006F34F9" w:rsidRDefault="007328CE" w:rsidP="0066419A">
      <w:pPr>
        <w:autoSpaceDE w:val="0"/>
        <w:autoSpaceDN w:val="0"/>
        <w:adjustRightInd w:val="0"/>
        <w:rPr>
          <w:szCs w:val="22"/>
          <w:lang w:val="sr-Latn-ME"/>
        </w:rPr>
      </w:pPr>
    </w:p>
    <w:p w14:paraId="23B83817" w14:textId="523BD6FC" w:rsidR="007328CE" w:rsidRPr="006F34F9" w:rsidRDefault="007328CE" w:rsidP="0066419A">
      <w:pPr>
        <w:autoSpaceDE w:val="0"/>
        <w:autoSpaceDN w:val="0"/>
        <w:adjustRightInd w:val="0"/>
        <w:rPr>
          <w:szCs w:val="22"/>
          <w:lang w:val="sr-Latn-ME"/>
        </w:rPr>
      </w:pPr>
      <w:r w:rsidRPr="006F34F9">
        <w:rPr>
          <w:szCs w:val="22"/>
          <w:lang w:val="sr-Latn-ME"/>
        </w:rPr>
        <w:t>Dostupni podaci ni</w:t>
      </w:r>
      <w:r w:rsidR="00A5182D" w:rsidRPr="006F34F9">
        <w:rPr>
          <w:szCs w:val="22"/>
          <w:lang w:val="sr-Latn-ME"/>
        </w:rPr>
        <w:t>je</w:t>
      </w:r>
      <w:r w:rsidRPr="006F34F9">
        <w:rPr>
          <w:szCs w:val="22"/>
          <w:lang w:val="sr-Latn-ME"/>
        </w:rPr>
        <w:t xml:space="preserve">su dovoljni kako bi se utvrdilo hoće li </w:t>
      </w:r>
      <w:r w:rsidR="00B2461A" w:rsidRPr="006F34F9">
        <w:rPr>
          <w:szCs w:val="22"/>
          <w:lang w:val="sr-Latn-ME"/>
        </w:rPr>
        <w:t>pacijenti</w:t>
      </w:r>
      <w:r w:rsidRPr="006F34F9">
        <w:rPr>
          <w:szCs w:val="22"/>
          <w:lang w:val="sr-Latn-ME"/>
        </w:rPr>
        <w:t xml:space="preserve"> koji su iskusili smanjenje odgovora u terapiji održavanja su</w:t>
      </w:r>
      <w:r w:rsidR="00B2461A" w:rsidRPr="006F34F9">
        <w:rPr>
          <w:szCs w:val="22"/>
          <w:lang w:val="sr-Latn-ME"/>
        </w:rPr>
        <w:t>b</w:t>
      </w:r>
      <w:r w:rsidRPr="006F34F9">
        <w:rPr>
          <w:szCs w:val="22"/>
          <w:lang w:val="sr-Latn-ME"/>
        </w:rPr>
        <w:t xml:space="preserve">kutanim vedolizumabom imati koristi od povećanja učestalosti doziranja. </w:t>
      </w:r>
    </w:p>
    <w:p w14:paraId="6D4C90B6" w14:textId="77777777" w:rsidR="007328CE" w:rsidRPr="006F34F9" w:rsidRDefault="007328CE" w:rsidP="0066419A">
      <w:pPr>
        <w:autoSpaceDE w:val="0"/>
        <w:autoSpaceDN w:val="0"/>
        <w:adjustRightInd w:val="0"/>
        <w:rPr>
          <w:szCs w:val="22"/>
          <w:lang w:val="sr-Latn-ME"/>
        </w:rPr>
      </w:pPr>
    </w:p>
    <w:p w14:paraId="2D588576" w14:textId="46ED4FF2" w:rsidR="007328CE" w:rsidRPr="006F34F9" w:rsidRDefault="007328CE" w:rsidP="0066419A">
      <w:pPr>
        <w:autoSpaceDE w:val="0"/>
        <w:autoSpaceDN w:val="0"/>
        <w:adjustRightInd w:val="0"/>
        <w:rPr>
          <w:szCs w:val="22"/>
          <w:lang w:val="sr-Latn-ME"/>
        </w:rPr>
      </w:pPr>
      <w:r w:rsidRPr="006F34F9">
        <w:rPr>
          <w:szCs w:val="22"/>
          <w:lang w:val="sr-Latn-ME"/>
        </w:rPr>
        <w:t xml:space="preserve">Nema podataka o </w:t>
      </w:r>
      <w:r w:rsidR="008062E2" w:rsidRPr="006F34F9">
        <w:rPr>
          <w:szCs w:val="22"/>
          <w:lang w:val="sr-Latn-ME"/>
        </w:rPr>
        <w:t>pr</w:t>
      </w:r>
      <w:r w:rsidR="00823C07" w:rsidRPr="006F34F9">
        <w:rPr>
          <w:szCs w:val="22"/>
          <w:lang w:val="sr-Latn-ME"/>
        </w:rPr>
        <w:t>e</w:t>
      </w:r>
      <w:r w:rsidRPr="006F34F9">
        <w:rPr>
          <w:szCs w:val="22"/>
          <w:lang w:val="sr-Latn-ME"/>
        </w:rPr>
        <w:t xml:space="preserve">lazu </w:t>
      </w:r>
      <w:r w:rsidR="00B2461A" w:rsidRPr="006F34F9">
        <w:rPr>
          <w:szCs w:val="22"/>
          <w:lang w:val="sr-Latn-ME"/>
        </w:rPr>
        <w:t>pacijenata</w:t>
      </w:r>
      <w:r w:rsidRPr="006F34F9">
        <w:rPr>
          <w:szCs w:val="22"/>
          <w:lang w:val="sr-Latn-ME"/>
        </w:rPr>
        <w:t xml:space="preserve"> sa su</w:t>
      </w:r>
      <w:r w:rsidR="00B2461A" w:rsidRPr="006F34F9">
        <w:rPr>
          <w:szCs w:val="22"/>
          <w:lang w:val="sr-Latn-ME"/>
        </w:rPr>
        <w:t>b</w:t>
      </w:r>
      <w:r w:rsidRPr="006F34F9">
        <w:rPr>
          <w:szCs w:val="22"/>
          <w:lang w:val="sr-Latn-ME"/>
        </w:rPr>
        <w:t>kutanog na intravenski vedolizumab t</w:t>
      </w:r>
      <w:r w:rsidR="00B2461A" w:rsidRPr="006F34F9">
        <w:rPr>
          <w:szCs w:val="22"/>
          <w:lang w:val="sr-Latn-ME"/>
        </w:rPr>
        <w:t>o</w:t>
      </w:r>
      <w:r w:rsidRPr="006F34F9">
        <w:rPr>
          <w:szCs w:val="22"/>
          <w:lang w:val="sr-Latn-ME"/>
        </w:rPr>
        <w:t>kom terapije održavanja.</w:t>
      </w:r>
    </w:p>
    <w:p w14:paraId="3804D6B6" w14:textId="77777777" w:rsidR="007328CE" w:rsidRPr="006F34F9" w:rsidRDefault="007328CE" w:rsidP="0066419A">
      <w:pPr>
        <w:autoSpaceDE w:val="0"/>
        <w:autoSpaceDN w:val="0"/>
        <w:adjustRightInd w:val="0"/>
        <w:rPr>
          <w:szCs w:val="22"/>
          <w:lang w:val="sr-Latn-ME"/>
        </w:rPr>
      </w:pPr>
    </w:p>
    <w:p w14:paraId="2CADCB9A" w14:textId="1920E3CA" w:rsidR="007328CE" w:rsidRPr="006F34F9" w:rsidRDefault="00B2461A" w:rsidP="0066419A">
      <w:pPr>
        <w:autoSpaceDE w:val="0"/>
        <w:autoSpaceDN w:val="0"/>
        <w:adjustRightInd w:val="0"/>
        <w:rPr>
          <w:szCs w:val="22"/>
          <w:lang w:val="sr-Latn-ME"/>
        </w:rPr>
      </w:pPr>
      <w:r w:rsidRPr="006F34F9">
        <w:rPr>
          <w:szCs w:val="22"/>
          <w:lang w:val="sr-Latn-ME"/>
        </w:rPr>
        <w:t>Kod pacijenata</w:t>
      </w:r>
      <w:r w:rsidR="007328CE" w:rsidRPr="006F34F9">
        <w:rPr>
          <w:szCs w:val="22"/>
          <w:lang w:val="sr-Latn-ME"/>
        </w:rPr>
        <w:t xml:space="preserve"> koji su odgovorili na l</w:t>
      </w:r>
      <w:r w:rsidR="00823C07" w:rsidRPr="006F34F9">
        <w:rPr>
          <w:szCs w:val="22"/>
          <w:lang w:val="sr-Latn-ME"/>
        </w:rPr>
        <w:t>ij</w:t>
      </w:r>
      <w:r w:rsidR="007328CE" w:rsidRPr="006F34F9">
        <w:rPr>
          <w:szCs w:val="22"/>
          <w:lang w:val="sr-Latn-ME"/>
        </w:rPr>
        <w:t xml:space="preserve">ečenje vedolizumabom moguće je smanjiti i/ili </w:t>
      </w:r>
      <w:r w:rsidR="008062E2" w:rsidRPr="006F34F9">
        <w:rPr>
          <w:szCs w:val="22"/>
          <w:lang w:val="sr-Latn-ME"/>
        </w:rPr>
        <w:t>pre</w:t>
      </w:r>
      <w:r w:rsidR="007328CE" w:rsidRPr="006F34F9">
        <w:rPr>
          <w:szCs w:val="22"/>
          <w:lang w:val="sr-Latn-ME"/>
        </w:rPr>
        <w:t>kinuti l</w:t>
      </w:r>
      <w:r w:rsidR="00823C07" w:rsidRPr="006F34F9">
        <w:rPr>
          <w:szCs w:val="22"/>
          <w:lang w:val="sr-Latn-ME"/>
        </w:rPr>
        <w:t>ij</w:t>
      </w:r>
      <w:r w:rsidR="007328CE" w:rsidRPr="006F34F9">
        <w:rPr>
          <w:szCs w:val="22"/>
          <w:lang w:val="sr-Latn-ME"/>
        </w:rPr>
        <w:t>ečenje kortikosteroidima u skladu sa standardn</w:t>
      </w:r>
      <w:r w:rsidRPr="006F34F9">
        <w:rPr>
          <w:szCs w:val="22"/>
          <w:lang w:val="sr-Latn-ME"/>
        </w:rPr>
        <w:t>o</w:t>
      </w:r>
      <w:r w:rsidR="007328CE" w:rsidRPr="006F34F9">
        <w:rPr>
          <w:szCs w:val="22"/>
          <w:lang w:val="sr-Latn-ME"/>
        </w:rPr>
        <w:t xml:space="preserve">m </w:t>
      </w:r>
      <w:r w:rsidRPr="006F34F9">
        <w:rPr>
          <w:szCs w:val="22"/>
          <w:lang w:val="sr-Latn-ME"/>
        </w:rPr>
        <w:t>n</w:t>
      </w:r>
      <w:r w:rsidR="00823C07" w:rsidRPr="006F34F9">
        <w:rPr>
          <w:szCs w:val="22"/>
          <w:lang w:val="sr-Latn-ME"/>
        </w:rPr>
        <w:t>j</w:t>
      </w:r>
      <w:r w:rsidRPr="006F34F9">
        <w:rPr>
          <w:szCs w:val="22"/>
          <w:lang w:val="sr-Latn-ME"/>
        </w:rPr>
        <w:t>egom</w:t>
      </w:r>
      <w:r w:rsidR="007328CE" w:rsidRPr="006F34F9">
        <w:rPr>
          <w:szCs w:val="22"/>
          <w:lang w:val="sr-Latn-ME"/>
        </w:rPr>
        <w:t>.</w:t>
      </w:r>
    </w:p>
    <w:p w14:paraId="2268915D" w14:textId="77777777" w:rsidR="007328CE" w:rsidRPr="006F34F9" w:rsidRDefault="007328CE" w:rsidP="004305EC">
      <w:pPr>
        <w:autoSpaceDE w:val="0"/>
        <w:autoSpaceDN w:val="0"/>
        <w:adjustRightInd w:val="0"/>
        <w:rPr>
          <w:szCs w:val="22"/>
          <w:lang w:val="sr-Latn-ME"/>
        </w:rPr>
      </w:pPr>
    </w:p>
    <w:p w14:paraId="209D5C07" w14:textId="0D302F33" w:rsidR="007328CE" w:rsidRPr="006F34F9" w:rsidRDefault="007328CE" w:rsidP="004305EC">
      <w:pPr>
        <w:pStyle w:val="BodyText1"/>
        <w:spacing w:before="0"/>
        <w:ind w:firstLine="0"/>
        <w:jc w:val="both"/>
        <w:rPr>
          <w:rFonts w:ascii="Times New Roman" w:hAnsi="Times New Roman"/>
          <w:i/>
          <w:sz w:val="22"/>
          <w:szCs w:val="22"/>
          <w:lang w:val="sr-Latn-ME"/>
        </w:rPr>
      </w:pPr>
      <w:r w:rsidRPr="006F34F9">
        <w:rPr>
          <w:rFonts w:ascii="Times New Roman" w:hAnsi="Times New Roman"/>
          <w:i/>
          <w:sz w:val="22"/>
          <w:szCs w:val="22"/>
          <w:lang w:val="sr-Latn-ME"/>
        </w:rPr>
        <w:t>Ponovno l</w:t>
      </w:r>
      <w:r w:rsidR="00823C07" w:rsidRPr="006F34F9">
        <w:rPr>
          <w:rFonts w:ascii="Times New Roman" w:hAnsi="Times New Roman"/>
          <w:i/>
          <w:sz w:val="22"/>
          <w:szCs w:val="22"/>
          <w:lang w:val="sr-Latn-ME"/>
        </w:rPr>
        <w:t>ij</w:t>
      </w:r>
      <w:r w:rsidRPr="006F34F9">
        <w:rPr>
          <w:rFonts w:ascii="Times New Roman" w:hAnsi="Times New Roman"/>
          <w:i/>
          <w:sz w:val="22"/>
          <w:szCs w:val="22"/>
          <w:lang w:val="sr-Latn-ME"/>
        </w:rPr>
        <w:t>ečenje i propuštene doze</w:t>
      </w:r>
    </w:p>
    <w:p w14:paraId="4FE037B5" w14:textId="77777777" w:rsidR="007328CE" w:rsidRPr="006F34F9" w:rsidRDefault="007328CE" w:rsidP="004305EC">
      <w:pPr>
        <w:pStyle w:val="BodyText1"/>
        <w:spacing w:before="0"/>
        <w:ind w:firstLine="0"/>
        <w:jc w:val="both"/>
        <w:rPr>
          <w:rFonts w:ascii="Times New Roman" w:hAnsi="Times New Roman"/>
          <w:i/>
          <w:sz w:val="22"/>
          <w:szCs w:val="22"/>
          <w:lang w:val="sr-Latn-ME"/>
        </w:rPr>
      </w:pPr>
    </w:p>
    <w:p w14:paraId="67C5F950" w14:textId="301B11B3" w:rsidR="007328CE" w:rsidRPr="006F34F9" w:rsidRDefault="007328CE" w:rsidP="0066419A">
      <w:pPr>
        <w:autoSpaceDE w:val="0"/>
        <w:autoSpaceDN w:val="0"/>
        <w:adjustRightInd w:val="0"/>
        <w:rPr>
          <w:szCs w:val="22"/>
          <w:lang w:val="sr-Latn-ME"/>
        </w:rPr>
      </w:pPr>
      <w:r w:rsidRPr="006F34F9">
        <w:rPr>
          <w:szCs w:val="22"/>
          <w:lang w:val="sr-Latn-ME"/>
        </w:rPr>
        <w:t>Ako je l</w:t>
      </w:r>
      <w:r w:rsidR="00823C07" w:rsidRPr="006F34F9">
        <w:rPr>
          <w:szCs w:val="22"/>
          <w:lang w:val="sr-Latn-ME"/>
        </w:rPr>
        <w:t>ij</w:t>
      </w:r>
      <w:r w:rsidRPr="006F34F9">
        <w:rPr>
          <w:szCs w:val="22"/>
          <w:lang w:val="sr-Latn-ME"/>
        </w:rPr>
        <w:t>ečenje su</w:t>
      </w:r>
      <w:r w:rsidR="00B2461A" w:rsidRPr="006F34F9">
        <w:rPr>
          <w:szCs w:val="22"/>
          <w:lang w:val="sr-Latn-ME"/>
        </w:rPr>
        <w:t>b</w:t>
      </w:r>
      <w:r w:rsidRPr="006F34F9">
        <w:rPr>
          <w:szCs w:val="22"/>
          <w:lang w:val="sr-Latn-ME"/>
        </w:rPr>
        <w:t xml:space="preserve">kutanim vedolizumabom </w:t>
      </w:r>
      <w:r w:rsidR="008062E2" w:rsidRPr="006F34F9">
        <w:rPr>
          <w:szCs w:val="22"/>
          <w:lang w:val="sr-Latn-ME"/>
        </w:rPr>
        <w:t>pre</w:t>
      </w:r>
      <w:r w:rsidRPr="006F34F9">
        <w:rPr>
          <w:szCs w:val="22"/>
          <w:lang w:val="sr-Latn-ME"/>
        </w:rPr>
        <w:t xml:space="preserve">kinuto ili je </w:t>
      </w:r>
      <w:r w:rsidR="00B2461A" w:rsidRPr="006F34F9">
        <w:rPr>
          <w:szCs w:val="22"/>
          <w:lang w:val="sr-Latn-ME"/>
        </w:rPr>
        <w:t>pacijent</w:t>
      </w:r>
      <w:r w:rsidRPr="006F34F9">
        <w:rPr>
          <w:szCs w:val="22"/>
          <w:lang w:val="sr-Latn-ME"/>
        </w:rPr>
        <w:t xml:space="preserve"> propustio dozu (doze) su</w:t>
      </w:r>
      <w:r w:rsidR="00B2461A" w:rsidRPr="006F34F9">
        <w:rPr>
          <w:szCs w:val="22"/>
          <w:lang w:val="sr-Latn-ME"/>
        </w:rPr>
        <w:t>b</w:t>
      </w:r>
      <w:r w:rsidRPr="006F34F9">
        <w:rPr>
          <w:szCs w:val="22"/>
          <w:lang w:val="sr-Latn-ME"/>
        </w:rPr>
        <w:t xml:space="preserve">kutanog vedolizumaba, </w:t>
      </w:r>
      <w:r w:rsidR="00B2461A" w:rsidRPr="006F34F9">
        <w:rPr>
          <w:szCs w:val="22"/>
          <w:lang w:val="sr-Latn-ME"/>
        </w:rPr>
        <w:t>pacijentu</w:t>
      </w:r>
      <w:r w:rsidRPr="006F34F9">
        <w:rPr>
          <w:szCs w:val="22"/>
          <w:lang w:val="sr-Latn-ME"/>
        </w:rPr>
        <w:t xml:space="preserve"> treba </w:t>
      </w:r>
      <w:r w:rsidR="00DE61AB" w:rsidRPr="006F34F9">
        <w:rPr>
          <w:szCs w:val="22"/>
          <w:lang w:val="sr-Latn-ME"/>
        </w:rPr>
        <w:t>savjetovati</w:t>
      </w:r>
      <w:r w:rsidRPr="006F34F9">
        <w:rPr>
          <w:szCs w:val="22"/>
          <w:lang w:val="sr-Latn-ME"/>
        </w:rPr>
        <w:t xml:space="preserve"> </w:t>
      </w:r>
      <w:r w:rsidR="008062E2" w:rsidRPr="006F34F9">
        <w:rPr>
          <w:szCs w:val="22"/>
          <w:lang w:val="sr-Latn-ME"/>
        </w:rPr>
        <w:t>primjenu</w:t>
      </w:r>
      <w:r w:rsidRPr="006F34F9">
        <w:rPr>
          <w:szCs w:val="22"/>
          <w:lang w:val="sr-Latn-ME"/>
        </w:rPr>
        <w:t xml:space="preserve"> sl</w:t>
      </w:r>
      <w:r w:rsidR="00823C07" w:rsidRPr="006F34F9">
        <w:rPr>
          <w:szCs w:val="22"/>
          <w:lang w:val="sr-Latn-ME"/>
        </w:rPr>
        <w:t>j</w:t>
      </w:r>
      <w:r w:rsidRPr="006F34F9">
        <w:rPr>
          <w:szCs w:val="22"/>
          <w:lang w:val="sr-Latn-ME"/>
        </w:rPr>
        <w:t>edeće su</w:t>
      </w:r>
      <w:r w:rsidR="00B2461A" w:rsidRPr="006F34F9">
        <w:rPr>
          <w:szCs w:val="22"/>
          <w:lang w:val="sr-Latn-ME"/>
        </w:rPr>
        <w:t>b</w:t>
      </w:r>
      <w:r w:rsidRPr="006F34F9">
        <w:rPr>
          <w:szCs w:val="22"/>
          <w:lang w:val="sr-Latn-ME"/>
        </w:rPr>
        <w:t xml:space="preserve">kutane doze što je </w:t>
      </w:r>
      <w:r w:rsidR="008062E2" w:rsidRPr="006F34F9">
        <w:rPr>
          <w:szCs w:val="22"/>
          <w:lang w:val="sr-Latn-ME"/>
        </w:rPr>
        <w:t>prije</w:t>
      </w:r>
      <w:r w:rsidRPr="006F34F9">
        <w:rPr>
          <w:szCs w:val="22"/>
          <w:lang w:val="sr-Latn-ME"/>
        </w:rPr>
        <w:t xml:space="preserve"> moguće, a zatim svak</w:t>
      </w:r>
      <w:r w:rsidR="00B2461A" w:rsidRPr="006F34F9">
        <w:rPr>
          <w:szCs w:val="22"/>
          <w:lang w:val="sr-Latn-ME"/>
        </w:rPr>
        <w:t>e</w:t>
      </w:r>
      <w:r w:rsidRPr="006F34F9">
        <w:rPr>
          <w:szCs w:val="22"/>
          <w:lang w:val="sr-Latn-ME"/>
        </w:rPr>
        <w:t xml:space="preserve"> 2 </w:t>
      </w:r>
      <w:r w:rsidR="00A22425" w:rsidRPr="006F34F9">
        <w:rPr>
          <w:szCs w:val="22"/>
          <w:lang w:val="sr-Latn-ME"/>
        </w:rPr>
        <w:t>nedjelje</w:t>
      </w:r>
      <w:r w:rsidRPr="006F34F9">
        <w:rPr>
          <w:szCs w:val="22"/>
          <w:lang w:val="sr-Latn-ME"/>
        </w:rPr>
        <w:t xml:space="preserve"> nakon toga. Razdoblje </w:t>
      </w:r>
      <w:r w:rsidR="008062E2" w:rsidRPr="006F34F9">
        <w:rPr>
          <w:szCs w:val="22"/>
          <w:lang w:val="sr-Latn-ME"/>
        </w:rPr>
        <w:t>pre</w:t>
      </w:r>
      <w:r w:rsidRPr="006F34F9">
        <w:rPr>
          <w:szCs w:val="22"/>
          <w:lang w:val="sr-Latn-ME"/>
        </w:rPr>
        <w:t xml:space="preserve">kida </w:t>
      </w:r>
      <w:r w:rsidR="003D1FD7" w:rsidRPr="006F34F9">
        <w:rPr>
          <w:szCs w:val="22"/>
          <w:lang w:val="sr-Latn-ME"/>
        </w:rPr>
        <w:t>liječenja</w:t>
      </w:r>
      <w:r w:rsidRPr="006F34F9">
        <w:rPr>
          <w:szCs w:val="22"/>
          <w:lang w:val="sr-Latn-ME"/>
        </w:rPr>
        <w:t xml:space="preserve"> u kliničkim ispitivanjima trajalo je do 46 </w:t>
      </w:r>
      <w:r w:rsidR="008062E2" w:rsidRPr="006F34F9">
        <w:rPr>
          <w:szCs w:val="22"/>
          <w:lang w:val="sr-Latn-ME"/>
        </w:rPr>
        <w:t>ned</w:t>
      </w:r>
      <w:r w:rsidR="00823C07" w:rsidRPr="006F34F9">
        <w:rPr>
          <w:szCs w:val="22"/>
          <w:lang w:val="sr-Latn-ME"/>
        </w:rPr>
        <w:t>j</w:t>
      </w:r>
      <w:r w:rsidR="008062E2" w:rsidRPr="006F34F9">
        <w:rPr>
          <w:szCs w:val="22"/>
          <w:lang w:val="sr-Latn-ME"/>
        </w:rPr>
        <w:t>elja</w:t>
      </w:r>
      <w:r w:rsidRPr="006F34F9">
        <w:rPr>
          <w:szCs w:val="22"/>
          <w:lang w:val="sr-Latn-ME"/>
        </w:rPr>
        <w:t xml:space="preserve"> bez očitog porasta </w:t>
      </w:r>
      <w:r w:rsidR="00B2461A" w:rsidRPr="006F34F9">
        <w:rPr>
          <w:szCs w:val="22"/>
          <w:lang w:val="sr-Latn-ME"/>
        </w:rPr>
        <w:t>neželjenih reakcija</w:t>
      </w:r>
      <w:r w:rsidRPr="006F34F9">
        <w:rPr>
          <w:szCs w:val="22"/>
          <w:lang w:val="sr-Latn-ME"/>
        </w:rPr>
        <w:t xml:space="preserve"> ili reakcija na </w:t>
      </w:r>
      <w:r w:rsidR="00DE61AB" w:rsidRPr="006F34F9">
        <w:rPr>
          <w:szCs w:val="22"/>
          <w:lang w:val="sr-Latn-ME"/>
        </w:rPr>
        <w:t>mjestu</w:t>
      </w:r>
      <w:r w:rsidRPr="006F34F9">
        <w:rPr>
          <w:szCs w:val="22"/>
          <w:lang w:val="sr-Latn-ME"/>
        </w:rPr>
        <w:t xml:space="preserve"> injekcije t</w:t>
      </w:r>
      <w:r w:rsidR="00B2461A" w:rsidRPr="006F34F9">
        <w:rPr>
          <w:szCs w:val="22"/>
          <w:lang w:val="sr-Latn-ME"/>
        </w:rPr>
        <w:t>o</w:t>
      </w:r>
      <w:r w:rsidRPr="006F34F9">
        <w:rPr>
          <w:szCs w:val="22"/>
          <w:lang w:val="sr-Latn-ME"/>
        </w:rPr>
        <w:t xml:space="preserve">kom ponovnog uvođenja </w:t>
      </w:r>
      <w:r w:rsidR="003D1FD7" w:rsidRPr="006F34F9">
        <w:rPr>
          <w:szCs w:val="22"/>
          <w:lang w:val="sr-Latn-ME"/>
        </w:rPr>
        <w:t>liječenja</w:t>
      </w:r>
      <w:r w:rsidRPr="006F34F9">
        <w:rPr>
          <w:szCs w:val="22"/>
          <w:lang w:val="sr-Latn-ME"/>
        </w:rPr>
        <w:t xml:space="preserve"> su</w:t>
      </w:r>
      <w:r w:rsidR="00B2461A" w:rsidRPr="006F34F9">
        <w:rPr>
          <w:szCs w:val="22"/>
          <w:lang w:val="sr-Latn-ME"/>
        </w:rPr>
        <w:t>b</w:t>
      </w:r>
      <w:r w:rsidRPr="006F34F9">
        <w:rPr>
          <w:szCs w:val="22"/>
          <w:lang w:val="sr-Latn-ME"/>
        </w:rPr>
        <w:t>kutanim vedolizumabom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00B2461A" w:rsidRPr="006F34F9">
        <w:rPr>
          <w:szCs w:val="22"/>
          <w:lang w:val="sr-Latn-ME"/>
        </w:rPr>
        <w:t xml:space="preserve"> </w:t>
      </w:r>
      <w:r w:rsidRPr="006F34F9">
        <w:rPr>
          <w:szCs w:val="22"/>
          <w:lang w:val="sr-Latn-ME"/>
        </w:rPr>
        <w:t xml:space="preserve">4.8). </w:t>
      </w:r>
    </w:p>
    <w:p w14:paraId="30FA54BF" w14:textId="77777777" w:rsidR="007328CE" w:rsidRPr="006F34F9" w:rsidRDefault="007328CE" w:rsidP="0066419A">
      <w:pPr>
        <w:autoSpaceDE w:val="0"/>
        <w:autoSpaceDN w:val="0"/>
        <w:adjustRightInd w:val="0"/>
        <w:rPr>
          <w:szCs w:val="22"/>
          <w:lang w:val="sr-Latn-ME"/>
        </w:rPr>
      </w:pPr>
    </w:p>
    <w:p w14:paraId="0E91DF55" w14:textId="04A4B741" w:rsidR="007328CE" w:rsidRPr="006F34F9" w:rsidRDefault="007328CE" w:rsidP="004305EC">
      <w:pPr>
        <w:autoSpaceDE w:val="0"/>
        <w:autoSpaceDN w:val="0"/>
        <w:adjustRightInd w:val="0"/>
        <w:rPr>
          <w:szCs w:val="22"/>
          <w:u w:val="single"/>
          <w:lang w:val="sr-Latn-ME"/>
        </w:rPr>
      </w:pPr>
      <w:r w:rsidRPr="006F34F9">
        <w:rPr>
          <w:szCs w:val="22"/>
          <w:u w:val="single"/>
          <w:lang w:val="sr-Latn-ME"/>
        </w:rPr>
        <w:t xml:space="preserve">Posebne </w:t>
      </w:r>
      <w:r w:rsidR="00387901" w:rsidRPr="006F34F9">
        <w:rPr>
          <w:szCs w:val="22"/>
          <w:u w:val="single"/>
          <w:lang w:val="sr-Latn-ME"/>
        </w:rPr>
        <w:t>grup</w:t>
      </w:r>
      <w:r w:rsidR="00D43BC5" w:rsidRPr="006F34F9">
        <w:rPr>
          <w:szCs w:val="22"/>
          <w:u w:val="single"/>
          <w:lang w:val="sr-Latn-ME"/>
        </w:rPr>
        <w:t>e</w:t>
      </w:r>
      <w:r w:rsidRPr="006F34F9">
        <w:rPr>
          <w:szCs w:val="22"/>
          <w:u w:val="single"/>
          <w:lang w:val="sr-Latn-ME"/>
        </w:rPr>
        <w:t xml:space="preserve"> </w:t>
      </w:r>
      <w:r w:rsidR="00387901" w:rsidRPr="006F34F9">
        <w:rPr>
          <w:szCs w:val="22"/>
          <w:u w:val="single"/>
          <w:lang w:val="sr-Latn-ME"/>
        </w:rPr>
        <w:t>pacijenata</w:t>
      </w:r>
    </w:p>
    <w:p w14:paraId="0D317F59" w14:textId="77777777" w:rsidR="007328CE" w:rsidRPr="006F34F9" w:rsidRDefault="007328CE" w:rsidP="004305EC">
      <w:pPr>
        <w:autoSpaceDE w:val="0"/>
        <w:autoSpaceDN w:val="0"/>
        <w:adjustRightInd w:val="0"/>
        <w:rPr>
          <w:szCs w:val="22"/>
          <w:lang w:val="sr-Latn-ME"/>
        </w:rPr>
      </w:pPr>
    </w:p>
    <w:p w14:paraId="3EEF270A" w14:textId="34DBB28A" w:rsidR="007328CE" w:rsidRPr="006F34F9" w:rsidRDefault="007328CE" w:rsidP="004305EC">
      <w:pPr>
        <w:autoSpaceDE w:val="0"/>
        <w:autoSpaceDN w:val="0"/>
        <w:adjustRightInd w:val="0"/>
        <w:rPr>
          <w:i/>
          <w:szCs w:val="22"/>
          <w:lang w:val="sr-Latn-ME"/>
        </w:rPr>
      </w:pPr>
      <w:r w:rsidRPr="006F34F9">
        <w:rPr>
          <w:i/>
          <w:szCs w:val="22"/>
          <w:u w:val="single"/>
          <w:lang w:val="sr-Latn-ME"/>
        </w:rPr>
        <w:t xml:space="preserve">Stariji </w:t>
      </w:r>
      <w:r w:rsidR="00387901" w:rsidRPr="006F34F9">
        <w:rPr>
          <w:i/>
          <w:szCs w:val="22"/>
          <w:u w:val="single"/>
          <w:lang w:val="sr-Latn-ME"/>
        </w:rPr>
        <w:t>pacijenti</w:t>
      </w:r>
    </w:p>
    <w:p w14:paraId="77B97CD3" w14:textId="77777777" w:rsidR="007328CE" w:rsidRPr="006F34F9" w:rsidRDefault="007328CE" w:rsidP="004305EC">
      <w:pPr>
        <w:autoSpaceDE w:val="0"/>
        <w:autoSpaceDN w:val="0"/>
        <w:adjustRightInd w:val="0"/>
        <w:rPr>
          <w:szCs w:val="22"/>
          <w:lang w:val="sr-Latn-ME"/>
        </w:rPr>
      </w:pPr>
    </w:p>
    <w:p w14:paraId="21F6B4D3" w14:textId="000775D0" w:rsidR="007328CE" w:rsidRPr="006F34F9" w:rsidRDefault="007328CE" w:rsidP="004305EC">
      <w:pPr>
        <w:autoSpaceDE w:val="0"/>
        <w:autoSpaceDN w:val="0"/>
        <w:adjustRightInd w:val="0"/>
        <w:rPr>
          <w:szCs w:val="22"/>
          <w:lang w:val="sr-Latn-ME"/>
        </w:rPr>
      </w:pPr>
      <w:r w:rsidRPr="006F34F9">
        <w:rPr>
          <w:szCs w:val="22"/>
          <w:lang w:val="sr-Latn-ME"/>
        </w:rPr>
        <w:t xml:space="preserve">Kod starijih </w:t>
      </w:r>
      <w:r w:rsidR="00387901" w:rsidRPr="006F34F9">
        <w:rPr>
          <w:szCs w:val="22"/>
          <w:lang w:val="sr-Latn-ME"/>
        </w:rPr>
        <w:t>pacijenata</w:t>
      </w:r>
      <w:r w:rsidRPr="006F34F9">
        <w:rPr>
          <w:szCs w:val="22"/>
          <w:lang w:val="sr-Latn-ME"/>
        </w:rPr>
        <w:t xml:space="preserve"> nije potrebno prilagođavati dozu.</w:t>
      </w:r>
      <w:r w:rsidRPr="006F34F9">
        <w:rPr>
          <w:b/>
          <w:szCs w:val="22"/>
          <w:lang w:val="sr-Latn-ME"/>
        </w:rPr>
        <w:t xml:space="preserve"> </w:t>
      </w:r>
      <w:r w:rsidR="00E841AC" w:rsidRPr="006F34F9">
        <w:rPr>
          <w:b/>
          <w:szCs w:val="22"/>
          <w:lang w:val="sr-Latn-ME"/>
        </w:rPr>
        <w:t>A</w:t>
      </w:r>
      <w:r w:rsidRPr="006F34F9">
        <w:rPr>
          <w:szCs w:val="22"/>
          <w:lang w:val="sr-Latn-ME"/>
        </w:rPr>
        <w:t>nalize</w:t>
      </w:r>
      <w:r w:rsidR="00E841AC" w:rsidRPr="006F34F9">
        <w:rPr>
          <w:szCs w:val="22"/>
          <w:lang w:val="sr-Latn-ME"/>
        </w:rPr>
        <w:t xml:space="preserve"> populacione farmakokinetike</w:t>
      </w:r>
      <w:r w:rsidRPr="006F34F9">
        <w:rPr>
          <w:szCs w:val="22"/>
          <w:lang w:val="sr-Latn-ME"/>
        </w:rPr>
        <w:t xml:space="preserve"> ni</w:t>
      </w:r>
      <w:r w:rsidR="001200AB" w:rsidRPr="006F34F9">
        <w:rPr>
          <w:szCs w:val="22"/>
          <w:lang w:val="sr-Latn-ME"/>
        </w:rPr>
        <w:t>je</w:t>
      </w:r>
      <w:r w:rsidRPr="006F34F9">
        <w:rPr>
          <w:szCs w:val="22"/>
          <w:lang w:val="sr-Latn-ME"/>
        </w:rPr>
        <w:t>su pokazale ut</w:t>
      </w:r>
      <w:r w:rsidR="00E841AC" w:rsidRPr="006F34F9">
        <w:rPr>
          <w:szCs w:val="22"/>
          <w:lang w:val="sr-Latn-ME"/>
        </w:rPr>
        <w:t>i</w:t>
      </w:r>
      <w:r w:rsidRPr="006F34F9">
        <w:rPr>
          <w:szCs w:val="22"/>
          <w:lang w:val="sr-Latn-ME"/>
        </w:rPr>
        <w:t xml:space="preserve">caj </w:t>
      </w:r>
      <w:r w:rsidR="00E841AC" w:rsidRPr="006F34F9">
        <w:rPr>
          <w:szCs w:val="22"/>
          <w:lang w:val="sr-Latn-ME"/>
        </w:rPr>
        <w:t xml:space="preserve">starosne </w:t>
      </w:r>
      <w:r w:rsidRPr="006F34F9">
        <w:rPr>
          <w:szCs w:val="22"/>
          <w:lang w:val="sr-Latn-ME"/>
        </w:rPr>
        <w:t>dobi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00E841AC" w:rsidRPr="006F34F9">
        <w:rPr>
          <w:szCs w:val="22"/>
          <w:lang w:val="sr-Latn-ME"/>
        </w:rPr>
        <w:t xml:space="preserve"> </w:t>
      </w:r>
      <w:r w:rsidRPr="006F34F9">
        <w:rPr>
          <w:szCs w:val="22"/>
          <w:lang w:val="sr-Latn-ME"/>
        </w:rPr>
        <w:t>5.2).</w:t>
      </w:r>
    </w:p>
    <w:p w14:paraId="1083B409" w14:textId="77777777" w:rsidR="007328CE" w:rsidRPr="006F34F9" w:rsidRDefault="007328CE" w:rsidP="004305EC">
      <w:pPr>
        <w:autoSpaceDE w:val="0"/>
        <w:autoSpaceDN w:val="0"/>
        <w:adjustRightInd w:val="0"/>
        <w:rPr>
          <w:szCs w:val="22"/>
          <w:lang w:val="sr-Latn-ME"/>
        </w:rPr>
      </w:pPr>
    </w:p>
    <w:p w14:paraId="279E6548" w14:textId="185CB027" w:rsidR="007328CE" w:rsidRPr="006F34F9" w:rsidRDefault="00E841AC" w:rsidP="004305EC">
      <w:pPr>
        <w:pStyle w:val="CommentText"/>
        <w:rPr>
          <w:sz w:val="22"/>
          <w:szCs w:val="22"/>
          <w:lang w:val="sr-Latn-ME"/>
        </w:rPr>
      </w:pPr>
      <w:r w:rsidRPr="006F34F9">
        <w:rPr>
          <w:i/>
          <w:sz w:val="22"/>
          <w:szCs w:val="22"/>
          <w:u w:val="single"/>
          <w:lang w:val="sr-Latn-ME"/>
        </w:rPr>
        <w:t>Pacijenti</w:t>
      </w:r>
      <w:r w:rsidR="007328CE" w:rsidRPr="006F34F9">
        <w:rPr>
          <w:i/>
          <w:sz w:val="22"/>
          <w:szCs w:val="22"/>
          <w:u w:val="single"/>
          <w:lang w:val="sr-Latn-ME"/>
        </w:rPr>
        <w:t xml:space="preserve"> s</w:t>
      </w:r>
      <w:r w:rsidRPr="006F34F9">
        <w:rPr>
          <w:i/>
          <w:sz w:val="22"/>
          <w:szCs w:val="22"/>
          <w:u w:val="single"/>
          <w:lang w:val="sr-Latn-ME"/>
        </w:rPr>
        <w:t>a</w:t>
      </w:r>
      <w:r w:rsidR="007328CE" w:rsidRPr="006F34F9">
        <w:rPr>
          <w:i/>
          <w:sz w:val="22"/>
          <w:szCs w:val="22"/>
          <w:u w:val="single"/>
          <w:lang w:val="sr-Latn-ME"/>
        </w:rPr>
        <w:t xml:space="preserve"> oštećenjem bubrega ili jetre </w:t>
      </w:r>
    </w:p>
    <w:p w14:paraId="02A054D9" w14:textId="77777777" w:rsidR="007328CE" w:rsidRPr="006F34F9" w:rsidRDefault="007328CE" w:rsidP="004305EC">
      <w:pPr>
        <w:pStyle w:val="CommentText"/>
        <w:rPr>
          <w:sz w:val="22"/>
          <w:szCs w:val="22"/>
          <w:lang w:val="sr-Latn-ME"/>
        </w:rPr>
      </w:pPr>
    </w:p>
    <w:p w14:paraId="5BE3CC91" w14:textId="7327BB7E" w:rsidR="007328CE" w:rsidRPr="006F34F9" w:rsidRDefault="007328CE" w:rsidP="004305EC">
      <w:pPr>
        <w:pStyle w:val="CommentText"/>
        <w:rPr>
          <w:sz w:val="22"/>
          <w:szCs w:val="22"/>
          <w:lang w:val="sr-Latn-ME"/>
        </w:rPr>
      </w:pPr>
      <w:r w:rsidRPr="006F34F9">
        <w:rPr>
          <w:sz w:val="22"/>
          <w:szCs w:val="22"/>
          <w:lang w:val="sr-Latn-ME"/>
        </w:rPr>
        <w:t xml:space="preserve">Vedolizumab nije ispitivan u ovim populacijama </w:t>
      </w:r>
      <w:r w:rsidR="00E841AC" w:rsidRPr="006F34F9">
        <w:rPr>
          <w:sz w:val="22"/>
          <w:szCs w:val="22"/>
          <w:lang w:val="sr-Latn-ME"/>
        </w:rPr>
        <w:t>pacijenata</w:t>
      </w:r>
      <w:r w:rsidRPr="006F34F9">
        <w:rPr>
          <w:sz w:val="22"/>
          <w:szCs w:val="22"/>
          <w:lang w:val="sr-Latn-ME"/>
        </w:rPr>
        <w:t xml:space="preserve">. Ne mogu se dati </w:t>
      </w:r>
      <w:r w:rsidR="008062E2" w:rsidRPr="006F34F9">
        <w:rPr>
          <w:sz w:val="22"/>
          <w:szCs w:val="22"/>
          <w:lang w:val="sr-Latn-ME"/>
        </w:rPr>
        <w:t>pre</w:t>
      </w:r>
      <w:r w:rsidRPr="006F34F9">
        <w:rPr>
          <w:sz w:val="22"/>
          <w:szCs w:val="22"/>
          <w:lang w:val="sr-Latn-ME"/>
        </w:rPr>
        <w:t>poruke za doziranje.</w:t>
      </w:r>
    </w:p>
    <w:p w14:paraId="4D2BB84F" w14:textId="77777777" w:rsidR="007328CE" w:rsidRPr="006F34F9" w:rsidRDefault="007328CE" w:rsidP="004305EC">
      <w:pPr>
        <w:pStyle w:val="CommentText"/>
        <w:rPr>
          <w:sz w:val="22"/>
          <w:szCs w:val="22"/>
          <w:lang w:val="sr-Latn-ME"/>
        </w:rPr>
      </w:pPr>
    </w:p>
    <w:p w14:paraId="214A932E" w14:textId="77777777" w:rsidR="007328CE" w:rsidRPr="006F34F9" w:rsidRDefault="007328CE" w:rsidP="004305EC">
      <w:pPr>
        <w:pStyle w:val="BodyText1"/>
        <w:spacing w:before="0"/>
        <w:ind w:firstLine="0"/>
        <w:jc w:val="both"/>
        <w:rPr>
          <w:rFonts w:ascii="Times New Roman" w:hAnsi="Times New Roman"/>
          <w:i/>
          <w:sz w:val="22"/>
          <w:szCs w:val="22"/>
          <w:u w:val="single"/>
          <w:lang w:val="sr-Latn-ME"/>
        </w:rPr>
      </w:pPr>
      <w:r w:rsidRPr="006F34F9">
        <w:rPr>
          <w:rFonts w:ascii="Times New Roman" w:hAnsi="Times New Roman"/>
          <w:i/>
          <w:sz w:val="22"/>
          <w:szCs w:val="22"/>
          <w:u w:val="single"/>
          <w:lang w:val="sr-Latn-ME"/>
        </w:rPr>
        <w:t>Pedijatrijska populacija</w:t>
      </w:r>
    </w:p>
    <w:p w14:paraId="44FD1571" w14:textId="77777777" w:rsidR="007328CE" w:rsidRPr="006F34F9" w:rsidRDefault="007328CE" w:rsidP="004305EC">
      <w:pPr>
        <w:autoSpaceDE w:val="0"/>
        <w:autoSpaceDN w:val="0"/>
        <w:adjustRightInd w:val="0"/>
        <w:rPr>
          <w:szCs w:val="22"/>
          <w:lang w:val="sr-Latn-ME"/>
        </w:rPr>
      </w:pPr>
    </w:p>
    <w:p w14:paraId="3C2C5FB3" w14:textId="237830C3" w:rsidR="007328CE" w:rsidRPr="006F34F9" w:rsidRDefault="008062E2" w:rsidP="0066419A">
      <w:pPr>
        <w:autoSpaceDE w:val="0"/>
        <w:autoSpaceDN w:val="0"/>
        <w:adjustRightInd w:val="0"/>
        <w:rPr>
          <w:szCs w:val="22"/>
          <w:lang w:val="sr-Latn-ME"/>
        </w:rPr>
      </w:pPr>
      <w:r w:rsidRPr="006F34F9">
        <w:rPr>
          <w:szCs w:val="22"/>
          <w:lang w:val="sr-Latn-ME"/>
        </w:rPr>
        <w:t>Bezbjednost</w:t>
      </w:r>
      <w:r w:rsidR="007328CE" w:rsidRPr="006F34F9">
        <w:rPr>
          <w:szCs w:val="22"/>
          <w:lang w:val="sr-Latn-ME"/>
        </w:rPr>
        <w:t xml:space="preserve"> i </w:t>
      </w:r>
      <w:r w:rsidR="00E841AC" w:rsidRPr="006F34F9">
        <w:rPr>
          <w:szCs w:val="22"/>
          <w:lang w:val="sr-Latn-ME"/>
        </w:rPr>
        <w:t>efikasnost</w:t>
      </w:r>
      <w:r w:rsidR="007328CE" w:rsidRPr="006F34F9">
        <w:rPr>
          <w:szCs w:val="22"/>
          <w:lang w:val="sr-Latn-ME"/>
        </w:rPr>
        <w:t xml:space="preserve"> vedolizumaba </w:t>
      </w:r>
      <w:r w:rsidR="00E841AC" w:rsidRPr="006F34F9">
        <w:rPr>
          <w:szCs w:val="22"/>
          <w:lang w:val="sr-Latn-ME"/>
        </w:rPr>
        <w:t>kod</w:t>
      </w:r>
      <w:r w:rsidR="007328CE" w:rsidRPr="006F34F9">
        <w:rPr>
          <w:szCs w:val="22"/>
          <w:lang w:val="sr-Latn-ME"/>
        </w:rPr>
        <w:t xml:space="preserve"> d</w:t>
      </w:r>
      <w:r w:rsidR="001200AB" w:rsidRPr="006F34F9">
        <w:rPr>
          <w:szCs w:val="22"/>
          <w:lang w:val="sr-Latn-ME"/>
        </w:rPr>
        <w:t>j</w:t>
      </w:r>
      <w:r w:rsidR="007328CE" w:rsidRPr="006F34F9">
        <w:rPr>
          <w:szCs w:val="22"/>
          <w:lang w:val="sr-Latn-ME"/>
        </w:rPr>
        <w:t xml:space="preserve">ece </w:t>
      </w:r>
      <w:r w:rsidR="00E841AC" w:rsidRPr="006F34F9">
        <w:rPr>
          <w:szCs w:val="22"/>
          <w:lang w:val="sr-Latn-ME"/>
        </w:rPr>
        <w:t>starosti</w:t>
      </w:r>
      <w:r w:rsidR="007328CE" w:rsidRPr="006F34F9">
        <w:rPr>
          <w:szCs w:val="22"/>
          <w:lang w:val="sr-Latn-ME"/>
        </w:rPr>
        <w:t xml:space="preserve"> od 0 do 17</w:t>
      </w:r>
      <w:r w:rsidR="00E841AC" w:rsidRPr="006F34F9">
        <w:rPr>
          <w:szCs w:val="22"/>
          <w:lang w:val="sr-Latn-ME"/>
        </w:rPr>
        <w:t xml:space="preserve"> </w:t>
      </w:r>
      <w:r w:rsidR="007328CE" w:rsidRPr="006F34F9">
        <w:rPr>
          <w:szCs w:val="22"/>
          <w:lang w:val="sr-Latn-ME"/>
        </w:rPr>
        <w:t>godina ni</w:t>
      </w:r>
      <w:r w:rsidR="001200AB" w:rsidRPr="006F34F9">
        <w:rPr>
          <w:szCs w:val="22"/>
          <w:lang w:val="sr-Latn-ME"/>
        </w:rPr>
        <w:t>je</w:t>
      </w:r>
      <w:r w:rsidR="007328CE" w:rsidRPr="006F34F9">
        <w:rPr>
          <w:szCs w:val="22"/>
          <w:lang w:val="sr-Latn-ME"/>
        </w:rPr>
        <w:t xml:space="preserve">su još ustanovljene. </w:t>
      </w:r>
    </w:p>
    <w:p w14:paraId="0D603317" w14:textId="77777777" w:rsidR="007328CE" w:rsidRPr="006F34F9" w:rsidRDefault="007328CE" w:rsidP="0066419A">
      <w:pPr>
        <w:autoSpaceDE w:val="0"/>
        <w:autoSpaceDN w:val="0"/>
        <w:adjustRightInd w:val="0"/>
        <w:rPr>
          <w:szCs w:val="22"/>
          <w:lang w:val="sr-Latn-ME"/>
        </w:rPr>
      </w:pPr>
      <w:r w:rsidRPr="006F34F9">
        <w:rPr>
          <w:szCs w:val="22"/>
          <w:lang w:val="sr-Latn-ME"/>
        </w:rPr>
        <w:t>Nema dostupnih podataka.</w:t>
      </w:r>
    </w:p>
    <w:p w14:paraId="3E94C3C2" w14:textId="77777777" w:rsidR="007328CE" w:rsidRPr="006F34F9" w:rsidRDefault="007328CE" w:rsidP="00E708C7">
      <w:pPr>
        <w:pStyle w:val="CommentText"/>
        <w:rPr>
          <w:sz w:val="22"/>
          <w:szCs w:val="22"/>
          <w:lang w:val="sr-Latn-ME"/>
        </w:rPr>
      </w:pPr>
    </w:p>
    <w:p w14:paraId="6C26D17A" w14:textId="690506A6" w:rsidR="007328CE" w:rsidRPr="006F34F9" w:rsidRDefault="007328CE" w:rsidP="00E708C7">
      <w:pPr>
        <w:rPr>
          <w:szCs w:val="22"/>
          <w:u w:val="single"/>
          <w:lang w:val="sr-Latn-ME"/>
        </w:rPr>
      </w:pPr>
      <w:r w:rsidRPr="006F34F9">
        <w:rPr>
          <w:szCs w:val="22"/>
          <w:u w:val="single"/>
          <w:lang w:val="sr-Latn-ME"/>
        </w:rPr>
        <w:t>Način prim</w:t>
      </w:r>
      <w:r w:rsidR="00D43BC5" w:rsidRPr="006F34F9">
        <w:rPr>
          <w:szCs w:val="22"/>
          <w:u w:val="single"/>
          <w:lang w:val="sr-Latn-ME"/>
        </w:rPr>
        <w:t>j</w:t>
      </w:r>
      <w:r w:rsidRPr="006F34F9">
        <w:rPr>
          <w:szCs w:val="22"/>
          <w:u w:val="single"/>
          <w:lang w:val="sr-Latn-ME"/>
        </w:rPr>
        <w:t>ene</w:t>
      </w:r>
    </w:p>
    <w:p w14:paraId="283F13A8" w14:textId="77777777" w:rsidR="007328CE" w:rsidRPr="006F34F9" w:rsidRDefault="007328CE" w:rsidP="00A5182D">
      <w:pPr>
        <w:rPr>
          <w:szCs w:val="22"/>
          <w:lang w:val="sr-Latn-ME"/>
        </w:rPr>
      </w:pPr>
    </w:p>
    <w:p w14:paraId="16E1E1E2" w14:textId="1DCF6CF0" w:rsidR="007328CE" w:rsidRPr="006F34F9" w:rsidRDefault="00E841AC" w:rsidP="0066419A">
      <w:pPr>
        <w:rPr>
          <w:szCs w:val="22"/>
          <w:lang w:val="sr-Latn-ME"/>
        </w:rPr>
      </w:pPr>
      <w:r w:rsidRPr="006F34F9">
        <w:rPr>
          <w:szCs w:val="22"/>
          <w:lang w:val="sr-Latn-ME"/>
        </w:rPr>
        <w:t>L</w:t>
      </w:r>
      <w:r w:rsidR="001200AB" w:rsidRPr="006F34F9">
        <w:rPr>
          <w:szCs w:val="22"/>
          <w:lang w:val="sr-Latn-ME"/>
        </w:rPr>
        <w:t>ij</w:t>
      </w:r>
      <w:r w:rsidRPr="006F34F9">
        <w:rPr>
          <w:szCs w:val="22"/>
          <w:lang w:val="sr-Latn-ME"/>
        </w:rPr>
        <w:t xml:space="preserve">ek </w:t>
      </w:r>
      <w:r w:rsidR="007328CE" w:rsidRPr="006F34F9">
        <w:rPr>
          <w:szCs w:val="22"/>
          <w:lang w:val="sr-Latn-ME"/>
        </w:rPr>
        <w:t xml:space="preserve">Entyvio </w:t>
      </w:r>
      <w:r w:rsidRPr="006F34F9">
        <w:rPr>
          <w:szCs w:val="22"/>
          <w:lang w:val="sr-Latn-ME"/>
        </w:rPr>
        <w:t>rastvor</w:t>
      </w:r>
      <w:r w:rsidR="007328CE" w:rsidRPr="006F34F9">
        <w:rPr>
          <w:szCs w:val="22"/>
          <w:lang w:val="sr-Latn-ME"/>
        </w:rPr>
        <w:t xml:space="preserve"> za injekciju (u napunjeno</w:t>
      </w:r>
      <w:r w:rsidRPr="006F34F9">
        <w:rPr>
          <w:szCs w:val="22"/>
          <w:lang w:val="sr-Latn-ME"/>
        </w:rPr>
        <w:t>m</w:t>
      </w:r>
      <w:r w:rsidR="007328CE" w:rsidRPr="006F34F9">
        <w:rPr>
          <w:szCs w:val="22"/>
          <w:lang w:val="sr-Latn-ME"/>
        </w:rPr>
        <w:t xml:space="preserve"> </w:t>
      </w:r>
      <w:r w:rsidRPr="006F34F9">
        <w:rPr>
          <w:szCs w:val="22"/>
          <w:lang w:val="sr-Latn-ME"/>
        </w:rPr>
        <w:t>špricu</w:t>
      </w:r>
      <w:r w:rsidR="007328CE" w:rsidRPr="006F34F9">
        <w:rPr>
          <w:szCs w:val="22"/>
          <w:lang w:val="sr-Latn-ME"/>
        </w:rPr>
        <w:t xml:space="preserve"> ili napunjeno</w:t>
      </w:r>
      <w:r w:rsidRPr="006F34F9">
        <w:rPr>
          <w:szCs w:val="22"/>
          <w:lang w:val="sr-Latn-ME"/>
        </w:rPr>
        <w:t>m</w:t>
      </w:r>
      <w:r w:rsidR="007328CE" w:rsidRPr="006F34F9">
        <w:rPr>
          <w:szCs w:val="22"/>
          <w:lang w:val="sr-Latn-ME"/>
        </w:rPr>
        <w:t xml:space="preserve"> </w:t>
      </w:r>
      <w:r w:rsidRPr="006F34F9">
        <w:rPr>
          <w:szCs w:val="22"/>
          <w:lang w:val="sr-Latn-ME"/>
        </w:rPr>
        <w:t>penu</w:t>
      </w:r>
      <w:r w:rsidR="007328CE" w:rsidRPr="006F34F9">
        <w:rPr>
          <w:szCs w:val="22"/>
          <w:lang w:val="sr-Latn-ME"/>
        </w:rPr>
        <w:t>) je nam</w:t>
      </w:r>
      <w:r w:rsidR="001200AB" w:rsidRPr="006F34F9">
        <w:rPr>
          <w:szCs w:val="22"/>
          <w:lang w:val="sr-Latn-ME"/>
        </w:rPr>
        <w:t>ij</w:t>
      </w:r>
      <w:r w:rsidR="007328CE" w:rsidRPr="006F34F9">
        <w:rPr>
          <w:szCs w:val="22"/>
          <w:lang w:val="sr-Latn-ME"/>
        </w:rPr>
        <w:t>enjen isključivo za su</w:t>
      </w:r>
      <w:r w:rsidRPr="006F34F9">
        <w:rPr>
          <w:szCs w:val="22"/>
          <w:lang w:val="sr-Latn-ME"/>
        </w:rPr>
        <w:t>b</w:t>
      </w:r>
      <w:r w:rsidR="007328CE" w:rsidRPr="006F34F9">
        <w:rPr>
          <w:szCs w:val="22"/>
          <w:lang w:val="sr-Latn-ME"/>
        </w:rPr>
        <w:t xml:space="preserve">kutanu </w:t>
      </w:r>
      <w:r w:rsidR="008062E2" w:rsidRPr="006F34F9">
        <w:rPr>
          <w:szCs w:val="22"/>
          <w:lang w:val="sr-Latn-ME"/>
        </w:rPr>
        <w:t>primjenu</w:t>
      </w:r>
      <w:r w:rsidR="007328CE" w:rsidRPr="006F34F9">
        <w:rPr>
          <w:szCs w:val="22"/>
          <w:lang w:val="sr-Latn-ME"/>
        </w:rPr>
        <w:t xml:space="preserve">. </w:t>
      </w:r>
    </w:p>
    <w:p w14:paraId="72A36A5F" w14:textId="77777777" w:rsidR="007328CE" w:rsidRPr="006F34F9" w:rsidRDefault="007328CE" w:rsidP="0066419A">
      <w:pPr>
        <w:rPr>
          <w:szCs w:val="22"/>
          <w:lang w:val="sr-Latn-ME"/>
        </w:rPr>
      </w:pPr>
    </w:p>
    <w:p w14:paraId="0234C576" w14:textId="28788E36" w:rsidR="007328CE" w:rsidRPr="006F34F9" w:rsidRDefault="007328CE" w:rsidP="0066419A">
      <w:pPr>
        <w:rPr>
          <w:szCs w:val="22"/>
          <w:lang w:val="sr-Latn-ME"/>
        </w:rPr>
      </w:pPr>
      <w:r w:rsidRPr="006F34F9">
        <w:rPr>
          <w:szCs w:val="22"/>
          <w:lang w:val="sr-Latn-ME"/>
        </w:rPr>
        <w:t xml:space="preserve">Nakon odgovarajuće obuke za ispravnu tehniku </w:t>
      </w:r>
      <w:r w:rsidR="00E841AC" w:rsidRPr="006F34F9">
        <w:rPr>
          <w:szCs w:val="22"/>
          <w:lang w:val="sr-Latn-ME"/>
        </w:rPr>
        <w:t>subkutane</w:t>
      </w:r>
      <w:r w:rsidRPr="006F34F9">
        <w:rPr>
          <w:szCs w:val="22"/>
          <w:lang w:val="sr-Latn-ME"/>
        </w:rPr>
        <w:t xml:space="preserve"> </w:t>
      </w:r>
      <w:r w:rsidR="0069571E" w:rsidRPr="006F34F9">
        <w:rPr>
          <w:szCs w:val="22"/>
          <w:lang w:val="sr-Latn-ME"/>
        </w:rPr>
        <w:t>primjene</w:t>
      </w:r>
      <w:r w:rsidRPr="006F34F9">
        <w:rPr>
          <w:szCs w:val="22"/>
          <w:lang w:val="sr-Latn-ME"/>
        </w:rPr>
        <w:t xml:space="preserve">, </w:t>
      </w:r>
      <w:r w:rsidR="00E841AC" w:rsidRPr="006F34F9">
        <w:rPr>
          <w:szCs w:val="22"/>
          <w:lang w:val="sr-Latn-ME"/>
        </w:rPr>
        <w:t>pacijent</w:t>
      </w:r>
      <w:r w:rsidRPr="006F34F9">
        <w:rPr>
          <w:szCs w:val="22"/>
          <w:lang w:val="sr-Latn-ME"/>
        </w:rPr>
        <w:t xml:space="preserve"> ili n</w:t>
      </w:r>
      <w:r w:rsidR="000B42A8" w:rsidRPr="006F34F9">
        <w:rPr>
          <w:szCs w:val="22"/>
          <w:lang w:val="sr-Latn-ME"/>
        </w:rPr>
        <w:t>j</w:t>
      </w:r>
      <w:r w:rsidRPr="006F34F9">
        <w:rPr>
          <w:szCs w:val="22"/>
          <w:lang w:val="sr-Latn-ME"/>
        </w:rPr>
        <w:t xml:space="preserve">egovatelj mogu </w:t>
      </w:r>
      <w:r w:rsidR="00E841AC" w:rsidRPr="006F34F9">
        <w:rPr>
          <w:szCs w:val="22"/>
          <w:lang w:val="sr-Latn-ME"/>
        </w:rPr>
        <w:t>prim</w:t>
      </w:r>
      <w:r w:rsidR="000B42A8" w:rsidRPr="006F34F9">
        <w:rPr>
          <w:szCs w:val="22"/>
          <w:lang w:val="sr-Latn-ME"/>
        </w:rPr>
        <w:t>ij</w:t>
      </w:r>
      <w:r w:rsidR="00E841AC" w:rsidRPr="006F34F9">
        <w:rPr>
          <w:szCs w:val="22"/>
          <w:lang w:val="sr-Latn-ME"/>
        </w:rPr>
        <w:t>eniti</w:t>
      </w:r>
      <w:r w:rsidRPr="006F34F9">
        <w:rPr>
          <w:szCs w:val="22"/>
          <w:lang w:val="sr-Latn-ME"/>
        </w:rPr>
        <w:t xml:space="preserve"> su</w:t>
      </w:r>
      <w:r w:rsidR="00E841AC" w:rsidRPr="006F34F9">
        <w:rPr>
          <w:szCs w:val="22"/>
          <w:lang w:val="sr-Latn-ME"/>
        </w:rPr>
        <w:t>b</w:t>
      </w:r>
      <w:r w:rsidRPr="006F34F9">
        <w:rPr>
          <w:szCs w:val="22"/>
          <w:lang w:val="sr-Latn-ME"/>
        </w:rPr>
        <w:t xml:space="preserve">kutani vedolizumab ako </w:t>
      </w:r>
      <w:r w:rsidR="00E841AC" w:rsidRPr="006F34F9">
        <w:rPr>
          <w:szCs w:val="22"/>
          <w:lang w:val="sr-Latn-ME"/>
        </w:rPr>
        <w:t>doktor</w:t>
      </w:r>
      <w:r w:rsidRPr="006F34F9">
        <w:rPr>
          <w:szCs w:val="22"/>
          <w:lang w:val="sr-Latn-ME"/>
        </w:rPr>
        <w:t xml:space="preserve"> odluči da je to prikladno. Detaljn</w:t>
      </w:r>
      <w:r w:rsidR="00E841AC" w:rsidRPr="006F34F9">
        <w:rPr>
          <w:szCs w:val="22"/>
          <w:lang w:val="sr-Latn-ME"/>
        </w:rPr>
        <w:t>a</w:t>
      </w:r>
      <w:r w:rsidRPr="006F34F9">
        <w:rPr>
          <w:szCs w:val="22"/>
          <w:lang w:val="sr-Latn-ME"/>
        </w:rPr>
        <w:t xml:space="preserve"> uput</w:t>
      </w:r>
      <w:r w:rsidR="00E841AC" w:rsidRPr="006F34F9">
        <w:rPr>
          <w:szCs w:val="22"/>
          <w:lang w:val="sr-Latn-ME"/>
        </w:rPr>
        <w:t>stva</w:t>
      </w:r>
      <w:r w:rsidRPr="006F34F9">
        <w:rPr>
          <w:szCs w:val="22"/>
          <w:lang w:val="sr-Latn-ME"/>
        </w:rPr>
        <w:t xml:space="preserve"> za </w:t>
      </w:r>
      <w:r w:rsidR="008062E2" w:rsidRPr="006F34F9">
        <w:rPr>
          <w:szCs w:val="22"/>
          <w:lang w:val="sr-Latn-ME"/>
        </w:rPr>
        <w:t>primjenu</w:t>
      </w:r>
      <w:r w:rsidRPr="006F34F9">
        <w:rPr>
          <w:szCs w:val="22"/>
          <w:lang w:val="sr-Latn-ME"/>
        </w:rPr>
        <w:t xml:space="preserve"> pomoću napunjen</w:t>
      </w:r>
      <w:r w:rsidR="00E841AC" w:rsidRPr="006F34F9">
        <w:rPr>
          <w:szCs w:val="22"/>
          <w:lang w:val="sr-Latn-ME"/>
        </w:rPr>
        <w:t>og</w:t>
      </w:r>
      <w:r w:rsidRPr="006F34F9">
        <w:rPr>
          <w:szCs w:val="22"/>
          <w:lang w:val="sr-Latn-ME"/>
        </w:rPr>
        <w:t xml:space="preserve"> š</w:t>
      </w:r>
      <w:r w:rsidR="00E841AC" w:rsidRPr="006F34F9">
        <w:rPr>
          <w:szCs w:val="22"/>
          <w:lang w:val="sr-Latn-ME"/>
        </w:rPr>
        <w:t>prica</w:t>
      </w:r>
      <w:r w:rsidRPr="006F34F9">
        <w:rPr>
          <w:szCs w:val="22"/>
          <w:lang w:val="sr-Latn-ME"/>
        </w:rPr>
        <w:t xml:space="preserve"> ili napunjen</w:t>
      </w:r>
      <w:r w:rsidR="00E841AC" w:rsidRPr="006F34F9">
        <w:rPr>
          <w:szCs w:val="22"/>
          <w:lang w:val="sr-Latn-ME"/>
        </w:rPr>
        <w:t>og</w:t>
      </w:r>
      <w:r w:rsidRPr="006F34F9">
        <w:rPr>
          <w:szCs w:val="22"/>
          <w:lang w:val="sr-Latn-ME"/>
        </w:rPr>
        <w:t xml:space="preserve"> </w:t>
      </w:r>
      <w:r w:rsidR="00E841AC" w:rsidRPr="006F34F9">
        <w:rPr>
          <w:szCs w:val="22"/>
          <w:lang w:val="sr-Latn-ME"/>
        </w:rPr>
        <w:t>pena</w:t>
      </w:r>
      <w:r w:rsidRPr="006F34F9">
        <w:rPr>
          <w:szCs w:val="22"/>
          <w:lang w:val="sr-Latn-ME"/>
        </w:rPr>
        <w:t xml:space="preserve"> su da</w:t>
      </w:r>
      <w:r w:rsidR="00E841AC" w:rsidRPr="006F34F9">
        <w:rPr>
          <w:szCs w:val="22"/>
          <w:lang w:val="sr-Latn-ME"/>
        </w:rPr>
        <w:t>t</w:t>
      </w:r>
      <w:r w:rsidRPr="006F34F9">
        <w:rPr>
          <w:szCs w:val="22"/>
          <w:lang w:val="sr-Latn-ME"/>
        </w:rPr>
        <w:t xml:space="preserve">e u </w:t>
      </w:r>
      <w:r w:rsidR="00E841AC" w:rsidRPr="006F34F9">
        <w:rPr>
          <w:szCs w:val="22"/>
          <w:lang w:val="sr-Latn-ME"/>
        </w:rPr>
        <w:t>Uputstvu</w:t>
      </w:r>
      <w:r w:rsidRPr="006F34F9">
        <w:rPr>
          <w:szCs w:val="22"/>
          <w:lang w:val="sr-Latn-ME"/>
        </w:rPr>
        <w:t xml:space="preserve"> </w:t>
      </w:r>
      <w:r w:rsidR="00E841AC" w:rsidRPr="006F34F9">
        <w:rPr>
          <w:szCs w:val="22"/>
          <w:lang w:val="sr-Latn-ME"/>
        </w:rPr>
        <w:t>za</w:t>
      </w:r>
      <w:r w:rsidRPr="006F34F9">
        <w:rPr>
          <w:szCs w:val="22"/>
          <w:lang w:val="sr-Latn-ME"/>
        </w:rPr>
        <w:t xml:space="preserve"> l</w:t>
      </w:r>
      <w:r w:rsidR="000B42A8" w:rsidRPr="006F34F9">
        <w:rPr>
          <w:szCs w:val="22"/>
          <w:lang w:val="sr-Latn-ME"/>
        </w:rPr>
        <w:t>ij</w:t>
      </w:r>
      <w:r w:rsidRPr="006F34F9">
        <w:rPr>
          <w:szCs w:val="22"/>
          <w:lang w:val="sr-Latn-ME"/>
        </w:rPr>
        <w:t>eku za š</w:t>
      </w:r>
      <w:r w:rsidR="00E841AC" w:rsidRPr="006F34F9">
        <w:rPr>
          <w:szCs w:val="22"/>
          <w:lang w:val="sr-Latn-ME"/>
        </w:rPr>
        <w:t>pric,</w:t>
      </w:r>
      <w:r w:rsidRPr="006F34F9">
        <w:rPr>
          <w:szCs w:val="22"/>
          <w:lang w:val="sr-Latn-ME"/>
        </w:rPr>
        <w:t xml:space="preserve"> odnosno </w:t>
      </w:r>
      <w:r w:rsidR="00E841AC" w:rsidRPr="006F34F9">
        <w:rPr>
          <w:szCs w:val="22"/>
          <w:lang w:val="sr-Latn-ME"/>
        </w:rPr>
        <w:t>Uputstvu</w:t>
      </w:r>
      <w:r w:rsidRPr="006F34F9">
        <w:rPr>
          <w:szCs w:val="22"/>
          <w:lang w:val="sr-Latn-ME"/>
        </w:rPr>
        <w:t xml:space="preserve"> </w:t>
      </w:r>
      <w:r w:rsidR="00E841AC" w:rsidRPr="006F34F9">
        <w:rPr>
          <w:szCs w:val="22"/>
          <w:lang w:val="sr-Latn-ME"/>
        </w:rPr>
        <w:t>za</w:t>
      </w:r>
      <w:r w:rsidRPr="006F34F9">
        <w:rPr>
          <w:szCs w:val="22"/>
          <w:lang w:val="sr-Latn-ME"/>
        </w:rPr>
        <w:t xml:space="preserve"> l</w:t>
      </w:r>
      <w:r w:rsidR="000B42A8" w:rsidRPr="006F34F9">
        <w:rPr>
          <w:szCs w:val="22"/>
          <w:lang w:val="sr-Latn-ME"/>
        </w:rPr>
        <w:t>ij</w:t>
      </w:r>
      <w:r w:rsidRPr="006F34F9">
        <w:rPr>
          <w:szCs w:val="22"/>
          <w:lang w:val="sr-Latn-ME"/>
        </w:rPr>
        <w:t xml:space="preserve">ek za </w:t>
      </w:r>
      <w:r w:rsidR="00E841AC" w:rsidRPr="006F34F9">
        <w:rPr>
          <w:szCs w:val="22"/>
          <w:lang w:val="sr-Latn-ME"/>
        </w:rPr>
        <w:t>pen</w:t>
      </w:r>
      <w:r w:rsidRPr="006F34F9">
        <w:rPr>
          <w:szCs w:val="22"/>
          <w:lang w:val="sr-Latn-ME"/>
        </w:rPr>
        <w:t>.</w:t>
      </w:r>
    </w:p>
    <w:p w14:paraId="7987F0D1" w14:textId="57B2AADF" w:rsidR="007328CE" w:rsidRPr="006F34F9" w:rsidRDefault="007328CE" w:rsidP="0066419A">
      <w:pPr>
        <w:rPr>
          <w:szCs w:val="22"/>
          <w:lang w:val="sr-Latn-ME"/>
        </w:rPr>
      </w:pPr>
      <w:r w:rsidRPr="006F34F9">
        <w:rPr>
          <w:szCs w:val="22"/>
          <w:lang w:val="sr-Latn-ME"/>
        </w:rPr>
        <w:t>Za dodatn</w:t>
      </w:r>
      <w:r w:rsidR="00E841AC" w:rsidRPr="006F34F9">
        <w:rPr>
          <w:szCs w:val="22"/>
          <w:lang w:val="sr-Latn-ME"/>
        </w:rPr>
        <w:t>a</w:t>
      </w:r>
      <w:r w:rsidRPr="006F34F9">
        <w:rPr>
          <w:szCs w:val="22"/>
          <w:lang w:val="sr-Latn-ME"/>
        </w:rPr>
        <w:t xml:space="preserve"> </w:t>
      </w:r>
      <w:r w:rsidR="00E841AC" w:rsidRPr="006F34F9">
        <w:rPr>
          <w:szCs w:val="22"/>
          <w:lang w:val="sr-Latn-ME"/>
        </w:rPr>
        <w:t>uputstva</w:t>
      </w:r>
      <w:r w:rsidRPr="006F34F9">
        <w:rPr>
          <w:szCs w:val="22"/>
          <w:lang w:val="sr-Latn-ME"/>
        </w:rPr>
        <w:t xml:space="preserve"> o pri</w:t>
      </w:r>
      <w:r w:rsidR="008062E2" w:rsidRPr="006F34F9">
        <w:rPr>
          <w:szCs w:val="22"/>
          <w:lang w:val="sr-Latn-ME"/>
        </w:rPr>
        <w:t>pre</w:t>
      </w:r>
      <w:r w:rsidRPr="006F34F9">
        <w:rPr>
          <w:szCs w:val="22"/>
          <w:lang w:val="sr-Latn-ME"/>
        </w:rPr>
        <w:t>mi i posebnim m</w:t>
      </w:r>
      <w:r w:rsidR="000B42A8" w:rsidRPr="006F34F9">
        <w:rPr>
          <w:szCs w:val="22"/>
          <w:lang w:val="sr-Latn-ME"/>
        </w:rPr>
        <w:t>j</w:t>
      </w:r>
      <w:r w:rsidRPr="006F34F9">
        <w:rPr>
          <w:szCs w:val="22"/>
          <w:lang w:val="sr-Latn-ME"/>
        </w:rPr>
        <w:t>erama o</w:t>
      </w:r>
      <w:r w:rsidR="008062E2" w:rsidRPr="006F34F9">
        <w:rPr>
          <w:szCs w:val="22"/>
          <w:lang w:val="sr-Latn-ME"/>
        </w:rPr>
        <w:t>pre</w:t>
      </w:r>
      <w:r w:rsidRPr="006F34F9">
        <w:rPr>
          <w:szCs w:val="22"/>
          <w:lang w:val="sr-Latn-ME"/>
        </w:rPr>
        <w:t xml:space="preserve">za pri rukovanju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00E841AC" w:rsidRPr="006F34F9">
        <w:rPr>
          <w:szCs w:val="22"/>
          <w:lang w:val="sr-Latn-ME"/>
        </w:rPr>
        <w:t xml:space="preserve"> </w:t>
      </w:r>
      <w:r w:rsidRPr="006F34F9">
        <w:rPr>
          <w:szCs w:val="22"/>
          <w:lang w:val="sr-Latn-ME"/>
        </w:rPr>
        <w:t>6.6.</w:t>
      </w:r>
    </w:p>
    <w:p w14:paraId="6CE07EEF" w14:textId="77777777" w:rsidR="00CE09F3" w:rsidRPr="006F34F9" w:rsidRDefault="00CE09F3" w:rsidP="004305EC">
      <w:pPr>
        <w:rPr>
          <w:szCs w:val="22"/>
          <w:lang w:val="sr-Latn-ME"/>
        </w:rPr>
      </w:pPr>
    </w:p>
    <w:p w14:paraId="6CE07EF0" w14:textId="7C5212FC" w:rsidR="00CE09F3" w:rsidRPr="006F34F9" w:rsidRDefault="00CE09F3" w:rsidP="004305EC">
      <w:pPr>
        <w:rPr>
          <w:b/>
          <w:bCs/>
          <w:szCs w:val="22"/>
          <w:lang w:val="sr-Latn-ME"/>
        </w:rPr>
      </w:pPr>
      <w:r w:rsidRPr="006F34F9">
        <w:rPr>
          <w:b/>
          <w:bCs/>
          <w:szCs w:val="22"/>
          <w:lang w:val="sr-Latn-ME"/>
        </w:rPr>
        <w:t>4.3.</w:t>
      </w:r>
      <w:r w:rsidR="00591D18" w:rsidRPr="006F34F9">
        <w:rPr>
          <w:b/>
          <w:bCs/>
          <w:szCs w:val="22"/>
          <w:lang w:val="sr-Latn-ME"/>
        </w:rPr>
        <w:t xml:space="preserve">  </w:t>
      </w:r>
      <w:r w:rsidRPr="006F34F9">
        <w:rPr>
          <w:b/>
          <w:bCs/>
          <w:szCs w:val="22"/>
          <w:lang w:val="sr-Latn-ME"/>
        </w:rPr>
        <w:t>Kontraindikacije</w:t>
      </w:r>
    </w:p>
    <w:p w14:paraId="6CE07EF2" w14:textId="22BEEED7" w:rsidR="00CE09F3" w:rsidRPr="006F34F9" w:rsidRDefault="00CE09F3" w:rsidP="004305EC">
      <w:pPr>
        <w:rPr>
          <w:szCs w:val="22"/>
          <w:lang w:val="sr-Latn-ME"/>
        </w:rPr>
      </w:pPr>
    </w:p>
    <w:p w14:paraId="12184B88" w14:textId="11BD95DA" w:rsidR="00110D7A" w:rsidRPr="006F34F9" w:rsidRDefault="008062E2" w:rsidP="0066419A">
      <w:pPr>
        <w:pStyle w:val="Header"/>
        <w:rPr>
          <w:szCs w:val="22"/>
          <w:lang w:val="sr-Latn-ME"/>
        </w:rPr>
      </w:pPr>
      <w:r w:rsidRPr="006F34F9">
        <w:rPr>
          <w:szCs w:val="22"/>
          <w:lang w:val="sr-Latn-ME"/>
        </w:rPr>
        <w:t>Pre</w:t>
      </w:r>
      <w:r w:rsidR="00110D7A" w:rsidRPr="006F34F9">
        <w:rPr>
          <w:szCs w:val="22"/>
          <w:lang w:val="sr-Latn-ME"/>
        </w:rPr>
        <w:t>os</w:t>
      </w:r>
      <w:r w:rsidR="002C7225" w:rsidRPr="006F34F9">
        <w:rPr>
          <w:szCs w:val="22"/>
          <w:lang w:val="sr-Latn-ME"/>
        </w:rPr>
        <w:t>j</w:t>
      </w:r>
      <w:r w:rsidR="00110D7A" w:rsidRPr="006F34F9">
        <w:rPr>
          <w:szCs w:val="22"/>
          <w:lang w:val="sr-Latn-ME"/>
        </w:rPr>
        <w:t xml:space="preserve">etljivost na aktivnu supstancu ili bilo koju od pomoćnih supstanci </w:t>
      </w:r>
      <w:r w:rsidR="008559D3" w:rsidRPr="006F34F9">
        <w:rPr>
          <w:szCs w:val="22"/>
          <w:lang w:val="sr-Latn-ME"/>
        </w:rPr>
        <w:t>lijeka</w:t>
      </w:r>
      <w:r w:rsidR="00110D7A" w:rsidRPr="006F34F9">
        <w:rPr>
          <w:szCs w:val="22"/>
          <w:lang w:val="sr-Latn-ME"/>
        </w:rPr>
        <w:t xml:space="preserve"> navedenih u d</w:t>
      </w:r>
      <w:r w:rsidR="002C7225" w:rsidRPr="006F34F9">
        <w:rPr>
          <w:szCs w:val="22"/>
          <w:lang w:val="sr-Latn-ME"/>
        </w:rPr>
        <w:t>ij</w:t>
      </w:r>
      <w:r w:rsidR="00110D7A" w:rsidRPr="006F34F9">
        <w:rPr>
          <w:szCs w:val="22"/>
          <w:lang w:val="sr-Latn-ME"/>
        </w:rPr>
        <w:t>elu 6.1.</w:t>
      </w:r>
    </w:p>
    <w:p w14:paraId="4916627E" w14:textId="77777777" w:rsidR="00110D7A" w:rsidRPr="006F34F9" w:rsidRDefault="00110D7A" w:rsidP="0066419A">
      <w:pPr>
        <w:pStyle w:val="Header"/>
        <w:rPr>
          <w:szCs w:val="22"/>
          <w:lang w:val="sr-Latn-ME"/>
        </w:rPr>
      </w:pPr>
    </w:p>
    <w:p w14:paraId="11DD6781" w14:textId="7DC103DE" w:rsidR="00110D7A" w:rsidRPr="006F34F9" w:rsidRDefault="00110D7A" w:rsidP="0066419A">
      <w:pPr>
        <w:rPr>
          <w:szCs w:val="22"/>
          <w:lang w:val="sr-Latn-ME"/>
        </w:rPr>
      </w:pPr>
      <w:r w:rsidRPr="006F34F9">
        <w:rPr>
          <w:szCs w:val="22"/>
          <w:lang w:val="sr-Latn-ME"/>
        </w:rPr>
        <w:t>Aktivne teške infekcije poput tuberkuloze (TB), sepse, citomegalovirusa, listerioze i oportunističkih infekcija poput progresivne multifokalne leukoencefalopatije (PML)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Pr="006F34F9">
        <w:rPr>
          <w:szCs w:val="22"/>
          <w:lang w:val="sr-Latn-ME"/>
        </w:rPr>
        <w:t xml:space="preserve"> 4.4).</w:t>
      </w:r>
    </w:p>
    <w:p w14:paraId="0C96D93A" w14:textId="77777777" w:rsidR="00110D7A" w:rsidRPr="006F34F9" w:rsidRDefault="00110D7A" w:rsidP="00DC703D">
      <w:pPr>
        <w:jc w:val="left"/>
        <w:rPr>
          <w:szCs w:val="22"/>
          <w:lang w:val="sr-Latn-ME"/>
        </w:rPr>
      </w:pPr>
    </w:p>
    <w:p w14:paraId="6CE07EF3" w14:textId="287FE254" w:rsidR="00CE09F3" w:rsidRPr="006F34F9" w:rsidRDefault="00CE09F3">
      <w:pPr>
        <w:rPr>
          <w:b/>
          <w:bCs/>
          <w:szCs w:val="22"/>
          <w:lang w:val="sr-Latn-ME"/>
        </w:rPr>
      </w:pPr>
      <w:r w:rsidRPr="006F34F9">
        <w:rPr>
          <w:b/>
          <w:bCs/>
          <w:szCs w:val="22"/>
          <w:lang w:val="sr-Latn-ME"/>
        </w:rPr>
        <w:t>4.4.</w:t>
      </w:r>
      <w:r w:rsidR="00591D18" w:rsidRPr="006F34F9">
        <w:rPr>
          <w:b/>
          <w:bCs/>
          <w:szCs w:val="22"/>
          <w:lang w:val="sr-Latn-ME"/>
        </w:rPr>
        <w:t xml:space="preserve">  </w:t>
      </w:r>
      <w:r w:rsidRPr="006F34F9">
        <w:rPr>
          <w:b/>
          <w:bCs/>
          <w:szCs w:val="22"/>
          <w:lang w:val="sr-Latn-ME"/>
        </w:rPr>
        <w:t>Posebna upozorenja i m</w:t>
      </w:r>
      <w:r w:rsidR="00D43BC5" w:rsidRPr="006F34F9">
        <w:rPr>
          <w:b/>
          <w:bCs/>
          <w:szCs w:val="22"/>
          <w:lang w:val="sr-Latn-ME"/>
        </w:rPr>
        <w:t>j</w:t>
      </w:r>
      <w:r w:rsidRPr="006F34F9">
        <w:rPr>
          <w:b/>
          <w:bCs/>
          <w:szCs w:val="22"/>
          <w:lang w:val="sr-Latn-ME"/>
        </w:rPr>
        <w:t>ere o</w:t>
      </w:r>
      <w:r w:rsidR="008062E2" w:rsidRPr="006F34F9">
        <w:rPr>
          <w:b/>
          <w:bCs/>
          <w:szCs w:val="22"/>
          <w:lang w:val="sr-Latn-ME"/>
        </w:rPr>
        <w:t>pre</w:t>
      </w:r>
      <w:r w:rsidRPr="006F34F9">
        <w:rPr>
          <w:b/>
          <w:bCs/>
          <w:szCs w:val="22"/>
          <w:lang w:val="sr-Latn-ME"/>
        </w:rPr>
        <w:t>za pri upotrebi l</w:t>
      </w:r>
      <w:r w:rsidR="00D43BC5" w:rsidRPr="006F34F9">
        <w:rPr>
          <w:b/>
          <w:bCs/>
          <w:szCs w:val="22"/>
          <w:lang w:val="sr-Latn-ME"/>
        </w:rPr>
        <w:t>ij</w:t>
      </w:r>
      <w:r w:rsidRPr="006F34F9">
        <w:rPr>
          <w:b/>
          <w:bCs/>
          <w:szCs w:val="22"/>
          <w:lang w:val="sr-Latn-ME"/>
        </w:rPr>
        <w:t>eka</w:t>
      </w:r>
    </w:p>
    <w:p w14:paraId="6CE07EF4" w14:textId="77777777" w:rsidR="00CE09F3" w:rsidRPr="006F34F9" w:rsidRDefault="00CE09F3">
      <w:pPr>
        <w:rPr>
          <w:szCs w:val="22"/>
          <w:lang w:val="sr-Latn-ME"/>
        </w:rPr>
      </w:pPr>
    </w:p>
    <w:p w14:paraId="0A190916" w14:textId="6C350FC3" w:rsidR="00CD1FCD" w:rsidRPr="006F34F9" w:rsidRDefault="00CD1FCD">
      <w:pPr>
        <w:pStyle w:val="Header"/>
        <w:rPr>
          <w:szCs w:val="22"/>
          <w:u w:val="single"/>
          <w:lang w:val="sr-Latn-ME"/>
        </w:rPr>
      </w:pPr>
      <w:r w:rsidRPr="006F34F9">
        <w:rPr>
          <w:szCs w:val="22"/>
          <w:u w:val="single"/>
          <w:lang w:val="sr-Latn-ME"/>
        </w:rPr>
        <w:t>Sled</w:t>
      </w:r>
      <w:r w:rsidR="0013643E">
        <w:rPr>
          <w:szCs w:val="22"/>
          <w:u w:val="single"/>
          <w:lang w:val="sr-Latn-ME"/>
        </w:rPr>
        <w:t>l</w:t>
      </w:r>
      <w:r w:rsidRPr="006F34F9">
        <w:rPr>
          <w:szCs w:val="22"/>
          <w:u w:val="single"/>
          <w:lang w:val="sr-Latn-ME"/>
        </w:rPr>
        <w:t>jivost</w:t>
      </w:r>
    </w:p>
    <w:p w14:paraId="7D7E3F4B" w14:textId="77777777" w:rsidR="00CD1FCD" w:rsidRPr="006F34F9" w:rsidRDefault="00CD1FCD">
      <w:pPr>
        <w:pStyle w:val="Header"/>
        <w:rPr>
          <w:szCs w:val="22"/>
          <w:lang w:val="sr-Latn-ME"/>
        </w:rPr>
      </w:pPr>
    </w:p>
    <w:p w14:paraId="6F4F2A30" w14:textId="4D1A6EC8" w:rsidR="00CD1FCD" w:rsidRPr="006F34F9" w:rsidRDefault="00CD1FCD" w:rsidP="004305EC">
      <w:pPr>
        <w:pStyle w:val="Header"/>
        <w:rPr>
          <w:szCs w:val="22"/>
          <w:lang w:val="sr-Latn-ME"/>
        </w:rPr>
      </w:pPr>
      <w:r w:rsidRPr="006F34F9">
        <w:rPr>
          <w:szCs w:val="22"/>
          <w:lang w:val="sr-Latn-ME"/>
        </w:rPr>
        <w:t>Kako bismo una</w:t>
      </w:r>
      <w:r w:rsidR="008062E2" w:rsidRPr="006F34F9">
        <w:rPr>
          <w:szCs w:val="22"/>
          <w:lang w:val="sr-Latn-ME"/>
        </w:rPr>
        <w:t>prije</w:t>
      </w:r>
      <w:r w:rsidRPr="006F34F9">
        <w:rPr>
          <w:szCs w:val="22"/>
          <w:lang w:val="sr-Latn-ME"/>
        </w:rPr>
        <w:t>dili sl</w:t>
      </w:r>
      <w:r w:rsidR="00F6147F" w:rsidRPr="006F34F9">
        <w:rPr>
          <w:szCs w:val="22"/>
          <w:lang w:val="sr-Latn-ME"/>
        </w:rPr>
        <w:t>j</w:t>
      </w:r>
      <w:r w:rsidRPr="006F34F9">
        <w:rPr>
          <w:szCs w:val="22"/>
          <w:lang w:val="sr-Latn-ME"/>
        </w:rPr>
        <w:t xml:space="preserve">edljivost biološkog </w:t>
      </w:r>
      <w:r w:rsidR="008559D3" w:rsidRPr="006F34F9">
        <w:rPr>
          <w:szCs w:val="22"/>
          <w:lang w:val="sr-Latn-ME"/>
        </w:rPr>
        <w:t>lijeka</w:t>
      </w:r>
      <w:r w:rsidRPr="006F34F9">
        <w:rPr>
          <w:szCs w:val="22"/>
          <w:lang w:val="sr-Latn-ME"/>
        </w:rPr>
        <w:t>, jasno treba zab</w:t>
      </w:r>
      <w:r w:rsidR="00F6147F" w:rsidRPr="006F34F9">
        <w:rPr>
          <w:szCs w:val="22"/>
          <w:lang w:val="sr-Latn-ME"/>
        </w:rPr>
        <w:t>i</w:t>
      </w:r>
      <w:r w:rsidRPr="006F34F9">
        <w:rPr>
          <w:szCs w:val="22"/>
          <w:lang w:val="sr-Latn-ME"/>
        </w:rPr>
        <w:t>l</w:t>
      </w:r>
      <w:r w:rsidR="00F6147F" w:rsidRPr="006F34F9">
        <w:rPr>
          <w:szCs w:val="22"/>
          <w:lang w:val="sr-Latn-ME"/>
        </w:rPr>
        <w:t>j</w:t>
      </w:r>
      <w:r w:rsidRPr="006F34F9">
        <w:rPr>
          <w:szCs w:val="22"/>
          <w:lang w:val="sr-Latn-ME"/>
        </w:rPr>
        <w:t xml:space="preserve">ežiti ime </w:t>
      </w:r>
      <w:r w:rsidR="008559D3" w:rsidRPr="006F34F9">
        <w:rPr>
          <w:szCs w:val="22"/>
          <w:lang w:val="sr-Latn-ME"/>
        </w:rPr>
        <w:t>lijeka</w:t>
      </w:r>
      <w:r w:rsidRPr="006F34F9">
        <w:rPr>
          <w:szCs w:val="22"/>
          <w:lang w:val="sr-Latn-ME"/>
        </w:rPr>
        <w:t xml:space="preserve"> i broj serije </w:t>
      </w:r>
      <w:r w:rsidR="008559D3" w:rsidRPr="006F34F9">
        <w:rPr>
          <w:szCs w:val="22"/>
          <w:lang w:val="sr-Latn-ME"/>
        </w:rPr>
        <w:t>lijeka</w:t>
      </w:r>
      <w:r w:rsidRPr="006F34F9">
        <w:rPr>
          <w:szCs w:val="22"/>
          <w:lang w:val="sr-Latn-ME"/>
        </w:rPr>
        <w:t>.</w:t>
      </w:r>
    </w:p>
    <w:p w14:paraId="6CE07EF5" w14:textId="11E5B9F8" w:rsidR="00CE09F3" w:rsidRPr="006F34F9" w:rsidRDefault="00CE09F3" w:rsidP="004305EC">
      <w:pPr>
        <w:rPr>
          <w:szCs w:val="22"/>
          <w:lang w:val="sr-Latn-ME"/>
        </w:rPr>
      </w:pPr>
    </w:p>
    <w:p w14:paraId="7A362BEB" w14:textId="5A1FD1B9" w:rsidR="00CD1FCD" w:rsidRPr="006F34F9" w:rsidRDefault="00CD1FCD" w:rsidP="004305EC">
      <w:pPr>
        <w:pStyle w:val="Header"/>
        <w:rPr>
          <w:szCs w:val="22"/>
          <w:u w:val="single"/>
          <w:lang w:val="sr-Latn-ME"/>
        </w:rPr>
      </w:pPr>
      <w:r w:rsidRPr="006F34F9">
        <w:rPr>
          <w:szCs w:val="22"/>
          <w:u w:val="single"/>
          <w:lang w:val="sr-Latn-ME"/>
        </w:rPr>
        <w:t xml:space="preserve">Reakcije </w:t>
      </w:r>
      <w:r w:rsidR="002C7225" w:rsidRPr="006F34F9">
        <w:rPr>
          <w:szCs w:val="22"/>
          <w:u w:val="single"/>
          <w:lang w:val="sr-Latn-ME"/>
        </w:rPr>
        <w:t>preosjetljivosti</w:t>
      </w:r>
    </w:p>
    <w:p w14:paraId="0B3FC38C" w14:textId="77777777" w:rsidR="00CD1FCD" w:rsidRPr="006F34F9" w:rsidRDefault="00CD1FCD" w:rsidP="004305EC">
      <w:pPr>
        <w:pStyle w:val="Header"/>
        <w:rPr>
          <w:szCs w:val="22"/>
          <w:lang w:val="sr-Latn-ME"/>
        </w:rPr>
      </w:pPr>
    </w:p>
    <w:p w14:paraId="283D7800" w14:textId="5E30B65D" w:rsidR="00CD1FCD" w:rsidRPr="006F34F9" w:rsidRDefault="00CD1FCD" w:rsidP="004305EC">
      <w:pPr>
        <w:pStyle w:val="Header"/>
        <w:rPr>
          <w:szCs w:val="22"/>
          <w:lang w:val="sr-Latn-ME"/>
        </w:rPr>
      </w:pPr>
      <w:r w:rsidRPr="006F34F9">
        <w:rPr>
          <w:szCs w:val="22"/>
          <w:lang w:val="sr-Latn-ME"/>
        </w:rPr>
        <w:t xml:space="preserve">U kliničkim ispitivanjima prijavljene su reakcije </w:t>
      </w:r>
      <w:r w:rsidR="008062E2" w:rsidRPr="006F34F9">
        <w:rPr>
          <w:szCs w:val="22"/>
          <w:lang w:val="sr-Latn-ME"/>
        </w:rPr>
        <w:t>pre</w:t>
      </w:r>
      <w:r w:rsidRPr="006F34F9">
        <w:rPr>
          <w:szCs w:val="22"/>
          <w:lang w:val="sr-Latn-ME"/>
        </w:rPr>
        <w:t>os</w:t>
      </w:r>
      <w:r w:rsidR="002C7225" w:rsidRPr="006F34F9">
        <w:rPr>
          <w:szCs w:val="22"/>
          <w:lang w:val="sr-Latn-ME"/>
        </w:rPr>
        <w:t>j</w:t>
      </w:r>
      <w:r w:rsidRPr="006F34F9">
        <w:rPr>
          <w:szCs w:val="22"/>
          <w:lang w:val="sr-Latn-ME"/>
        </w:rPr>
        <w:t xml:space="preserve">etljivosti, koje su većinom bile blage do </w:t>
      </w:r>
      <w:r w:rsidR="002C7225" w:rsidRPr="006F34F9">
        <w:rPr>
          <w:szCs w:val="22"/>
          <w:lang w:val="sr-Latn-ME"/>
        </w:rPr>
        <w:t>umjerene</w:t>
      </w:r>
      <w:r w:rsidRPr="006F34F9">
        <w:rPr>
          <w:szCs w:val="22"/>
          <w:lang w:val="sr-Latn-ME"/>
        </w:rPr>
        <w:t xml:space="preserve">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Pr="006F34F9">
        <w:rPr>
          <w:szCs w:val="22"/>
          <w:lang w:val="sr-Latn-ME"/>
        </w:rPr>
        <w:t xml:space="preserve"> 4.8).</w:t>
      </w:r>
    </w:p>
    <w:p w14:paraId="59315CEF" w14:textId="77777777" w:rsidR="00CD1FCD" w:rsidRPr="006F34F9" w:rsidRDefault="00CD1FCD" w:rsidP="004305EC">
      <w:pPr>
        <w:pStyle w:val="Header"/>
        <w:rPr>
          <w:szCs w:val="22"/>
          <w:lang w:val="sr-Latn-ME"/>
        </w:rPr>
      </w:pPr>
    </w:p>
    <w:p w14:paraId="55C71ADC" w14:textId="2892A869" w:rsidR="00CD1FCD" w:rsidRPr="006F34F9" w:rsidRDefault="00CD1FCD" w:rsidP="004305EC">
      <w:pPr>
        <w:pStyle w:val="Header"/>
        <w:rPr>
          <w:szCs w:val="22"/>
          <w:lang w:val="sr-Latn-ME"/>
        </w:rPr>
      </w:pPr>
      <w:r w:rsidRPr="006F34F9">
        <w:rPr>
          <w:szCs w:val="22"/>
          <w:lang w:val="sr-Latn-ME"/>
        </w:rPr>
        <w:t>Kod anafilaktičkih reakcija ili drugih ozbiljnih reakcija, prim</w:t>
      </w:r>
      <w:r w:rsidR="002C7225" w:rsidRPr="006F34F9">
        <w:rPr>
          <w:szCs w:val="22"/>
          <w:lang w:val="sr-Latn-ME"/>
        </w:rPr>
        <w:t>j</w:t>
      </w:r>
      <w:r w:rsidRPr="006F34F9">
        <w:rPr>
          <w:szCs w:val="22"/>
          <w:lang w:val="sr-Latn-ME"/>
        </w:rPr>
        <w:t xml:space="preserve">ena </w:t>
      </w:r>
      <w:r w:rsidR="0028495D" w:rsidRPr="006F34F9">
        <w:rPr>
          <w:szCs w:val="22"/>
          <w:lang w:val="sr-Latn-ME"/>
        </w:rPr>
        <w:t>vedolizumaba</w:t>
      </w:r>
      <w:r w:rsidRPr="006F34F9">
        <w:rPr>
          <w:szCs w:val="22"/>
          <w:lang w:val="sr-Latn-ME"/>
        </w:rPr>
        <w:t xml:space="preserve"> mora biti odmah </w:t>
      </w:r>
      <w:r w:rsidR="008062E2" w:rsidRPr="006F34F9">
        <w:rPr>
          <w:szCs w:val="22"/>
          <w:lang w:val="sr-Latn-ME"/>
        </w:rPr>
        <w:t>pre</w:t>
      </w:r>
      <w:r w:rsidRPr="006F34F9">
        <w:rPr>
          <w:szCs w:val="22"/>
          <w:lang w:val="sr-Latn-ME"/>
        </w:rPr>
        <w:t>kinuta i započeto odgovarajuće l</w:t>
      </w:r>
      <w:r w:rsidR="002C7225" w:rsidRPr="006F34F9">
        <w:rPr>
          <w:szCs w:val="22"/>
          <w:lang w:val="sr-Latn-ME"/>
        </w:rPr>
        <w:t>ij</w:t>
      </w:r>
      <w:r w:rsidRPr="006F34F9">
        <w:rPr>
          <w:szCs w:val="22"/>
          <w:lang w:val="sr-Latn-ME"/>
        </w:rPr>
        <w:t>ečenje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Pr="006F34F9">
        <w:rPr>
          <w:szCs w:val="22"/>
          <w:lang w:val="sr-Latn-ME"/>
        </w:rPr>
        <w:t xml:space="preserve"> 4.3).</w:t>
      </w:r>
    </w:p>
    <w:p w14:paraId="351C29A6" w14:textId="759ED458" w:rsidR="00CD1FCD" w:rsidRPr="006F34F9" w:rsidRDefault="00CD1FCD">
      <w:pPr>
        <w:rPr>
          <w:szCs w:val="22"/>
          <w:lang w:val="sr-Latn-ME"/>
        </w:rPr>
      </w:pPr>
    </w:p>
    <w:p w14:paraId="1AA81F15" w14:textId="77777777" w:rsidR="0028495D" w:rsidRPr="006F34F9" w:rsidRDefault="0028495D">
      <w:pPr>
        <w:pStyle w:val="Header"/>
        <w:rPr>
          <w:szCs w:val="22"/>
          <w:u w:val="single"/>
          <w:lang w:val="sr-Latn-ME"/>
        </w:rPr>
      </w:pPr>
      <w:r w:rsidRPr="006F34F9">
        <w:rPr>
          <w:szCs w:val="22"/>
          <w:u w:val="single"/>
          <w:lang w:val="sr-Latn-ME"/>
        </w:rPr>
        <w:t>Infekcije</w:t>
      </w:r>
    </w:p>
    <w:p w14:paraId="3EBD26D2" w14:textId="77777777" w:rsidR="0028495D" w:rsidRPr="006F34F9" w:rsidRDefault="0028495D" w:rsidP="004305EC">
      <w:pPr>
        <w:pStyle w:val="Header"/>
        <w:rPr>
          <w:szCs w:val="22"/>
          <w:lang w:val="sr-Latn-ME"/>
        </w:rPr>
      </w:pPr>
    </w:p>
    <w:p w14:paraId="798716FC" w14:textId="2CFE9370" w:rsidR="0028495D" w:rsidRPr="006F34F9" w:rsidRDefault="0028495D" w:rsidP="0066419A">
      <w:pPr>
        <w:pStyle w:val="Header"/>
        <w:rPr>
          <w:szCs w:val="22"/>
          <w:lang w:val="sr-Latn-ME"/>
        </w:rPr>
      </w:pPr>
      <w:r w:rsidRPr="006F34F9">
        <w:rPr>
          <w:szCs w:val="22"/>
          <w:lang w:val="sr-Latn-ME"/>
        </w:rPr>
        <w:t>Vedolizumab je antagonist</w:t>
      </w:r>
      <w:r w:rsidR="00F6147F" w:rsidRPr="006F34F9">
        <w:rPr>
          <w:szCs w:val="22"/>
          <w:lang w:val="sr-Latn-ME"/>
        </w:rPr>
        <w:t>a</w:t>
      </w:r>
      <w:r w:rsidRPr="006F34F9">
        <w:rPr>
          <w:szCs w:val="22"/>
          <w:lang w:val="sr-Latn-ME"/>
        </w:rPr>
        <w:t xml:space="preserve"> integrina selektivan za </w:t>
      </w:r>
      <w:r w:rsidR="008559D3" w:rsidRPr="006F34F9">
        <w:rPr>
          <w:szCs w:val="22"/>
          <w:lang w:val="sr-Latn-ME"/>
        </w:rPr>
        <w:t>crijeva</w:t>
      </w:r>
      <w:r w:rsidRPr="006F34F9">
        <w:rPr>
          <w:szCs w:val="22"/>
          <w:lang w:val="sr-Latn-ME"/>
        </w:rPr>
        <w:t xml:space="preserve"> bez utvrđene sistemske </w:t>
      </w:r>
      <w:r w:rsidR="008559D3" w:rsidRPr="006F34F9">
        <w:rPr>
          <w:szCs w:val="22"/>
          <w:lang w:val="sr-Latn-ME"/>
        </w:rPr>
        <w:t>imunosupresivne</w:t>
      </w:r>
      <w:r w:rsidRPr="006F34F9">
        <w:rPr>
          <w:szCs w:val="22"/>
          <w:lang w:val="sr-Latn-ME"/>
        </w:rPr>
        <w:t xml:space="preserve"> aktivnosti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Pr="006F34F9">
        <w:rPr>
          <w:szCs w:val="22"/>
          <w:lang w:val="sr-Latn-ME"/>
        </w:rPr>
        <w:t xml:space="preserve"> 5.1).</w:t>
      </w:r>
    </w:p>
    <w:p w14:paraId="4E89B370" w14:textId="77777777" w:rsidR="0028495D" w:rsidRPr="006F34F9" w:rsidRDefault="0028495D" w:rsidP="0066419A">
      <w:pPr>
        <w:pStyle w:val="Header"/>
        <w:rPr>
          <w:szCs w:val="22"/>
          <w:lang w:val="sr-Latn-ME"/>
        </w:rPr>
      </w:pPr>
    </w:p>
    <w:p w14:paraId="5F70A766" w14:textId="33F4B691" w:rsidR="00DB3FA3" w:rsidRPr="006F34F9" w:rsidRDefault="008559D3" w:rsidP="0066419A">
      <w:pPr>
        <w:pStyle w:val="Header"/>
        <w:rPr>
          <w:szCs w:val="22"/>
          <w:lang w:val="sr-Latn-ME"/>
        </w:rPr>
      </w:pPr>
      <w:r w:rsidRPr="006F34F9">
        <w:rPr>
          <w:szCs w:val="22"/>
          <w:lang w:val="sr-Latn-ME"/>
        </w:rPr>
        <w:t>Ljekari</w:t>
      </w:r>
      <w:r w:rsidR="0028495D" w:rsidRPr="006F34F9">
        <w:rPr>
          <w:szCs w:val="22"/>
          <w:lang w:val="sr-Latn-ME"/>
        </w:rPr>
        <w:t xml:space="preserve"> treba da imaju u vidu potencijalno povećan rizik od pojave oportunističkih infekcija ili infekcija za koje su </w:t>
      </w:r>
      <w:r w:rsidRPr="006F34F9">
        <w:rPr>
          <w:szCs w:val="22"/>
          <w:lang w:val="sr-Latn-ME"/>
        </w:rPr>
        <w:t>crijeva</w:t>
      </w:r>
      <w:r w:rsidR="0028495D" w:rsidRPr="006F34F9">
        <w:rPr>
          <w:szCs w:val="22"/>
          <w:lang w:val="sr-Latn-ME"/>
        </w:rPr>
        <w:t xml:space="preserve"> odbrambena barijera (</w:t>
      </w:r>
      <w:r w:rsidR="0067327C" w:rsidRPr="006F34F9">
        <w:rPr>
          <w:szCs w:val="22"/>
          <w:lang w:val="sr-Latn-ME"/>
        </w:rPr>
        <w:t>vidjeti</w:t>
      </w:r>
      <w:r w:rsidR="0028495D" w:rsidRPr="006F34F9">
        <w:rPr>
          <w:szCs w:val="22"/>
          <w:lang w:val="sr-Latn-ME"/>
        </w:rPr>
        <w:t xml:space="preserve"> </w:t>
      </w:r>
      <w:r w:rsidR="0069571E" w:rsidRPr="006F34F9">
        <w:rPr>
          <w:szCs w:val="22"/>
          <w:lang w:val="sr-Latn-ME"/>
        </w:rPr>
        <w:t>dio</w:t>
      </w:r>
      <w:r w:rsidR="0028495D" w:rsidRPr="006F34F9">
        <w:rPr>
          <w:szCs w:val="22"/>
          <w:lang w:val="sr-Latn-ME"/>
        </w:rPr>
        <w:t xml:space="preserve"> 4.8). L</w:t>
      </w:r>
      <w:r w:rsidR="00F6147F" w:rsidRPr="006F34F9">
        <w:rPr>
          <w:szCs w:val="22"/>
          <w:lang w:val="sr-Latn-ME"/>
        </w:rPr>
        <w:t>ij</w:t>
      </w:r>
      <w:r w:rsidR="0028495D" w:rsidRPr="006F34F9">
        <w:rPr>
          <w:szCs w:val="22"/>
          <w:lang w:val="sr-Latn-ME"/>
        </w:rPr>
        <w:t>ečenje vedolizumabom ne sm</w:t>
      </w:r>
      <w:r w:rsidR="00DB3FA3" w:rsidRPr="006F34F9">
        <w:rPr>
          <w:szCs w:val="22"/>
          <w:lang w:val="sr-Latn-ME"/>
        </w:rPr>
        <w:t>ij</w:t>
      </w:r>
      <w:r w:rsidR="0028495D" w:rsidRPr="006F34F9">
        <w:rPr>
          <w:szCs w:val="22"/>
          <w:lang w:val="sr-Latn-ME"/>
        </w:rPr>
        <w:t>e se započinjati kod pacijenata sa aktivnim</w:t>
      </w:r>
      <w:r w:rsidR="0005441C">
        <w:rPr>
          <w:szCs w:val="22"/>
          <w:lang w:val="sr-Latn-ME"/>
        </w:rPr>
        <w:t>,</w:t>
      </w:r>
      <w:r w:rsidR="0028495D" w:rsidRPr="006F34F9">
        <w:rPr>
          <w:szCs w:val="22"/>
          <w:lang w:val="sr-Latn-ME"/>
        </w:rPr>
        <w:t xml:space="preserve"> teškim infekcijama sve dok se infekcije ne stave pod kontrol</w:t>
      </w:r>
      <w:r w:rsidR="00F6147F" w:rsidRPr="006F34F9">
        <w:rPr>
          <w:szCs w:val="22"/>
          <w:lang w:val="sr-Latn-ME"/>
        </w:rPr>
        <w:t>om</w:t>
      </w:r>
      <w:r w:rsidR="0028495D" w:rsidRPr="006F34F9">
        <w:rPr>
          <w:szCs w:val="22"/>
          <w:lang w:val="sr-Latn-ME"/>
        </w:rPr>
        <w:t xml:space="preserve">, a </w:t>
      </w:r>
      <w:r w:rsidRPr="006F34F9">
        <w:rPr>
          <w:szCs w:val="22"/>
          <w:lang w:val="sr-Latn-ME"/>
        </w:rPr>
        <w:t>ljekari</w:t>
      </w:r>
      <w:r w:rsidR="0028495D" w:rsidRPr="006F34F9">
        <w:rPr>
          <w:szCs w:val="22"/>
          <w:lang w:val="sr-Latn-ME"/>
        </w:rPr>
        <w:t xml:space="preserve"> treba da razmotre odlaganje </w:t>
      </w:r>
      <w:r w:rsidR="003D1FD7" w:rsidRPr="006F34F9">
        <w:rPr>
          <w:szCs w:val="22"/>
          <w:lang w:val="sr-Latn-ME"/>
        </w:rPr>
        <w:t>liječenja</w:t>
      </w:r>
      <w:r w:rsidR="0028495D" w:rsidRPr="006F34F9">
        <w:rPr>
          <w:szCs w:val="22"/>
          <w:lang w:val="sr-Latn-ME"/>
        </w:rPr>
        <w:t xml:space="preserve"> kod pacijenata koji su razvili ozbiljnu infekciju dok su na hroničnoj terapiji vedolizumabom. Potreban je o</w:t>
      </w:r>
      <w:r w:rsidR="008062E2" w:rsidRPr="006F34F9">
        <w:rPr>
          <w:szCs w:val="22"/>
          <w:lang w:val="sr-Latn-ME"/>
        </w:rPr>
        <w:t>pre</w:t>
      </w:r>
      <w:r w:rsidR="0028495D" w:rsidRPr="006F34F9">
        <w:rPr>
          <w:szCs w:val="22"/>
          <w:lang w:val="sr-Latn-ME"/>
        </w:rPr>
        <w:t>z kad se razmatra prim</w:t>
      </w:r>
      <w:r w:rsidRPr="006F34F9">
        <w:rPr>
          <w:szCs w:val="22"/>
          <w:lang w:val="sr-Latn-ME"/>
        </w:rPr>
        <w:t>j</w:t>
      </w:r>
      <w:r w:rsidR="0028495D" w:rsidRPr="006F34F9">
        <w:rPr>
          <w:szCs w:val="22"/>
          <w:lang w:val="sr-Latn-ME"/>
        </w:rPr>
        <w:t xml:space="preserve">ena vedolizumaba kod pacijenata sa kontrolisanom teškom hroničnom infekcijom ili anamnezom povratnih teških infekcija. </w:t>
      </w:r>
      <w:r w:rsidR="008062E2" w:rsidRPr="006F34F9">
        <w:rPr>
          <w:szCs w:val="22"/>
          <w:lang w:val="sr-Latn-ME"/>
        </w:rPr>
        <w:t>Prije</w:t>
      </w:r>
      <w:r w:rsidR="0028495D" w:rsidRPr="006F34F9">
        <w:rPr>
          <w:szCs w:val="22"/>
          <w:lang w:val="sr-Latn-ME"/>
        </w:rPr>
        <w:t>, tokom i nakon l</w:t>
      </w:r>
      <w:r w:rsidR="00DB3FA3" w:rsidRPr="006F34F9">
        <w:rPr>
          <w:szCs w:val="22"/>
          <w:lang w:val="sr-Latn-ME"/>
        </w:rPr>
        <w:t>ij</w:t>
      </w:r>
      <w:r w:rsidR="0028495D" w:rsidRPr="006F34F9">
        <w:rPr>
          <w:szCs w:val="22"/>
          <w:lang w:val="sr-Latn-ME"/>
        </w:rPr>
        <w:t>ečenja pacijenti moraju biti pod pažljivim nadzorom kako bi se uočile infekcije.</w:t>
      </w:r>
    </w:p>
    <w:p w14:paraId="13B5AD20" w14:textId="7512180E" w:rsidR="0028495D" w:rsidRPr="006F34F9" w:rsidRDefault="0028495D" w:rsidP="0066419A">
      <w:pPr>
        <w:pStyle w:val="Header"/>
        <w:rPr>
          <w:szCs w:val="22"/>
          <w:lang w:val="sr-Latn-ME"/>
        </w:rPr>
      </w:pPr>
      <w:r w:rsidRPr="006F34F9">
        <w:rPr>
          <w:szCs w:val="22"/>
          <w:lang w:val="sr-Latn-ME"/>
        </w:rPr>
        <w:t>Vedolizumab je kontraindikovan kod pacijenata sa aktivnom tuberkulozom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Pr="006F34F9">
        <w:rPr>
          <w:szCs w:val="22"/>
          <w:lang w:val="sr-Latn-ME"/>
        </w:rPr>
        <w:t xml:space="preserve"> 4.3). </w:t>
      </w:r>
      <w:r w:rsidR="008062E2" w:rsidRPr="006F34F9">
        <w:rPr>
          <w:szCs w:val="22"/>
          <w:lang w:val="sr-Latn-ME"/>
        </w:rPr>
        <w:t>Prije</w:t>
      </w:r>
      <w:r w:rsidRPr="006F34F9">
        <w:rPr>
          <w:szCs w:val="22"/>
          <w:lang w:val="sr-Latn-ME"/>
        </w:rPr>
        <w:t xml:space="preserve"> početka l</w:t>
      </w:r>
      <w:r w:rsidR="00DB3FA3" w:rsidRPr="006F34F9">
        <w:rPr>
          <w:szCs w:val="22"/>
          <w:lang w:val="sr-Latn-ME"/>
        </w:rPr>
        <w:t>ij</w:t>
      </w:r>
      <w:r w:rsidRPr="006F34F9">
        <w:rPr>
          <w:szCs w:val="22"/>
          <w:lang w:val="sr-Latn-ME"/>
        </w:rPr>
        <w:t xml:space="preserve">ečenja vedolizumabom potrebno </w:t>
      </w:r>
      <w:r w:rsidR="00DB3FA3" w:rsidRPr="006F34F9">
        <w:rPr>
          <w:szCs w:val="22"/>
          <w:lang w:val="sr-Latn-ME"/>
        </w:rPr>
        <w:t xml:space="preserve">je pacijente </w:t>
      </w:r>
      <w:r w:rsidRPr="006F34F9">
        <w:rPr>
          <w:szCs w:val="22"/>
          <w:lang w:val="sr-Latn-ME"/>
        </w:rPr>
        <w:t xml:space="preserve">testirati na tuberkulozu u skladu sa lokalnim </w:t>
      </w:r>
      <w:r w:rsidR="008062E2" w:rsidRPr="006F34F9">
        <w:rPr>
          <w:szCs w:val="22"/>
          <w:lang w:val="sr-Latn-ME"/>
        </w:rPr>
        <w:t>pre</w:t>
      </w:r>
      <w:r w:rsidRPr="006F34F9">
        <w:rPr>
          <w:szCs w:val="22"/>
          <w:lang w:val="sr-Latn-ME"/>
        </w:rPr>
        <w:t xml:space="preserve">porukama. Ako je dijagnostikovana latentna tuberkuloza, potrebno je </w:t>
      </w:r>
      <w:r w:rsidR="008062E2" w:rsidRPr="006F34F9">
        <w:rPr>
          <w:szCs w:val="22"/>
          <w:lang w:val="sr-Latn-ME"/>
        </w:rPr>
        <w:t>prije</w:t>
      </w:r>
      <w:r w:rsidRPr="006F34F9">
        <w:rPr>
          <w:szCs w:val="22"/>
          <w:lang w:val="sr-Latn-ME"/>
        </w:rPr>
        <w:t xml:space="preserve"> početka l</w:t>
      </w:r>
      <w:r w:rsidR="00DB3FA3" w:rsidRPr="006F34F9">
        <w:rPr>
          <w:szCs w:val="22"/>
          <w:lang w:val="sr-Latn-ME"/>
        </w:rPr>
        <w:t>ij</w:t>
      </w:r>
      <w:r w:rsidRPr="006F34F9">
        <w:rPr>
          <w:szCs w:val="22"/>
          <w:lang w:val="sr-Latn-ME"/>
        </w:rPr>
        <w:t>ečenja vedolizumabom započeti odgovarajuće antituberkulozno l</w:t>
      </w:r>
      <w:r w:rsidR="00DB3FA3" w:rsidRPr="006F34F9">
        <w:rPr>
          <w:szCs w:val="22"/>
          <w:lang w:val="sr-Latn-ME"/>
        </w:rPr>
        <w:t>ij</w:t>
      </w:r>
      <w:r w:rsidRPr="006F34F9">
        <w:rPr>
          <w:szCs w:val="22"/>
          <w:lang w:val="sr-Latn-ME"/>
        </w:rPr>
        <w:t xml:space="preserve">ečenje u skladu sa lokalnim </w:t>
      </w:r>
      <w:r w:rsidR="008062E2" w:rsidRPr="006F34F9">
        <w:rPr>
          <w:szCs w:val="22"/>
          <w:lang w:val="sr-Latn-ME"/>
        </w:rPr>
        <w:t>pre</w:t>
      </w:r>
      <w:r w:rsidRPr="006F34F9">
        <w:rPr>
          <w:szCs w:val="22"/>
          <w:lang w:val="sr-Latn-ME"/>
        </w:rPr>
        <w:t>porukama. Kod pacijenata kojima se postavi dijagnoza tuberkuloze tokom l</w:t>
      </w:r>
      <w:r w:rsidR="00DB3FA3" w:rsidRPr="006F34F9">
        <w:rPr>
          <w:szCs w:val="22"/>
          <w:lang w:val="sr-Latn-ME"/>
        </w:rPr>
        <w:t>ij</w:t>
      </w:r>
      <w:r w:rsidRPr="006F34F9">
        <w:rPr>
          <w:szCs w:val="22"/>
          <w:lang w:val="sr-Latn-ME"/>
        </w:rPr>
        <w:t xml:space="preserve">ečenja vedolizumabom, </w:t>
      </w:r>
      <w:r w:rsidR="008062E2" w:rsidRPr="006F34F9">
        <w:rPr>
          <w:szCs w:val="22"/>
          <w:lang w:val="sr-Latn-ME"/>
        </w:rPr>
        <w:t>primjenu</w:t>
      </w:r>
      <w:r w:rsidRPr="006F34F9">
        <w:rPr>
          <w:szCs w:val="22"/>
          <w:lang w:val="sr-Latn-ME"/>
        </w:rPr>
        <w:t xml:space="preserve"> vedolizumaba treba </w:t>
      </w:r>
      <w:r w:rsidR="008062E2" w:rsidRPr="006F34F9">
        <w:rPr>
          <w:szCs w:val="22"/>
          <w:lang w:val="sr-Latn-ME"/>
        </w:rPr>
        <w:t>pre</w:t>
      </w:r>
      <w:r w:rsidRPr="006F34F9">
        <w:rPr>
          <w:szCs w:val="22"/>
          <w:lang w:val="sr-Latn-ME"/>
        </w:rPr>
        <w:t>kinuti sve dok se ne izl</w:t>
      </w:r>
      <w:r w:rsidR="008559D3" w:rsidRPr="006F34F9">
        <w:rPr>
          <w:szCs w:val="22"/>
          <w:lang w:val="sr-Latn-ME"/>
        </w:rPr>
        <w:t>ij</w:t>
      </w:r>
      <w:r w:rsidRPr="006F34F9">
        <w:rPr>
          <w:szCs w:val="22"/>
          <w:lang w:val="sr-Latn-ME"/>
        </w:rPr>
        <w:t>eči tuberkulozna infekcija.</w:t>
      </w:r>
    </w:p>
    <w:p w14:paraId="3BBF6B82" w14:textId="77777777" w:rsidR="0028495D" w:rsidRPr="006F34F9" w:rsidRDefault="0028495D" w:rsidP="0066419A">
      <w:pPr>
        <w:pStyle w:val="Header"/>
        <w:rPr>
          <w:szCs w:val="22"/>
          <w:lang w:val="sr-Latn-ME"/>
        </w:rPr>
      </w:pPr>
    </w:p>
    <w:p w14:paraId="398C2D9F" w14:textId="5A411141" w:rsidR="0028495D" w:rsidRPr="006F34F9" w:rsidRDefault="0028495D" w:rsidP="0066419A">
      <w:pPr>
        <w:pStyle w:val="Header"/>
        <w:rPr>
          <w:szCs w:val="22"/>
          <w:lang w:val="sr-Latn-ME"/>
        </w:rPr>
      </w:pPr>
      <w:r w:rsidRPr="006F34F9">
        <w:rPr>
          <w:szCs w:val="22"/>
          <w:lang w:val="sr-Latn-ME"/>
        </w:rPr>
        <w:t xml:space="preserve">Neki antagonisti integrina i neki sistemski </w:t>
      </w:r>
      <w:r w:rsidR="008559D3" w:rsidRPr="006F34F9">
        <w:rPr>
          <w:szCs w:val="22"/>
          <w:lang w:val="sr-Latn-ME"/>
        </w:rPr>
        <w:t>imunosupresivi</w:t>
      </w:r>
      <w:r w:rsidRPr="006F34F9">
        <w:rPr>
          <w:szCs w:val="22"/>
          <w:lang w:val="sr-Latn-ME"/>
        </w:rPr>
        <w:t xml:space="preserve"> povezani su s</w:t>
      </w:r>
      <w:r w:rsidR="008559D3" w:rsidRPr="006F34F9">
        <w:rPr>
          <w:szCs w:val="22"/>
          <w:lang w:val="sr-Latn-ME"/>
        </w:rPr>
        <w:t>a</w:t>
      </w:r>
      <w:r w:rsidRPr="006F34F9">
        <w:rPr>
          <w:szCs w:val="22"/>
          <w:lang w:val="sr-Latn-ME"/>
        </w:rPr>
        <w:t xml:space="preserve"> progresivnom multifokalnom leukoencefalopatijom (PML) koja je r</w:t>
      </w:r>
      <w:r w:rsidR="008559D3" w:rsidRPr="006F34F9">
        <w:rPr>
          <w:szCs w:val="22"/>
          <w:lang w:val="sr-Latn-ME"/>
        </w:rPr>
        <w:t>ij</w:t>
      </w:r>
      <w:r w:rsidRPr="006F34F9">
        <w:rPr>
          <w:szCs w:val="22"/>
          <w:lang w:val="sr-Latn-ME"/>
        </w:rPr>
        <w:t>etka i često smrtonosna oportunistička infekcija uzrokovana virusom John Cunningham (JC). Vezivanjem na integrin α</w:t>
      </w:r>
      <w:r w:rsidRPr="006F34F9">
        <w:rPr>
          <w:szCs w:val="22"/>
          <w:vertAlign w:val="subscript"/>
          <w:lang w:val="sr-Latn-ME"/>
        </w:rPr>
        <w:t>4</w:t>
      </w:r>
      <w:r w:rsidRPr="006F34F9">
        <w:rPr>
          <w:szCs w:val="22"/>
          <w:lang w:val="sr-Latn-ME"/>
        </w:rPr>
        <w:t>β</w:t>
      </w:r>
      <w:r w:rsidRPr="006F34F9">
        <w:rPr>
          <w:szCs w:val="22"/>
          <w:vertAlign w:val="subscript"/>
          <w:lang w:val="sr-Latn-ME"/>
        </w:rPr>
        <w:t>7</w:t>
      </w:r>
      <w:r w:rsidRPr="006F34F9">
        <w:rPr>
          <w:szCs w:val="22"/>
          <w:lang w:val="sr-Latn-ME"/>
        </w:rPr>
        <w:t xml:space="preserve"> izražen na limfocitima u cr</w:t>
      </w:r>
      <w:r w:rsidR="008559D3" w:rsidRPr="006F34F9">
        <w:rPr>
          <w:szCs w:val="22"/>
          <w:lang w:val="sr-Latn-ME"/>
        </w:rPr>
        <w:t>ij</w:t>
      </w:r>
      <w:r w:rsidRPr="006F34F9">
        <w:rPr>
          <w:szCs w:val="22"/>
          <w:lang w:val="sr-Latn-ME"/>
        </w:rPr>
        <w:t xml:space="preserve">evima, vedolizumab postiže </w:t>
      </w:r>
      <w:r w:rsidR="008559D3" w:rsidRPr="006F34F9">
        <w:rPr>
          <w:szCs w:val="22"/>
          <w:lang w:val="sr-Latn-ME"/>
        </w:rPr>
        <w:t>imunosupresivni</w:t>
      </w:r>
      <w:r w:rsidRPr="006F34F9">
        <w:rPr>
          <w:szCs w:val="22"/>
          <w:lang w:val="sr-Latn-ME"/>
        </w:rPr>
        <w:t xml:space="preserve"> efekat specifično na cr</w:t>
      </w:r>
      <w:r w:rsidR="008559D3" w:rsidRPr="006F34F9">
        <w:rPr>
          <w:szCs w:val="22"/>
          <w:lang w:val="sr-Latn-ME"/>
        </w:rPr>
        <w:t>ij</w:t>
      </w:r>
      <w:r w:rsidRPr="006F34F9">
        <w:rPr>
          <w:szCs w:val="22"/>
          <w:lang w:val="sr-Latn-ME"/>
        </w:rPr>
        <w:t xml:space="preserve">evima. Iako nije uočen sistemski </w:t>
      </w:r>
      <w:r w:rsidR="008559D3" w:rsidRPr="006F34F9">
        <w:rPr>
          <w:szCs w:val="22"/>
          <w:lang w:val="sr-Latn-ME"/>
        </w:rPr>
        <w:t>imunosupresivni</w:t>
      </w:r>
      <w:r w:rsidRPr="006F34F9">
        <w:rPr>
          <w:szCs w:val="22"/>
          <w:lang w:val="sr-Latn-ME"/>
        </w:rPr>
        <w:t xml:space="preserve"> efekat kod zdravih ispitanika, sistemski efekti na imuni sistem pacijenata sa zapaljenskom bolešću </w:t>
      </w:r>
      <w:r w:rsidR="008559D3" w:rsidRPr="006F34F9">
        <w:rPr>
          <w:szCs w:val="22"/>
          <w:lang w:val="sr-Latn-ME"/>
        </w:rPr>
        <w:t>crijeva</w:t>
      </w:r>
      <w:r w:rsidRPr="006F34F9">
        <w:rPr>
          <w:szCs w:val="22"/>
          <w:lang w:val="sr-Latn-ME"/>
        </w:rPr>
        <w:t xml:space="preserve"> ni</w:t>
      </w:r>
      <w:r w:rsidR="00ED71F6" w:rsidRPr="006F34F9">
        <w:rPr>
          <w:szCs w:val="22"/>
          <w:lang w:val="sr-Latn-ME"/>
        </w:rPr>
        <w:t>je</w:t>
      </w:r>
      <w:r w:rsidRPr="006F34F9">
        <w:rPr>
          <w:szCs w:val="22"/>
          <w:lang w:val="sr-Latn-ME"/>
        </w:rPr>
        <w:t>su poznati.</w:t>
      </w:r>
    </w:p>
    <w:p w14:paraId="51BF0CF8" w14:textId="77777777" w:rsidR="0028495D" w:rsidRPr="006F34F9" w:rsidRDefault="0028495D">
      <w:pPr>
        <w:pStyle w:val="Header"/>
        <w:rPr>
          <w:szCs w:val="22"/>
          <w:lang w:val="sr-Latn-ME"/>
        </w:rPr>
      </w:pPr>
    </w:p>
    <w:p w14:paraId="296168A0" w14:textId="4B8186D7" w:rsidR="0028495D" w:rsidRPr="006F34F9" w:rsidRDefault="0028495D">
      <w:pPr>
        <w:pStyle w:val="Header"/>
        <w:rPr>
          <w:szCs w:val="22"/>
          <w:lang w:val="sr-Latn-ME"/>
        </w:rPr>
      </w:pPr>
      <w:r w:rsidRPr="006F34F9">
        <w:rPr>
          <w:szCs w:val="22"/>
          <w:lang w:val="sr-Latn-ME"/>
        </w:rPr>
        <w:lastRenderedPageBreak/>
        <w:t>Zdravstveni radnici moraju kod pacijenata koji primaju vedolizumab pratiti pojavu ili pogoršanje neuroloških znakova i simptoma i uputiti pacijenta neurologu ako se oni pojave.</w:t>
      </w:r>
      <w:r w:rsidR="00AA20A9" w:rsidRPr="006F34F9">
        <w:rPr>
          <w:szCs w:val="22"/>
          <w:lang w:val="sr-Latn-ME"/>
        </w:rPr>
        <w:t xml:space="preserve"> </w:t>
      </w:r>
      <w:r w:rsidRPr="006F34F9">
        <w:rPr>
          <w:szCs w:val="22"/>
          <w:lang w:val="sr-Latn-ME"/>
        </w:rPr>
        <w:t>Ako se sumnja na PML, potrebno je obustaviti l</w:t>
      </w:r>
      <w:r w:rsidR="00DB3FA3" w:rsidRPr="006F34F9">
        <w:rPr>
          <w:szCs w:val="22"/>
          <w:lang w:val="sr-Latn-ME"/>
        </w:rPr>
        <w:t>ij</w:t>
      </w:r>
      <w:r w:rsidRPr="006F34F9">
        <w:rPr>
          <w:szCs w:val="22"/>
          <w:lang w:val="sr-Latn-ME"/>
        </w:rPr>
        <w:t>ečenje vedolizumabom; u slučaju potvrde, l</w:t>
      </w:r>
      <w:r w:rsidR="00DB3FA3" w:rsidRPr="006F34F9">
        <w:rPr>
          <w:szCs w:val="22"/>
          <w:lang w:val="sr-Latn-ME"/>
        </w:rPr>
        <w:t>ij</w:t>
      </w:r>
      <w:r w:rsidRPr="006F34F9">
        <w:rPr>
          <w:szCs w:val="22"/>
          <w:lang w:val="sr-Latn-ME"/>
        </w:rPr>
        <w:t xml:space="preserve">ečenje se mora trajno </w:t>
      </w:r>
      <w:r w:rsidR="008559D3" w:rsidRPr="006F34F9">
        <w:rPr>
          <w:szCs w:val="22"/>
          <w:lang w:val="sr-Latn-ME"/>
        </w:rPr>
        <w:t>prekinuti</w:t>
      </w:r>
      <w:r w:rsidRPr="006F34F9">
        <w:rPr>
          <w:szCs w:val="22"/>
          <w:lang w:val="sr-Latn-ME"/>
        </w:rPr>
        <w:t>.</w:t>
      </w:r>
    </w:p>
    <w:p w14:paraId="18F7967F" w14:textId="77777777" w:rsidR="0028495D" w:rsidRPr="006F34F9" w:rsidRDefault="0028495D">
      <w:pPr>
        <w:pStyle w:val="Header"/>
        <w:rPr>
          <w:szCs w:val="22"/>
          <w:lang w:val="sr-Latn-ME"/>
        </w:rPr>
      </w:pPr>
    </w:p>
    <w:p w14:paraId="6D554DD7" w14:textId="77777777" w:rsidR="0028495D" w:rsidRPr="006F34F9" w:rsidRDefault="0028495D">
      <w:pPr>
        <w:pStyle w:val="Header"/>
        <w:rPr>
          <w:szCs w:val="22"/>
          <w:u w:val="single"/>
          <w:lang w:val="sr-Latn-ME"/>
        </w:rPr>
      </w:pPr>
      <w:r w:rsidRPr="006F34F9">
        <w:rPr>
          <w:szCs w:val="22"/>
          <w:u w:val="single"/>
          <w:lang w:val="sr-Latn-ME"/>
        </w:rPr>
        <w:t>Maligne bolesti</w:t>
      </w:r>
    </w:p>
    <w:p w14:paraId="7C982AC9" w14:textId="77777777" w:rsidR="0028495D" w:rsidRPr="006F34F9" w:rsidRDefault="0028495D">
      <w:pPr>
        <w:pStyle w:val="Header"/>
        <w:rPr>
          <w:szCs w:val="22"/>
          <w:lang w:val="sr-Latn-ME"/>
        </w:rPr>
      </w:pPr>
    </w:p>
    <w:p w14:paraId="74AE609F" w14:textId="10313CDA" w:rsidR="0028495D" w:rsidRPr="006F34F9" w:rsidRDefault="0028495D">
      <w:pPr>
        <w:pStyle w:val="Header"/>
        <w:rPr>
          <w:szCs w:val="22"/>
          <w:lang w:val="sr-Latn-ME"/>
        </w:rPr>
      </w:pPr>
      <w:r w:rsidRPr="006F34F9">
        <w:rPr>
          <w:szCs w:val="22"/>
          <w:lang w:val="sr-Latn-ME"/>
        </w:rPr>
        <w:t>Rizik</w:t>
      </w:r>
      <w:r w:rsidR="00ED71F6" w:rsidRPr="006F34F9">
        <w:rPr>
          <w:szCs w:val="22"/>
          <w:lang w:val="sr-Latn-ME"/>
        </w:rPr>
        <w:t xml:space="preserve"> od</w:t>
      </w:r>
      <w:r w:rsidRPr="006F34F9">
        <w:rPr>
          <w:szCs w:val="22"/>
          <w:lang w:val="sr-Latn-ME"/>
        </w:rPr>
        <w:t xml:space="preserve"> malignih bolesti povećan je kod pacijenata sa ulceroznim kolitisom i Kronovom bolešću. Imunomodulatorni </w:t>
      </w:r>
      <w:r w:rsidR="00DB3FA3" w:rsidRPr="006F34F9">
        <w:rPr>
          <w:szCs w:val="22"/>
          <w:lang w:val="sr-Latn-ME"/>
        </w:rPr>
        <w:t>ljekovi</w:t>
      </w:r>
      <w:r w:rsidRPr="006F34F9">
        <w:rPr>
          <w:szCs w:val="22"/>
          <w:lang w:val="sr-Latn-ME"/>
        </w:rPr>
        <w:t xml:space="preserve"> mogu povećati rizik od malignih bolesti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Pr="006F34F9">
        <w:rPr>
          <w:szCs w:val="22"/>
          <w:lang w:val="sr-Latn-ME"/>
        </w:rPr>
        <w:t xml:space="preserve"> 4.8).</w:t>
      </w:r>
    </w:p>
    <w:p w14:paraId="60BD9A7D" w14:textId="77777777" w:rsidR="0028495D" w:rsidRPr="006F34F9" w:rsidRDefault="0028495D">
      <w:pPr>
        <w:pStyle w:val="Header"/>
        <w:rPr>
          <w:szCs w:val="22"/>
          <w:lang w:val="sr-Latn-ME"/>
        </w:rPr>
      </w:pPr>
    </w:p>
    <w:p w14:paraId="64DC8872" w14:textId="5DDA98D6" w:rsidR="0028495D" w:rsidRPr="006F34F9" w:rsidRDefault="00B148F2">
      <w:pPr>
        <w:pStyle w:val="Header"/>
        <w:rPr>
          <w:szCs w:val="22"/>
          <w:u w:val="single"/>
          <w:lang w:val="sr-Latn-ME"/>
        </w:rPr>
      </w:pPr>
      <w:r w:rsidRPr="006F34F9">
        <w:rPr>
          <w:szCs w:val="22"/>
          <w:u w:val="single"/>
          <w:lang w:val="sr-Latn-ME"/>
        </w:rPr>
        <w:t>Prethodna</w:t>
      </w:r>
      <w:r w:rsidR="0028495D" w:rsidRPr="006F34F9">
        <w:rPr>
          <w:szCs w:val="22"/>
          <w:u w:val="single"/>
          <w:lang w:val="sr-Latn-ME"/>
        </w:rPr>
        <w:t xml:space="preserve"> i istovremena upotreba bioloških l</w:t>
      </w:r>
      <w:r w:rsidR="00ED71F6" w:rsidRPr="006F34F9">
        <w:rPr>
          <w:szCs w:val="22"/>
          <w:u w:val="single"/>
          <w:lang w:val="sr-Latn-ME"/>
        </w:rPr>
        <w:t>j</w:t>
      </w:r>
      <w:r w:rsidR="0028495D" w:rsidRPr="006F34F9">
        <w:rPr>
          <w:szCs w:val="22"/>
          <w:u w:val="single"/>
          <w:lang w:val="sr-Latn-ME"/>
        </w:rPr>
        <w:t>ekova</w:t>
      </w:r>
    </w:p>
    <w:p w14:paraId="7B6B71D9" w14:textId="77777777" w:rsidR="0028495D" w:rsidRPr="006F34F9" w:rsidRDefault="0028495D">
      <w:pPr>
        <w:pStyle w:val="Header"/>
        <w:rPr>
          <w:szCs w:val="22"/>
          <w:lang w:val="sr-Latn-ME"/>
        </w:rPr>
      </w:pPr>
    </w:p>
    <w:p w14:paraId="63FB9C5F" w14:textId="4A517ACB" w:rsidR="0028495D" w:rsidRPr="006F34F9" w:rsidRDefault="0028495D">
      <w:pPr>
        <w:pStyle w:val="Header"/>
        <w:rPr>
          <w:szCs w:val="22"/>
          <w:lang w:val="sr-Latn-ME"/>
        </w:rPr>
      </w:pPr>
      <w:r w:rsidRPr="006F34F9">
        <w:rPr>
          <w:szCs w:val="22"/>
          <w:lang w:val="sr-Latn-ME"/>
        </w:rPr>
        <w:t xml:space="preserve">Nema podataka iz kliničkih ispitivanja o </w:t>
      </w:r>
      <w:r w:rsidR="008559D3" w:rsidRPr="006F34F9">
        <w:rPr>
          <w:szCs w:val="22"/>
          <w:lang w:val="sr-Latn-ME"/>
        </w:rPr>
        <w:t>primjeni</w:t>
      </w:r>
      <w:r w:rsidRPr="006F34F9">
        <w:rPr>
          <w:szCs w:val="22"/>
          <w:lang w:val="sr-Latn-ME"/>
        </w:rPr>
        <w:t xml:space="preserve"> vedolizumaba kod pacijenata koji su </w:t>
      </w:r>
      <w:r w:rsidR="008062E2" w:rsidRPr="006F34F9">
        <w:rPr>
          <w:szCs w:val="22"/>
          <w:lang w:val="sr-Latn-ME"/>
        </w:rPr>
        <w:t>pre</w:t>
      </w:r>
      <w:r w:rsidRPr="006F34F9">
        <w:rPr>
          <w:szCs w:val="22"/>
          <w:lang w:val="sr-Latn-ME"/>
        </w:rPr>
        <w:t xml:space="preserve">thodno </w:t>
      </w:r>
      <w:r w:rsidR="008559D3" w:rsidRPr="006F34F9">
        <w:rPr>
          <w:szCs w:val="22"/>
          <w:lang w:val="sr-Latn-ME"/>
        </w:rPr>
        <w:t>liječeni</w:t>
      </w:r>
      <w:r w:rsidRPr="006F34F9">
        <w:rPr>
          <w:szCs w:val="22"/>
          <w:lang w:val="sr-Latn-ME"/>
        </w:rPr>
        <w:t xml:space="preserve"> natalizumabom ili rituksimabom. Potreban je o</w:t>
      </w:r>
      <w:r w:rsidR="008062E2" w:rsidRPr="006F34F9">
        <w:rPr>
          <w:szCs w:val="22"/>
          <w:lang w:val="sr-Latn-ME"/>
        </w:rPr>
        <w:t>pre</w:t>
      </w:r>
      <w:r w:rsidRPr="006F34F9">
        <w:rPr>
          <w:szCs w:val="22"/>
          <w:lang w:val="sr-Latn-ME"/>
        </w:rPr>
        <w:t xml:space="preserve">z pri </w:t>
      </w:r>
      <w:r w:rsidR="008559D3" w:rsidRPr="006F34F9">
        <w:rPr>
          <w:szCs w:val="22"/>
          <w:lang w:val="sr-Latn-ME"/>
        </w:rPr>
        <w:t>primjeni</w:t>
      </w:r>
      <w:r w:rsidRPr="006F34F9">
        <w:rPr>
          <w:szCs w:val="22"/>
          <w:lang w:val="sr-Latn-ME"/>
        </w:rPr>
        <w:t xml:space="preserve"> vedolizumaba kod ovih pacijenata.</w:t>
      </w:r>
    </w:p>
    <w:p w14:paraId="46AAE32B" w14:textId="77777777" w:rsidR="0028495D" w:rsidRPr="006F34F9" w:rsidRDefault="0028495D">
      <w:pPr>
        <w:pStyle w:val="Header"/>
        <w:rPr>
          <w:szCs w:val="22"/>
          <w:lang w:val="sr-Latn-ME"/>
        </w:rPr>
      </w:pPr>
    </w:p>
    <w:p w14:paraId="24D9CFB9" w14:textId="14A92EAE" w:rsidR="0028495D" w:rsidRPr="006F34F9" w:rsidRDefault="0028495D">
      <w:pPr>
        <w:pStyle w:val="Header"/>
        <w:rPr>
          <w:szCs w:val="22"/>
          <w:lang w:val="sr-Latn-ME"/>
        </w:rPr>
      </w:pPr>
      <w:r w:rsidRPr="006F34F9">
        <w:rPr>
          <w:szCs w:val="22"/>
          <w:lang w:val="sr-Latn-ME"/>
        </w:rPr>
        <w:t xml:space="preserve">Pacijenti </w:t>
      </w:r>
      <w:r w:rsidR="008062E2" w:rsidRPr="006F34F9">
        <w:rPr>
          <w:szCs w:val="22"/>
          <w:lang w:val="sr-Latn-ME"/>
        </w:rPr>
        <w:t>pre</w:t>
      </w:r>
      <w:r w:rsidRPr="006F34F9">
        <w:rPr>
          <w:szCs w:val="22"/>
          <w:lang w:val="sr-Latn-ME"/>
        </w:rPr>
        <w:t xml:space="preserve">thodno izloženi natalizumabu trebalo bi da pričekaju najmanje 12 </w:t>
      </w:r>
      <w:r w:rsidR="008062E2" w:rsidRPr="006F34F9">
        <w:rPr>
          <w:szCs w:val="22"/>
          <w:lang w:val="sr-Latn-ME"/>
        </w:rPr>
        <w:t>nedjelja</w:t>
      </w:r>
      <w:r w:rsidRPr="006F34F9">
        <w:rPr>
          <w:szCs w:val="22"/>
          <w:lang w:val="sr-Latn-ME"/>
        </w:rPr>
        <w:t xml:space="preserve"> </w:t>
      </w:r>
      <w:r w:rsidR="008062E2" w:rsidRPr="006F34F9">
        <w:rPr>
          <w:szCs w:val="22"/>
          <w:lang w:val="sr-Latn-ME"/>
        </w:rPr>
        <w:t>prije</w:t>
      </w:r>
      <w:r w:rsidRPr="006F34F9">
        <w:rPr>
          <w:szCs w:val="22"/>
          <w:lang w:val="sr-Latn-ME"/>
        </w:rPr>
        <w:t xml:space="preserve"> početka l</w:t>
      </w:r>
      <w:r w:rsidR="00DB3FA3" w:rsidRPr="006F34F9">
        <w:rPr>
          <w:szCs w:val="22"/>
          <w:lang w:val="sr-Latn-ME"/>
        </w:rPr>
        <w:t>ij</w:t>
      </w:r>
      <w:r w:rsidRPr="006F34F9">
        <w:rPr>
          <w:szCs w:val="22"/>
          <w:lang w:val="sr-Latn-ME"/>
        </w:rPr>
        <w:t>ečenja vedolizumabom, osim ako kliničko stanje pacijenta ne iziskuje drugačije.</w:t>
      </w:r>
    </w:p>
    <w:p w14:paraId="5302C3A6" w14:textId="77777777" w:rsidR="0028495D" w:rsidRPr="006F34F9" w:rsidRDefault="0028495D">
      <w:pPr>
        <w:pStyle w:val="Header"/>
        <w:rPr>
          <w:szCs w:val="22"/>
          <w:lang w:val="sr-Latn-ME"/>
        </w:rPr>
      </w:pPr>
    </w:p>
    <w:p w14:paraId="2C18902C" w14:textId="7B85D151" w:rsidR="0028495D" w:rsidRPr="006F34F9" w:rsidRDefault="0028495D">
      <w:pPr>
        <w:pStyle w:val="Header"/>
        <w:rPr>
          <w:szCs w:val="22"/>
          <w:lang w:val="sr-Latn-ME"/>
        </w:rPr>
      </w:pPr>
      <w:r w:rsidRPr="006F34F9">
        <w:rPr>
          <w:szCs w:val="22"/>
          <w:lang w:val="sr-Latn-ME"/>
        </w:rPr>
        <w:t xml:space="preserve">Nema podataka iz kliničkih ispitivanja o istovremenoj </w:t>
      </w:r>
      <w:r w:rsidR="008559D3" w:rsidRPr="006F34F9">
        <w:rPr>
          <w:szCs w:val="22"/>
          <w:lang w:val="sr-Latn-ME"/>
        </w:rPr>
        <w:t>primjeni</w:t>
      </w:r>
      <w:r w:rsidRPr="006F34F9">
        <w:rPr>
          <w:szCs w:val="22"/>
          <w:lang w:val="sr-Latn-ME"/>
        </w:rPr>
        <w:t xml:space="preserve"> vedolizumaba sa biološkim </w:t>
      </w:r>
      <w:r w:rsidR="008559D3" w:rsidRPr="006F34F9">
        <w:rPr>
          <w:szCs w:val="22"/>
          <w:lang w:val="sr-Latn-ME"/>
        </w:rPr>
        <w:t>imunosupresivima</w:t>
      </w:r>
      <w:r w:rsidRPr="006F34F9">
        <w:rPr>
          <w:szCs w:val="22"/>
          <w:lang w:val="sr-Latn-ME"/>
        </w:rPr>
        <w:t xml:space="preserve">. Stoga se upotreba vedolizumaba kod takvih pacijenata ne </w:t>
      </w:r>
      <w:r w:rsidR="008062E2" w:rsidRPr="006F34F9">
        <w:rPr>
          <w:szCs w:val="22"/>
          <w:lang w:val="sr-Latn-ME"/>
        </w:rPr>
        <w:t>pre</w:t>
      </w:r>
      <w:r w:rsidRPr="006F34F9">
        <w:rPr>
          <w:szCs w:val="22"/>
          <w:lang w:val="sr-Latn-ME"/>
        </w:rPr>
        <w:t>poručuje.</w:t>
      </w:r>
    </w:p>
    <w:p w14:paraId="455FABCB" w14:textId="77777777" w:rsidR="0028495D" w:rsidRPr="006F34F9" w:rsidRDefault="0028495D">
      <w:pPr>
        <w:pStyle w:val="Header"/>
        <w:rPr>
          <w:szCs w:val="22"/>
          <w:lang w:val="sr-Latn-ME"/>
        </w:rPr>
      </w:pPr>
    </w:p>
    <w:p w14:paraId="024E735A" w14:textId="0FF7AA4E" w:rsidR="0028495D" w:rsidRPr="006F34F9" w:rsidRDefault="0028495D">
      <w:pPr>
        <w:pStyle w:val="Header"/>
        <w:rPr>
          <w:szCs w:val="22"/>
          <w:u w:val="single"/>
          <w:lang w:val="sr-Latn-ME"/>
        </w:rPr>
      </w:pPr>
      <w:r w:rsidRPr="006F34F9">
        <w:rPr>
          <w:szCs w:val="22"/>
          <w:u w:val="single"/>
          <w:lang w:val="sr-Latn-ME"/>
        </w:rPr>
        <w:t xml:space="preserve">Žive vakcine i vakcine koje se </w:t>
      </w:r>
      <w:r w:rsidR="008559D3" w:rsidRPr="006F34F9">
        <w:rPr>
          <w:szCs w:val="22"/>
          <w:u w:val="single"/>
          <w:lang w:val="sr-Latn-ME"/>
        </w:rPr>
        <w:t>primjenjuju</w:t>
      </w:r>
      <w:r w:rsidRPr="006F34F9">
        <w:rPr>
          <w:szCs w:val="22"/>
          <w:u w:val="single"/>
          <w:lang w:val="sr-Latn-ME"/>
        </w:rPr>
        <w:t xml:space="preserve"> peroralno</w:t>
      </w:r>
    </w:p>
    <w:p w14:paraId="16ABE6B1" w14:textId="77777777" w:rsidR="0028495D" w:rsidRPr="006F34F9" w:rsidRDefault="0028495D">
      <w:pPr>
        <w:pStyle w:val="Header"/>
        <w:rPr>
          <w:szCs w:val="22"/>
          <w:lang w:val="sr-Latn-ME"/>
        </w:rPr>
      </w:pPr>
    </w:p>
    <w:p w14:paraId="5BBDC11C" w14:textId="3C9DD482" w:rsidR="0028495D" w:rsidRPr="006F34F9" w:rsidRDefault="0028495D">
      <w:pPr>
        <w:pStyle w:val="Header"/>
        <w:rPr>
          <w:szCs w:val="22"/>
          <w:lang w:val="sr-Latn-ME"/>
        </w:rPr>
      </w:pPr>
      <w:r w:rsidRPr="006F34F9">
        <w:rPr>
          <w:szCs w:val="22"/>
          <w:lang w:val="sr-Latn-ME"/>
        </w:rPr>
        <w:t>U placebom kontrolisanim ispitivanjima kod zdravih dobrovoljaca, pojedinačna doza od 750 mg vedolizumaba nije smanjila stepen zaštitnog imunog odgovora na virus hepatitisa B kod ispitanika koji su vakcinisani intramuskularno sa 3 doze rekombinantnog površinskog antigena hepatitisa B. Kod ispitanika koji su izloženi vedolizumabu zab</w:t>
      </w:r>
      <w:r w:rsidR="00467DFA" w:rsidRPr="006F34F9">
        <w:rPr>
          <w:szCs w:val="22"/>
          <w:lang w:val="sr-Latn-ME"/>
        </w:rPr>
        <w:t>i</w:t>
      </w:r>
      <w:r w:rsidRPr="006F34F9">
        <w:rPr>
          <w:szCs w:val="22"/>
          <w:lang w:val="sr-Latn-ME"/>
        </w:rPr>
        <w:t>l</w:t>
      </w:r>
      <w:r w:rsidR="00467DFA" w:rsidRPr="006F34F9">
        <w:rPr>
          <w:szCs w:val="22"/>
          <w:lang w:val="sr-Latn-ME"/>
        </w:rPr>
        <w:t>j</w:t>
      </w:r>
      <w:r w:rsidRPr="006F34F9">
        <w:rPr>
          <w:szCs w:val="22"/>
          <w:lang w:val="sr-Latn-ME"/>
        </w:rPr>
        <w:t xml:space="preserve">ežena je niža stopa serokonverzije nakon primanja mrtve, peroralne vakcine protiv kolere. Uticaj na druge peroralne i nazalne vakcine nije poznat. </w:t>
      </w:r>
      <w:r w:rsidR="008062E2" w:rsidRPr="006F34F9">
        <w:rPr>
          <w:szCs w:val="22"/>
          <w:lang w:val="sr-Latn-ME"/>
        </w:rPr>
        <w:t>Pre</w:t>
      </w:r>
      <w:r w:rsidRPr="006F34F9">
        <w:rPr>
          <w:szCs w:val="22"/>
          <w:lang w:val="sr-Latn-ME"/>
        </w:rPr>
        <w:t xml:space="preserve">poručuje se da se svi pacijenti adekvatno vakcinišu u skladu sa važećim </w:t>
      </w:r>
      <w:r w:rsidR="008559D3" w:rsidRPr="006F34F9">
        <w:rPr>
          <w:szCs w:val="22"/>
          <w:lang w:val="sr-Latn-ME"/>
        </w:rPr>
        <w:t>smjernicama</w:t>
      </w:r>
      <w:r w:rsidRPr="006F34F9">
        <w:rPr>
          <w:szCs w:val="22"/>
          <w:lang w:val="sr-Latn-ME"/>
        </w:rPr>
        <w:t xml:space="preserve"> za imunizaciju </w:t>
      </w:r>
      <w:r w:rsidR="008062E2" w:rsidRPr="006F34F9">
        <w:rPr>
          <w:szCs w:val="22"/>
          <w:lang w:val="sr-Latn-ME"/>
        </w:rPr>
        <w:t>prije</w:t>
      </w:r>
      <w:r w:rsidRPr="006F34F9">
        <w:rPr>
          <w:szCs w:val="22"/>
          <w:lang w:val="sr-Latn-ME"/>
        </w:rPr>
        <w:t xml:space="preserve"> početka </w:t>
      </w:r>
      <w:r w:rsidR="003D1FD7" w:rsidRPr="006F34F9">
        <w:rPr>
          <w:szCs w:val="22"/>
          <w:lang w:val="sr-Latn-ME"/>
        </w:rPr>
        <w:t>liječenja</w:t>
      </w:r>
      <w:r w:rsidRPr="006F34F9">
        <w:rPr>
          <w:szCs w:val="22"/>
          <w:lang w:val="sr-Latn-ME"/>
        </w:rPr>
        <w:t xml:space="preserve"> vedolizumabom. Pacijenti koji primaju vedolizumab mogu nastaviti da primaju </w:t>
      </w:r>
      <w:r w:rsidR="00AA20A9" w:rsidRPr="006F34F9">
        <w:rPr>
          <w:szCs w:val="22"/>
          <w:lang w:val="sr-Latn-ME"/>
        </w:rPr>
        <w:t>nežive</w:t>
      </w:r>
      <w:r w:rsidR="00467DFA" w:rsidRPr="006F34F9">
        <w:rPr>
          <w:szCs w:val="22"/>
          <w:lang w:val="sr-Latn-ME"/>
        </w:rPr>
        <w:t xml:space="preserve"> </w:t>
      </w:r>
      <w:r w:rsidRPr="006F34F9">
        <w:rPr>
          <w:szCs w:val="22"/>
          <w:lang w:val="sr-Latn-ME"/>
        </w:rPr>
        <w:t xml:space="preserve">vakcine. Nema podataka o sekundarnom </w:t>
      </w:r>
      <w:r w:rsidR="008062E2" w:rsidRPr="006F34F9">
        <w:rPr>
          <w:szCs w:val="22"/>
          <w:lang w:val="sr-Latn-ME"/>
        </w:rPr>
        <w:t>pre</w:t>
      </w:r>
      <w:r w:rsidRPr="006F34F9">
        <w:rPr>
          <w:szCs w:val="22"/>
          <w:lang w:val="sr-Latn-ME"/>
        </w:rPr>
        <w:t xml:space="preserve">nošenju infekcije putem živih vakcina kod pacijenata koji primaju vedolizumab. Vakcinu protiv gripa treba </w:t>
      </w:r>
      <w:r w:rsidR="008559D3" w:rsidRPr="006F34F9">
        <w:rPr>
          <w:szCs w:val="22"/>
          <w:lang w:val="sr-Latn-ME"/>
        </w:rPr>
        <w:t>primjeniti</w:t>
      </w:r>
      <w:r w:rsidRPr="006F34F9">
        <w:rPr>
          <w:szCs w:val="22"/>
          <w:lang w:val="sr-Latn-ME"/>
        </w:rPr>
        <w:t xml:space="preserve"> putem injekcije u skladu sa rutinskom kliničkom praksom. Druge žive vakcine mogu se davati istovremeno sa vedolizumabom samo ako korist jasno nadmašuje rizik.</w:t>
      </w:r>
    </w:p>
    <w:p w14:paraId="19A6317B" w14:textId="77777777" w:rsidR="0028495D" w:rsidRPr="006F34F9" w:rsidRDefault="0028495D">
      <w:pPr>
        <w:pStyle w:val="Header"/>
        <w:rPr>
          <w:szCs w:val="22"/>
          <w:lang w:val="sr-Latn-ME"/>
        </w:rPr>
      </w:pPr>
    </w:p>
    <w:p w14:paraId="17C4FB27" w14:textId="77777777" w:rsidR="0028495D" w:rsidRPr="006F34F9" w:rsidRDefault="0028495D">
      <w:pPr>
        <w:pStyle w:val="Header"/>
        <w:rPr>
          <w:szCs w:val="22"/>
          <w:u w:val="single"/>
          <w:lang w:val="sr-Latn-ME"/>
        </w:rPr>
      </w:pPr>
      <w:r w:rsidRPr="006F34F9">
        <w:rPr>
          <w:szCs w:val="22"/>
          <w:u w:val="single"/>
          <w:lang w:val="sr-Latn-ME"/>
        </w:rPr>
        <w:t>Indukcija remisije Kronove bolesti</w:t>
      </w:r>
    </w:p>
    <w:p w14:paraId="7AE3B4DF" w14:textId="77777777" w:rsidR="0028495D" w:rsidRPr="006F34F9" w:rsidRDefault="0028495D">
      <w:pPr>
        <w:pStyle w:val="Header"/>
        <w:rPr>
          <w:szCs w:val="22"/>
          <w:lang w:val="sr-Latn-ME"/>
        </w:rPr>
      </w:pPr>
    </w:p>
    <w:p w14:paraId="0C9EC793" w14:textId="593FA730" w:rsidR="0028495D" w:rsidRPr="006F34F9" w:rsidRDefault="0028495D">
      <w:pPr>
        <w:pStyle w:val="Header"/>
        <w:rPr>
          <w:szCs w:val="22"/>
          <w:lang w:val="sr-Latn-ME"/>
        </w:rPr>
      </w:pPr>
      <w:r w:rsidRPr="006F34F9">
        <w:rPr>
          <w:szCs w:val="22"/>
          <w:lang w:val="sr-Latn-ME"/>
        </w:rPr>
        <w:t xml:space="preserve">Indukcija remisije Kronove bolesti može kod nekih pacijenata da traje do 14 </w:t>
      </w:r>
      <w:r w:rsidR="008062E2" w:rsidRPr="006F34F9">
        <w:rPr>
          <w:szCs w:val="22"/>
          <w:lang w:val="sr-Latn-ME"/>
        </w:rPr>
        <w:t>nedjelja</w:t>
      </w:r>
      <w:r w:rsidRPr="006F34F9">
        <w:rPr>
          <w:szCs w:val="22"/>
          <w:lang w:val="sr-Latn-ME"/>
        </w:rPr>
        <w:t>. Razlozi za to ni</w:t>
      </w:r>
      <w:r w:rsidR="00370DDF" w:rsidRPr="006F34F9">
        <w:rPr>
          <w:szCs w:val="22"/>
          <w:lang w:val="sr-Latn-ME"/>
        </w:rPr>
        <w:t>je</w:t>
      </w:r>
      <w:r w:rsidRPr="006F34F9">
        <w:rPr>
          <w:szCs w:val="22"/>
          <w:lang w:val="sr-Latn-ME"/>
        </w:rPr>
        <w:t>su potpuno poznati i v</w:t>
      </w:r>
      <w:r w:rsidR="00370DDF" w:rsidRPr="006F34F9">
        <w:rPr>
          <w:szCs w:val="22"/>
          <w:lang w:val="sr-Latn-ME"/>
        </w:rPr>
        <w:t>j</w:t>
      </w:r>
      <w:r w:rsidRPr="006F34F9">
        <w:rPr>
          <w:szCs w:val="22"/>
          <w:lang w:val="sr-Latn-ME"/>
        </w:rPr>
        <w:t xml:space="preserve">erovatno su povezani sa mehanizmom </w:t>
      </w:r>
      <w:r w:rsidR="008559D3" w:rsidRPr="006F34F9">
        <w:rPr>
          <w:szCs w:val="22"/>
          <w:lang w:val="sr-Latn-ME"/>
        </w:rPr>
        <w:t>djelovanja</w:t>
      </w:r>
      <w:r w:rsidRPr="006F34F9">
        <w:rPr>
          <w:szCs w:val="22"/>
          <w:lang w:val="sr-Latn-ME"/>
        </w:rPr>
        <w:t xml:space="preserve">. To se posebno mora uzeti u obzir kod pacijenata sa izrazito aktivnom bolešću na početku koja nije </w:t>
      </w:r>
      <w:r w:rsidR="00B148F2" w:rsidRPr="006F34F9">
        <w:rPr>
          <w:szCs w:val="22"/>
          <w:lang w:val="sr-Latn-ME"/>
        </w:rPr>
        <w:t>prethodno</w:t>
      </w:r>
      <w:r w:rsidRPr="006F34F9">
        <w:rPr>
          <w:szCs w:val="22"/>
          <w:lang w:val="sr-Latn-ME"/>
        </w:rPr>
        <w:t xml:space="preserve"> </w:t>
      </w:r>
      <w:r w:rsidR="008559D3" w:rsidRPr="006F34F9">
        <w:rPr>
          <w:szCs w:val="22"/>
          <w:lang w:val="sr-Latn-ME"/>
        </w:rPr>
        <w:t>liječena</w:t>
      </w:r>
      <w:r w:rsidRPr="006F34F9">
        <w:rPr>
          <w:szCs w:val="22"/>
          <w:lang w:val="sr-Latn-ME"/>
        </w:rPr>
        <w:t xml:space="preserve"> TNFα antagonistima. (</w:t>
      </w:r>
      <w:r w:rsidR="0067327C" w:rsidRPr="006F34F9">
        <w:rPr>
          <w:szCs w:val="22"/>
          <w:lang w:val="sr-Latn-ME"/>
        </w:rPr>
        <w:t>vidjeti</w:t>
      </w:r>
      <w:r w:rsidRPr="006F34F9">
        <w:rPr>
          <w:szCs w:val="22"/>
          <w:lang w:val="sr-Latn-ME"/>
        </w:rPr>
        <w:t xml:space="preserve"> takođe </w:t>
      </w:r>
      <w:r w:rsidR="0069571E" w:rsidRPr="006F34F9">
        <w:rPr>
          <w:szCs w:val="22"/>
          <w:lang w:val="sr-Latn-ME"/>
        </w:rPr>
        <w:t>dio</w:t>
      </w:r>
      <w:r w:rsidRPr="006F34F9">
        <w:rPr>
          <w:szCs w:val="22"/>
          <w:lang w:val="sr-Latn-ME"/>
        </w:rPr>
        <w:t xml:space="preserve"> 5.1).</w:t>
      </w:r>
    </w:p>
    <w:p w14:paraId="425B0FEB" w14:textId="77777777" w:rsidR="0028495D" w:rsidRPr="006F34F9" w:rsidRDefault="0028495D">
      <w:pPr>
        <w:pStyle w:val="Header"/>
        <w:rPr>
          <w:szCs w:val="22"/>
          <w:lang w:val="sr-Latn-ME"/>
        </w:rPr>
      </w:pPr>
    </w:p>
    <w:p w14:paraId="3A7E8915" w14:textId="35F42006" w:rsidR="0028495D" w:rsidRPr="006F34F9" w:rsidRDefault="0028495D">
      <w:pPr>
        <w:pStyle w:val="Header"/>
        <w:rPr>
          <w:szCs w:val="22"/>
          <w:lang w:val="sr-Latn-ME"/>
        </w:rPr>
      </w:pPr>
      <w:r w:rsidRPr="006F34F9">
        <w:rPr>
          <w:szCs w:val="22"/>
          <w:lang w:val="sr-Latn-ME"/>
        </w:rPr>
        <w:t xml:space="preserve">Eksplorativne analize podgrupa iz kliničkih ispitivanja kod Kronove bolesti ukazuju da vedolizumab </w:t>
      </w:r>
      <w:r w:rsidR="008062E2" w:rsidRPr="006F34F9">
        <w:rPr>
          <w:szCs w:val="22"/>
          <w:lang w:val="sr-Latn-ME"/>
        </w:rPr>
        <w:t>prim</w:t>
      </w:r>
      <w:r w:rsidR="00C01243">
        <w:rPr>
          <w:szCs w:val="22"/>
          <w:lang w:val="sr-Latn-ME"/>
        </w:rPr>
        <w:t>i</w:t>
      </w:r>
      <w:r w:rsidR="008062E2" w:rsidRPr="006F34F9">
        <w:rPr>
          <w:szCs w:val="22"/>
          <w:lang w:val="sr-Latn-ME"/>
        </w:rPr>
        <w:t>jenjen</w:t>
      </w:r>
      <w:r w:rsidRPr="006F34F9">
        <w:rPr>
          <w:szCs w:val="22"/>
          <w:lang w:val="sr-Latn-ME"/>
        </w:rPr>
        <w:t xml:space="preserve"> kod pacijenata bez istovremenog </w:t>
      </w:r>
      <w:r w:rsidR="003D1FD7" w:rsidRPr="006F34F9">
        <w:rPr>
          <w:szCs w:val="22"/>
          <w:lang w:val="sr-Latn-ME"/>
        </w:rPr>
        <w:t>liječenja</w:t>
      </w:r>
      <w:r w:rsidRPr="006F34F9">
        <w:rPr>
          <w:szCs w:val="22"/>
          <w:lang w:val="sr-Latn-ME"/>
        </w:rPr>
        <w:t xml:space="preserve"> kortikosteroidima može biti manje efikasan u indukciji remisije Kronove bolesti u odnosu na pacijente koji već istovremeno uzimaju kortikosteroide (bez obzira na istovremeno uzimanje imunomodulatora;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Pr="006F34F9">
        <w:rPr>
          <w:szCs w:val="22"/>
          <w:lang w:val="sr-Latn-ME"/>
        </w:rPr>
        <w:t xml:space="preserve"> 5.1).</w:t>
      </w:r>
    </w:p>
    <w:p w14:paraId="6945179F" w14:textId="2785D33F" w:rsidR="0028495D" w:rsidRPr="006F34F9" w:rsidRDefault="0028495D">
      <w:pPr>
        <w:rPr>
          <w:szCs w:val="22"/>
          <w:lang w:val="sr-Latn-ME"/>
        </w:rPr>
      </w:pPr>
    </w:p>
    <w:p w14:paraId="00206BE4" w14:textId="5575D5BA" w:rsidR="0028495D" w:rsidRPr="006F34F9" w:rsidRDefault="0028495D">
      <w:pPr>
        <w:rPr>
          <w:rFonts w:eastAsia="MS Mincho"/>
          <w:szCs w:val="22"/>
          <w:u w:val="single"/>
          <w:lang w:val="sr-Latn-ME"/>
        </w:rPr>
      </w:pPr>
      <w:r w:rsidRPr="006F34F9">
        <w:rPr>
          <w:rFonts w:eastAsia="MS Mincho"/>
          <w:szCs w:val="22"/>
          <w:u w:val="single"/>
          <w:lang w:val="sr-Latn-ME"/>
        </w:rPr>
        <w:t>Sadržaj natrijuma</w:t>
      </w:r>
    </w:p>
    <w:p w14:paraId="76D7B2E3" w14:textId="77777777" w:rsidR="0028495D" w:rsidRPr="006F34F9" w:rsidRDefault="0028495D">
      <w:pPr>
        <w:rPr>
          <w:rFonts w:eastAsia="MS Mincho"/>
          <w:szCs w:val="22"/>
          <w:u w:val="single"/>
          <w:lang w:val="sr-Latn-ME"/>
        </w:rPr>
      </w:pPr>
    </w:p>
    <w:p w14:paraId="5405DDF2" w14:textId="0840FC5D" w:rsidR="0028495D" w:rsidRPr="006F34F9" w:rsidRDefault="0028495D">
      <w:pPr>
        <w:rPr>
          <w:szCs w:val="22"/>
          <w:lang w:val="sr-Latn-ME"/>
        </w:rPr>
      </w:pPr>
      <w:r w:rsidRPr="006F34F9">
        <w:rPr>
          <w:rFonts w:eastAsia="MS Mincho"/>
          <w:szCs w:val="22"/>
          <w:lang w:val="sr-Latn-ME"/>
        </w:rPr>
        <w:t>Ovaj l</w:t>
      </w:r>
      <w:r w:rsidR="00370DDF" w:rsidRPr="006F34F9">
        <w:rPr>
          <w:rFonts w:eastAsia="MS Mincho"/>
          <w:szCs w:val="22"/>
          <w:lang w:val="sr-Latn-ME"/>
        </w:rPr>
        <w:t>ij</w:t>
      </w:r>
      <w:r w:rsidRPr="006F34F9">
        <w:rPr>
          <w:rFonts w:eastAsia="MS Mincho"/>
          <w:szCs w:val="22"/>
          <w:lang w:val="sr-Latn-ME"/>
        </w:rPr>
        <w:t xml:space="preserve">ek sadrži manje od 1 mmol natrijuma (23 mg) po dozi, </w:t>
      </w:r>
      <w:r w:rsidRPr="006F34F9">
        <w:rPr>
          <w:szCs w:val="22"/>
          <w:lang w:val="sr-Latn-ME"/>
        </w:rPr>
        <w:t xml:space="preserve">tj. </w:t>
      </w:r>
      <w:r w:rsidR="00370DDF" w:rsidRPr="006F34F9">
        <w:rPr>
          <w:szCs w:val="22"/>
          <w:lang w:val="sr-Latn-ME"/>
        </w:rPr>
        <w:t xml:space="preserve">suštinski je bez </w:t>
      </w:r>
      <w:r w:rsidRPr="006F34F9">
        <w:rPr>
          <w:szCs w:val="22"/>
          <w:lang w:val="sr-Latn-ME"/>
        </w:rPr>
        <w:t>natrijuma.</w:t>
      </w:r>
    </w:p>
    <w:p w14:paraId="243A51D5" w14:textId="77777777" w:rsidR="00CD1FCD" w:rsidRPr="006F34F9" w:rsidRDefault="00CD1FCD">
      <w:pPr>
        <w:rPr>
          <w:szCs w:val="22"/>
          <w:lang w:val="sr-Latn-ME"/>
        </w:rPr>
      </w:pPr>
    </w:p>
    <w:p w14:paraId="6CE07EF6" w14:textId="401E4152" w:rsidR="00CE09F3" w:rsidRPr="006F34F9" w:rsidRDefault="00CE09F3">
      <w:pPr>
        <w:rPr>
          <w:b/>
          <w:bCs/>
          <w:szCs w:val="22"/>
          <w:lang w:val="sr-Latn-ME"/>
        </w:rPr>
      </w:pPr>
      <w:r w:rsidRPr="006F34F9">
        <w:rPr>
          <w:b/>
          <w:bCs/>
          <w:szCs w:val="22"/>
          <w:lang w:val="sr-Latn-ME"/>
        </w:rPr>
        <w:t>4.5.</w:t>
      </w:r>
      <w:r w:rsidR="00591D18" w:rsidRPr="006F34F9">
        <w:rPr>
          <w:b/>
          <w:bCs/>
          <w:szCs w:val="22"/>
          <w:lang w:val="sr-Latn-ME"/>
        </w:rPr>
        <w:t xml:space="preserve">  </w:t>
      </w:r>
      <w:r w:rsidRPr="006F34F9">
        <w:rPr>
          <w:b/>
          <w:bCs/>
          <w:szCs w:val="22"/>
          <w:lang w:val="sr-Latn-ME"/>
        </w:rPr>
        <w:t>Interakcije sa drugim l</w:t>
      </w:r>
      <w:r w:rsidR="00D43BC5" w:rsidRPr="006F34F9">
        <w:rPr>
          <w:b/>
          <w:bCs/>
          <w:szCs w:val="22"/>
          <w:lang w:val="sr-Latn-ME"/>
        </w:rPr>
        <w:t>j</w:t>
      </w:r>
      <w:r w:rsidRPr="006F34F9">
        <w:rPr>
          <w:b/>
          <w:bCs/>
          <w:szCs w:val="22"/>
          <w:lang w:val="sr-Latn-ME"/>
        </w:rPr>
        <w:t>ekovima i druge vrste interakcija</w:t>
      </w:r>
    </w:p>
    <w:p w14:paraId="6CE07EF7" w14:textId="56D49D11" w:rsidR="00CE09F3" w:rsidRPr="006F34F9" w:rsidRDefault="00CE09F3">
      <w:pPr>
        <w:rPr>
          <w:szCs w:val="22"/>
          <w:lang w:val="sr-Latn-ME"/>
        </w:rPr>
      </w:pPr>
    </w:p>
    <w:p w14:paraId="036D7DED" w14:textId="012FE454" w:rsidR="00F00F3B" w:rsidRPr="006F34F9" w:rsidRDefault="00F00F3B">
      <w:pPr>
        <w:pStyle w:val="Header"/>
        <w:rPr>
          <w:szCs w:val="22"/>
          <w:lang w:val="sr-Latn-ME"/>
        </w:rPr>
      </w:pPr>
      <w:r w:rsidRPr="006F34F9">
        <w:rPr>
          <w:szCs w:val="22"/>
          <w:lang w:val="sr-Latn-ME"/>
        </w:rPr>
        <w:t>Ni</w:t>
      </w:r>
      <w:r w:rsidR="00370DDF" w:rsidRPr="006F34F9">
        <w:rPr>
          <w:szCs w:val="22"/>
          <w:lang w:val="sr-Latn-ME"/>
        </w:rPr>
        <w:t>je</w:t>
      </w:r>
      <w:r w:rsidRPr="006F34F9">
        <w:rPr>
          <w:szCs w:val="22"/>
          <w:lang w:val="sr-Latn-ME"/>
        </w:rPr>
        <w:t>su sprovedena ispitivanja interakcija.</w:t>
      </w:r>
    </w:p>
    <w:p w14:paraId="1A84A9CB" w14:textId="77777777" w:rsidR="00F00F3B" w:rsidRPr="006F34F9" w:rsidRDefault="00F00F3B">
      <w:pPr>
        <w:pStyle w:val="Header"/>
        <w:rPr>
          <w:szCs w:val="22"/>
          <w:lang w:val="sr-Latn-ME"/>
        </w:rPr>
      </w:pPr>
    </w:p>
    <w:p w14:paraId="6E72892A" w14:textId="6DA0D5FC" w:rsidR="00F00F3B" w:rsidRPr="006F34F9" w:rsidRDefault="00F00F3B">
      <w:pPr>
        <w:pStyle w:val="Header"/>
        <w:rPr>
          <w:szCs w:val="22"/>
          <w:lang w:val="sr-Latn-ME"/>
        </w:rPr>
      </w:pPr>
      <w:r w:rsidRPr="006F34F9">
        <w:rPr>
          <w:szCs w:val="22"/>
          <w:lang w:val="sr-Latn-ME"/>
        </w:rPr>
        <w:t xml:space="preserve">Vedolizumab je ispitan kod odraslih pacijenata sa ulceroznim kolitisom i Kronovom bolešću uz istovremenu </w:t>
      </w:r>
      <w:r w:rsidR="008062E2" w:rsidRPr="006F34F9">
        <w:rPr>
          <w:szCs w:val="22"/>
          <w:lang w:val="sr-Latn-ME"/>
        </w:rPr>
        <w:t>primjenu</w:t>
      </w:r>
      <w:r w:rsidRPr="006F34F9">
        <w:rPr>
          <w:szCs w:val="22"/>
          <w:lang w:val="sr-Latn-ME"/>
        </w:rPr>
        <w:t xml:space="preserve"> kortikosteroida, imunomodulatora (azatioprin, 6-merkaptopurin i metotreksat) kao i sa aminosalicilatima. Populacione farmakokinetičke analize ukazuju da istovremena </w:t>
      </w:r>
      <w:r w:rsidR="008559D3" w:rsidRPr="006F34F9">
        <w:rPr>
          <w:szCs w:val="22"/>
          <w:lang w:val="sr-Latn-ME"/>
        </w:rPr>
        <w:t>primjena</w:t>
      </w:r>
      <w:r w:rsidRPr="006F34F9">
        <w:rPr>
          <w:szCs w:val="22"/>
          <w:lang w:val="sr-Latn-ME"/>
        </w:rPr>
        <w:t xml:space="preserve"> takvih l</w:t>
      </w:r>
      <w:r w:rsidR="005600EA" w:rsidRPr="006F34F9">
        <w:rPr>
          <w:szCs w:val="22"/>
          <w:lang w:val="sr-Latn-ME"/>
        </w:rPr>
        <w:t>j</w:t>
      </w:r>
      <w:r w:rsidRPr="006F34F9">
        <w:rPr>
          <w:szCs w:val="22"/>
          <w:lang w:val="sr-Latn-ME"/>
        </w:rPr>
        <w:t xml:space="preserve">ekova nije imala klinički značajan učinak na farmakokinetiku vedolizumaba. Dejstvo vedolizumaba na farmakokinetiku istovremeno </w:t>
      </w:r>
      <w:r w:rsidR="008062E2" w:rsidRPr="006F34F9">
        <w:rPr>
          <w:szCs w:val="22"/>
          <w:lang w:val="sr-Latn-ME"/>
        </w:rPr>
        <w:t>prim</w:t>
      </w:r>
      <w:r w:rsidR="00C01243">
        <w:rPr>
          <w:szCs w:val="22"/>
          <w:lang w:val="sr-Latn-ME"/>
        </w:rPr>
        <w:t>i</w:t>
      </w:r>
      <w:r w:rsidR="008062E2" w:rsidRPr="006F34F9">
        <w:rPr>
          <w:szCs w:val="22"/>
          <w:lang w:val="sr-Latn-ME"/>
        </w:rPr>
        <w:t>jenjen</w:t>
      </w:r>
      <w:r w:rsidRPr="006F34F9">
        <w:rPr>
          <w:szCs w:val="22"/>
          <w:lang w:val="sr-Latn-ME"/>
        </w:rPr>
        <w:t>ih čestih l</w:t>
      </w:r>
      <w:r w:rsidR="005600EA" w:rsidRPr="006F34F9">
        <w:rPr>
          <w:szCs w:val="22"/>
          <w:lang w:val="sr-Latn-ME"/>
        </w:rPr>
        <w:t>j</w:t>
      </w:r>
      <w:r w:rsidRPr="006F34F9">
        <w:rPr>
          <w:szCs w:val="22"/>
          <w:lang w:val="sr-Latn-ME"/>
        </w:rPr>
        <w:t>ekova nije ispitan.</w:t>
      </w:r>
    </w:p>
    <w:p w14:paraId="3B0507D8" w14:textId="77777777" w:rsidR="00F00F3B" w:rsidRPr="006F34F9" w:rsidRDefault="00F00F3B">
      <w:pPr>
        <w:pStyle w:val="Header"/>
        <w:rPr>
          <w:szCs w:val="22"/>
          <w:lang w:val="sr-Latn-ME"/>
        </w:rPr>
      </w:pPr>
    </w:p>
    <w:p w14:paraId="4B0ABF69" w14:textId="77777777" w:rsidR="00F00F3B" w:rsidRPr="006F34F9" w:rsidRDefault="00F00F3B">
      <w:pPr>
        <w:pStyle w:val="Header"/>
        <w:rPr>
          <w:szCs w:val="22"/>
          <w:u w:val="single"/>
          <w:lang w:val="sr-Latn-ME"/>
        </w:rPr>
      </w:pPr>
      <w:r w:rsidRPr="006F34F9">
        <w:rPr>
          <w:szCs w:val="22"/>
          <w:u w:val="single"/>
          <w:lang w:val="sr-Latn-ME"/>
        </w:rPr>
        <w:t>Vakcinacija</w:t>
      </w:r>
    </w:p>
    <w:p w14:paraId="2A63C982" w14:textId="77777777" w:rsidR="00DB3FA3" w:rsidRPr="006F34F9" w:rsidRDefault="00DB3FA3">
      <w:pPr>
        <w:rPr>
          <w:szCs w:val="22"/>
          <w:lang w:val="sr-Latn-ME"/>
        </w:rPr>
      </w:pPr>
    </w:p>
    <w:p w14:paraId="359A81AC" w14:textId="397075CB" w:rsidR="00F00F3B" w:rsidRPr="006F34F9" w:rsidRDefault="00F00F3B">
      <w:pPr>
        <w:rPr>
          <w:szCs w:val="22"/>
          <w:lang w:val="sr-Latn-ME"/>
        </w:rPr>
      </w:pPr>
      <w:r w:rsidRPr="006F34F9">
        <w:rPr>
          <w:szCs w:val="22"/>
          <w:lang w:val="sr-Latn-ME"/>
        </w:rPr>
        <w:t xml:space="preserve">Žive vakcine, </w:t>
      </w:r>
      <w:r w:rsidR="00D43BC5" w:rsidRPr="006F34F9">
        <w:rPr>
          <w:szCs w:val="22"/>
          <w:lang w:val="sr-Latn-ME"/>
        </w:rPr>
        <w:t>posebno</w:t>
      </w:r>
      <w:r w:rsidRPr="006F34F9">
        <w:rPr>
          <w:szCs w:val="22"/>
          <w:lang w:val="sr-Latn-ME"/>
        </w:rPr>
        <w:t xml:space="preserve"> žive peroralne vakcine, treba koristiti o</w:t>
      </w:r>
      <w:r w:rsidR="008062E2" w:rsidRPr="006F34F9">
        <w:rPr>
          <w:szCs w:val="22"/>
          <w:lang w:val="sr-Latn-ME"/>
        </w:rPr>
        <w:t>pre</w:t>
      </w:r>
      <w:r w:rsidRPr="006F34F9">
        <w:rPr>
          <w:szCs w:val="22"/>
          <w:lang w:val="sr-Latn-ME"/>
        </w:rPr>
        <w:t xml:space="preserve">zno kod istovremene </w:t>
      </w:r>
      <w:r w:rsidR="0069571E" w:rsidRPr="006F34F9">
        <w:rPr>
          <w:szCs w:val="22"/>
          <w:lang w:val="sr-Latn-ME"/>
        </w:rPr>
        <w:t>primjene</w:t>
      </w:r>
      <w:r w:rsidRPr="006F34F9">
        <w:rPr>
          <w:szCs w:val="22"/>
          <w:lang w:val="sr-Latn-ME"/>
        </w:rPr>
        <w:t xml:space="preserve"> vedolizumaba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Pr="006F34F9">
        <w:rPr>
          <w:szCs w:val="22"/>
          <w:lang w:val="sr-Latn-ME"/>
        </w:rPr>
        <w:t xml:space="preserve"> 4.4).</w:t>
      </w:r>
    </w:p>
    <w:p w14:paraId="6CE07EF8" w14:textId="77777777" w:rsidR="00CE09F3" w:rsidRPr="006F34F9" w:rsidRDefault="00CE09F3">
      <w:pPr>
        <w:rPr>
          <w:szCs w:val="22"/>
          <w:lang w:val="sr-Latn-ME"/>
        </w:rPr>
      </w:pPr>
    </w:p>
    <w:p w14:paraId="6CE07EF9" w14:textId="63BCAFD8" w:rsidR="00CE09F3" w:rsidRPr="006F34F9" w:rsidRDefault="00CE09F3">
      <w:pPr>
        <w:rPr>
          <w:b/>
          <w:bCs/>
          <w:szCs w:val="22"/>
          <w:lang w:val="sr-Latn-ME"/>
        </w:rPr>
      </w:pPr>
      <w:r w:rsidRPr="006F34F9">
        <w:rPr>
          <w:b/>
          <w:bCs/>
          <w:szCs w:val="22"/>
          <w:lang w:val="sr-Latn-ME"/>
        </w:rPr>
        <w:t>4.6.</w:t>
      </w:r>
      <w:r w:rsidR="00591D18" w:rsidRPr="006F34F9">
        <w:rPr>
          <w:b/>
          <w:bCs/>
          <w:szCs w:val="22"/>
          <w:lang w:val="sr-Latn-ME"/>
        </w:rPr>
        <w:t xml:space="preserve">  </w:t>
      </w:r>
      <w:r w:rsidRPr="006F34F9">
        <w:rPr>
          <w:b/>
          <w:bCs/>
          <w:szCs w:val="22"/>
          <w:lang w:val="sr-Latn-ME"/>
        </w:rPr>
        <w:t>Plodnost, trudnoća i dojenje</w:t>
      </w:r>
    </w:p>
    <w:p w14:paraId="6CE07EFA" w14:textId="5969ABE0" w:rsidR="00CE09F3" w:rsidRPr="006F34F9" w:rsidRDefault="00CE09F3">
      <w:pPr>
        <w:rPr>
          <w:szCs w:val="22"/>
          <w:lang w:val="sr-Latn-ME"/>
        </w:rPr>
      </w:pPr>
    </w:p>
    <w:p w14:paraId="78839394" w14:textId="77777777" w:rsidR="00F00F3B" w:rsidRPr="006F34F9" w:rsidRDefault="00F00F3B">
      <w:pPr>
        <w:pStyle w:val="Header"/>
        <w:rPr>
          <w:szCs w:val="22"/>
          <w:u w:val="single"/>
          <w:lang w:val="sr-Latn-ME"/>
        </w:rPr>
      </w:pPr>
      <w:r w:rsidRPr="006F34F9">
        <w:rPr>
          <w:szCs w:val="22"/>
          <w:u w:val="single"/>
          <w:lang w:val="sr-Latn-ME"/>
        </w:rPr>
        <w:t>Žene u reproduktivnom periodu</w:t>
      </w:r>
    </w:p>
    <w:p w14:paraId="2C6C5862" w14:textId="77777777" w:rsidR="00DB3FA3" w:rsidRPr="006F34F9" w:rsidRDefault="00DB3FA3">
      <w:pPr>
        <w:pStyle w:val="Header"/>
        <w:rPr>
          <w:szCs w:val="22"/>
          <w:lang w:val="sr-Latn-ME"/>
        </w:rPr>
      </w:pPr>
    </w:p>
    <w:p w14:paraId="6AC17EC9" w14:textId="10F2AF9A" w:rsidR="00F00F3B" w:rsidRPr="006F34F9" w:rsidRDefault="00F00F3B">
      <w:pPr>
        <w:pStyle w:val="Header"/>
        <w:rPr>
          <w:szCs w:val="22"/>
          <w:lang w:val="sr-Latn-ME"/>
        </w:rPr>
      </w:pPr>
      <w:r w:rsidRPr="006F34F9">
        <w:rPr>
          <w:szCs w:val="22"/>
          <w:lang w:val="sr-Latn-ME"/>
        </w:rPr>
        <w:t xml:space="preserve">Ženama u reproduktivnom periodu izričito se </w:t>
      </w:r>
      <w:r w:rsidR="008062E2" w:rsidRPr="006F34F9">
        <w:rPr>
          <w:szCs w:val="22"/>
          <w:lang w:val="sr-Latn-ME"/>
        </w:rPr>
        <w:t>pre</w:t>
      </w:r>
      <w:r w:rsidRPr="006F34F9">
        <w:rPr>
          <w:szCs w:val="22"/>
          <w:lang w:val="sr-Latn-ME"/>
        </w:rPr>
        <w:t>poručuje korišćenje efikasne kontracepcije kako bi se s</w:t>
      </w:r>
      <w:r w:rsidR="008062E2" w:rsidRPr="006F34F9">
        <w:rPr>
          <w:szCs w:val="22"/>
          <w:lang w:val="sr-Latn-ME"/>
        </w:rPr>
        <w:t>prije</w:t>
      </w:r>
      <w:r w:rsidRPr="006F34F9">
        <w:rPr>
          <w:szCs w:val="22"/>
          <w:lang w:val="sr-Latn-ME"/>
        </w:rPr>
        <w:t xml:space="preserve">čila trudnoća tokom i najmanje 18 </w:t>
      </w:r>
      <w:r w:rsidR="008062E2" w:rsidRPr="006F34F9">
        <w:rPr>
          <w:szCs w:val="22"/>
          <w:lang w:val="sr-Latn-ME"/>
        </w:rPr>
        <w:t>nedjelja</w:t>
      </w:r>
      <w:r w:rsidRPr="006F34F9">
        <w:rPr>
          <w:szCs w:val="22"/>
          <w:lang w:val="sr-Latn-ME"/>
        </w:rPr>
        <w:t xml:space="preserve"> nakon </w:t>
      </w:r>
      <w:r w:rsidR="008559D3" w:rsidRPr="006F34F9">
        <w:rPr>
          <w:szCs w:val="22"/>
          <w:lang w:val="sr-Latn-ME"/>
        </w:rPr>
        <w:t>posljednje</w:t>
      </w:r>
      <w:r w:rsidRPr="006F34F9">
        <w:rPr>
          <w:szCs w:val="22"/>
          <w:lang w:val="sr-Latn-ME"/>
        </w:rPr>
        <w:t xml:space="preserve"> </w:t>
      </w:r>
      <w:r w:rsidR="0069571E" w:rsidRPr="006F34F9">
        <w:rPr>
          <w:szCs w:val="22"/>
          <w:lang w:val="sr-Latn-ME"/>
        </w:rPr>
        <w:t>primjene</w:t>
      </w:r>
      <w:r w:rsidRPr="006F34F9">
        <w:rPr>
          <w:szCs w:val="22"/>
          <w:lang w:val="sr-Latn-ME"/>
        </w:rPr>
        <w:t xml:space="preserve"> </w:t>
      </w:r>
      <w:r w:rsidR="008559D3" w:rsidRPr="006F34F9">
        <w:rPr>
          <w:szCs w:val="22"/>
          <w:lang w:val="sr-Latn-ME"/>
        </w:rPr>
        <w:t>lijeka</w:t>
      </w:r>
      <w:r w:rsidRPr="006F34F9">
        <w:rPr>
          <w:szCs w:val="22"/>
          <w:lang w:val="sr-Latn-ME"/>
        </w:rPr>
        <w:t>.</w:t>
      </w:r>
    </w:p>
    <w:p w14:paraId="1C29E620" w14:textId="77777777" w:rsidR="00F00F3B" w:rsidRPr="006F34F9" w:rsidRDefault="00F00F3B">
      <w:pPr>
        <w:pStyle w:val="Header"/>
        <w:rPr>
          <w:szCs w:val="22"/>
          <w:lang w:val="sr-Latn-ME"/>
        </w:rPr>
      </w:pPr>
    </w:p>
    <w:p w14:paraId="0E6E0BD5" w14:textId="77777777" w:rsidR="00F00F3B" w:rsidRPr="006F34F9" w:rsidRDefault="00F00F3B">
      <w:pPr>
        <w:pStyle w:val="Header"/>
        <w:rPr>
          <w:szCs w:val="22"/>
          <w:u w:val="single"/>
          <w:lang w:val="sr-Latn-ME"/>
        </w:rPr>
      </w:pPr>
      <w:r w:rsidRPr="006F34F9">
        <w:rPr>
          <w:szCs w:val="22"/>
          <w:u w:val="single"/>
          <w:lang w:val="sr-Latn-ME"/>
        </w:rPr>
        <w:t>Trudnoća</w:t>
      </w:r>
    </w:p>
    <w:p w14:paraId="2EC89251" w14:textId="7ED1CEC8" w:rsidR="00F00F3B" w:rsidRPr="006F34F9" w:rsidRDefault="00F00F3B">
      <w:pPr>
        <w:pStyle w:val="Header"/>
        <w:rPr>
          <w:szCs w:val="22"/>
          <w:lang w:val="sr-Latn-ME"/>
        </w:rPr>
      </w:pPr>
      <w:r w:rsidRPr="006F34F9">
        <w:rPr>
          <w:szCs w:val="22"/>
          <w:lang w:val="sr-Latn-ME"/>
        </w:rPr>
        <w:t xml:space="preserve">Podaci o </w:t>
      </w:r>
      <w:r w:rsidR="008559D3" w:rsidRPr="006F34F9">
        <w:rPr>
          <w:szCs w:val="22"/>
          <w:lang w:val="sr-Latn-ME"/>
        </w:rPr>
        <w:t>primjeni</w:t>
      </w:r>
      <w:r w:rsidRPr="006F34F9">
        <w:rPr>
          <w:szCs w:val="22"/>
          <w:lang w:val="sr-Latn-ME"/>
        </w:rPr>
        <w:t xml:space="preserve"> vedolizumaba kod trudnica su ograničeni.</w:t>
      </w:r>
    </w:p>
    <w:p w14:paraId="5FA20025" w14:textId="77777777" w:rsidR="00F00F3B" w:rsidRDefault="00F00F3B">
      <w:pPr>
        <w:pStyle w:val="Header"/>
        <w:rPr>
          <w:szCs w:val="22"/>
          <w:lang w:val="sr-Latn-ME"/>
        </w:rPr>
      </w:pPr>
    </w:p>
    <w:p w14:paraId="7E62622D" w14:textId="4885676C" w:rsidR="009903AF" w:rsidRPr="00897387" w:rsidRDefault="009903AF" w:rsidP="009903AF">
      <w:pPr>
        <w:pStyle w:val="Header"/>
        <w:rPr>
          <w:szCs w:val="22"/>
          <w:lang w:val="sr-Latn-ME"/>
        </w:rPr>
      </w:pPr>
      <w:bookmarkStart w:id="1" w:name="_Hlk177559550"/>
      <w:r w:rsidRPr="00E231A8">
        <w:rPr>
          <w:szCs w:val="22"/>
        </w:rPr>
        <w:t>U malo</w:t>
      </w:r>
      <w:r>
        <w:rPr>
          <w:szCs w:val="22"/>
        </w:rPr>
        <w:t>j</w:t>
      </w:r>
      <w:r w:rsidRPr="00E231A8">
        <w:rPr>
          <w:szCs w:val="22"/>
        </w:rPr>
        <w:t xml:space="preserve"> prospektivno</w:t>
      </w:r>
      <w:r>
        <w:rPr>
          <w:szCs w:val="22"/>
        </w:rPr>
        <w:t>j</w:t>
      </w:r>
      <w:r w:rsidRPr="00E231A8">
        <w:rPr>
          <w:szCs w:val="22"/>
        </w:rPr>
        <w:t xml:space="preserve"> opservacijsko</w:t>
      </w:r>
      <w:r>
        <w:rPr>
          <w:szCs w:val="22"/>
        </w:rPr>
        <w:t>j</w:t>
      </w:r>
      <w:r w:rsidRPr="00E231A8">
        <w:rPr>
          <w:szCs w:val="22"/>
        </w:rPr>
        <w:t xml:space="preserve"> </w:t>
      </w:r>
      <w:r>
        <w:rPr>
          <w:szCs w:val="22"/>
        </w:rPr>
        <w:t>studiji</w:t>
      </w:r>
      <w:r w:rsidRPr="00E231A8">
        <w:rPr>
          <w:szCs w:val="22"/>
        </w:rPr>
        <w:t xml:space="preserve"> stopa velikih urođenih mana bila je 7,4% </w:t>
      </w:r>
      <w:r>
        <w:rPr>
          <w:szCs w:val="22"/>
        </w:rPr>
        <w:t>kod</w:t>
      </w:r>
      <w:r w:rsidRPr="00E231A8">
        <w:rPr>
          <w:szCs w:val="22"/>
        </w:rPr>
        <w:t xml:space="preserve"> 99 žena s</w:t>
      </w:r>
      <w:r>
        <w:rPr>
          <w:szCs w:val="22"/>
        </w:rPr>
        <w:t>a</w:t>
      </w:r>
      <w:r w:rsidRPr="00E231A8">
        <w:rPr>
          <w:szCs w:val="22"/>
        </w:rPr>
        <w:t xml:space="preserve"> ulceroznim kolitisom ili </w:t>
      </w:r>
      <w:r>
        <w:rPr>
          <w:szCs w:val="22"/>
        </w:rPr>
        <w:t>Kro</w:t>
      </w:r>
      <w:r w:rsidRPr="00E231A8">
        <w:rPr>
          <w:szCs w:val="22"/>
        </w:rPr>
        <w:t>novom bole</w:t>
      </w:r>
      <w:r>
        <w:rPr>
          <w:szCs w:val="22"/>
        </w:rPr>
        <w:t>sti</w:t>
      </w:r>
      <w:r w:rsidRPr="00E231A8">
        <w:rPr>
          <w:szCs w:val="22"/>
        </w:rPr>
        <w:t xml:space="preserve"> liječenih vedolizumabom i 5,6% </w:t>
      </w:r>
      <w:r>
        <w:rPr>
          <w:szCs w:val="22"/>
        </w:rPr>
        <w:t>kod</w:t>
      </w:r>
      <w:r w:rsidRPr="00E231A8">
        <w:rPr>
          <w:szCs w:val="22"/>
        </w:rPr>
        <w:t xml:space="preserve"> 76 žena s ulceroznim kolitisom ili </w:t>
      </w:r>
      <w:r>
        <w:rPr>
          <w:szCs w:val="22"/>
        </w:rPr>
        <w:t>Kro</w:t>
      </w:r>
      <w:r w:rsidRPr="00E231A8">
        <w:rPr>
          <w:szCs w:val="22"/>
        </w:rPr>
        <w:t>novom bole</w:t>
      </w:r>
      <w:r>
        <w:rPr>
          <w:szCs w:val="22"/>
        </w:rPr>
        <w:t>sti</w:t>
      </w:r>
      <w:r w:rsidRPr="00E231A8">
        <w:rPr>
          <w:szCs w:val="22"/>
        </w:rPr>
        <w:t xml:space="preserve"> liječenih drugim biološkim ljekovima (prilagođeni relativni rizik (RR) 1,07, 95%, interval pouzdanosti (CI): 0,33, 3,52).</w:t>
      </w:r>
    </w:p>
    <w:bookmarkEnd w:id="1"/>
    <w:p w14:paraId="12E1982F" w14:textId="77777777" w:rsidR="009903AF" w:rsidRPr="006F34F9" w:rsidRDefault="009903AF">
      <w:pPr>
        <w:pStyle w:val="Header"/>
        <w:rPr>
          <w:szCs w:val="22"/>
          <w:lang w:val="sr-Latn-ME"/>
        </w:rPr>
      </w:pPr>
    </w:p>
    <w:p w14:paraId="64EC79A9" w14:textId="5EC100C6" w:rsidR="00F00F3B" w:rsidRPr="006F34F9" w:rsidRDefault="00F00F3B">
      <w:pPr>
        <w:pStyle w:val="Header"/>
        <w:rPr>
          <w:szCs w:val="22"/>
          <w:lang w:val="sr-Latn-ME"/>
        </w:rPr>
      </w:pPr>
      <w:r w:rsidRPr="006F34F9">
        <w:rPr>
          <w:szCs w:val="22"/>
          <w:lang w:val="sr-Latn-ME"/>
        </w:rPr>
        <w:t xml:space="preserve">Ispitivanja </w:t>
      </w:r>
      <w:r w:rsidR="00FF1171" w:rsidRPr="006F34F9">
        <w:rPr>
          <w:szCs w:val="22"/>
          <w:lang w:val="sr-Latn-ME"/>
        </w:rPr>
        <w:t>na</w:t>
      </w:r>
      <w:r w:rsidRPr="006F34F9">
        <w:rPr>
          <w:szCs w:val="22"/>
          <w:lang w:val="sr-Latn-ME"/>
        </w:rPr>
        <w:t xml:space="preserve"> životinja</w:t>
      </w:r>
      <w:r w:rsidR="00FF1171" w:rsidRPr="006F34F9">
        <w:rPr>
          <w:szCs w:val="22"/>
          <w:lang w:val="sr-Latn-ME"/>
        </w:rPr>
        <w:t>ma</w:t>
      </w:r>
      <w:r w:rsidRPr="006F34F9">
        <w:rPr>
          <w:szCs w:val="22"/>
          <w:lang w:val="sr-Latn-ME"/>
        </w:rPr>
        <w:t xml:space="preserve"> ne ukazuju na direktan ili indirektan štetan uticaj </w:t>
      </w:r>
      <w:r w:rsidR="002918C0" w:rsidRPr="006F34F9">
        <w:rPr>
          <w:szCs w:val="22"/>
          <w:lang w:val="sr-Latn-ME"/>
        </w:rPr>
        <w:t>u pogledu</w:t>
      </w:r>
      <w:r w:rsidRPr="006F34F9">
        <w:rPr>
          <w:szCs w:val="22"/>
          <w:lang w:val="sr-Latn-ME"/>
        </w:rPr>
        <w:t xml:space="preserve"> reproduktivne toksičnosti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Pr="006F34F9">
        <w:rPr>
          <w:szCs w:val="22"/>
          <w:lang w:val="sr-Latn-ME"/>
        </w:rPr>
        <w:t xml:space="preserve"> 5.3).</w:t>
      </w:r>
    </w:p>
    <w:p w14:paraId="5F0429A6" w14:textId="77777777" w:rsidR="00F00F3B" w:rsidRPr="006F34F9" w:rsidRDefault="00F00F3B">
      <w:pPr>
        <w:pStyle w:val="Header"/>
        <w:rPr>
          <w:szCs w:val="22"/>
          <w:lang w:val="sr-Latn-ME"/>
        </w:rPr>
      </w:pPr>
    </w:p>
    <w:p w14:paraId="3DBEBCAA" w14:textId="2D479954" w:rsidR="00F00F3B" w:rsidRPr="006F34F9" w:rsidRDefault="00F00F3B">
      <w:pPr>
        <w:pStyle w:val="Header"/>
        <w:rPr>
          <w:szCs w:val="22"/>
          <w:lang w:val="sr-Latn-ME"/>
        </w:rPr>
      </w:pPr>
      <w:r w:rsidRPr="006F34F9">
        <w:rPr>
          <w:rFonts w:eastAsia="SimSun"/>
          <w:szCs w:val="22"/>
          <w:lang w:val="sr-Latn-ME"/>
        </w:rPr>
        <w:t>Kao m</w:t>
      </w:r>
      <w:r w:rsidR="002918C0" w:rsidRPr="006F34F9">
        <w:rPr>
          <w:rFonts w:eastAsia="SimSun"/>
          <w:szCs w:val="22"/>
          <w:lang w:val="sr-Latn-ME"/>
        </w:rPr>
        <w:t>j</w:t>
      </w:r>
      <w:r w:rsidRPr="006F34F9">
        <w:rPr>
          <w:rFonts w:eastAsia="SimSun"/>
          <w:szCs w:val="22"/>
          <w:lang w:val="sr-Latn-ME"/>
        </w:rPr>
        <w:t>era o</w:t>
      </w:r>
      <w:r w:rsidR="008062E2" w:rsidRPr="006F34F9">
        <w:rPr>
          <w:rFonts w:eastAsia="SimSun"/>
          <w:szCs w:val="22"/>
          <w:lang w:val="sr-Latn-ME"/>
        </w:rPr>
        <w:t>pre</w:t>
      </w:r>
      <w:r w:rsidRPr="006F34F9">
        <w:rPr>
          <w:rFonts w:eastAsia="SimSun"/>
          <w:szCs w:val="22"/>
          <w:lang w:val="sr-Latn-ME"/>
        </w:rPr>
        <w:t xml:space="preserve">za, </w:t>
      </w:r>
      <w:r w:rsidR="008062E2" w:rsidRPr="006F34F9">
        <w:rPr>
          <w:rFonts w:eastAsia="SimSun"/>
          <w:szCs w:val="22"/>
          <w:lang w:val="sr-Latn-ME"/>
        </w:rPr>
        <w:t>pre</w:t>
      </w:r>
      <w:r w:rsidRPr="006F34F9">
        <w:rPr>
          <w:rFonts w:eastAsia="SimSun"/>
          <w:szCs w:val="22"/>
          <w:lang w:val="sr-Latn-ME"/>
        </w:rPr>
        <w:t xml:space="preserve">poručuje se </w:t>
      </w:r>
      <w:r w:rsidR="008559D3" w:rsidRPr="006F34F9">
        <w:rPr>
          <w:rFonts w:eastAsia="SimSun"/>
          <w:szCs w:val="22"/>
          <w:lang w:val="sr-Latn-ME"/>
        </w:rPr>
        <w:t>izbjegavati</w:t>
      </w:r>
      <w:r w:rsidRPr="006F34F9">
        <w:rPr>
          <w:rFonts w:eastAsia="SimSun"/>
          <w:szCs w:val="22"/>
          <w:lang w:val="sr-Latn-ME"/>
        </w:rPr>
        <w:t xml:space="preserve"> </w:t>
      </w:r>
      <w:r w:rsidR="008062E2" w:rsidRPr="006F34F9">
        <w:rPr>
          <w:rFonts w:eastAsia="SimSun"/>
          <w:szCs w:val="22"/>
          <w:lang w:val="sr-Latn-ME"/>
        </w:rPr>
        <w:t>primjenu</w:t>
      </w:r>
      <w:r w:rsidRPr="006F34F9">
        <w:rPr>
          <w:rFonts w:eastAsia="SimSun"/>
          <w:szCs w:val="22"/>
          <w:lang w:val="sr-Latn-ME"/>
        </w:rPr>
        <w:t xml:space="preserve"> vedolizumaba t</w:t>
      </w:r>
      <w:r w:rsidR="00DD0778" w:rsidRPr="006F34F9">
        <w:rPr>
          <w:rFonts w:eastAsia="SimSun"/>
          <w:szCs w:val="22"/>
          <w:lang w:val="sr-Latn-ME"/>
        </w:rPr>
        <w:t>o</w:t>
      </w:r>
      <w:r w:rsidRPr="006F34F9">
        <w:rPr>
          <w:rFonts w:eastAsia="SimSun"/>
          <w:szCs w:val="22"/>
          <w:lang w:val="sr-Latn-ME"/>
        </w:rPr>
        <w:t xml:space="preserve">kom trudnoće, osim kad korist jasno </w:t>
      </w:r>
      <w:r w:rsidR="008062E2" w:rsidRPr="006F34F9">
        <w:rPr>
          <w:rFonts w:eastAsia="SimSun"/>
          <w:szCs w:val="22"/>
          <w:lang w:val="sr-Latn-ME"/>
        </w:rPr>
        <w:t>pre</w:t>
      </w:r>
      <w:r w:rsidR="00DD0778" w:rsidRPr="006F34F9">
        <w:rPr>
          <w:rFonts w:eastAsia="SimSun"/>
          <w:szCs w:val="22"/>
          <w:lang w:val="sr-Latn-ME"/>
        </w:rPr>
        <w:t>vazilazi</w:t>
      </w:r>
      <w:r w:rsidRPr="006F34F9">
        <w:rPr>
          <w:rFonts w:eastAsia="SimSun"/>
          <w:szCs w:val="22"/>
          <w:lang w:val="sr-Latn-ME"/>
        </w:rPr>
        <w:t xml:space="preserve"> bilo koji potencijalni rizik i za majku i za </w:t>
      </w:r>
      <w:r w:rsidR="00DD0778" w:rsidRPr="006F34F9">
        <w:rPr>
          <w:rFonts w:eastAsia="SimSun"/>
          <w:szCs w:val="22"/>
          <w:lang w:val="sr-Latn-ME"/>
        </w:rPr>
        <w:t>plod</w:t>
      </w:r>
      <w:r w:rsidRPr="006F34F9">
        <w:rPr>
          <w:rFonts w:eastAsia="SimSun"/>
          <w:szCs w:val="22"/>
          <w:lang w:val="sr-Latn-ME"/>
        </w:rPr>
        <w:t>.</w:t>
      </w:r>
    </w:p>
    <w:p w14:paraId="5958AD28" w14:textId="77777777" w:rsidR="00F00F3B" w:rsidRPr="006F34F9" w:rsidRDefault="00F00F3B">
      <w:pPr>
        <w:pStyle w:val="Header"/>
        <w:rPr>
          <w:szCs w:val="22"/>
          <w:lang w:val="sr-Latn-ME"/>
        </w:rPr>
      </w:pPr>
    </w:p>
    <w:p w14:paraId="39F7CAD9" w14:textId="07D83FFD" w:rsidR="00F00F3B" w:rsidRDefault="00F00F3B">
      <w:pPr>
        <w:pStyle w:val="Header"/>
        <w:rPr>
          <w:szCs w:val="22"/>
          <w:u w:val="single"/>
          <w:lang w:val="sr-Latn-ME"/>
        </w:rPr>
      </w:pPr>
      <w:r w:rsidRPr="006F34F9">
        <w:rPr>
          <w:szCs w:val="22"/>
          <w:u w:val="single"/>
          <w:lang w:val="sr-Latn-ME"/>
        </w:rPr>
        <w:t>Dojenje</w:t>
      </w:r>
    </w:p>
    <w:p w14:paraId="0E1B9226" w14:textId="77777777" w:rsidR="00C01243" w:rsidRPr="006F34F9" w:rsidRDefault="00C01243">
      <w:pPr>
        <w:pStyle w:val="Header"/>
        <w:rPr>
          <w:szCs w:val="22"/>
          <w:u w:val="single"/>
          <w:lang w:val="sr-Latn-ME"/>
        </w:rPr>
      </w:pPr>
    </w:p>
    <w:p w14:paraId="4A16D313" w14:textId="73CAF812" w:rsidR="003331C5" w:rsidRPr="006F34F9" w:rsidRDefault="00F00F3B">
      <w:pPr>
        <w:pStyle w:val="Header"/>
        <w:rPr>
          <w:szCs w:val="22"/>
          <w:lang w:val="sr-Latn-ME"/>
        </w:rPr>
      </w:pPr>
      <w:r w:rsidRPr="006F34F9">
        <w:rPr>
          <w:szCs w:val="22"/>
          <w:lang w:val="sr-Latn-ME"/>
        </w:rPr>
        <w:t>Zab</w:t>
      </w:r>
      <w:r w:rsidR="002918C0" w:rsidRPr="006F34F9">
        <w:rPr>
          <w:szCs w:val="22"/>
          <w:lang w:val="sr-Latn-ME"/>
        </w:rPr>
        <w:t>i</w:t>
      </w:r>
      <w:r w:rsidRPr="006F34F9">
        <w:rPr>
          <w:szCs w:val="22"/>
          <w:lang w:val="sr-Latn-ME"/>
        </w:rPr>
        <w:t>l</w:t>
      </w:r>
      <w:r w:rsidR="002918C0" w:rsidRPr="006F34F9">
        <w:rPr>
          <w:szCs w:val="22"/>
          <w:lang w:val="sr-Latn-ME"/>
        </w:rPr>
        <w:t>j</w:t>
      </w:r>
      <w:r w:rsidRPr="006F34F9">
        <w:rPr>
          <w:szCs w:val="22"/>
          <w:lang w:val="sr-Latn-ME"/>
        </w:rPr>
        <w:t>ežena je prisutnost vedolizumaba u majčinom ml</w:t>
      </w:r>
      <w:r w:rsidR="008559D3" w:rsidRPr="006F34F9">
        <w:rPr>
          <w:szCs w:val="22"/>
          <w:lang w:val="sr-Latn-ME"/>
        </w:rPr>
        <w:t>ij</w:t>
      </w:r>
      <w:r w:rsidRPr="006F34F9">
        <w:rPr>
          <w:szCs w:val="22"/>
          <w:lang w:val="sr-Latn-ME"/>
        </w:rPr>
        <w:t xml:space="preserve">eku. </w:t>
      </w:r>
      <w:r w:rsidR="00FD106A">
        <w:rPr>
          <w:szCs w:val="22"/>
          <w:lang w:val="sr-Latn-ME"/>
        </w:rPr>
        <w:t>Uticaj</w:t>
      </w:r>
      <w:r w:rsidRPr="006F34F9">
        <w:rPr>
          <w:szCs w:val="22"/>
          <w:lang w:val="sr-Latn-ME"/>
        </w:rPr>
        <w:t xml:space="preserve"> vedolizumaba na odojčad</w:t>
      </w:r>
      <w:r w:rsidR="003331C5" w:rsidRPr="006F34F9">
        <w:rPr>
          <w:szCs w:val="22"/>
          <w:lang w:val="sr-Latn-ME"/>
        </w:rPr>
        <w:t xml:space="preserve"> i</w:t>
      </w:r>
      <w:r w:rsidR="00FD106A">
        <w:rPr>
          <w:szCs w:val="22"/>
          <w:lang w:val="sr-Latn-ME"/>
        </w:rPr>
        <w:t xml:space="preserve"> uticaj</w:t>
      </w:r>
      <w:r w:rsidR="00FD106A" w:rsidRPr="006F34F9">
        <w:rPr>
          <w:szCs w:val="22"/>
          <w:lang w:val="sr-Latn-ME"/>
        </w:rPr>
        <w:t xml:space="preserve"> na proizvodnju mlijeka nijesu poznati. U ispitivanju laktacije samo na mlijeku kojim se procjenjivala koncentracija vedolizumaba u majčinom mlijeku dojilja sa aktivnim ulceroznim kolitisom ili Kronovom bolešću koje su primale vedolizumab, koncentracija vedolizumaba u ljudskom majčinom mlijeku bila je približno 0,4% do 2,2% koncentracije u majčinom serumu, dobijene iz istorijskog ispitivanja vedolizumaba. Procijenjena prosječna dnevna doza vedolizumaba koju je dijete unijelo iznosi 0,02 mg/kg/dan, što je približno 21% prosječne dnevne doze majke, prilagođene tjelesnoj težini</w:t>
      </w:r>
      <w:r w:rsidR="003331C5" w:rsidRPr="006F34F9">
        <w:rPr>
          <w:szCs w:val="22"/>
          <w:lang w:val="sr-Latn-ME"/>
        </w:rPr>
        <w:t>.</w:t>
      </w:r>
    </w:p>
    <w:p w14:paraId="38A50C8E" w14:textId="77777777" w:rsidR="003331C5" w:rsidRPr="006F34F9" w:rsidRDefault="003331C5">
      <w:pPr>
        <w:pStyle w:val="Header"/>
        <w:rPr>
          <w:szCs w:val="22"/>
          <w:lang w:val="sr-Latn-ME"/>
        </w:rPr>
      </w:pPr>
    </w:p>
    <w:p w14:paraId="722DAF36" w14:textId="6D9BD120" w:rsidR="00F00F3B" w:rsidRPr="006F34F9" w:rsidRDefault="00F00F3B">
      <w:pPr>
        <w:pStyle w:val="Header"/>
        <w:rPr>
          <w:szCs w:val="22"/>
          <w:lang w:val="sr-Latn-ME"/>
        </w:rPr>
      </w:pPr>
      <w:r w:rsidRPr="006F34F9">
        <w:rPr>
          <w:szCs w:val="22"/>
          <w:lang w:val="sr-Latn-ME"/>
        </w:rPr>
        <w:t xml:space="preserve">Prilikom </w:t>
      </w:r>
      <w:r w:rsidR="0069571E" w:rsidRPr="006F34F9">
        <w:rPr>
          <w:szCs w:val="22"/>
          <w:lang w:val="sr-Latn-ME"/>
        </w:rPr>
        <w:t>primjene</w:t>
      </w:r>
      <w:r w:rsidRPr="006F34F9">
        <w:rPr>
          <w:szCs w:val="22"/>
          <w:lang w:val="sr-Latn-ME"/>
        </w:rPr>
        <w:t xml:space="preserve"> vedolizumaba kod žena koje doje, potrebno je uzeti u obzir korist l</w:t>
      </w:r>
      <w:r w:rsidR="003331C5" w:rsidRPr="006F34F9">
        <w:rPr>
          <w:szCs w:val="22"/>
          <w:lang w:val="sr-Latn-ME"/>
        </w:rPr>
        <w:t>ij</w:t>
      </w:r>
      <w:r w:rsidRPr="006F34F9">
        <w:rPr>
          <w:szCs w:val="22"/>
          <w:lang w:val="sr-Latn-ME"/>
        </w:rPr>
        <w:t>ečenja za ženu i potencijalni rizik po odojče.</w:t>
      </w:r>
    </w:p>
    <w:p w14:paraId="5DA7964A" w14:textId="77777777" w:rsidR="00F00F3B" w:rsidRPr="006F34F9" w:rsidRDefault="00F00F3B">
      <w:pPr>
        <w:pStyle w:val="Header"/>
        <w:rPr>
          <w:szCs w:val="22"/>
          <w:lang w:val="sr-Latn-ME"/>
        </w:rPr>
      </w:pPr>
    </w:p>
    <w:p w14:paraId="013D6F7A" w14:textId="4DEE6419" w:rsidR="00F00F3B" w:rsidRDefault="00F00F3B">
      <w:pPr>
        <w:pStyle w:val="Header"/>
        <w:rPr>
          <w:szCs w:val="22"/>
          <w:u w:val="single"/>
          <w:lang w:val="sr-Latn-ME"/>
        </w:rPr>
      </w:pPr>
      <w:r w:rsidRPr="006F34F9">
        <w:rPr>
          <w:szCs w:val="22"/>
          <w:u w:val="single"/>
          <w:lang w:val="sr-Latn-ME"/>
        </w:rPr>
        <w:t>Plodnost</w:t>
      </w:r>
    </w:p>
    <w:p w14:paraId="4D82FFCD" w14:textId="77777777" w:rsidR="00C01243" w:rsidRPr="006F34F9" w:rsidRDefault="00C01243">
      <w:pPr>
        <w:pStyle w:val="Header"/>
        <w:rPr>
          <w:szCs w:val="22"/>
          <w:u w:val="single"/>
          <w:lang w:val="sr-Latn-ME"/>
        </w:rPr>
      </w:pPr>
    </w:p>
    <w:p w14:paraId="6CE07EFB" w14:textId="44F7CB34" w:rsidR="00CE09F3" w:rsidRDefault="00F00F3B">
      <w:pPr>
        <w:rPr>
          <w:szCs w:val="22"/>
          <w:lang w:val="sr-Latn-ME"/>
        </w:rPr>
      </w:pPr>
      <w:r w:rsidRPr="006F34F9">
        <w:rPr>
          <w:szCs w:val="22"/>
          <w:lang w:val="sr-Latn-ME"/>
        </w:rPr>
        <w:t>Nema podataka o uticaju vedolizumaba na plodnost kod ljudi. Uticaj na plodnost mužjaka i ženki ni</w:t>
      </w:r>
      <w:r w:rsidR="002918C0" w:rsidRPr="006F34F9">
        <w:rPr>
          <w:szCs w:val="22"/>
          <w:lang w:val="sr-Latn-ME"/>
        </w:rPr>
        <w:t>je</w:t>
      </w:r>
      <w:r w:rsidRPr="006F34F9">
        <w:rPr>
          <w:szCs w:val="22"/>
          <w:lang w:val="sr-Latn-ME"/>
        </w:rPr>
        <w:t xml:space="preserve">su formalno </w:t>
      </w:r>
      <w:r w:rsidR="008559D3" w:rsidRPr="006F34F9">
        <w:rPr>
          <w:szCs w:val="22"/>
          <w:lang w:val="sr-Latn-ME"/>
        </w:rPr>
        <w:t>procijenjeni</w:t>
      </w:r>
      <w:r w:rsidRPr="006F34F9">
        <w:rPr>
          <w:szCs w:val="22"/>
          <w:lang w:val="sr-Latn-ME"/>
        </w:rPr>
        <w:t xml:space="preserve"> u ispitivanjima na životinjama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Pr="006F34F9">
        <w:rPr>
          <w:szCs w:val="22"/>
          <w:lang w:val="sr-Latn-ME"/>
        </w:rPr>
        <w:t xml:space="preserve"> 5.3)</w:t>
      </w:r>
    </w:p>
    <w:p w14:paraId="35EDA199" w14:textId="778BD8CF" w:rsidR="00CD00E4" w:rsidRPr="006F34F9" w:rsidRDefault="00CD00E4" w:rsidP="00CD00E4">
      <w:pPr>
        <w:tabs>
          <w:tab w:val="clear" w:pos="284"/>
        </w:tabs>
        <w:jc w:val="left"/>
        <w:rPr>
          <w:szCs w:val="22"/>
          <w:lang w:val="sr-Latn-ME"/>
        </w:rPr>
      </w:pPr>
      <w:r>
        <w:rPr>
          <w:szCs w:val="22"/>
          <w:lang w:val="sr-Latn-ME"/>
        </w:rPr>
        <w:br w:type="page"/>
      </w:r>
    </w:p>
    <w:p w14:paraId="6CE07EFC" w14:textId="4583FB03" w:rsidR="00CE09F3" w:rsidRPr="006F34F9" w:rsidRDefault="00CE09F3">
      <w:pPr>
        <w:rPr>
          <w:b/>
          <w:bCs/>
          <w:spacing w:val="-8"/>
          <w:szCs w:val="22"/>
          <w:lang w:val="sr-Latn-ME"/>
        </w:rPr>
      </w:pPr>
      <w:r w:rsidRPr="006F34F9">
        <w:rPr>
          <w:b/>
          <w:bCs/>
          <w:spacing w:val="-8"/>
          <w:szCs w:val="22"/>
          <w:lang w:val="sr-Latn-ME"/>
        </w:rPr>
        <w:lastRenderedPageBreak/>
        <w:t>4.7.</w:t>
      </w:r>
      <w:r w:rsidR="00591D18" w:rsidRPr="006F34F9">
        <w:rPr>
          <w:b/>
          <w:bCs/>
          <w:spacing w:val="-8"/>
          <w:szCs w:val="22"/>
          <w:lang w:val="sr-Latn-ME"/>
        </w:rPr>
        <w:t xml:space="preserve">  </w:t>
      </w:r>
      <w:r w:rsidR="00D43BC5" w:rsidRPr="006F34F9">
        <w:rPr>
          <w:b/>
          <w:bCs/>
          <w:spacing w:val="-8"/>
          <w:szCs w:val="22"/>
          <w:lang w:val="sr-Latn-ME"/>
        </w:rPr>
        <w:t>Uticaj na sposobnost upravljanja vozilima i rukovanje mašinama</w:t>
      </w:r>
    </w:p>
    <w:p w14:paraId="6CE07EFD" w14:textId="6B37EC94" w:rsidR="00CE09F3" w:rsidRPr="006F34F9" w:rsidRDefault="00CE09F3">
      <w:pPr>
        <w:rPr>
          <w:szCs w:val="22"/>
          <w:lang w:val="sr-Latn-ME"/>
        </w:rPr>
      </w:pPr>
    </w:p>
    <w:p w14:paraId="6CE07EFE" w14:textId="16D1B515" w:rsidR="00CE09F3" w:rsidRPr="006F34F9" w:rsidRDefault="00DD0778">
      <w:pPr>
        <w:rPr>
          <w:szCs w:val="22"/>
          <w:lang w:val="sr-Latn-ME"/>
        </w:rPr>
      </w:pPr>
      <w:r w:rsidRPr="006F34F9">
        <w:rPr>
          <w:szCs w:val="22"/>
          <w:lang w:val="sr-Latn-ME"/>
        </w:rPr>
        <w:t>Vedolizumab može imati mali uticaj na sposobnost upravljanja vozilima ili rada sa mašinama jer je kod malog broja pacijenata zapažena vrtoglavica</w:t>
      </w:r>
      <w:r w:rsidR="003A58E8">
        <w:rPr>
          <w:szCs w:val="22"/>
          <w:lang w:val="sr-Latn-ME"/>
        </w:rPr>
        <w:t>.</w:t>
      </w:r>
    </w:p>
    <w:p w14:paraId="68494AEA" w14:textId="77777777" w:rsidR="001F7037" w:rsidRPr="006F34F9" w:rsidRDefault="001F7037">
      <w:pPr>
        <w:rPr>
          <w:b/>
          <w:bCs/>
          <w:szCs w:val="22"/>
          <w:lang w:val="sr-Latn-ME"/>
        </w:rPr>
      </w:pPr>
    </w:p>
    <w:p w14:paraId="6CE07EFF" w14:textId="540F414F" w:rsidR="00CE09F3" w:rsidRPr="006F34F9" w:rsidRDefault="00CE09F3">
      <w:pPr>
        <w:rPr>
          <w:b/>
          <w:bCs/>
          <w:szCs w:val="22"/>
          <w:lang w:val="sr-Latn-ME"/>
        </w:rPr>
      </w:pPr>
      <w:r w:rsidRPr="006F34F9">
        <w:rPr>
          <w:b/>
          <w:bCs/>
          <w:szCs w:val="22"/>
          <w:lang w:val="sr-Latn-ME"/>
        </w:rPr>
        <w:t>4.8.</w:t>
      </w:r>
      <w:r w:rsidR="00591D18" w:rsidRPr="006F34F9">
        <w:rPr>
          <w:b/>
          <w:bCs/>
          <w:szCs w:val="22"/>
          <w:lang w:val="sr-Latn-ME"/>
        </w:rPr>
        <w:t xml:space="preserve">  </w:t>
      </w:r>
      <w:r w:rsidRPr="006F34F9">
        <w:rPr>
          <w:b/>
          <w:bCs/>
          <w:szCs w:val="22"/>
          <w:lang w:val="sr-Latn-ME"/>
        </w:rPr>
        <w:t>Neželjena dejstva</w:t>
      </w:r>
    </w:p>
    <w:p w14:paraId="6CE07F00" w14:textId="77777777" w:rsidR="00CE09F3" w:rsidRPr="006F34F9" w:rsidRDefault="00CE09F3">
      <w:pPr>
        <w:rPr>
          <w:noProof/>
          <w:szCs w:val="22"/>
          <w:u w:val="single"/>
          <w:lang w:val="sr-Latn-ME"/>
        </w:rPr>
      </w:pPr>
    </w:p>
    <w:p w14:paraId="6CE07F01" w14:textId="7780F378" w:rsidR="00CE09F3" w:rsidRPr="006F34F9" w:rsidRDefault="00DD0778">
      <w:pPr>
        <w:rPr>
          <w:noProof/>
          <w:szCs w:val="22"/>
          <w:u w:val="single"/>
          <w:lang w:val="sr-Latn-ME"/>
        </w:rPr>
      </w:pPr>
      <w:r w:rsidRPr="006F34F9">
        <w:rPr>
          <w:noProof/>
          <w:szCs w:val="22"/>
          <w:u w:val="single"/>
          <w:lang w:val="sr-Latn-ME"/>
        </w:rPr>
        <w:t>Sažetak bezb</w:t>
      </w:r>
      <w:r w:rsidR="0000169B" w:rsidRPr="006F34F9">
        <w:rPr>
          <w:noProof/>
          <w:szCs w:val="22"/>
          <w:u w:val="single"/>
          <w:lang w:val="sr-Latn-ME"/>
        </w:rPr>
        <w:t>j</w:t>
      </w:r>
      <w:r w:rsidRPr="006F34F9">
        <w:rPr>
          <w:noProof/>
          <w:szCs w:val="22"/>
          <w:u w:val="single"/>
          <w:lang w:val="sr-Latn-ME"/>
        </w:rPr>
        <w:t>ednosnog profila</w:t>
      </w:r>
    </w:p>
    <w:p w14:paraId="6CE07F03" w14:textId="2E106C02" w:rsidR="00CE09F3" w:rsidRPr="006F34F9" w:rsidRDefault="00CE09F3">
      <w:pPr>
        <w:rPr>
          <w:noProof/>
          <w:szCs w:val="22"/>
          <w:u w:val="single"/>
          <w:lang w:val="sr-Latn-ME"/>
        </w:rPr>
      </w:pPr>
    </w:p>
    <w:p w14:paraId="185DA807" w14:textId="63BE0097" w:rsidR="00DD0778" w:rsidRPr="006F34F9" w:rsidRDefault="00DD0778" w:rsidP="000F3B2E">
      <w:pPr>
        <w:rPr>
          <w:noProof/>
          <w:szCs w:val="22"/>
          <w:lang w:val="sr-Latn-ME"/>
        </w:rPr>
      </w:pPr>
      <w:r w:rsidRPr="006F34F9">
        <w:rPr>
          <w:noProof/>
          <w:szCs w:val="22"/>
          <w:lang w:val="sr-Latn-ME"/>
        </w:rPr>
        <w:t>Najčešće prijavljene neželjene reakcije su infekcije (kao što su nazofaringitis, infekcija gornjih disajnih puteva, bronhitis, influenca i sinusitis), glavobolja, mučnina, pireksija, umor, kašalj, artralgija.</w:t>
      </w:r>
    </w:p>
    <w:p w14:paraId="5C03E2FE" w14:textId="77777777" w:rsidR="00DD0778" w:rsidRPr="006F34F9" w:rsidRDefault="00DD0778">
      <w:pPr>
        <w:rPr>
          <w:noProof/>
          <w:szCs w:val="22"/>
          <w:lang w:val="sr-Latn-ME"/>
        </w:rPr>
      </w:pPr>
    </w:p>
    <w:p w14:paraId="470C5202" w14:textId="061C9FF4" w:rsidR="00DD0778" w:rsidRPr="006F34F9" w:rsidRDefault="00DD0778">
      <w:pPr>
        <w:rPr>
          <w:noProof/>
          <w:szCs w:val="22"/>
          <w:lang w:val="sr-Latn-ME"/>
        </w:rPr>
      </w:pPr>
      <w:r w:rsidRPr="006F34F9">
        <w:rPr>
          <w:noProof/>
          <w:szCs w:val="22"/>
          <w:lang w:val="sr-Latn-ME"/>
        </w:rPr>
        <w:t>Ni</w:t>
      </w:r>
      <w:r w:rsidR="0000169B" w:rsidRPr="006F34F9">
        <w:rPr>
          <w:noProof/>
          <w:szCs w:val="22"/>
          <w:lang w:val="sr-Latn-ME"/>
        </w:rPr>
        <w:t>je</w:t>
      </w:r>
      <w:r w:rsidRPr="006F34F9">
        <w:rPr>
          <w:noProof/>
          <w:szCs w:val="22"/>
          <w:lang w:val="sr-Latn-ME"/>
        </w:rPr>
        <w:t>su uočene klinički relevantne razlike u ukupnom bezb</w:t>
      </w:r>
      <w:r w:rsidR="0000169B" w:rsidRPr="006F34F9">
        <w:rPr>
          <w:noProof/>
          <w:szCs w:val="22"/>
          <w:lang w:val="sr-Latn-ME"/>
        </w:rPr>
        <w:t>j</w:t>
      </w:r>
      <w:r w:rsidRPr="006F34F9">
        <w:rPr>
          <w:noProof/>
          <w:szCs w:val="22"/>
          <w:lang w:val="sr-Latn-ME"/>
        </w:rPr>
        <w:t xml:space="preserve">ednosnom profilu i neželjenim reakcijama kod pacijenata koji su primali </w:t>
      </w:r>
      <w:r w:rsidR="0000169B" w:rsidRPr="006F34F9">
        <w:rPr>
          <w:noProof/>
          <w:szCs w:val="22"/>
          <w:lang w:val="sr-Latn-ME"/>
        </w:rPr>
        <w:t>su</w:t>
      </w:r>
      <w:r w:rsidR="00C01243">
        <w:rPr>
          <w:noProof/>
          <w:szCs w:val="22"/>
          <w:lang w:val="sr-Latn-ME"/>
        </w:rPr>
        <w:t>b</w:t>
      </w:r>
      <w:r w:rsidR="0000169B" w:rsidRPr="006F34F9">
        <w:rPr>
          <w:noProof/>
          <w:szCs w:val="22"/>
          <w:lang w:val="sr-Latn-ME"/>
        </w:rPr>
        <w:t xml:space="preserve">kutani </w:t>
      </w:r>
      <w:r w:rsidRPr="006F34F9">
        <w:rPr>
          <w:noProof/>
          <w:szCs w:val="22"/>
          <w:lang w:val="sr-Latn-ME"/>
        </w:rPr>
        <w:t>vedolizumab u poređenju sa bezb</w:t>
      </w:r>
      <w:r w:rsidR="0000169B" w:rsidRPr="006F34F9">
        <w:rPr>
          <w:noProof/>
          <w:szCs w:val="22"/>
          <w:lang w:val="sr-Latn-ME"/>
        </w:rPr>
        <w:t>j</w:t>
      </w:r>
      <w:r w:rsidRPr="006F34F9">
        <w:rPr>
          <w:noProof/>
          <w:szCs w:val="22"/>
          <w:lang w:val="sr-Latn-ME"/>
        </w:rPr>
        <w:t xml:space="preserve">ednosnim profilom uočenim u kliničkim ispitivanjima sa intravenskim vedolizumabom, </w:t>
      </w:r>
      <w:r w:rsidR="0000169B" w:rsidRPr="006F34F9">
        <w:rPr>
          <w:noProof/>
          <w:szCs w:val="22"/>
          <w:lang w:val="sr-Latn-ME"/>
        </w:rPr>
        <w:t xml:space="preserve">sa </w:t>
      </w:r>
      <w:r w:rsidRPr="006F34F9">
        <w:rPr>
          <w:noProof/>
          <w:szCs w:val="22"/>
          <w:lang w:val="sr-Latn-ME"/>
        </w:rPr>
        <w:t>izuzet</w:t>
      </w:r>
      <w:r w:rsidR="0000169B" w:rsidRPr="006F34F9">
        <w:rPr>
          <w:noProof/>
          <w:szCs w:val="22"/>
          <w:lang w:val="sr-Latn-ME"/>
        </w:rPr>
        <w:t>kom</w:t>
      </w:r>
      <w:r w:rsidRPr="006F34F9">
        <w:rPr>
          <w:noProof/>
          <w:szCs w:val="22"/>
          <w:lang w:val="sr-Latn-ME"/>
        </w:rPr>
        <w:t xml:space="preserve"> reakcija na mestu injekcije (kod subkutane </w:t>
      </w:r>
      <w:r w:rsidR="0069571E" w:rsidRPr="006F34F9">
        <w:rPr>
          <w:noProof/>
          <w:szCs w:val="22"/>
          <w:lang w:val="sr-Latn-ME"/>
        </w:rPr>
        <w:t>primjene</w:t>
      </w:r>
      <w:r w:rsidRPr="006F34F9">
        <w:rPr>
          <w:noProof/>
          <w:szCs w:val="22"/>
          <w:lang w:val="sr-Latn-ME"/>
        </w:rPr>
        <w:t>).</w:t>
      </w:r>
    </w:p>
    <w:p w14:paraId="64FA47CB" w14:textId="70A113CE" w:rsidR="00DD0778" w:rsidRPr="006F34F9" w:rsidRDefault="00DD0778">
      <w:pPr>
        <w:rPr>
          <w:noProof/>
          <w:szCs w:val="22"/>
          <w:u w:val="single"/>
          <w:lang w:val="sr-Latn-ME"/>
        </w:rPr>
      </w:pPr>
    </w:p>
    <w:p w14:paraId="5A8CA9C9" w14:textId="4D302ECA" w:rsidR="00DD0778" w:rsidRPr="006F34F9" w:rsidRDefault="00DD0778">
      <w:pPr>
        <w:autoSpaceDE w:val="0"/>
        <w:autoSpaceDN w:val="0"/>
        <w:adjustRightInd w:val="0"/>
        <w:rPr>
          <w:noProof/>
          <w:szCs w:val="22"/>
          <w:u w:val="single"/>
          <w:lang w:val="sr-Latn-ME"/>
        </w:rPr>
      </w:pPr>
      <w:r w:rsidRPr="006F34F9">
        <w:rPr>
          <w:noProof/>
          <w:szCs w:val="22"/>
          <w:u w:val="single"/>
          <w:lang w:val="sr-Latn-ME"/>
        </w:rPr>
        <w:t>Tabelarni prikaz neželjenih dejstava</w:t>
      </w:r>
    </w:p>
    <w:p w14:paraId="615A7A71" w14:textId="77777777" w:rsidR="00DD0778" w:rsidRPr="006F34F9" w:rsidRDefault="00DD0778">
      <w:pPr>
        <w:autoSpaceDE w:val="0"/>
        <w:autoSpaceDN w:val="0"/>
        <w:adjustRightInd w:val="0"/>
        <w:rPr>
          <w:noProof/>
          <w:szCs w:val="22"/>
          <w:lang w:val="sr-Latn-ME"/>
        </w:rPr>
      </w:pPr>
    </w:p>
    <w:p w14:paraId="2627E7D5" w14:textId="16A2C5F2" w:rsidR="00DD0778" w:rsidRPr="006F34F9" w:rsidRDefault="003B7450">
      <w:pPr>
        <w:tabs>
          <w:tab w:val="clear" w:pos="284"/>
          <w:tab w:val="left" w:pos="720"/>
        </w:tabs>
        <w:autoSpaceDE w:val="0"/>
        <w:autoSpaceDN w:val="0"/>
        <w:adjustRightInd w:val="0"/>
        <w:rPr>
          <w:i/>
          <w:iCs/>
          <w:szCs w:val="22"/>
          <w:lang w:val="sr-Latn-ME" w:eastAsia="sr-Latn-RS"/>
        </w:rPr>
      </w:pPr>
      <w:r w:rsidRPr="006F34F9">
        <w:rPr>
          <w:noProof/>
          <w:szCs w:val="22"/>
          <w:lang w:val="sr-Latn-ME"/>
        </w:rPr>
        <w:t>Sl</w:t>
      </w:r>
      <w:r w:rsidR="00D066B7">
        <w:rPr>
          <w:noProof/>
          <w:szCs w:val="22"/>
          <w:lang w:val="sr-Latn-ME"/>
        </w:rPr>
        <w:t>j</w:t>
      </w:r>
      <w:r w:rsidRPr="006F34F9">
        <w:rPr>
          <w:noProof/>
          <w:szCs w:val="22"/>
          <w:lang w:val="sr-Latn-ME"/>
        </w:rPr>
        <w:t>ede</w:t>
      </w:r>
      <w:r w:rsidRPr="006F34F9">
        <w:rPr>
          <w:noProof/>
          <w:szCs w:val="22"/>
          <w:lang w:val="sr-Latn-RS"/>
        </w:rPr>
        <w:t>ć</w:t>
      </w:r>
      <w:r w:rsidR="0000169B" w:rsidRPr="006F34F9">
        <w:rPr>
          <w:noProof/>
          <w:szCs w:val="22"/>
          <w:lang w:val="sr-Latn-RS"/>
        </w:rPr>
        <w:t>a</w:t>
      </w:r>
      <w:r w:rsidRPr="006F34F9">
        <w:rPr>
          <w:noProof/>
          <w:szCs w:val="22"/>
          <w:lang w:val="sr-Latn-RS"/>
        </w:rPr>
        <w:t xml:space="preserve"> </w:t>
      </w:r>
      <w:r w:rsidR="0000169B" w:rsidRPr="006F34F9">
        <w:rPr>
          <w:noProof/>
          <w:szCs w:val="22"/>
          <w:lang w:val="sr-Latn-RS"/>
        </w:rPr>
        <w:t>lista</w:t>
      </w:r>
      <w:r w:rsidR="00DD0778" w:rsidRPr="006F34F9">
        <w:rPr>
          <w:noProof/>
          <w:szCs w:val="22"/>
          <w:lang w:val="sr-Latn-ME"/>
        </w:rPr>
        <w:t xml:space="preserve"> neželjen</w:t>
      </w:r>
      <w:r w:rsidRPr="006F34F9">
        <w:rPr>
          <w:noProof/>
          <w:szCs w:val="22"/>
          <w:lang w:val="sr-Latn-ME"/>
        </w:rPr>
        <w:t>ih</w:t>
      </w:r>
      <w:r w:rsidR="00DD0778" w:rsidRPr="006F34F9">
        <w:rPr>
          <w:noProof/>
          <w:szCs w:val="22"/>
          <w:lang w:val="sr-Latn-ME"/>
        </w:rPr>
        <w:t xml:space="preserve"> dejstva za</w:t>
      </w:r>
      <w:r w:rsidRPr="006F34F9">
        <w:rPr>
          <w:noProof/>
          <w:szCs w:val="22"/>
          <w:lang w:val="sr-Latn-ME"/>
        </w:rPr>
        <w:t>sniva se na</w:t>
      </w:r>
      <w:r w:rsidR="00DD0778" w:rsidRPr="006F34F9">
        <w:rPr>
          <w:noProof/>
          <w:szCs w:val="22"/>
          <w:lang w:val="sr-Latn-ME"/>
        </w:rPr>
        <w:t xml:space="preserve"> klinički</w:t>
      </w:r>
      <w:r w:rsidR="0000169B" w:rsidRPr="006F34F9">
        <w:rPr>
          <w:noProof/>
          <w:szCs w:val="22"/>
          <w:lang w:val="sr-Latn-ME"/>
        </w:rPr>
        <w:t>m</w:t>
      </w:r>
      <w:r w:rsidR="00DD0778" w:rsidRPr="006F34F9">
        <w:rPr>
          <w:noProof/>
          <w:szCs w:val="22"/>
          <w:lang w:val="sr-Latn-ME"/>
        </w:rPr>
        <w:t xml:space="preserve"> ispitivanj</w:t>
      </w:r>
      <w:r w:rsidR="0000169B" w:rsidRPr="006F34F9">
        <w:rPr>
          <w:noProof/>
          <w:szCs w:val="22"/>
          <w:lang w:val="sr-Latn-ME"/>
        </w:rPr>
        <w:t>ima</w:t>
      </w:r>
      <w:r w:rsidR="00DD0778" w:rsidRPr="006F34F9">
        <w:rPr>
          <w:noProof/>
          <w:szCs w:val="22"/>
          <w:lang w:val="sr-Latn-ME"/>
        </w:rPr>
        <w:t xml:space="preserve"> i </w:t>
      </w:r>
      <w:r w:rsidRPr="006F34F9">
        <w:rPr>
          <w:noProof/>
          <w:szCs w:val="22"/>
          <w:lang w:val="sr-Latn-ME"/>
        </w:rPr>
        <w:t>praćenj</w:t>
      </w:r>
      <w:r w:rsidR="0000169B" w:rsidRPr="006F34F9">
        <w:rPr>
          <w:noProof/>
          <w:szCs w:val="22"/>
          <w:lang w:val="sr-Latn-ME"/>
        </w:rPr>
        <w:t>u</w:t>
      </w:r>
      <w:r w:rsidRPr="006F34F9">
        <w:rPr>
          <w:noProof/>
          <w:szCs w:val="22"/>
          <w:lang w:val="sr-Latn-ME"/>
        </w:rPr>
        <w:t xml:space="preserve"> nakon stavljanja lijeka u promet</w:t>
      </w:r>
      <w:r w:rsidR="00DD0778" w:rsidRPr="006F34F9">
        <w:rPr>
          <w:noProof/>
          <w:szCs w:val="22"/>
          <w:lang w:val="sr-Latn-ME"/>
        </w:rPr>
        <w:t xml:space="preserve"> i prikazan</w:t>
      </w:r>
      <w:r w:rsidR="0000169B" w:rsidRPr="006F34F9">
        <w:rPr>
          <w:noProof/>
          <w:szCs w:val="22"/>
          <w:lang w:val="sr-Latn-ME"/>
        </w:rPr>
        <w:t>a</w:t>
      </w:r>
      <w:r w:rsidR="00DD0778" w:rsidRPr="006F34F9">
        <w:rPr>
          <w:noProof/>
          <w:szCs w:val="22"/>
          <w:lang w:val="sr-Latn-ME"/>
        </w:rPr>
        <w:t xml:space="preserve"> je </w:t>
      </w:r>
      <w:r w:rsidR="008062E2" w:rsidRPr="006F34F9">
        <w:rPr>
          <w:noProof/>
          <w:szCs w:val="22"/>
          <w:lang w:val="sr-Latn-ME"/>
        </w:rPr>
        <w:t>pre</w:t>
      </w:r>
      <w:r w:rsidR="00DD0778" w:rsidRPr="006F34F9">
        <w:rPr>
          <w:noProof/>
          <w:szCs w:val="22"/>
          <w:lang w:val="sr-Latn-ME"/>
        </w:rPr>
        <w:t>ma sistemu organa</w:t>
      </w:r>
      <w:r w:rsidR="0000169B" w:rsidRPr="006F34F9">
        <w:rPr>
          <w:noProof/>
          <w:szCs w:val="22"/>
          <w:lang w:val="sr-Latn-ME"/>
        </w:rPr>
        <w:t>,</w:t>
      </w:r>
      <w:r w:rsidR="00DD0778" w:rsidRPr="006F34F9">
        <w:rPr>
          <w:noProof/>
          <w:szCs w:val="22"/>
          <w:lang w:val="sr-Latn-ME"/>
        </w:rPr>
        <w:t xml:space="preserve"> </w:t>
      </w:r>
      <w:r w:rsidR="0000169B" w:rsidRPr="006F34F9">
        <w:rPr>
          <w:noProof/>
          <w:szCs w:val="22"/>
          <w:lang w:val="sr-Latn-ME"/>
        </w:rPr>
        <w:t xml:space="preserve">na kojima </w:t>
      </w:r>
      <w:r w:rsidR="00DD0778" w:rsidRPr="006F34F9">
        <w:rPr>
          <w:noProof/>
          <w:szCs w:val="22"/>
          <w:lang w:val="sr-Latn-ME"/>
        </w:rPr>
        <w:t xml:space="preserve">su se ispoljila. Unutar svake klase sistema organa, neželjena dejstva su navedena </w:t>
      </w:r>
      <w:r w:rsidR="008062E2" w:rsidRPr="006F34F9">
        <w:rPr>
          <w:noProof/>
          <w:szCs w:val="22"/>
          <w:lang w:val="sr-Latn-ME"/>
        </w:rPr>
        <w:t>pre</w:t>
      </w:r>
      <w:r w:rsidR="00DD0778" w:rsidRPr="006F34F9">
        <w:rPr>
          <w:noProof/>
          <w:szCs w:val="22"/>
          <w:lang w:val="sr-Latn-ME"/>
        </w:rPr>
        <w:t>ma sl</w:t>
      </w:r>
      <w:r w:rsidR="00D066B7">
        <w:rPr>
          <w:noProof/>
          <w:szCs w:val="22"/>
          <w:lang w:val="sr-Latn-ME"/>
        </w:rPr>
        <w:t>j</w:t>
      </w:r>
      <w:r w:rsidR="00DD0778" w:rsidRPr="006F34F9">
        <w:rPr>
          <w:noProof/>
          <w:szCs w:val="22"/>
          <w:lang w:val="sr-Latn-ME"/>
        </w:rPr>
        <w:t xml:space="preserve">edećim kriterijumima učestalosti: </w:t>
      </w:r>
      <w:r w:rsidR="003A58E8" w:rsidRPr="004E77B0">
        <w:rPr>
          <w:noProof/>
          <w:szCs w:val="22"/>
          <w:lang w:val="sr-Latn-ME"/>
        </w:rPr>
        <w:t>veoma česta (≥1/10); česta (≥1/100 do &lt;1/10); povremena (≥1/1.000 do &lt;1/100)</w:t>
      </w:r>
      <w:r w:rsidR="003A58E8">
        <w:rPr>
          <w:noProof/>
          <w:szCs w:val="22"/>
          <w:lang w:val="sr-Latn-ME"/>
        </w:rPr>
        <w:t xml:space="preserve">, </w:t>
      </w:r>
      <w:r w:rsidR="003A58E8" w:rsidRPr="004E77B0">
        <w:rPr>
          <w:noProof/>
          <w:szCs w:val="22"/>
          <w:lang w:val="sr-Latn-ME"/>
        </w:rPr>
        <w:t>veoma r</w:t>
      </w:r>
      <w:r w:rsidR="003A58E8">
        <w:rPr>
          <w:noProof/>
          <w:szCs w:val="22"/>
          <w:lang w:val="sr-Latn-ME"/>
        </w:rPr>
        <w:t>ij</w:t>
      </w:r>
      <w:r w:rsidR="003A58E8" w:rsidRPr="004E77B0">
        <w:rPr>
          <w:noProof/>
          <w:szCs w:val="22"/>
          <w:lang w:val="sr-Latn-ME"/>
        </w:rPr>
        <w:t>etka (&lt; 1/10000)</w:t>
      </w:r>
      <w:r w:rsidR="003A58E8">
        <w:rPr>
          <w:noProof/>
          <w:szCs w:val="22"/>
          <w:lang w:val="sr-Latn-ME"/>
        </w:rPr>
        <w:t xml:space="preserve"> i nepoznato (ne moze se proceniti iz dostupnih podataka)</w:t>
      </w:r>
      <w:r w:rsidR="003A58E8" w:rsidRPr="004E77B0">
        <w:rPr>
          <w:noProof/>
          <w:szCs w:val="22"/>
          <w:lang w:val="sr-Latn-ME"/>
        </w:rPr>
        <w:t>. Unutar svake grupe učestalosti, neželjena dejstva su nabrojana u smjeru smanjenja ozbiljnosti.</w:t>
      </w:r>
    </w:p>
    <w:p w14:paraId="04A8735F" w14:textId="77777777" w:rsidR="00DD0778" w:rsidRPr="006F34F9" w:rsidRDefault="00DD0778">
      <w:pPr>
        <w:autoSpaceDE w:val="0"/>
        <w:autoSpaceDN w:val="0"/>
        <w:adjustRightInd w:val="0"/>
        <w:rPr>
          <w:noProof/>
          <w:szCs w:val="22"/>
          <w:lang w:val="sr-Latn-ME"/>
        </w:rPr>
      </w:pPr>
    </w:p>
    <w:p w14:paraId="6B93DE02" w14:textId="0CC2763E" w:rsidR="004D3C68" w:rsidRPr="006F34F9" w:rsidRDefault="00DD0778">
      <w:pPr>
        <w:autoSpaceDE w:val="0"/>
        <w:autoSpaceDN w:val="0"/>
        <w:adjustRightInd w:val="0"/>
        <w:rPr>
          <w:noProof/>
          <w:szCs w:val="22"/>
          <w:lang w:val="sr-Latn-ME"/>
        </w:rPr>
      </w:pPr>
      <w:r w:rsidRPr="006F34F9">
        <w:rPr>
          <w:noProof/>
          <w:szCs w:val="22"/>
          <w:lang w:val="sr-Latn-ME"/>
        </w:rPr>
        <w:t>Tabela 1. Neželjena dejstva</w:t>
      </w:r>
    </w:p>
    <w:tbl>
      <w:tblPr>
        <w:tblW w:w="9072" w:type="dxa"/>
        <w:tblInd w:w="-5" w:type="dxa"/>
        <w:tblLayout w:type="fixed"/>
        <w:tblCellMar>
          <w:left w:w="0" w:type="dxa"/>
          <w:right w:w="0" w:type="dxa"/>
        </w:tblCellMar>
        <w:tblLook w:val="01E0" w:firstRow="1" w:lastRow="1" w:firstColumn="1" w:lastColumn="1" w:noHBand="0" w:noVBand="0"/>
      </w:tblPr>
      <w:tblGrid>
        <w:gridCol w:w="3119"/>
        <w:gridCol w:w="2410"/>
        <w:gridCol w:w="3543"/>
      </w:tblGrid>
      <w:tr w:rsidR="00DD0778" w:rsidRPr="006F34F9" w14:paraId="5C00EB30" w14:textId="77777777" w:rsidTr="00180C9F">
        <w:trPr>
          <w:trHeight w:hRule="exact" w:val="516"/>
        </w:trPr>
        <w:tc>
          <w:tcPr>
            <w:tcW w:w="3119" w:type="dxa"/>
            <w:tcBorders>
              <w:top w:val="single" w:sz="4" w:space="0" w:color="000000"/>
              <w:left w:val="single" w:sz="4" w:space="0" w:color="000000"/>
              <w:bottom w:val="single" w:sz="4" w:space="0" w:color="000000"/>
              <w:right w:val="single" w:sz="4" w:space="0" w:color="000000"/>
            </w:tcBorders>
            <w:hideMark/>
          </w:tcPr>
          <w:p w14:paraId="4365B330" w14:textId="77777777" w:rsidR="00DD0778" w:rsidRPr="006F34F9" w:rsidRDefault="00DD0778" w:rsidP="00180C9F">
            <w:pPr>
              <w:spacing w:before="1" w:line="252" w:lineRule="exact"/>
              <w:ind w:left="102" w:right="143" w:firstLine="40"/>
              <w:jc w:val="center"/>
              <w:rPr>
                <w:noProof/>
                <w:szCs w:val="22"/>
                <w:lang w:val="sr-Latn-ME"/>
              </w:rPr>
            </w:pPr>
            <w:r w:rsidRPr="006F34F9">
              <w:rPr>
                <w:b/>
                <w:bCs/>
                <w:noProof/>
                <w:spacing w:val="1"/>
                <w:szCs w:val="22"/>
                <w:lang w:val="sr-Latn-ME"/>
              </w:rPr>
              <w:t>Kl</w:t>
            </w:r>
            <w:r w:rsidRPr="006F34F9">
              <w:rPr>
                <w:b/>
                <w:bCs/>
                <w:noProof/>
                <w:spacing w:val="-2"/>
                <w:szCs w:val="22"/>
                <w:lang w:val="sr-Latn-ME"/>
              </w:rPr>
              <w:t>a</w:t>
            </w:r>
            <w:r w:rsidRPr="006F34F9">
              <w:rPr>
                <w:b/>
                <w:bCs/>
                <w:noProof/>
                <w:szCs w:val="22"/>
                <w:lang w:val="sr-Latn-ME"/>
              </w:rPr>
              <w:t>s</w:t>
            </w:r>
            <w:r w:rsidRPr="006F34F9">
              <w:rPr>
                <w:b/>
                <w:bCs/>
                <w:noProof/>
                <w:spacing w:val="-1"/>
                <w:szCs w:val="22"/>
                <w:lang w:val="sr-Latn-ME"/>
              </w:rPr>
              <w:t>i</w:t>
            </w:r>
            <w:r w:rsidRPr="006F34F9">
              <w:rPr>
                <w:b/>
                <w:bCs/>
                <w:noProof/>
                <w:spacing w:val="1"/>
                <w:szCs w:val="22"/>
                <w:lang w:val="sr-Latn-ME"/>
              </w:rPr>
              <w:t>fi</w:t>
            </w:r>
            <w:r w:rsidRPr="006F34F9">
              <w:rPr>
                <w:b/>
                <w:bCs/>
                <w:noProof/>
                <w:spacing w:val="-1"/>
                <w:szCs w:val="22"/>
                <w:lang w:val="sr-Latn-ME"/>
              </w:rPr>
              <w:t>k</w:t>
            </w:r>
            <w:r w:rsidRPr="006F34F9">
              <w:rPr>
                <w:b/>
                <w:bCs/>
                <w:noProof/>
                <w:spacing w:val="-2"/>
                <w:szCs w:val="22"/>
                <w:lang w:val="sr-Latn-ME"/>
              </w:rPr>
              <w:t>a</w:t>
            </w:r>
            <w:r w:rsidRPr="006F34F9">
              <w:rPr>
                <w:b/>
                <w:bCs/>
                <w:noProof/>
                <w:szCs w:val="22"/>
                <w:lang w:val="sr-Latn-ME"/>
              </w:rPr>
              <w:t>c</w:t>
            </w:r>
            <w:r w:rsidRPr="006F34F9">
              <w:rPr>
                <w:b/>
                <w:bCs/>
                <w:noProof/>
                <w:spacing w:val="-1"/>
                <w:szCs w:val="22"/>
                <w:lang w:val="sr-Latn-ME"/>
              </w:rPr>
              <w:t>i</w:t>
            </w:r>
            <w:r w:rsidRPr="006F34F9">
              <w:rPr>
                <w:b/>
                <w:bCs/>
                <w:noProof/>
                <w:spacing w:val="1"/>
                <w:szCs w:val="22"/>
                <w:lang w:val="sr-Latn-ME"/>
              </w:rPr>
              <w:t>j</w:t>
            </w:r>
            <w:r w:rsidRPr="006F34F9">
              <w:rPr>
                <w:b/>
                <w:bCs/>
                <w:noProof/>
                <w:szCs w:val="22"/>
                <w:lang w:val="sr-Latn-ME"/>
              </w:rPr>
              <w:t>a sistema organa</w:t>
            </w:r>
          </w:p>
        </w:tc>
        <w:tc>
          <w:tcPr>
            <w:tcW w:w="2410" w:type="dxa"/>
            <w:tcBorders>
              <w:top w:val="single" w:sz="4" w:space="0" w:color="000000"/>
              <w:left w:val="single" w:sz="4" w:space="0" w:color="000000"/>
              <w:bottom w:val="single" w:sz="4" w:space="0" w:color="000000"/>
              <w:right w:val="single" w:sz="4" w:space="0" w:color="000000"/>
            </w:tcBorders>
            <w:hideMark/>
          </w:tcPr>
          <w:p w14:paraId="2F981C2B" w14:textId="77777777" w:rsidR="00DD0778" w:rsidRPr="006F34F9" w:rsidRDefault="00DD0778" w:rsidP="00180C9F">
            <w:pPr>
              <w:spacing w:line="251" w:lineRule="exact"/>
              <w:ind w:left="100" w:right="-20"/>
              <w:jc w:val="center"/>
              <w:rPr>
                <w:noProof/>
                <w:szCs w:val="22"/>
                <w:lang w:val="sr-Latn-ME"/>
              </w:rPr>
            </w:pPr>
            <w:r w:rsidRPr="006F34F9">
              <w:rPr>
                <w:b/>
                <w:bCs/>
                <w:noProof/>
                <w:spacing w:val="-1"/>
                <w:szCs w:val="22"/>
                <w:lang w:val="sr-Latn-ME"/>
              </w:rPr>
              <w:t>U</w:t>
            </w:r>
            <w:r w:rsidRPr="006F34F9">
              <w:rPr>
                <w:b/>
                <w:bCs/>
                <w:noProof/>
                <w:szCs w:val="22"/>
                <w:lang w:val="sr-Latn-ME"/>
              </w:rPr>
              <w:t>čes</w:t>
            </w:r>
            <w:r w:rsidRPr="006F34F9">
              <w:rPr>
                <w:b/>
                <w:bCs/>
                <w:noProof/>
                <w:spacing w:val="1"/>
                <w:szCs w:val="22"/>
                <w:lang w:val="sr-Latn-ME"/>
              </w:rPr>
              <w:t>t</w:t>
            </w:r>
            <w:r w:rsidRPr="006F34F9">
              <w:rPr>
                <w:b/>
                <w:bCs/>
                <w:noProof/>
                <w:spacing w:val="-2"/>
                <w:szCs w:val="22"/>
                <w:lang w:val="sr-Latn-ME"/>
              </w:rPr>
              <w:t>a</w:t>
            </w:r>
            <w:r w:rsidRPr="006F34F9">
              <w:rPr>
                <w:b/>
                <w:bCs/>
                <w:noProof/>
                <w:spacing w:val="1"/>
                <w:szCs w:val="22"/>
                <w:lang w:val="sr-Latn-ME"/>
              </w:rPr>
              <w:t>l</w:t>
            </w:r>
            <w:r w:rsidRPr="006F34F9">
              <w:rPr>
                <w:b/>
                <w:bCs/>
                <w:noProof/>
                <w:szCs w:val="22"/>
                <w:lang w:val="sr-Latn-ME"/>
              </w:rPr>
              <w:t>o</w:t>
            </w:r>
            <w:r w:rsidRPr="006F34F9">
              <w:rPr>
                <w:b/>
                <w:bCs/>
                <w:noProof/>
                <w:spacing w:val="-2"/>
                <w:szCs w:val="22"/>
                <w:lang w:val="sr-Latn-ME"/>
              </w:rPr>
              <w:t>s</w:t>
            </w:r>
            <w:r w:rsidRPr="006F34F9">
              <w:rPr>
                <w:b/>
                <w:bCs/>
                <w:noProof/>
                <w:szCs w:val="22"/>
                <w:lang w:val="sr-Latn-ME"/>
              </w:rPr>
              <w:t>t</w:t>
            </w:r>
          </w:p>
        </w:tc>
        <w:tc>
          <w:tcPr>
            <w:tcW w:w="3543" w:type="dxa"/>
            <w:tcBorders>
              <w:top w:val="single" w:sz="4" w:space="0" w:color="000000"/>
              <w:left w:val="single" w:sz="4" w:space="0" w:color="000000"/>
              <w:bottom w:val="single" w:sz="4" w:space="0" w:color="000000"/>
              <w:right w:val="single" w:sz="4" w:space="0" w:color="000000"/>
            </w:tcBorders>
            <w:hideMark/>
          </w:tcPr>
          <w:p w14:paraId="797D6E64" w14:textId="77777777" w:rsidR="00DD0778" w:rsidRPr="006F34F9" w:rsidRDefault="00DD0778" w:rsidP="00180C9F">
            <w:pPr>
              <w:spacing w:line="251" w:lineRule="exact"/>
              <w:ind w:left="100" w:right="-20"/>
              <w:jc w:val="center"/>
              <w:rPr>
                <w:noProof/>
                <w:szCs w:val="22"/>
                <w:lang w:val="sr-Latn-ME"/>
              </w:rPr>
            </w:pPr>
            <w:r w:rsidRPr="006F34F9">
              <w:rPr>
                <w:b/>
                <w:bCs/>
                <w:noProof/>
                <w:spacing w:val="-1"/>
                <w:szCs w:val="22"/>
                <w:lang w:val="sr-Latn-ME"/>
              </w:rPr>
              <w:t>Neželjeno dejstvo</w:t>
            </w:r>
            <w:r w:rsidRPr="006F34F9">
              <w:rPr>
                <w:b/>
                <w:bCs/>
                <w:noProof/>
                <w:spacing w:val="1"/>
                <w:szCs w:val="22"/>
                <w:lang w:val="sr-Latn-ME"/>
              </w:rPr>
              <w:t>(a</w:t>
            </w:r>
            <w:r w:rsidRPr="006F34F9">
              <w:rPr>
                <w:b/>
                <w:bCs/>
                <w:noProof/>
                <w:szCs w:val="22"/>
                <w:lang w:val="sr-Latn-ME"/>
              </w:rPr>
              <w:t>)</w:t>
            </w:r>
          </w:p>
        </w:tc>
      </w:tr>
      <w:tr w:rsidR="00DD0778" w:rsidRPr="006F34F9" w14:paraId="6D68E5C5" w14:textId="77777777" w:rsidTr="00180C9F">
        <w:trPr>
          <w:trHeight w:hRule="exact" w:val="262"/>
        </w:trPr>
        <w:tc>
          <w:tcPr>
            <w:tcW w:w="3119" w:type="dxa"/>
            <w:vMerge w:val="restart"/>
            <w:tcBorders>
              <w:top w:val="single" w:sz="4" w:space="0" w:color="000000"/>
              <w:left w:val="single" w:sz="4" w:space="0" w:color="000000"/>
              <w:right w:val="single" w:sz="4" w:space="0" w:color="000000"/>
            </w:tcBorders>
            <w:hideMark/>
          </w:tcPr>
          <w:p w14:paraId="2A4B69D4" w14:textId="77777777" w:rsidR="00DD0778" w:rsidRPr="006F34F9" w:rsidRDefault="00DD0778" w:rsidP="00180C9F">
            <w:pPr>
              <w:spacing w:line="246" w:lineRule="exact"/>
              <w:ind w:right="-20"/>
              <w:jc w:val="center"/>
              <w:rPr>
                <w:noProof/>
                <w:szCs w:val="22"/>
                <w:lang w:val="sr-Latn-ME"/>
              </w:rPr>
            </w:pPr>
            <w:r w:rsidRPr="006F34F9">
              <w:rPr>
                <w:noProof/>
                <w:spacing w:val="-4"/>
                <w:szCs w:val="22"/>
                <w:lang w:val="sr-Latn-ME"/>
              </w:rPr>
              <w:t>I</w:t>
            </w:r>
            <w:r w:rsidRPr="006F34F9">
              <w:rPr>
                <w:noProof/>
                <w:szCs w:val="22"/>
                <w:lang w:val="sr-Latn-ME"/>
              </w:rPr>
              <w:t>n</w:t>
            </w:r>
            <w:r w:rsidRPr="006F34F9">
              <w:rPr>
                <w:noProof/>
                <w:spacing w:val="1"/>
                <w:szCs w:val="22"/>
                <w:lang w:val="sr-Latn-ME"/>
              </w:rPr>
              <w:t>f</w:t>
            </w:r>
            <w:r w:rsidRPr="006F34F9">
              <w:rPr>
                <w:noProof/>
                <w:szCs w:val="22"/>
                <w:lang w:val="sr-Latn-ME"/>
              </w:rPr>
              <w:t>e</w:t>
            </w:r>
            <w:r w:rsidRPr="006F34F9">
              <w:rPr>
                <w:noProof/>
                <w:spacing w:val="-2"/>
                <w:szCs w:val="22"/>
                <w:lang w:val="sr-Latn-ME"/>
              </w:rPr>
              <w:t>k</w:t>
            </w:r>
            <w:r w:rsidRPr="006F34F9">
              <w:rPr>
                <w:noProof/>
                <w:szCs w:val="22"/>
                <w:lang w:val="sr-Latn-ME"/>
              </w:rPr>
              <w:t>c</w:t>
            </w:r>
            <w:r w:rsidRPr="006F34F9">
              <w:rPr>
                <w:noProof/>
                <w:spacing w:val="1"/>
                <w:szCs w:val="22"/>
                <w:lang w:val="sr-Latn-ME"/>
              </w:rPr>
              <w:t>i</w:t>
            </w:r>
            <w:r w:rsidRPr="006F34F9">
              <w:rPr>
                <w:noProof/>
                <w:spacing w:val="3"/>
                <w:szCs w:val="22"/>
                <w:lang w:val="sr-Latn-ME"/>
              </w:rPr>
              <w:t>j</w:t>
            </w:r>
            <w:r w:rsidRPr="006F34F9">
              <w:rPr>
                <w:noProof/>
                <w:szCs w:val="22"/>
                <w:lang w:val="sr-Latn-ME"/>
              </w:rPr>
              <w:t>e</w:t>
            </w:r>
            <w:r w:rsidRPr="006F34F9">
              <w:rPr>
                <w:noProof/>
                <w:spacing w:val="-2"/>
                <w:szCs w:val="22"/>
                <w:lang w:val="sr-Latn-ME"/>
              </w:rPr>
              <w:t xml:space="preserve"> </w:t>
            </w:r>
            <w:r w:rsidRPr="006F34F9">
              <w:rPr>
                <w:noProof/>
                <w:szCs w:val="22"/>
                <w:lang w:val="sr-Latn-ME"/>
              </w:rPr>
              <w:t>i</w:t>
            </w:r>
            <w:r w:rsidRPr="006F34F9">
              <w:rPr>
                <w:noProof/>
                <w:spacing w:val="1"/>
                <w:szCs w:val="22"/>
                <w:lang w:val="sr-Latn-ME"/>
              </w:rPr>
              <w:t xml:space="preserve"> </w:t>
            </w:r>
            <w:r w:rsidRPr="006F34F9">
              <w:rPr>
                <w:noProof/>
                <w:spacing w:val="-1"/>
                <w:szCs w:val="22"/>
                <w:lang w:val="sr-Latn-ME"/>
              </w:rPr>
              <w:t>i</w:t>
            </w:r>
            <w:r w:rsidRPr="006F34F9">
              <w:rPr>
                <w:noProof/>
                <w:szCs w:val="22"/>
                <w:lang w:val="sr-Latn-ME"/>
              </w:rPr>
              <w:t>n</w:t>
            </w:r>
            <w:r w:rsidRPr="006F34F9">
              <w:rPr>
                <w:noProof/>
                <w:spacing w:val="1"/>
                <w:szCs w:val="22"/>
                <w:lang w:val="sr-Latn-ME"/>
              </w:rPr>
              <w:t>f</w:t>
            </w:r>
            <w:r w:rsidRPr="006F34F9">
              <w:rPr>
                <w:noProof/>
                <w:spacing w:val="-2"/>
                <w:szCs w:val="22"/>
                <w:lang w:val="sr-Latn-ME"/>
              </w:rPr>
              <w:t>e</w:t>
            </w:r>
            <w:r w:rsidRPr="006F34F9">
              <w:rPr>
                <w:noProof/>
                <w:szCs w:val="22"/>
                <w:lang w:val="sr-Latn-ME"/>
              </w:rPr>
              <w:t>s</w:t>
            </w:r>
            <w:r w:rsidRPr="006F34F9">
              <w:rPr>
                <w:noProof/>
                <w:spacing w:val="-1"/>
                <w:szCs w:val="22"/>
                <w:lang w:val="sr-Latn-ME"/>
              </w:rPr>
              <w:t>t</w:t>
            </w:r>
            <w:r w:rsidRPr="006F34F9">
              <w:rPr>
                <w:noProof/>
                <w:szCs w:val="22"/>
                <w:lang w:val="sr-Latn-ME"/>
              </w:rPr>
              <w:t>ac</w:t>
            </w:r>
            <w:r w:rsidRPr="006F34F9">
              <w:rPr>
                <w:noProof/>
                <w:spacing w:val="-1"/>
                <w:szCs w:val="22"/>
                <w:lang w:val="sr-Latn-ME"/>
              </w:rPr>
              <w:t>i</w:t>
            </w:r>
            <w:r w:rsidRPr="006F34F9">
              <w:rPr>
                <w:noProof/>
                <w:spacing w:val="1"/>
                <w:szCs w:val="22"/>
                <w:lang w:val="sr-Latn-ME"/>
              </w:rPr>
              <w:t>j</w:t>
            </w:r>
            <w:r w:rsidRPr="006F34F9">
              <w:rPr>
                <w:noProof/>
                <w:szCs w:val="22"/>
                <w:lang w:val="sr-Latn-ME"/>
              </w:rPr>
              <w:t>e</w:t>
            </w:r>
          </w:p>
        </w:tc>
        <w:tc>
          <w:tcPr>
            <w:tcW w:w="2410" w:type="dxa"/>
            <w:tcBorders>
              <w:top w:val="single" w:sz="4" w:space="0" w:color="000000"/>
              <w:left w:val="single" w:sz="4" w:space="0" w:color="000000"/>
              <w:bottom w:val="single" w:sz="4" w:space="0" w:color="000000"/>
              <w:right w:val="single" w:sz="4" w:space="0" w:color="000000"/>
            </w:tcBorders>
            <w:hideMark/>
          </w:tcPr>
          <w:p w14:paraId="2A27B83E" w14:textId="77777777" w:rsidR="00DD0778" w:rsidRPr="00C03B89" w:rsidRDefault="00DD0778" w:rsidP="00180C9F">
            <w:pPr>
              <w:spacing w:line="246" w:lineRule="exact"/>
              <w:ind w:left="100" w:right="-20"/>
              <w:rPr>
                <w:noProof/>
                <w:szCs w:val="22"/>
                <w:lang w:val="sr-Latn-ME"/>
              </w:rPr>
            </w:pPr>
            <w:r w:rsidRPr="00C03B89">
              <w:rPr>
                <w:noProof/>
                <w:spacing w:val="1"/>
                <w:szCs w:val="22"/>
                <w:lang w:val="sr-Latn-ME"/>
              </w:rPr>
              <w:t>V</w:t>
            </w:r>
            <w:r w:rsidRPr="00C03B89">
              <w:rPr>
                <w:noProof/>
                <w:spacing w:val="-2"/>
                <w:szCs w:val="22"/>
                <w:lang w:val="sr-Latn-ME"/>
              </w:rPr>
              <w:t>eoma</w:t>
            </w:r>
            <w:r w:rsidRPr="00C03B89">
              <w:rPr>
                <w:noProof/>
                <w:szCs w:val="22"/>
                <w:lang w:val="sr-Latn-ME"/>
              </w:rPr>
              <w:t xml:space="preserve"> </w:t>
            </w:r>
            <w:r w:rsidRPr="00C03B89">
              <w:rPr>
                <w:noProof/>
                <w:spacing w:val="-2"/>
                <w:szCs w:val="22"/>
                <w:lang w:val="sr-Latn-ME"/>
              </w:rPr>
              <w:t>č</w:t>
            </w:r>
            <w:r w:rsidRPr="00C03B89">
              <w:rPr>
                <w:noProof/>
                <w:szCs w:val="22"/>
                <w:lang w:val="sr-Latn-ME"/>
              </w:rPr>
              <w:t>e</w:t>
            </w:r>
            <w:r w:rsidRPr="00C03B89">
              <w:rPr>
                <w:noProof/>
                <w:spacing w:val="-2"/>
                <w:szCs w:val="22"/>
                <w:lang w:val="sr-Latn-ME"/>
              </w:rPr>
              <w:t>s</w:t>
            </w:r>
            <w:r w:rsidRPr="00C03B89">
              <w:rPr>
                <w:noProof/>
                <w:spacing w:val="1"/>
                <w:szCs w:val="22"/>
                <w:lang w:val="sr-Latn-ME"/>
              </w:rPr>
              <w:t>t</w:t>
            </w:r>
            <w:r w:rsidRPr="00C03B89">
              <w:rPr>
                <w:noProof/>
                <w:szCs w:val="22"/>
                <w:lang w:val="sr-Latn-ME"/>
              </w:rPr>
              <w:t>o</w:t>
            </w:r>
          </w:p>
        </w:tc>
        <w:tc>
          <w:tcPr>
            <w:tcW w:w="3543" w:type="dxa"/>
            <w:tcBorders>
              <w:top w:val="single" w:sz="4" w:space="0" w:color="000000"/>
              <w:left w:val="single" w:sz="4" w:space="0" w:color="000000"/>
              <w:bottom w:val="single" w:sz="4" w:space="0" w:color="000000"/>
              <w:right w:val="single" w:sz="4" w:space="0" w:color="000000"/>
            </w:tcBorders>
            <w:hideMark/>
          </w:tcPr>
          <w:p w14:paraId="50D3EE46" w14:textId="77777777" w:rsidR="00DD0778" w:rsidRPr="00C03B89" w:rsidRDefault="00DD0778" w:rsidP="00180C9F">
            <w:pPr>
              <w:spacing w:line="246" w:lineRule="exact"/>
              <w:ind w:left="100" w:right="-20"/>
              <w:rPr>
                <w:noProof/>
                <w:szCs w:val="22"/>
                <w:lang w:val="sr-Latn-ME"/>
              </w:rPr>
            </w:pPr>
            <w:r w:rsidRPr="00C03B89">
              <w:rPr>
                <w:noProof/>
                <w:szCs w:val="22"/>
                <w:lang w:val="sr-Latn-ME"/>
              </w:rPr>
              <w:t>na</w:t>
            </w:r>
            <w:r w:rsidRPr="00C03B89">
              <w:rPr>
                <w:noProof/>
                <w:spacing w:val="-2"/>
                <w:szCs w:val="22"/>
                <w:lang w:val="sr-Latn-ME"/>
              </w:rPr>
              <w:t>z</w:t>
            </w:r>
            <w:r w:rsidRPr="00C03B89">
              <w:rPr>
                <w:noProof/>
                <w:szCs w:val="22"/>
                <w:lang w:val="sr-Latn-ME"/>
              </w:rPr>
              <w:t>o</w:t>
            </w:r>
            <w:r w:rsidRPr="00C03B89">
              <w:rPr>
                <w:noProof/>
                <w:spacing w:val="1"/>
                <w:szCs w:val="22"/>
                <w:lang w:val="sr-Latn-ME"/>
              </w:rPr>
              <w:t>f</w:t>
            </w:r>
            <w:r w:rsidRPr="00C03B89">
              <w:rPr>
                <w:noProof/>
                <w:szCs w:val="22"/>
                <w:lang w:val="sr-Latn-ME"/>
              </w:rPr>
              <w:t>a</w:t>
            </w:r>
            <w:r w:rsidRPr="00C03B89">
              <w:rPr>
                <w:noProof/>
                <w:spacing w:val="-2"/>
                <w:szCs w:val="22"/>
                <w:lang w:val="sr-Latn-ME"/>
              </w:rPr>
              <w:t>r</w:t>
            </w:r>
            <w:r w:rsidRPr="00C03B89">
              <w:rPr>
                <w:noProof/>
                <w:spacing w:val="1"/>
                <w:szCs w:val="22"/>
                <w:lang w:val="sr-Latn-ME"/>
              </w:rPr>
              <w:t>i</w:t>
            </w:r>
            <w:r w:rsidRPr="00C03B89">
              <w:rPr>
                <w:noProof/>
                <w:szCs w:val="22"/>
                <w:lang w:val="sr-Latn-ME"/>
              </w:rPr>
              <w:t>n</w:t>
            </w:r>
            <w:r w:rsidRPr="00C03B89">
              <w:rPr>
                <w:noProof/>
                <w:spacing w:val="-2"/>
                <w:szCs w:val="22"/>
                <w:lang w:val="sr-Latn-ME"/>
              </w:rPr>
              <w:t>g</w:t>
            </w:r>
            <w:r w:rsidRPr="00C03B89">
              <w:rPr>
                <w:noProof/>
                <w:spacing w:val="1"/>
                <w:szCs w:val="22"/>
                <w:lang w:val="sr-Latn-ME"/>
              </w:rPr>
              <w:t>i</w:t>
            </w:r>
            <w:r w:rsidRPr="00C03B89">
              <w:rPr>
                <w:noProof/>
                <w:spacing w:val="-1"/>
                <w:szCs w:val="22"/>
                <w:lang w:val="sr-Latn-ME"/>
              </w:rPr>
              <w:t>t</w:t>
            </w:r>
            <w:r w:rsidRPr="00C03B89">
              <w:rPr>
                <w:noProof/>
                <w:spacing w:val="1"/>
                <w:szCs w:val="22"/>
                <w:lang w:val="sr-Latn-ME"/>
              </w:rPr>
              <w:t>i</w:t>
            </w:r>
            <w:r w:rsidRPr="00C03B89">
              <w:rPr>
                <w:noProof/>
                <w:szCs w:val="22"/>
                <w:lang w:val="sr-Latn-ME"/>
              </w:rPr>
              <w:t>s</w:t>
            </w:r>
          </w:p>
        </w:tc>
      </w:tr>
      <w:tr w:rsidR="00DD0778" w:rsidRPr="006F34F9" w14:paraId="143BBA55" w14:textId="77777777" w:rsidTr="00C25965">
        <w:trPr>
          <w:trHeight w:hRule="exact" w:val="1864"/>
        </w:trPr>
        <w:tc>
          <w:tcPr>
            <w:tcW w:w="3119" w:type="dxa"/>
            <w:vMerge/>
            <w:tcBorders>
              <w:left w:val="single" w:sz="4" w:space="0" w:color="000000"/>
              <w:right w:val="single" w:sz="4" w:space="0" w:color="000000"/>
            </w:tcBorders>
            <w:vAlign w:val="center"/>
            <w:hideMark/>
          </w:tcPr>
          <w:p w14:paraId="6C439772" w14:textId="77777777" w:rsidR="00DD0778" w:rsidRPr="006F34F9" w:rsidRDefault="00DD0778" w:rsidP="00180C9F">
            <w:pPr>
              <w:tabs>
                <w:tab w:val="clear" w:pos="284"/>
              </w:tabs>
              <w:jc w:val="center"/>
              <w:rPr>
                <w:noProof/>
                <w:szCs w:val="22"/>
                <w:lang w:val="sr-Latn-ME"/>
              </w:rPr>
            </w:pPr>
          </w:p>
        </w:tc>
        <w:tc>
          <w:tcPr>
            <w:tcW w:w="2410" w:type="dxa"/>
            <w:tcBorders>
              <w:top w:val="single" w:sz="4" w:space="0" w:color="000000"/>
              <w:left w:val="single" w:sz="4" w:space="0" w:color="000000"/>
              <w:bottom w:val="single" w:sz="4" w:space="0" w:color="000000"/>
              <w:right w:val="single" w:sz="4" w:space="0" w:color="000000"/>
            </w:tcBorders>
            <w:hideMark/>
          </w:tcPr>
          <w:p w14:paraId="7815EB5E" w14:textId="2E2D0A56" w:rsidR="00DD0778" w:rsidRPr="00C03B89" w:rsidRDefault="004D3C68" w:rsidP="00180C9F">
            <w:pPr>
              <w:spacing w:line="248" w:lineRule="exact"/>
              <w:ind w:left="100" w:right="-20"/>
              <w:rPr>
                <w:noProof/>
                <w:szCs w:val="22"/>
                <w:lang w:val="sr-Latn-ME"/>
              </w:rPr>
            </w:pPr>
            <w:r w:rsidRPr="00C03B89">
              <w:rPr>
                <w:noProof/>
                <w:spacing w:val="-1"/>
                <w:szCs w:val="22"/>
                <w:lang w:val="sr-Latn-ME"/>
              </w:rPr>
              <w:t xml:space="preserve"> </w:t>
            </w:r>
            <w:r w:rsidR="00DD0778" w:rsidRPr="00C03B89">
              <w:rPr>
                <w:noProof/>
                <w:spacing w:val="-1"/>
                <w:szCs w:val="22"/>
                <w:lang w:val="sr-Latn-ME"/>
              </w:rPr>
              <w:t>Č</w:t>
            </w:r>
            <w:r w:rsidR="00DD0778" w:rsidRPr="00C03B89">
              <w:rPr>
                <w:noProof/>
                <w:szCs w:val="22"/>
                <w:lang w:val="sr-Latn-ME"/>
              </w:rPr>
              <w:t>es</w:t>
            </w:r>
            <w:r w:rsidR="00DD0778" w:rsidRPr="00C03B89">
              <w:rPr>
                <w:noProof/>
                <w:spacing w:val="1"/>
                <w:szCs w:val="22"/>
                <w:lang w:val="sr-Latn-ME"/>
              </w:rPr>
              <w:t>t</w:t>
            </w:r>
            <w:r w:rsidR="00DD0778" w:rsidRPr="00C03B89">
              <w:rPr>
                <w:noProof/>
                <w:szCs w:val="22"/>
                <w:lang w:val="sr-Latn-ME"/>
              </w:rPr>
              <w:t>o</w:t>
            </w:r>
          </w:p>
        </w:tc>
        <w:tc>
          <w:tcPr>
            <w:tcW w:w="3543" w:type="dxa"/>
            <w:tcBorders>
              <w:top w:val="single" w:sz="4" w:space="0" w:color="000000"/>
              <w:left w:val="single" w:sz="4" w:space="0" w:color="000000"/>
              <w:bottom w:val="single" w:sz="4" w:space="0" w:color="000000"/>
              <w:right w:val="single" w:sz="4" w:space="0" w:color="000000"/>
            </w:tcBorders>
            <w:hideMark/>
          </w:tcPr>
          <w:p w14:paraId="46570A87" w14:textId="67E965F7" w:rsidR="00DD0778" w:rsidRPr="00C03B89" w:rsidRDefault="00387C91" w:rsidP="004D3C68">
            <w:pPr>
              <w:spacing w:line="248" w:lineRule="exact"/>
              <w:ind w:left="100" w:right="-20"/>
              <w:jc w:val="left"/>
              <w:rPr>
                <w:noProof/>
                <w:szCs w:val="22"/>
                <w:lang w:val="sr-Latn-ME"/>
              </w:rPr>
            </w:pPr>
            <w:r w:rsidRPr="00C03B89">
              <w:rPr>
                <w:noProof/>
                <w:spacing w:val="1"/>
                <w:szCs w:val="22"/>
                <w:lang w:val="sr-Latn-ME"/>
              </w:rPr>
              <w:t>p</w:t>
            </w:r>
            <w:r w:rsidR="0035691F" w:rsidRPr="00C03B89">
              <w:rPr>
                <w:noProof/>
                <w:spacing w:val="1"/>
                <w:szCs w:val="22"/>
                <w:lang w:val="sr-Latn-ME"/>
              </w:rPr>
              <w:t>neumonija,</w:t>
            </w:r>
            <w:r w:rsidRPr="00C03B89">
              <w:rPr>
                <w:noProof/>
                <w:szCs w:val="22"/>
                <w:lang w:val="sr-Latn-ME"/>
              </w:rPr>
              <w:t xml:space="preserve"> infekcija uzrokovana bakterijom </w:t>
            </w:r>
            <w:r w:rsidRPr="00C03B89">
              <w:rPr>
                <w:i/>
                <w:iCs/>
                <w:szCs w:val="22"/>
                <w:lang w:eastAsia="ja-JP"/>
              </w:rPr>
              <w:t>Clostridium difficile</w:t>
            </w:r>
            <w:r w:rsidR="0035691F" w:rsidRPr="00C03B89">
              <w:rPr>
                <w:szCs w:val="22"/>
                <w:lang w:eastAsia="ja-JP"/>
              </w:rPr>
              <w:t>,</w:t>
            </w:r>
            <w:r w:rsidR="0035691F" w:rsidRPr="00C03B89">
              <w:rPr>
                <w:noProof/>
                <w:szCs w:val="22"/>
                <w:lang w:val="sr-Latn-ME"/>
              </w:rPr>
              <w:t xml:space="preserve"> </w:t>
            </w:r>
            <w:r w:rsidR="00DD0778" w:rsidRPr="00C03B89">
              <w:rPr>
                <w:noProof/>
                <w:szCs w:val="22"/>
                <w:lang w:val="sr-Latn-ME"/>
              </w:rPr>
              <w:t>b</w:t>
            </w:r>
            <w:r w:rsidR="00DD0778" w:rsidRPr="00C03B89">
              <w:rPr>
                <w:noProof/>
                <w:spacing w:val="1"/>
                <w:szCs w:val="22"/>
                <w:lang w:val="sr-Latn-ME"/>
              </w:rPr>
              <w:t>r</w:t>
            </w:r>
            <w:r w:rsidR="00DD0778" w:rsidRPr="00C03B89">
              <w:rPr>
                <w:noProof/>
                <w:szCs w:val="22"/>
                <w:lang w:val="sr-Latn-ME"/>
              </w:rPr>
              <w:t>on</w:t>
            </w:r>
            <w:r w:rsidR="00DD0778" w:rsidRPr="00C03B89">
              <w:rPr>
                <w:noProof/>
                <w:spacing w:val="-2"/>
                <w:szCs w:val="22"/>
                <w:lang w:val="sr-Latn-ME"/>
              </w:rPr>
              <w:t>h</w:t>
            </w:r>
            <w:r w:rsidR="00DD0778" w:rsidRPr="00C03B89">
              <w:rPr>
                <w:noProof/>
                <w:spacing w:val="1"/>
                <w:szCs w:val="22"/>
                <w:lang w:val="sr-Latn-ME"/>
              </w:rPr>
              <w:t>i</w:t>
            </w:r>
            <w:r w:rsidR="00DD0778" w:rsidRPr="00C03B89">
              <w:rPr>
                <w:noProof/>
                <w:spacing w:val="-1"/>
                <w:szCs w:val="22"/>
                <w:lang w:val="sr-Latn-ME"/>
              </w:rPr>
              <w:t>t</w:t>
            </w:r>
            <w:r w:rsidR="00DD0778" w:rsidRPr="00C03B89">
              <w:rPr>
                <w:noProof/>
                <w:spacing w:val="1"/>
                <w:szCs w:val="22"/>
                <w:lang w:val="sr-Latn-ME"/>
              </w:rPr>
              <w:t>i</w:t>
            </w:r>
            <w:r w:rsidR="00DD0778" w:rsidRPr="00C03B89">
              <w:rPr>
                <w:noProof/>
                <w:szCs w:val="22"/>
                <w:lang w:val="sr-Latn-ME"/>
              </w:rPr>
              <w:t xml:space="preserve">s, </w:t>
            </w:r>
            <w:r w:rsidR="00DD0778" w:rsidRPr="00C03B89">
              <w:rPr>
                <w:noProof/>
                <w:spacing w:val="-2"/>
                <w:szCs w:val="22"/>
                <w:lang w:val="sr-Latn-ME"/>
              </w:rPr>
              <w:t>g</w:t>
            </w:r>
            <w:r w:rsidR="00DD0778" w:rsidRPr="00C03B89">
              <w:rPr>
                <w:noProof/>
                <w:szCs w:val="22"/>
                <w:lang w:val="sr-Latn-ME"/>
              </w:rPr>
              <w:t>a</w:t>
            </w:r>
            <w:r w:rsidR="00DD0778" w:rsidRPr="00C03B89">
              <w:rPr>
                <w:noProof/>
                <w:spacing w:val="-2"/>
                <w:szCs w:val="22"/>
                <w:lang w:val="sr-Latn-ME"/>
              </w:rPr>
              <w:t>s</w:t>
            </w:r>
            <w:r w:rsidR="00DD0778" w:rsidRPr="00C03B89">
              <w:rPr>
                <w:noProof/>
                <w:spacing w:val="1"/>
                <w:szCs w:val="22"/>
                <w:lang w:val="sr-Latn-ME"/>
              </w:rPr>
              <w:t>tr</w:t>
            </w:r>
            <w:r w:rsidR="00DD0778" w:rsidRPr="00C03B89">
              <w:rPr>
                <w:noProof/>
                <w:szCs w:val="22"/>
                <w:lang w:val="sr-Latn-ME"/>
              </w:rPr>
              <w:t>o</w:t>
            </w:r>
            <w:r w:rsidR="00DD0778" w:rsidRPr="00C03B89">
              <w:rPr>
                <w:noProof/>
                <w:spacing w:val="-2"/>
                <w:szCs w:val="22"/>
                <w:lang w:val="sr-Latn-ME"/>
              </w:rPr>
              <w:t>e</w:t>
            </w:r>
            <w:r w:rsidR="00DD0778" w:rsidRPr="00C03B89">
              <w:rPr>
                <w:noProof/>
                <w:szCs w:val="22"/>
                <w:lang w:val="sr-Latn-ME"/>
              </w:rPr>
              <w:t>n</w:t>
            </w:r>
            <w:r w:rsidR="00DD0778" w:rsidRPr="00C03B89">
              <w:rPr>
                <w:noProof/>
                <w:spacing w:val="1"/>
                <w:szCs w:val="22"/>
                <w:lang w:val="sr-Latn-ME"/>
              </w:rPr>
              <w:t>t</w:t>
            </w:r>
            <w:r w:rsidR="00DD0778" w:rsidRPr="00C03B89">
              <w:rPr>
                <w:noProof/>
                <w:spacing w:val="-2"/>
                <w:szCs w:val="22"/>
                <w:lang w:val="sr-Latn-ME"/>
              </w:rPr>
              <w:t>e</w:t>
            </w:r>
            <w:r w:rsidR="00DD0778" w:rsidRPr="00C03B89">
              <w:rPr>
                <w:noProof/>
                <w:spacing w:val="1"/>
                <w:szCs w:val="22"/>
                <w:lang w:val="sr-Latn-ME"/>
              </w:rPr>
              <w:t>r</w:t>
            </w:r>
            <w:r w:rsidR="00DD0778" w:rsidRPr="00C03B89">
              <w:rPr>
                <w:noProof/>
                <w:spacing w:val="-1"/>
                <w:szCs w:val="22"/>
                <w:lang w:val="sr-Latn-ME"/>
              </w:rPr>
              <w:t>it</w:t>
            </w:r>
            <w:r w:rsidR="00DD0778" w:rsidRPr="00C03B89">
              <w:rPr>
                <w:noProof/>
                <w:spacing w:val="1"/>
                <w:szCs w:val="22"/>
                <w:lang w:val="sr-Latn-ME"/>
              </w:rPr>
              <w:t>i</w:t>
            </w:r>
            <w:r w:rsidR="00DD0778" w:rsidRPr="00C03B89">
              <w:rPr>
                <w:noProof/>
                <w:szCs w:val="22"/>
                <w:lang w:val="sr-Latn-ME"/>
              </w:rPr>
              <w:t>s,</w:t>
            </w:r>
            <w:r w:rsidR="00D066B7" w:rsidRPr="00C03B89">
              <w:rPr>
                <w:noProof/>
                <w:szCs w:val="22"/>
                <w:lang w:val="sr-Latn-ME"/>
              </w:rPr>
              <w:t xml:space="preserve"> </w:t>
            </w:r>
            <w:r w:rsidR="00DD0778" w:rsidRPr="00C03B89">
              <w:rPr>
                <w:noProof/>
                <w:spacing w:val="1"/>
                <w:szCs w:val="22"/>
                <w:lang w:val="sr-Latn-ME"/>
              </w:rPr>
              <w:t>i</w:t>
            </w:r>
            <w:r w:rsidR="00DD0778" w:rsidRPr="00C03B89">
              <w:rPr>
                <w:noProof/>
                <w:spacing w:val="-2"/>
                <w:szCs w:val="22"/>
                <w:lang w:val="sr-Latn-ME"/>
              </w:rPr>
              <w:t>n</w:t>
            </w:r>
            <w:r w:rsidR="00DD0778" w:rsidRPr="00C03B89">
              <w:rPr>
                <w:noProof/>
                <w:spacing w:val="1"/>
                <w:szCs w:val="22"/>
                <w:lang w:val="sr-Latn-ME"/>
              </w:rPr>
              <w:t>f</w:t>
            </w:r>
            <w:r w:rsidR="00DD0778" w:rsidRPr="00C03B89">
              <w:rPr>
                <w:noProof/>
                <w:szCs w:val="22"/>
                <w:lang w:val="sr-Latn-ME"/>
              </w:rPr>
              <w:t>e</w:t>
            </w:r>
            <w:r w:rsidR="00DD0778" w:rsidRPr="00C03B89">
              <w:rPr>
                <w:noProof/>
                <w:spacing w:val="-2"/>
                <w:szCs w:val="22"/>
                <w:lang w:val="sr-Latn-ME"/>
              </w:rPr>
              <w:t>k</w:t>
            </w:r>
            <w:r w:rsidR="00DD0778" w:rsidRPr="00C03B89">
              <w:rPr>
                <w:noProof/>
                <w:szCs w:val="22"/>
                <w:lang w:val="sr-Latn-ME"/>
              </w:rPr>
              <w:t>c</w:t>
            </w:r>
            <w:r w:rsidR="00DD0778" w:rsidRPr="00C03B89">
              <w:rPr>
                <w:noProof/>
                <w:spacing w:val="-1"/>
                <w:szCs w:val="22"/>
                <w:lang w:val="sr-Latn-ME"/>
              </w:rPr>
              <w:t>i</w:t>
            </w:r>
            <w:r w:rsidR="00DD0778" w:rsidRPr="00C03B89">
              <w:rPr>
                <w:noProof/>
                <w:szCs w:val="22"/>
                <w:lang w:val="sr-Latn-ME"/>
              </w:rPr>
              <w:t xml:space="preserve">ja </w:t>
            </w:r>
            <w:r w:rsidR="00DD0778" w:rsidRPr="00C03B89">
              <w:rPr>
                <w:noProof/>
                <w:spacing w:val="-2"/>
                <w:szCs w:val="22"/>
                <w:lang w:val="sr-Latn-ME"/>
              </w:rPr>
              <w:t>g</w:t>
            </w:r>
            <w:r w:rsidR="00DD0778" w:rsidRPr="00C03B89">
              <w:rPr>
                <w:noProof/>
                <w:szCs w:val="22"/>
                <w:lang w:val="sr-Latn-ME"/>
              </w:rPr>
              <w:t>o</w:t>
            </w:r>
            <w:r w:rsidR="00DD0778" w:rsidRPr="00C03B89">
              <w:rPr>
                <w:noProof/>
                <w:spacing w:val="1"/>
                <w:szCs w:val="22"/>
                <w:lang w:val="sr-Latn-ME"/>
              </w:rPr>
              <w:t>r</w:t>
            </w:r>
            <w:r w:rsidR="00DD0778" w:rsidRPr="00C03B89">
              <w:rPr>
                <w:noProof/>
                <w:szCs w:val="22"/>
                <w:lang w:val="sr-Latn-ME"/>
              </w:rPr>
              <w:t>n</w:t>
            </w:r>
            <w:r w:rsidR="00DD0778" w:rsidRPr="00C03B89">
              <w:rPr>
                <w:noProof/>
                <w:spacing w:val="1"/>
                <w:szCs w:val="22"/>
                <w:lang w:val="sr-Latn-ME"/>
              </w:rPr>
              <w:t>j</w:t>
            </w:r>
            <w:r w:rsidR="00DD0778" w:rsidRPr="00C03B89">
              <w:rPr>
                <w:noProof/>
                <w:szCs w:val="22"/>
                <w:lang w:val="sr-Latn-ME"/>
              </w:rPr>
              <w:t>ih</w:t>
            </w:r>
            <w:r w:rsidR="00DD0778" w:rsidRPr="00C03B89">
              <w:rPr>
                <w:noProof/>
                <w:spacing w:val="-2"/>
                <w:szCs w:val="22"/>
                <w:lang w:val="sr-Latn-ME"/>
              </w:rPr>
              <w:t xml:space="preserve"> disajnih puteva</w:t>
            </w:r>
            <w:r w:rsidR="00DD0778" w:rsidRPr="00C03B89">
              <w:rPr>
                <w:noProof/>
                <w:szCs w:val="22"/>
                <w:lang w:val="sr-Latn-ME"/>
              </w:rPr>
              <w:t xml:space="preserve">, </w:t>
            </w:r>
            <w:r w:rsidR="00DD0778" w:rsidRPr="00C03B89">
              <w:rPr>
                <w:noProof/>
                <w:spacing w:val="-2"/>
                <w:szCs w:val="22"/>
                <w:lang w:val="sr-Latn-ME"/>
              </w:rPr>
              <w:t>g</w:t>
            </w:r>
            <w:r w:rsidR="00DD0778" w:rsidRPr="00C03B89">
              <w:rPr>
                <w:noProof/>
                <w:spacing w:val="1"/>
                <w:szCs w:val="22"/>
                <w:lang w:val="sr-Latn-ME"/>
              </w:rPr>
              <w:t>r</w:t>
            </w:r>
            <w:r w:rsidR="00DD0778" w:rsidRPr="00C03B89">
              <w:rPr>
                <w:noProof/>
                <w:spacing w:val="-1"/>
                <w:szCs w:val="22"/>
                <w:lang w:val="sr-Latn-ME"/>
              </w:rPr>
              <w:t>i</w:t>
            </w:r>
            <w:r w:rsidR="00DD0778" w:rsidRPr="00C03B89">
              <w:rPr>
                <w:noProof/>
                <w:szCs w:val="22"/>
                <w:lang w:val="sr-Latn-ME"/>
              </w:rPr>
              <w:t>p, s</w:t>
            </w:r>
            <w:r w:rsidR="00DD0778" w:rsidRPr="00C03B89">
              <w:rPr>
                <w:noProof/>
                <w:spacing w:val="1"/>
                <w:szCs w:val="22"/>
                <w:lang w:val="sr-Latn-ME"/>
              </w:rPr>
              <w:t>i</w:t>
            </w:r>
            <w:r w:rsidR="00DD0778" w:rsidRPr="00C03B89">
              <w:rPr>
                <w:noProof/>
                <w:szCs w:val="22"/>
                <w:lang w:val="sr-Latn-ME"/>
              </w:rPr>
              <w:t>n</w:t>
            </w:r>
            <w:r w:rsidR="00DD0778" w:rsidRPr="00C03B89">
              <w:rPr>
                <w:noProof/>
                <w:spacing w:val="-2"/>
                <w:szCs w:val="22"/>
                <w:lang w:val="sr-Latn-ME"/>
              </w:rPr>
              <w:t>u</w:t>
            </w:r>
            <w:r w:rsidR="00DD0778" w:rsidRPr="00C03B89">
              <w:rPr>
                <w:noProof/>
                <w:szCs w:val="22"/>
                <w:lang w:val="sr-Latn-ME"/>
              </w:rPr>
              <w:t>z</w:t>
            </w:r>
            <w:r w:rsidR="00DD0778" w:rsidRPr="00C03B89">
              <w:rPr>
                <w:noProof/>
                <w:spacing w:val="-1"/>
                <w:szCs w:val="22"/>
                <w:lang w:val="sr-Latn-ME"/>
              </w:rPr>
              <w:t>i</w:t>
            </w:r>
            <w:r w:rsidR="00DD0778" w:rsidRPr="00C03B89">
              <w:rPr>
                <w:noProof/>
                <w:spacing w:val="1"/>
                <w:szCs w:val="22"/>
                <w:lang w:val="sr-Latn-ME"/>
              </w:rPr>
              <w:t>ti</w:t>
            </w:r>
            <w:r w:rsidR="00DD0778" w:rsidRPr="00C03B89">
              <w:rPr>
                <w:noProof/>
                <w:spacing w:val="-2"/>
                <w:szCs w:val="22"/>
                <w:lang w:val="sr-Latn-ME"/>
              </w:rPr>
              <w:t>s</w:t>
            </w:r>
            <w:r w:rsidR="00DD0778" w:rsidRPr="00C03B89">
              <w:rPr>
                <w:noProof/>
                <w:szCs w:val="22"/>
                <w:lang w:val="sr-Latn-ME"/>
              </w:rPr>
              <w:t xml:space="preserve">, </w:t>
            </w:r>
            <w:r w:rsidR="00DD0778" w:rsidRPr="00C03B89">
              <w:rPr>
                <w:noProof/>
                <w:spacing w:val="1"/>
                <w:szCs w:val="22"/>
                <w:lang w:val="sr-Latn-ME"/>
              </w:rPr>
              <w:t>f</w:t>
            </w:r>
            <w:r w:rsidR="00DD0778" w:rsidRPr="00C03B89">
              <w:rPr>
                <w:noProof/>
                <w:spacing w:val="-2"/>
                <w:szCs w:val="22"/>
                <w:lang w:val="sr-Latn-ME"/>
              </w:rPr>
              <w:t>a</w:t>
            </w:r>
            <w:r w:rsidR="00DD0778" w:rsidRPr="00C03B89">
              <w:rPr>
                <w:noProof/>
                <w:spacing w:val="1"/>
                <w:szCs w:val="22"/>
                <w:lang w:val="sr-Latn-ME"/>
              </w:rPr>
              <w:t>r</w:t>
            </w:r>
            <w:r w:rsidR="00DD0778" w:rsidRPr="00C03B89">
              <w:rPr>
                <w:noProof/>
                <w:spacing w:val="-1"/>
                <w:szCs w:val="22"/>
                <w:lang w:val="sr-Latn-ME"/>
              </w:rPr>
              <w:t>i</w:t>
            </w:r>
            <w:r w:rsidR="00DD0778" w:rsidRPr="00C03B89">
              <w:rPr>
                <w:noProof/>
                <w:szCs w:val="22"/>
                <w:lang w:val="sr-Latn-ME"/>
              </w:rPr>
              <w:t>n</w:t>
            </w:r>
            <w:r w:rsidR="00DD0778" w:rsidRPr="00C03B89">
              <w:rPr>
                <w:noProof/>
                <w:spacing w:val="-2"/>
                <w:szCs w:val="22"/>
                <w:lang w:val="sr-Latn-ME"/>
              </w:rPr>
              <w:t>g</w:t>
            </w:r>
            <w:r w:rsidR="00DD0778" w:rsidRPr="00C03B89">
              <w:rPr>
                <w:noProof/>
                <w:spacing w:val="1"/>
                <w:szCs w:val="22"/>
                <w:lang w:val="sr-Latn-ME"/>
              </w:rPr>
              <w:t>it</w:t>
            </w:r>
            <w:r w:rsidR="00DD0778" w:rsidRPr="00C03B89">
              <w:rPr>
                <w:noProof/>
                <w:spacing w:val="-1"/>
                <w:szCs w:val="22"/>
                <w:lang w:val="sr-Latn-ME"/>
              </w:rPr>
              <w:t>i</w:t>
            </w:r>
            <w:r w:rsidR="00DD0778" w:rsidRPr="00C03B89">
              <w:rPr>
                <w:noProof/>
                <w:szCs w:val="22"/>
                <w:lang w:val="sr-Latn-ME"/>
              </w:rPr>
              <w:t>s</w:t>
            </w:r>
            <w:r w:rsidR="0035691F" w:rsidRPr="00C03B89">
              <w:rPr>
                <w:noProof/>
                <w:szCs w:val="22"/>
                <w:lang w:val="sr-Latn-ME"/>
              </w:rPr>
              <w:t>, herpes zoster</w:t>
            </w:r>
          </w:p>
        </w:tc>
      </w:tr>
      <w:tr w:rsidR="00ED3186" w:rsidRPr="006F34F9" w14:paraId="24F401AC" w14:textId="77777777" w:rsidTr="0066419A">
        <w:trPr>
          <w:trHeight w:val="996"/>
        </w:trPr>
        <w:tc>
          <w:tcPr>
            <w:tcW w:w="3119" w:type="dxa"/>
            <w:vMerge/>
            <w:tcBorders>
              <w:left w:val="single" w:sz="4" w:space="0" w:color="000000"/>
              <w:right w:val="single" w:sz="4" w:space="0" w:color="000000"/>
            </w:tcBorders>
            <w:vAlign w:val="center"/>
            <w:hideMark/>
          </w:tcPr>
          <w:p w14:paraId="526807D3" w14:textId="77777777" w:rsidR="00ED3186" w:rsidRPr="006F34F9" w:rsidRDefault="00ED3186" w:rsidP="00180C9F">
            <w:pPr>
              <w:tabs>
                <w:tab w:val="clear" w:pos="284"/>
              </w:tabs>
              <w:jc w:val="center"/>
              <w:rPr>
                <w:noProof/>
                <w:szCs w:val="22"/>
                <w:lang w:val="sr-Latn-ME"/>
              </w:rPr>
            </w:pPr>
          </w:p>
        </w:tc>
        <w:tc>
          <w:tcPr>
            <w:tcW w:w="2410" w:type="dxa"/>
            <w:tcBorders>
              <w:top w:val="single" w:sz="4" w:space="0" w:color="000000"/>
              <w:left w:val="single" w:sz="4" w:space="0" w:color="000000"/>
              <w:right w:val="single" w:sz="4" w:space="0" w:color="000000"/>
            </w:tcBorders>
            <w:hideMark/>
          </w:tcPr>
          <w:p w14:paraId="7C010549" w14:textId="77777777" w:rsidR="00ED3186" w:rsidRPr="00C03B89" w:rsidRDefault="00ED3186" w:rsidP="00180C9F">
            <w:pPr>
              <w:spacing w:line="246" w:lineRule="exact"/>
              <w:ind w:left="100" w:right="-20"/>
              <w:rPr>
                <w:noProof/>
                <w:szCs w:val="22"/>
                <w:lang w:val="sr-Latn-ME"/>
              </w:rPr>
            </w:pPr>
            <w:r w:rsidRPr="00C03B89">
              <w:rPr>
                <w:noProof/>
                <w:szCs w:val="22"/>
                <w:lang w:val="sr-Latn-ME"/>
              </w:rPr>
              <w:t>Povremeno</w:t>
            </w:r>
          </w:p>
        </w:tc>
        <w:tc>
          <w:tcPr>
            <w:tcW w:w="3543" w:type="dxa"/>
            <w:tcBorders>
              <w:top w:val="single" w:sz="4" w:space="0" w:color="000000"/>
              <w:left w:val="single" w:sz="4" w:space="0" w:color="000000"/>
              <w:right w:val="single" w:sz="4" w:space="0" w:color="000000"/>
            </w:tcBorders>
            <w:hideMark/>
          </w:tcPr>
          <w:p w14:paraId="4E34C757" w14:textId="77777777" w:rsidR="00ED3186" w:rsidRPr="00C03B89" w:rsidRDefault="00ED3186" w:rsidP="00180C9F">
            <w:pPr>
              <w:spacing w:line="246" w:lineRule="exact"/>
              <w:ind w:left="100" w:right="-20"/>
              <w:rPr>
                <w:noProof/>
                <w:szCs w:val="22"/>
                <w:lang w:val="sr-Latn-ME"/>
              </w:rPr>
            </w:pPr>
            <w:r w:rsidRPr="00C03B89">
              <w:rPr>
                <w:noProof/>
                <w:spacing w:val="1"/>
                <w:szCs w:val="22"/>
                <w:lang w:val="sr-Latn-ME"/>
              </w:rPr>
              <w:t>respiratorne infekcije</w:t>
            </w:r>
            <w:r w:rsidRPr="00C03B89">
              <w:rPr>
                <w:noProof/>
                <w:szCs w:val="22"/>
                <w:lang w:val="sr-Latn-ME"/>
              </w:rPr>
              <w:t>,</w:t>
            </w:r>
          </w:p>
          <w:p w14:paraId="59D03E54" w14:textId="56E74BF9" w:rsidR="00ED3186" w:rsidRPr="00C03B89" w:rsidRDefault="00ED3186" w:rsidP="00180C9F">
            <w:pPr>
              <w:spacing w:before="1" w:line="254" w:lineRule="exact"/>
              <w:ind w:left="100" w:right="284"/>
              <w:rPr>
                <w:noProof/>
                <w:szCs w:val="22"/>
                <w:lang w:val="sr-Latn-ME"/>
              </w:rPr>
            </w:pPr>
            <w:r w:rsidRPr="00C03B89">
              <w:rPr>
                <w:noProof/>
                <w:spacing w:val="-2"/>
                <w:szCs w:val="22"/>
                <w:lang w:val="sr-Latn-ME"/>
              </w:rPr>
              <w:t>v</w:t>
            </w:r>
            <w:r w:rsidRPr="00C03B89">
              <w:rPr>
                <w:noProof/>
                <w:szCs w:val="22"/>
                <w:lang w:val="sr-Latn-ME"/>
              </w:rPr>
              <w:t>u</w:t>
            </w:r>
            <w:r w:rsidRPr="00C03B89">
              <w:rPr>
                <w:noProof/>
                <w:spacing w:val="1"/>
                <w:szCs w:val="22"/>
                <w:lang w:val="sr-Latn-ME"/>
              </w:rPr>
              <w:t>l</w:t>
            </w:r>
            <w:r w:rsidRPr="00C03B89">
              <w:rPr>
                <w:noProof/>
                <w:spacing w:val="-2"/>
                <w:szCs w:val="22"/>
                <w:lang w:val="sr-Latn-ME"/>
              </w:rPr>
              <w:t>v</w:t>
            </w:r>
            <w:r w:rsidRPr="00C03B89">
              <w:rPr>
                <w:noProof/>
                <w:spacing w:val="2"/>
                <w:szCs w:val="22"/>
                <w:lang w:val="sr-Latn-ME"/>
              </w:rPr>
              <w:t>o</w:t>
            </w:r>
            <w:r w:rsidRPr="00C03B89">
              <w:rPr>
                <w:noProof/>
                <w:spacing w:val="-2"/>
                <w:szCs w:val="22"/>
                <w:lang w:val="sr-Latn-ME"/>
              </w:rPr>
              <w:t>v</w:t>
            </w:r>
            <w:r w:rsidRPr="00C03B89">
              <w:rPr>
                <w:noProof/>
                <w:szCs w:val="22"/>
                <w:lang w:val="sr-Latn-ME"/>
              </w:rPr>
              <w:t>a</w:t>
            </w:r>
            <w:r w:rsidRPr="00C03B89">
              <w:rPr>
                <w:noProof/>
                <w:spacing w:val="-2"/>
                <w:szCs w:val="22"/>
                <w:lang w:val="sr-Latn-ME"/>
              </w:rPr>
              <w:t>g</w:t>
            </w:r>
            <w:r w:rsidRPr="00C03B89">
              <w:rPr>
                <w:noProof/>
                <w:spacing w:val="1"/>
                <w:szCs w:val="22"/>
                <w:lang w:val="sr-Latn-ME"/>
              </w:rPr>
              <w:t>i</w:t>
            </w:r>
            <w:r w:rsidRPr="00C03B89">
              <w:rPr>
                <w:noProof/>
                <w:szCs w:val="22"/>
                <w:lang w:val="sr-Latn-ME"/>
              </w:rPr>
              <w:t>na</w:t>
            </w:r>
            <w:r w:rsidRPr="00C03B89">
              <w:rPr>
                <w:noProof/>
                <w:spacing w:val="1"/>
                <w:szCs w:val="22"/>
                <w:lang w:val="sr-Latn-ME"/>
              </w:rPr>
              <w:t>l</w:t>
            </w:r>
            <w:r w:rsidRPr="00C03B89">
              <w:rPr>
                <w:noProof/>
                <w:szCs w:val="22"/>
                <w:lang w:val="sr-Latn-ME"/>
              </w:rPr>
              <w:t>na</w:t>
            </w:r>
            <w:r w:rsidRPr="00C03B89">
              <w:rPr>
                <w:noProof/>
                <w:spacing w:val="1"/>
                <w:szCs w:val="22"/>
                <w:lang w:val="sr-Latn-ME"/>
              </w:rPr>
              <w:t xml:space="preserve"> </w:t>
            </w:r>
            <w:r w:rsidRPr="00C03B89">
              <w:rPr>
                <w:noProof/>
                <w:spacing w:val="-2"/>
                <w:szCs w:val="22"/>
                <w:lang w:val="sr-Latn-ME"/>
              </w:rPr>
              <w:t>k</w:t>
            </w:r>
            <w:r w:rsidRPr="00C03B89">
              <w:rPr>
                <w:noProof/>
                <w:szCs w:val="22"/>
                <w:lang w:val="sr-Latn-ME"/>
              </w:rPr>
              <w:t>and</w:t>
            </w:r>
            <w:r w:rsidRPr="00C03B89">
              <w:rPr>
                <w:noProof/>
                <w:spacing w:val="1"/>
                <w:szCs w:val="22"/>
                <w:lang w:val="sr-Latn-ME"/>
              </w:rPr>
              <w:t>i</w:t>
            </w:r>
            <w:r w:rsidRPr="00C03B89">
              <w:rPr>
                <w:noProof/>
                <w:spacing w:val="-2"/>
                <w:szCs w:val="22"/>
                <w:lang w:val="sr-Latn-ME"/>
              </w:rPr>
              <w:t>d</w:t>
            </w:r>
            <w:r w:rsidRPr="00C03B89">
              <w:rPr>
                <w:noProof/>
                <w:spacing w:val="-1"/>
                <w:szCs w:val="22"/>
                <w:lang w:val="sr-Latn-ME"/>
              </w:rPr>
              <w:t>i</w:t>
            </w:r>
            <w:r w:rsidRPr="00C03B89">
              <w:rPr>
                <w:noProof/>
                <w:spacing w:val="1"/>
                <w:szCs w:val="22"/>
                <w:lang w:val="sr-Latn-ME"/>
              </w:rPr>
              <w:t>j</w:t>
            </w:r>
            <w:r w:rsidRPr="00C03B89">
              <w:rPr>
                <w:noProof/>
                <w:szCs w:val="22"/>
                <w:lang w:val="sr-Latn-ME"/>
              </w:rPr>
              <w:t>a</w:t>
            </w:r>
            <w:r w:rsidRPr="00C03B89">
              <w:rPr>
                <w:noProof/>
                <w:spacing w:val="-2"/>
                <w:szCs w:val="22"/>
                <w:lang w:val="sr-Latn-ME"/>
              </w:rPr>
              <w:t>z</w:t>
            </w:r>
            <w:r w:rsidRPr="00C03B89">
              <w:rPr>
                <w:noProof/>
                <w:szCs w:val="22"/>
                <w:lang w:val="sr-Latn-ME"/>
              </w:rPr>
              <w:t>a, o</w:t>
            </w:r>
            <w:r w:rsidRPr="00C03B89">
              <w:rPr>
                <w:noProof/>
                <w:spacing w:val="1"/>
                <w:szCs w:val="22"/>
                <w:lang w:val="sr-Latn-ME"/>
              </w:rPr>
              <w:t>r</w:t>
            </w:r>
            <w:r w:rsidRPr="00C03B89">
              <w:rPr>
                <w:noProof/>
                <w:spacing w:val="-2"/>
                <w:szCs w:val="22"/>
                <w:lang w:val="sr-Latn-ME"/>
              </w:rPr>
              <w:t>a</w:t>
            </w:r>
            <w:r w:rsidRPr="00C03B89">
              <w:rPr>
                <w:noProof/>
                <w:spacing w:val="1"/>
                <w:szCs w:val="22"/>
                <w:lang w:val="sr-Latn-ME"/>
              </w:rPr>
              <w:t>l</w:t>
            </w:r>
            <w:r w:rsidRPr="00C03B89">
              <w:rPr>
                <w:noProof/>
                <w:szCs w:val="22"/>
                <w:lang w:val="sr-Latn-ME"/>
              </w:rPr>
              <w:t xml:space="preserve">na </w:t>
            </w:r>
            <w:r w:rsidRPr="00C03B89">
              <w:rPr>
                <w:noProof/>
                <w:spacing w:val="-2"/>
                <w:szCs w:val="22"/>
                <w:lang w:val="sr-Latn-ME"/>
              </w:rPr>
              <w:t>k</w:t>
            </w:r>
            <w:r w:rsidRPr="00C03B89">
              <w:rPr>
                <w:noProof/>
                <w:szCs w:val="22"/>
                <w:lang w:val="sr-Latn-ME"/>
              </w:rPr>
              <w:t>and</w:t>
            </w:r>
            <w:r w:rsidRPr="00C03B89">
              <w:rPr>
                <w:noProof/>
                <w:spacing w:val="1"/>
                <w:szCs w:val="22"/>
                <w:lang w:val="sr-Latn-ME"/>
              </w:rPr>
              <w:t>i</w:t>
            </w:r>
            <w:r w:rsidRPr="00C03B89">
              <w:rPr>
                <w:noProof/>
                <w:szCs w:val="22"/>
                <w:lang w:val="sr-Latn-ME"/>
              </w:rPr>
              <w:t>d</w:t>
            </w:r>
            <w:r w:rsidRPr="00C03B89">
              <w:rPr>
                <w:noProof/>
                <w:spacing w:val="-1"/>
                <w:szCs w:val="22"/>
                <w:lang w:val="sr-Latn-ME"/>
              </w:rPr>
              <w:t>i</w:t>
            </w:r>
            <w:r w:rsidRPr="00C03B89">
              <w:rPr>
                <w:noProof/>
                <w:spacing w:val="1"/>
                <w:szCs w:val="22"/>
                <w:lang w:val="sr-Latn-ME"/>
              </w:rPr>
              <w:t>j</w:t>
            </w:r>
            <w:r w:rsidRPr="00C03B89">
              <w:rPr>
                <w:noProof/>
                <w:szCs w:val="22"/>
                <w:lang w:val="sr-Latn-ME"/>
              </w:rPr>
              <w:t>a</w:t>
            </w:r>
            <w:r w:rsidRPr="00C03B89">
              <w:rPr>
                <w:noProof/>
                <w:spacing w:val="-2"/>
                <w:szCs w:val="22"/>
                <w:lang w:val="sr-Latn-ME"/>
              </w:rPr>
              <w:t>z</w:t>
            </w:r>
            <w:r w:rsidRPr="00C03B89">
              <w:rPr>
                <w:noProof/>
                <w:szCs w:val="22"/>
                <w:lang w:val="sr-Latn-ME"/>
              </w:rPr>
              <w:t xml:space="preserve">a </w:t>
            </w:r>
          </w:p>
        </w:tc>
      </w:tr>
      <w:tr w:rsidR="00DD0778" w:rsidRPr="006F34F9" w14:paraId="575242E5" w14:textId="77777777" w:rsidTr="00180C9F">
        <w:trPr>
          <w:trHeight w:hRule="exact" w:val="666"/>
        </w:trPr>
        <w:tc>
          <w:tcPr>
            <w:tcW w:w="3119" w:type="dxa"/>
            <w:tcBorders>
              <w:top w:val="single" w:sz="4" w:space="0" w:color="000000"/>
              <w:left w:val="single" w:sz="4" w:space="0" w:color="000000"/>
              <w:bottom w:val="single" w:sz="4" w:space="0" w:color="000000"/>
              <w:right w:val="single" w:sz="4" w:space="0" w:color="000000"/>
            </w:tcBorders>
          </w:tcPr>
          <w:p w14:paraId="7D4D521F" w14:textId="09DFE5AB" w:rsidR="00DD0778" w:rsidRPr="006F34F9" w:rsidRDefault="00DD0778" w:rsidP="00180C9F">
            <w:pPr>
              <w:spacing w:line="246" w:lineRule="exact"/>
              <w:ind w:right="-20"/>
              <w:jc w:val="center"/>
              <w:rPr>
                <w:noProof/>
                <w:szCs w:val="22"/>
                <w:lang w:val="sr-Latn-ME"/>
              </w:rPr>
            </w:pPr>
            <w:r w:rsidRPr="006F34F9">
              <w:rPr>
                <w:noProof/>
                <w:szCs w:val="22"/>
                <w:lang w:val="sr-Latn-ME"/>
              </w:rPr>
              <w:t>Pore</w:t>
            </w:r>
            <w:r w:rsidR="004D3C68" w:rsidRPr="006F34F9">
              <w:rPr>
                <w:noProof/>
                <w:szCs w:val="22"/>
                <w:lang w:val="sr-Latn-ME"/>
              </w:rPr>
              <w:t>me</w:t>
            </w:r>
            <w:r w:rsidRPr="006F34F9">
              <w:rPr>
                <w:noProof/>
                <w:szCs w:val="22"/>
                <w:lang w:val="sr-Latn-ME"/>
              </w:rPr>
              <w:t>ćaji imunološkog sistema</w:t>
            </w:r>
          </w:p>
        </w:tc>
        <w:tc>
          <w:tcPr>
            <w:tcW w:w="2410" w:type="dxa"/>
            <w:tcBorders>
              <w:top w:val="single" w:sz="4" w:space="0" w:color="000000"/>
              <w:left w:val="single" w:sz="4" w:space="0" w:color="000000"/>
              <w:bottom w:val="single" w:sz="4" w:space="0" w:color="000000"/>
              <w:right w:val="single" w:sz="4" w:space="0" w:color="000000"/>
            </w:tcBorders>
          </w:tcPr>
          <w:p w14:paraId="1A545E75" w14:textId="18F576C1" w:rsidR="00DD0778" w:rsidRPr="00C03B89" w:rsidRDefault="00DD0778" w:rsidP="00180C9F">
            <w:pPr>
              <w:spacing w:line="246" w:lineRule="exact"/>
              <w:ind w:left="100" w:right="-20"/>
              <w:rPr>
                <w:noProof/>
                <w:spacing w:val="1"/>
                <w:szCs w:val="22"/>
                <w:lang w:val="sr-Latn-ME"/>
              </w:rPr>
            </w:pPr>
            <w:r w:rsidRPr="00C03B89">
              <w:rPr>
                <w:noProof/>
                <w:spacing w:val="1"/>
                <w:szCs w:val="22"/>
                <w:lang w:val="sr-Latn-ME"/>
              </w:rPr>
              <w:t>Veoma r</w:t>
            </w:r>
            <w:r w:rsidR="008559D3" w:rsidRPr="00C03B89">
              <w:rPr>
                <w:noProof/>
                <w:spacing w:val="1"/>
                <w:szCs w:val="22"/>
                <w:lang w:val="sr-Latn-ME"/>
              </w:rPr>
              <w:t>ij</w:t>
            </w:r>
            <w:r w:rsidRPr="00C03B89">
              <w:rPr>
                <w:noProof/>
                <w:spacing w:val="1"/>
                <w:szCs w:val="22"/>
                <w:lang w:val="sr-Latn-ME"/>
              </w:rPr>
              <w:t>etko</w:t>
            </w:r>
          </w:p>
        </w:tc>
        <w:tc>
          <w:tcPr>
            <w:tcW w:w="3543" w:type="dxa"/>
            <w:tcBorders>
              <w:top w:val="single" w:sz="4" w:space="0" w:color="000000"/>
              <w:left w:val="single" w:sz="4" w:space="0" w:color="000000"/>
              <w:bottom w:val="single" w:sz="4" w:space="0" w:color="000000"/>
              <w:right w:val="single" w:sz="4" w:space="0" w:color="000000"/>
            </w:tcBorders>
          </w:tcPr>
          <w:p w14:paraId="490BDD4B" w14:textId="024609A4" w:rsidR="00DD0778" w:rsidRPr="00C03B89" w:rsidRDefault="004D3C68" w:rsidP="00180C9F">
            <w:pPr>
              <w:spacing w:line="246" w:lineRule="exact"/>
              <w:ind w:left="102" w:right="-23"/>
              <w:rPr>
                <w:noProof/>
                <w:spacing w:val="-2"/>
                <w:szCs w:val="22"/>
                <w:lang w:val="sr-Latn-ME"/>
              </w:rPr>
            </w:pPr>
            <w:r w:rsidRPr="00C03B89">
              <w:rPr>
                <w:noProof/>
                <w:spacing w:val="-2"/>
                <w:szCs w:val="22"/>
                <w:lang w:val="sr-Latn-ME"/>
              </w:rPr>
              <w:t xml:space="preserve">anafilaktička </w:t>
            </w:r>
            <w:r w:rsidR="00DD0778" w:rsidRPr="00C03B89">
              <w:rPr>
                <w:noProof/>
                <w:spacing w:val="-2"/>
                <w:szCs w:val="22"/>
                <w:lang w:val="sr-Latn-ME"/>
              </w:rPr>
              <w:t>reakcija,</w:t>
            </w:r>
          </w:p>
          <w:p w14:paraId="0CC40721" w14:textId="53EC890E" w:rsidR="00DD0778" w:rsidRPr="00C03B89" w:rsidRDefault="004D3C68" w:rsidP="00180C9F">
            <w:pPr>
              <w:spacing w:line="246" w:lineRule="exact"/>
              <w:ind w:left="102" w:right="-23"/>
              <w:rPr>
                <w:noProof/>
                <w:spacing w:val="-2"/>
                <w:szCs w:val="22"/>
                <w:lang w:val="sr-Latn-ME"/>
              </w:rPr>
            </w:pPr>
            <w:r w:rsidRPr="00C03B89">
              <w:rPr>
                <w:noProof/>
                <w:spacing w:val="-2"/>
                <w:szCs w:val="22"/>
                <w:lang w:val="sr-Latn-ME"/>
              </w:rPr>
              <w:t xml:space="preserve">anafilaktički </w:t>
            </w:r>
            <w:r w:rsidR="00DD0778" w:rsidRPr="00C03B89">
              <w:rPr>
                <w:noProof/>
                <w:spacing w:val="-2"/>
                <w:szCs w:val="22"/>
                <w:lang w:val="sr-Latn-ME"/>
              </w:rPr>
              <w:t>šok</w:t>
            </w:r>
          </w:p>
        </w:tc>
      </w:tr>
      <w:tr w:rsidR="00DD0778" w:rsidRPr="006F34F9" w14:paraId="4CDCB59F" w14:textId="77777777" w:rsidTr="00180C9F">
        <w:trPr>
          <w:trHeight w:hRule="exact" w:val="264"/>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09DD3717" w14:textId="77777777" w:rsidR="00DD0778" w:rsidRPr="006F34F9" w:rsidRDefault="00DD0778" w:rsidP="00180C9F">
            <w:pPr>
              <w:spacing w:line="246" w:lineRule="exact"/>
              <w:ind w:right="-20"/>
              <w:jc w:val="center"/>
              <w:rPr>
                <w:noProof/>
                <w:szCs w:val="22"/>
                <w:lang w:val="sr-Latn-ME"/>
              </w:rPr>
            </w:pPr>
            <w:r w:rsidRPr="006F34F9">
              <w:rPr>
                <w:noProof/>
                <w:szCs w:val="22"/>
                <w:lang w:val="sr-Latn-ME"/>
              </w:rPr>
              <w:t>Po</w:t>
            </w:r>
            <w:r w:rsidRPr="006F34F9">
              <w:rPr>
                <w:noProof/>
                <w:spacing w:val="1"/>
                <w:szCs w:val="22"/>
                <w:lang w:val="sr-Latn-ME"/>
              </w:rPr>
              <w:t>r</w:t>
            </w:r>
            <w:r w:rsidRPr="006F34F9">
              <w:rPr>
                <w:noProof/>
                <w:szCs w:val="22"/>
                <w:lang w:val="sr-Latn-ME"/>
              </w:rPr>
              <w:t>e</w:t>
            </w:r>
            <w:r w:rsidRPr="006F34F9">
              <w:rPr>
                <w:noProof/>
                <w:spacing w:val="-4"/>
                <w:szCs w:val="22"/>
                <w:lang w:val="sr-Latn-ME"/>
              </w:rPr>
              <w:t>m</w:t>
            </w:r>
            <w:r w:rsidRPr="006F34F9">
              <w:rPr>
                <w:noProof/>
                <w:szCs w:val="22"/>
                <w:lang w:val="sr-Latn-ME"/>
              </w:rPr>
              <w:t>eć</w:t>
            </w:r>
            <w:r w:rsidRPr="006F34F9">
              <w:rPr>
                <w:noProof/>
                <w:spacing w:val="-2"/>
                <w:szCs w:val="22"/>
                <w:lang w:val="sr-Latn-ME"/>
              </w:rPr>
              <w:t>a</w:t>
            </w:r>
            <w:r w:rsidRPr="006F34F9">
              <w:rPr>
                <w:noProof/>
                <w:spacing w:val="1"/>
                <w:szCs w:val="22"/>
                <w:lang w:val="sr-Latn-ME"/>
              </w:rPr>
              <w:t>j</w:t>
            </w:r>
            <w:r w:rsidRPr="006F34F9">
              <w:rPr>
                <w:noProof/>
                <w:szCs w:val="22"/>
                <w:lang w:val="sr-Latn-ME"/>
              </w:rPr>
              <w:t>i</w:t>
            </w:r>
            <w:r w:rsidRPr="006F34F9">
              <w:rPr>
                <w:noProof/>
                <w:spacing w:val="1"/>
                <w:szCs w:val="22"/>
                <w:lang w:val="sr-Latn-ME"/>
              </w:rPr>
              <w:t xml:space="preserve"> </w:t>
            </w:r>
            <w:r w:rsidRPr="006F34F9">
              <w:rPr>
                <w:noProof/>
                <w:spacing w:val="-2"/>
                <w:szCs w:val="22"/>
                <w:lang w:val="sr-Latn-ME"/>
              </w:rPr>
              <w:t xml:space="preserve">nervnog </w:t>
            </w:r>
            <w:r w:rsidRPr="006F34F9">
              <w:rPr>
                <w:noProof/>
                <w:szCs w:val="22"/>
                <w:lang w:val="sr-Latn-ME"/>
              </w:rPr>
              <w:t>sistema</w:t>
            </w:r>
          </w:p>
        </w:tc>
        <w:tc>
          <w:tcPr>
            <w:tcW w:w="2410" w:type="dxa"/>
            <w:tcBorders>
              <w:top w:val="single" w:sz="4" w:space="0" w:color="000000"/>
              <w:left w:val="single" w:sz="4" w:space="0" w:color="000000"/>
              <w:bottom w:val="single" w:sz="4" w:space="0" w:color="000000"/>
              <w:right w:val="single" w:sz="4" w:space="0" w:color="000000"/>
            </w:tcBorders>
            <w:hideMark/>
          </w:tcPr>
          <w:p w14:paraId="0697366A" w14:textId="77777777" w:rsidR="00DD0778" w:rsidRPr="00C03B89" w:rsidRDefault="00DD0778" w:rsidP="00180C9F">
            <w:pPr>
              <w:spacing w:line="246" w:lineRule="exact"/>
              <w:ind w:left="100" w:right="-20"/>
              <w:rPr>
                <w:noProof/>
                <w:szCs w:val="22"/>
                <w:lang w:val="sr-Latn-ME"/>
              </w:rPr>
            </w:pPr>
            <w:r w:rsidRPr="00C03B89">
              <w:rPr>
                <w:noProof/>
                <w:spacing w:val="1"/>
                <w:szCs w:val="22"/>
                <w:lang w:val="sr-Latn-ME"/>
              </w:rPr>
              <w:t>V</w:t>
            </w:r>
            <w:r w:rsidRPr="00C03B89">
              <w:rPr>
                <w:noProof/>
                <w:spacing w:val="-2"/>
                <w:szCs w:val="22"/>
                <w:lang w:val="sr-Latn-ME"/>
              </w:rPr>
              <w:t>eoma</w:t>
            </w:r>
            <w:r w:rsidRPr="00C03B89">
              <w:rPr>
                <w:noProof/>
                <w:szCs w:val="22"/>
                <w:lang w:val="sr-Latn-ME"/>
              </w:rPr>
              <w:t xml:space="preserve"> </w:t>
            </w:r>
            <w:r w:rsidRPr="00C03B89">
              <w:rPr>
                <w:noProof/>
                <w:spacing w:val="-2"/>
                <w:szCs w:val="22"/>
                <w:lang w:val="sr-Latn-ME"/>
              </w:rPr>
              <w:t>č</w:t>
            </w:r>
            <w:r w:rsidRPr="00C03B89">
              <w:rPr>
                <w:noProof/>
                <w:szCs w:val="22"/>
                <w:lang w:val="sr-Latn-ME"/>
              </w:rPr>
              <w:t>e</w:t>
            </w:r>
            <w:r w:rsidRPr="00C03B89">
              <w:rPr>
                <w:noProof/>
                <w:spacing w:val="-2"/>
                <w:szCs w:val="22"/>
                <w:lang w:val="sr-Latn-ME"/>
              </w:rPr>
              <w:t>s</w:t>
            </w:r>
            <w:r w:rsidRPr="00C03B89">
              <w:rPr>
                <w:noProof/>
                <w:spacing w:val="1"/>
                <w:szCs w:val="22"/>
                <w:lang w:val="sr-Latn-ME"/>
              </w:rPr>
              <w:t>t</w:t>
            </w:r>
            <w:r w:rsidRPr="00C03B89">
              <w:rPr>
                <w:noProof/>
                <w:szCs w:val="22"/>
                <w:lang w:val="sr-Latn-ME"/>
              </w:rPr>
              <w:t>o</w:t>
            </w:r>
          </w:p>
        </w:tc>
        <w:tc>
          <w:tcPr>
            <w:tcW w:w="3543" w:type="dxa"/>
            <w:tcBorders>
              <w:top w:val="single" w:sz="4" w:space="0" w:color="000000"/>
              <w:left w:val="single" w:sz="4" w:space="0" w:color="000000"/>
              <w:bottom w:val="single" w:sz="4" w:space="0" w:color="000000"/>
              <w:right w:val="single" w:sz="4" w:space="0" w:color="000000"/>
            </w:tcBorders>
            <w:hideMark/>
          </w:tcPr>
          <w:p w14:paraId="720F37CD" w14:textId="77777777" w:rsidR="00DD0778" w:rsidRPr="00C03B89" w:rsidRDefault="00DD0778" w:rsidP="00180C9F">
            <w:pPr>
              <w:spacing w:line="246" w:lineRule="exact"/>
              <w:ind w:left="100" w:right="-20"/>
              <w:rPr>
                <w:noProof/>
                <w:szCs w:val="22"/>
                <w:lang w:val="sr-Latn-ME"/>
              </w:rPr>
            </w:pPr>
            <w:r w:rsidRPr="00C03B89">
              <w:rPr>
                <w:noProof/>
                <w:spacing w:val="-2"/>
                <w:szCs w:val="22"/>
                <w:lang w:val="sr-Latn-ME"/>
              </w:rPr>
              <w:t>g</w:t>
            </w:r>
            <w:r w:rsidRPr="00C03B89">
              <w:rPr>
                <w:noProof/>
                <w:spacing w:val="1"/>
                <w:szCs w:val="22"/>
                <w:lang w:val="sr-Latn-ME"/>
              </w:rPr>
              <w:t>l</w:t>
            </w:r>
            <w:r w:rsidRPr="00C03B89">
              <w:rPr>
                <w:noProof/>
                <w:szCs w:val="22"/>
                <w:lang w:val="sr-Latn-ME"/>
              </w:rPr>
              <w:t>a</w:t>
            </w:r>
            <w:r w:rsidRPr="00C03B89">
              <w:rPr>
                <w:noProof/>
                <w:spacing w:val="-2"/>
                <w:szCs w:val="22"/>
                <w:lang w:val="sr-Latn-ME"/>
              </w:rPr>
              <w:t>v</w:t>
            </w:r>
            <w:r w:rsidRPr="00C03B89">
              <w:rPr>
                <w:noProof/>
                <w:szCs w:val="22"/>
                <w:lang w:val="sr-Latn-ME"/>
              </w:rPr>
              <w:t>obo</w:t>
            </w:r>
            <w:r w:rsidRPr="00C03B89">
              <w:rPr>
                <w:noProof/>
                <w:spacing w:val="-1"/>
                <w:szCs w:val="22"/>
                <w:lang w:val="sr-Latn-ME"/>
              </w:rPr>
              <w:t>l</w:t>
            </w:r>
            <w:r w:rsidRPr="00C03B89">
              <w:rPr>
                <w:noProof/>
                <w:spacing w:val="3"/>
                <w:szCs w:val="22"/>
                <w:lang w:val="sr-Latn-ME"/>
              </w:rPr>
              <w:t>j</w:t>
            </w:r>
            <w:r w:rsidRPr="00C03B89">
              <w:rPr>
                <w:noProof/>
                <w:szCs w:val="22"/>
                <w:lang w:val="sr-Latn-ME"/>
              </w:rPr>
              <w:t>a</w:t>
            </w:r>
          </w:p>
        </w:tc>
      </w:tr>
      <w:tr w:rsidR="00DD0778" w:rsidRPr="006F34F9" w14:paraId="608FC9BB" w14:textId="77777777" w:rsidTr="00180C9F">
        <w:trPr>
          <w:trHeight w:hRule="exact" w:val="262"/>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4A30823B" w14:textId="77777777" w:rsidR="00DD0778" w:rsidRPr="006F34F9" w:rsidRDefault="00DD0778" w:rsidP="00180C9F">
            <w:pPr>
              <w:tabs>
                <w:tab w:val="clear" w:pos="284"/>
              </w:tabs>
              <w:jc w:val="center"/>
              <w:rPr>
                <w:noProof/>
                <w:szCs w:val="22"/>
                <w:lang w:val="sr-Latn-ME"/>
              </w:rPr>
            </w:pPr>
          </w:p>
        </w:tc>
        <w:tc>
          <w:tcPr>
            <w:tcW w:w="2410" w:type="dxa"/>
            <w:tcBorders>
              <w:top w:val="single" w:sz="4" w:space="0" w:color="000000"/>
              <w:left w:val="single" w:sz="4" w:space="0" w:color="000000"/>
              <w:bottom w:val="single" w:sz="4" w:space="0" w:color="000000"/>
              <w:right w:val="single" w:sz="4" w:space="0" w:color="000000"/>
            </w:tcBorders>
            <w:hideMark/>
          </w:tcPr>
          <w:p w14:paraId="4200F9BC" w14:textId="77777777" w:rsidR="00DD0778" w:rsidRPr="00C03B89" w:rsidRDefault="00DD0778" w:rsidP="00180C9F">
            <w:pPr>
              <w:spacing w:line="246" w:lineRule="exact"/>
              <w:ind w:left="100" w:right="-20"/>
              <w:rPr>
                <w:noProof/>
                <w:szCs w:val="22"/>
                <w:lang w:val="sr-Latn-ME"/>
              </w:rPr>
            </w:pPr>
            <w:r w:rsidRPr="00C03B89">
              <w:rPr>
                <w:noProof/>
                <w:spacing w:val="-1"/>
                <w:szCs w:val="22"/>
                <w:lang w:val="sr-Latn-ME"/>
              </w:rPr>
              <w:t>Č</w:t>
            </w:r>
            <w:r w:rsidRPr="00C03B89">
              <w:rPr>
                <w:noProof/>
                <w:szCs w:val="22"/>
                <w:lang w:val="sr-Latn-ME"/>
              </w:rPr>
              <w:t>es</w:t>
            </w:r>
            <w:r w:rsidRPr="00C03B89">
              <w:rPr>
                <w:noProof/>
                <w:spacing w:val="1"/>
                <w:szCs w:val="22"/>
                <w:lang w:val="sr-Latn-ME"/>
              </w:rPr>
              <w:t>t</w:t>
            </w:r>
            <w:r w:rsidRPr="00C03B89">
              <w:rPr>
                <w:noProof/>
                <w:szCs w:val="22"/>
                <w:lang w:val="sr-Latn-ME"/>
              </w:rPr>
              <w:t>o</w:t>
            </w:r>
          </w:p>
        </w:tc>
        <w:tc>
          <w:tcPr>
            <w:tcW w:w="3543" w:type="dxa"/>
            <w:tcBorders>
              <w:top w:val="single" w:sz="4" w:space="0" w:color="000000"/>
              <w:left w:val="single" w:sz="4" w:space="0" w:color="000000"/>
              <w:bottom w:val="single" w:sz="4" w:space="0" w:color="000000"/>
              <w:right w:val="single" w:sz="4" w:space="0" w:color="000000"/>
            </w:tcBorders>
            <w:hideMark/>
          </w:tcPr>
          <w:p w14:paraId="3A797524" w14:textId="77777777" w:rsidR="00DD0778" w:rsidRPr="00C03B89" w:rsidRDefault="00DD0778" w:rsidP="00180C9F">
            <w:pPr>
              <w:spacing w:line="246" w:lineRule="exact"/>
              <w:ind w:left="100" w:right="-20"/>
              <w:rPr>
                <w:noProof/>
                <w:szCs w:val="22"/>
                <w:lang w:val="sr-Latn-ME"/>
              </w:rPr>
            </w:pPr>
            <w:r w:rsidRPr="00C03B89">
              <w:rPr>
                <w:noProof/>
                <w:szCs w:val="22"/>
                <w:lang w:val="sr-Latn-ME"/>
              </w:rPr>
              <w:t>pa</w:t>
            </w:r>
            <w:r w:rsidRPr="00C03B89">
              <w:rPr>
                <w:noProof/>
                <w:spacing w:val="1"/>
                <w:szCs w:val="22"/>
                <w:lang w:val="sr-Latn-ME"/>
              </w:rPr>
              <w:t>r</w:t>
            </w:r>
            <w:r w:rsidRPr="00C03B89">
              <w:rPr>
                <w:noProof/>
                <w:spacing w:val="-2"/>
                <w:szCs w:val="22"/>
                <w:lang w:val="sr-Latn-ME"/>
              </w:rPr>
              <w:t>e</w:t>
            </w:r>
            <w:r w:rsidRPr="00C03B89">
              <w:rPr>
                <w:noProof/>
                <w:szCs w:val="22"/>
                <w:lang w:val="sr-Latn-ME"/>
              </w:rPr>
              <w:t>s</w:t>
            </w:r>
            <w:r w:rsidRPr="00C03B89">
              <w:rPr>
                <w:noProof/>
                <w:spacing w:val="1"/>
                <w:szCs w:val="22"/>
                <w:lang w:val="sr-Latn-ME"/>
              </w:rPr>
              <w:t>t</w:t>
            </w:r>
            <w:r w:rsidRPr="00C03B89">
              <w:rPr>
                <w:noProof/>
                <w:szCs w:val="22"/>
                <w:lang w:val="sr-Latn-ME"/>
              </w:rPr>
              <w:t>e</w:t>
            </w:r>
            <w:r w:rsidRPr="00C03B89">
              <w:rPr>
                <w:noProof/>
                <w:spacing w:val="-2"/>
                <w:szCs w:val="22"/>
                <w:lang w:val="sr-Latn-ME"/>
              </w:rPr>
              <w:t>z</w:t>
            </w:r>
            <w:r w:rsidRPr="00C03B89">
              <w:rPr>
                <w:noProof/>
                <w:spacing w:val="-1"/>
                <w:szCs w:val="22"/>
                <w:lang w:val="sr-Latn-ME"/>
              </w:rPr>
              <w:t>i</w:t>
            </w:r>
            <w:r w:rsidRPr="00C03B89">
              <w:rPr>
                <w:noProof/>
                <w:spacing w:val="1"/>
                <w:szCs w:val="22"/>
                <w:lang w:val="sr-Latn-ME"/>
              </w:rPr>
              <w:t>j</w:t>
            </w:r>
            <w:r w:rsidRPr="00C03B89">
              <w:rPr>
                <w:noProof/>
                <w:szCs w:val="22"/>
                <w:lang w:val="sr-Latn-ME"/>
              </w:rPr>
              <w:t>a</w:t>
            </w:r>
          </w:p>
        </w:tc>
      </w:tr>
      <w:tr w:rsidR="00DD0778" w:rsidRPr="006F34F9" w14:paraId="2B15BFF8" w14:textId="77777777" w:rsidTr="00180C9F">
        <w:trPr>
          <w:trHeight w:hRule="exact" w:val="262"/>
        </w:trPr>
        <w:tc>
          <w:tcPr>
            <w:tcW w:w="3119" w:type="dxa"/>
            <w:tcBorders>
              <w:top w:val="single" w:sz="4" w:space="0" w:color="000000"/>
              <w:left w:val="single" w:sz="4" w:space="0" w:color="000000"/>
              <w:bottom w:val="single" w:sz="4" w:space="0" w:color="000000"/>
              <w:right w:val="single" w:sz="4" w:space="0" w:color="000000"/>
            </w:tcBorders>
            <w:vAlign w:val="center"/>
          </w:tcPr>
          <w:p w14:paraId="073AFB1B" w14:textId="77777777" w:rsidR="00DD0778" w:rsidRPr="006F34F9" w:rsidRDefault="00DD0778" w:rsidP="00180C9F">
            <w:pPr>
              <w:tabs>
                <w:tab w:val="clear" w:pos="284"/>
              </w:tabs>
              <w:jc w:val="center"/>
              <w:rPr>
                <w:noProof/>
                <w:szCs w:val="22"/>
                <w:lang w:val="sr-Latn-ME"/>
              </w:rPr>
            </w:pPr>
            <w:r w:rsidRPr="006F34F9">
              <w:rPr>
                <w:noProof/>
                <w:szCs w:val="22"/>
                <w:lang w:val="sr-Latn-ME"/>
              </w:rPr>
              <w:t>Poremećaj oka</w:t>
            </w:r>
          </w:p>
        </w:tc>
        <w:tc>
          <w:tcPr>
            <w:tcW w:w="2410" w:type="dxa"/>
            <w:tcBorders>
              <w:top w:val="single" w:sz="4" w:space="0" w:color="000000"/>
              <w:left w:val="single" w:sz="4" w:space="0" w:color="000000"/>
              <w:bottom w:val="single" w:sz="4" w:space="0" w:color="000000"/>
              <w:right w:val="single" w:sz="4" w:space="0" w:color="000000"/>
            </w:tcBorders>
          </w:tcPr>
          <w:p w14:paraId="7CBFEB0F" w14:textId="32A2F9B7" w:rsidR="00DD0778" w:rsidRPr="00C03B89" w:rsidRDefault="0035691F" w:rsidP="00180C9F">
            <w:pPr>
              <w:spacing w:line="246" w:lineRule="exact"/>
              <w:ind w:left="100" w:right="-20"/>
              <w:rPr>
                <w:noProof/>
                <w:spacing w:val="-1"/>
                <w:szCs w:val="22"/>
                <w:lang w:val="sr-Latn-ME"/>
              </w:rPr>
            </w:pPr>
            <w:r w:rsidRPr="00C03B89">
              <w:rPr>
                <w:noProof/>
                <w:szCs w:val="22"/>
                <w:lang w:val="sr-Latn-ME"/>
              </w:rPr>
              <w:t>Povremeno</w:t>
            </w:r>
          </w:p>
        </w:tc>
        <w:tc>
          <w:tcPr>
            <w:tcW w:w="3543" w:type="dxa"/>
            <w:tcBorders>
              <w:top w:val="single" w:sz="4" w:space="0" w:color="000000"/>
              <w:left w:val="single" w:sz="4" w:space="0" w:color="000000"/>
              <w:bottom w:val="single" w:sz="4" w:space="0" w:color="000000"/>
              <w:right w:val="single" w:sz="4" w:space="0" w:color="000000"/>
            </w:tcBorders>
          </w:tcPr>
          <w:p w14:paraId="69A99DC0" w14:textId="3452CBEF" w:rsidR="00DD0778" w:rsidRPr="00C03B89" w:rsidRDefault="004D3C68" w:rsidP="00180C9F">
            <w:pPr>
              <w:spacing w:line="246" w:lineRule="exact"/>
              <w:ind w:left="100" w:right="-20"/>
              <w:rPr>
                <w:noProof/>
                <w:szCs w:val="22"/>
                <w:lang w:val="sr-Latn-ME"/>
              </w:rPr>
            </w:pPr>
            <w:r w:rsidRPr="00C03B89">
              <w:rPr>
                <w:noProof/>
                <w:szCs w:val="22"/>
                <w:lang w:val="sr-Latn-ME"/>
              </w:rPr>
              <w:t xml:space="preserve">zamućen </w:t>
            </w:r>
            <w:r w:rsidR="00DD0778" w:rsidRPr="00C03B89">
              <w:rPr>
                <w:noProof/>
                <w:szCs w:val="22"/>
                <w:lang w:val="sr-Latn-ME"/>
              </w:rPr>
              <w:t>vid</w:t>
            </w:r>
          </w:p>
        </w:tc>
      </w:tr>
      <w:tr w:rsidR="00DD0778" w:rsidRPr="006F34F9" w14:paraId="1E410DFA" w14:textId="77777777" w:rsidTr="00180C9F">
        <w:trPr>
          <w:trHeight w:hRule="exact" w:val="264"/>
        </w:trPr>
        <w:tc>
          <w:tcPr>
            <w:tcW w:w="3119" w:type="dxa"/>
            <w:tcBorders>
              <w:top w:val="single" w:sz="4" w:space="0" w:color="000000"/>
              <w:left w:val="single" w:sz="4" w:space="0" w:color="000000"/>
              <w:bottom w:val="single" w:sz="4" w:space="0" w:color="000000"/>
              <w:right w:val="single" w:sz="4" w:space="0" w:color="000000"/>
            </w:tcBorders>
            <w:hideMark/>
          </w:tcPr>
          <w:p w14:paraId="7C72522D" w14:textId="77777777" w:rsidR="00DD0778" w:rsidRPr="006F34F9" w:rsidRDefault="00DD0778" w:rsidP="00180C9F">
            <w:pPr>
              <w:spacing w:line="248" w:lineRule="exact"/>
              <w:ind w:right="-20"/>
              <w:jc w:val="center"/>
              <w:rPr>
                <w:noProof/>
                <w:szCs w:val="22"/>
                <w:lang w:val="sr-Latn-ME"/>
              </w:rPr>
            </w:pPr>
            <w:r w:rsidRPr="006F34F9">
              <w:rPr>
                <w:noProof/>
                <w:spacing w:val="1"/>
                <w:szCs w:val="22"/>
                <w:lang w:val="sr-Latn-ME"/>
              </w:rPr>
              <w:t xml:space="preserve">Vaskularni </w:t>
            </w:r>
            <w:r w:rsidRPr="006F34F9">
              <w:rPr>
                <w:noProof/>
                <w:szCs w:val="22"/>
                <w:lang w:val="sr-Latn-ME"/>
              </w:rPr>
              <w:t>p</w:t>
            </w:r>
            <w:r w:rsidRPr="006F34F9">
              <w:rPr>
                <w:noProof/>
                <w:spacing w:val="-2"/>
                <w:szCs w:val="22"/>
                <w:lang w:val="sr-Latn-ME"/>
              </w:rPr>
              <w:t>o</w:t>
            </w:r>
            <w:r w:rsidRPr="006F34F9">
              <w:rPr>
                <w:noProof/>
                <w:spacing w:val="1"/>
                <w:szCs w:val="22"/>
                <w:lang w:val="sr-Latn-ME"/>
              </w:rPr>
              <w:t>r</w:t>
            </w:r>
            <w:r w:rsidRPr="006F34F9">
              <w:rPr>
                <w:noProof/>
                <w:szCs w:val="22"/>
                <w:lang w:val="sr-Latn-ME"/>
              </w:rPr>
              <w:t>e</w:t>
            </w:r>
            <w:r w:rsidRPr="006F34F9">
              <w:rPr>
                <w:noProof/>
                <w:spacing w:val="-4"/>
                <w:szCs w:val="22"/>
                <w:lang w:val="sr-Latn-ME"/>
              </w:rPr>
              <w:t>m</w:t>
            </w:r>
            <w:r w:rsidRPr="006F34F9">
              <w:rPr>
                <w:noProof/>
                <w:szCs w:val="22"/>
                <w:lang w:val="sr-Latn-ME"/>
              </w:rPr>
              <w:t>eć</w:t>
            </w:r>
            <w:r w:rsidRPr="006F34F9">
              <w:rPr>
                <w:noProof/>
                <w:spacing w:val="-2"/>
                <w:szCs w:val="22"/>
                <w:lang w:val="sr-Latn-ME"/>
              </w:rPr>
              <w:t>a</w:t>
            </w:r>
            <w:r w:rsidRPr="006F34F9">
              <w:rPr>
                <w:noProof/>
                <w:spacing w:val="1"/>
                <w:szCs w:val="22"/>
                <w:lang w:val="sr-Latn-ME"/>
              </w:rPr>
              <w:t>ji</w:t>
            </w:r>
          </w:p>
        </w:tc>
        <w:tc>
          <w:tcPr>
            <w:tcW w:w="2410" w:type="dxa"/>
            <w:tcBorders>
              <w:top w:val="single" w:sz="4" w:space="0" w:color="000000"/>
              <w:left w:val="single" w:sz="4" w:space="0" w:color="000000"/>
              <w:bottom w:val="single" w:sz="4" w:space="0" w:color="000000"/>
              <w:right w:val="single" w:sz="4" w:space="0" w:color="000000"/>
            </w:tcBorders>
            <w:hideMark/>
          </w:tcPr>
          <w:p w14:paraId="48C77452" w14:textId="77777777" w:rsidR="00DD0778" w:rsidRPr="00C03B89" w:rsidRDefault="00DD0778" w:rsidP="00180C9F">
            <w:pPr>
              <w:spacing w:line="248" w:lineRule="exact"/>
              <w:ind w:left="100" w:right="-20"/>
              <w:rPr>
                <w:noProof/>
                <w:szCs w:val="22"/>
                <w:lang w:val="sr-Latn-ME"/>
              </w:rPr>
            </w:pPr>
            <w:r w:rsidRPr="00C03B89">
              <w:rPr>
                <w:noProof/>
                <w:spacing w:val="-1"/>
                <w:szCs w:val="22"/>
                <w:lang w:val="sr-Latn-ME"/>
              </w:rPr>
              <w:t>Č</w:t>
            </w:r>
            <w:r w:rsidRPr="00C03B89">
              <w:rPr>
                <w:noProof/>
                <w:szCs w:val="22"/>
                <w:lang w:val="sr-Latn-ME"/>
              </w:rPr>
              <w:t>es</w:t>
            </w:r>
            <w:r w:rsidRPr="00C03B89">
              <w:rPr>
                <w:noProof/>
                <w:spacing w:val="1"/>
                <w:szCs w:val="22"/>
                <w:lang w:val="sr-Latn-ME"/>
              </w:rPr>
              <w:t>t</w:t>
            </w:r>
            <w:r w:rsidRPr="00C03B89">
              <w:rPr>
                <w:noProof/>
                <w:szCs w:val="22"/>
                <w:lang w:val="sr-Latn-ME"/>
              </w:rPr>
              <w:t>o</w:t>
            </w:r>
          </w:p>
        </w:tc>
        <w:tc>
          <w:tcPr>
            <w:tcW w:w="3543" w:type="dxa"/>
            <w:tcBorders>
              <w:top w:val="single" w:sz="4" w:space="0" w:color="000000"/>
              <w:left w:val="single" w:sz="4" w:space="0" w:color="000000"/>
              <w:bottom w:val="single" w:sz="4" w:space="0" w:color="000000"/>
              <w:right w:val="single" w:sz="4" w:space="0" w:color="000000"/>
            </w:tcBorders>
            <w:hideMark/>
          </w:tcPr>
          <w:p w14:paraId="26C63DE4" w14:textId="77777777" w:rsidR="00DD0778" w:rsidRPr="00C03B89" w:rsidRDefault="00DD0778" w:rsidP="00180C9F">
            <w:pPr>
              <w:spacing w:line="248" w:lineRule="exact"/>
              <w:ind w:left="100" w:right="-20"/>
              <w:rPr>
                <w:noProof/>
                <w:szCs w:val="22"/>
                <w:lang w:val="sr-Latn-ME"/>
              </w:rPr>
            </w:pPr>
            <w:r w:rsidRPr="00C03B89">
              <w:rPr>
                <w:noProof/>
                <w:szCs w:val="22"/>
                <w:lang w:val="sr-Latn-ME"/>
              </w:rPr>
              <w:t>h</w:t>
            </w:r>
            <w:r w:rsidRPr="00C03B89">
              <w:rPr>
                <w:noProof/>
                <w:spacing w:val="1"/>
                <w:szCs w:val="22"/>
                <w:lang w:val="sr-Latn-ME"/>
              </w:rPr>
              <w:t>i</w:t>
            </w:r>
            <w:r w:rsidRPr="00C03B89">
              <w:rPr>
                <w:noProof/>
                <w:szCs w:val="22"/>
                <w:lang w:val="sr-Latn-ME"/>
              </w:rPr>
              <w:t>p</w:t>
            </w:r>
            <w:r w:rsidRPr="00C03B89">
              <w:rPr>
                <w:noProof/>
                <w:spacing w:val="-2"/>
                <w:szCs w:val="22"/>
                <w:lang w:val="sr-Latn-ME"/>
              </w:rPr>
              <w:t>e</w:t>
            </w:r>
            <w:r w:rsidRPr="00C03B89">
              <w:rPr>
                <w:noProof/>
                <w:spacing w:val="1"/>
                <w:szCs w:val="22"/>
                <w:lang w:val="sr-Latn-ME"/>
              </w:rPr>
              <w:t>rt</w:t>
            </w:r>
            <w:r w:rsidRPr="00C03B89">
              <w:rPr>
                <w:noProof/>
                <w:spacing w:val="-2"/>
                <w:szCs w:val="22"/>
                <w:lang w:val="sr-Latn-ME"/>
              </w:rPr>
              <w:t>e</w:t>
            </w:r>
            <w:r w:rsidRPr="00C03B89">
              <w:rPr>
                <w:noProof/>
                <w:szCs w:val="22"/>
                <w:lang w:val="sr-Latn-ME"/>
              </w:rPr>
              <w:t>n</w:t>
            </w:r>
            <w:r w:rsidRPr="00C03B89">
              <w:rPr>
                <w:noProof/>
                <w:spacing w:val="-2"/>
                <w:szCs w:val="22"/>
                <w:lang w:val="sr-Latn-ME"/>
              </w:rPr>
              <w:t>z</w:t>
            </w:r>
            <w:r w:rsidRPr="00C03B89">
              <w:rPr>
                <w:noProof/>
                <w:spacing w:val="-1"/>
                <w:szCs w:val="22"/>
                <w:lang w:val="sr-Latn-ME"/>
              </w:rPr>
              <w:t>i</w:t>
            </w:r>
            <w:r w:rsidRPr="00C03B89">
              <w:rPr>
                <w:noProof/>
                <w:spacing w:val="3"/>
                <w:szCs w:val="22"/>
                <w:lang w:val="sr-Latn-ME"/>
              </w:rPr>
              <w:t>j</w:t>
            </w:r>
            <w:r w:rsidRPr="00C03B89">
              <w:rPr>
                <w:noProof/>
                <w:szCs w:val="22"/>
                <w:lang w:val="sr-Latn-ME"/>
              </w:rPr>
              <w:t>a</w:t>
            </w:r>
          </w:p>
        </w:tc>
      </w:tr>
      <w:tr w:rsidR="00FA4F6A" w:rsidRPr="006F34F9" w14:paraId="117E42E4" w14:textId="77777777" w:rsidTr="00180C9F">
        <w:trPr>
          <w:trHeight w:hRule="exact" w:val="516"/>
        </w:trPr>
        <w:tc>
          <w:tcPr>
            <w:tcW w:w="3119" w:type="dxa"/>
            <w:vMerge w:val="restart"/>
            <w:tcBorders>
              <w:top w:val="single" w:sz="4" w:space="0" w:color="000000"/>
              <w:left w:val="single" w:sz="4" w:space="0" w:color="000000"/>
              <w:right w:val="single" w:sz="4" w:space="0" w:color="000000"/>
            </w:tcBorders>
            <w:hideMark/>
          </w:tcPr>
          <w:p w14:paraId="40C1E180" w14:textId="77777777" w:rsidR="00FA4F6A" w:rsidRPr="006F34F9" w:rsidRDefault="00FA4F6A" w:rsidP="00180C9F">
            <w:pPr>
              <w:spacing w:before="1"/>
              <w:ind w:right="-20"/>
              <w:jc w:val="center"/>
              <w:rPr>
                <w:noProof/>
                <w:szCs w:val="22"/>
                <w:lang w:val="sr-Latn-ME"/>
              </w:rPr>
            </w:pPr>
            <w:r w:rsidRPr="006F34F9">
              <w:rPr>
                <w:iCs/>
                <w:noProof/>
                <w:szCs w:val="22"/>
                <w:lang w:val="sr-Latn-ME"/>
              </w:rPr>
              <w:t>Respiratorni, torakalni i medijastinalni poremećaji</w:t>
            </w:r>
          </w:p>
        </w:tc>
        <w:tc>
          <w:tcPr>
            <w:tcW w:w="2410" w:type="dxa"/>
            <w:tcBorders>
              <w:top w:val="single" w:sz="4" w:space="0" w:color="000000"/>
              <w:left w:val="single" w:sz="4" w:space="0" w:color="000000"/>
              <w:bottom w:val="single" w:sz="4" w:space="0" w:color="000000"/>
              <w:right w:val="single" w:sz="4" w:space="0" w:color="000000"/>
            </w:tcBorders>
            <w:hideMark/>
          </w:tcPr>
          <w:p w14:paraId="68F4AF62" w14:textId="77777777" w:rsidR="00FA4F6A" w:rsidRPr="00C03B89" w:rsidRDefault="00FA4F6A" w:rsidP="00180C9F">
            <w:pPr>
              <w:spacing w:line="246" w:lineRule="exact"/>
              <w:ind w:left="100" w:right="-20"/>
              <w:rPr>
                <w:noProof/>
                <w:szCs w:val="22"/>
                <w:lang w:val="sr-Latn-ME"/>
              </w:rPr>
            </w:pPr>
            <w:r w:rsidRPr="00C03B89">
              <w:rPr>
                <w:noProof/>
                <w:spacing w:val="-1"/>
                <w:szCs w:val="22"/>
                <w:lang w:val="sr-Latn-ME"/>
              </w:rPr>
              <w:t>Č</w:t>
            </w:r>
            <w:r w:rsidRPr="00C03B89">
              <w:rPr>
                <w:noProof/>
                <w:szCs w:val="22"/>
                <w:lang w:val="sr-Latn-ME"/>
              </w:rPr>
              <w:t>es</w:t>
            </w:r>
            <w:r w:rsidRPr="00C03B89">
              <w:rPr>
                <w:noProof/>
                <w:spacing w:val="1"/>
                <w:szCs w:val="22"/>
                <w:lang w:val="sr-Latn-ME"/>
              </w:rPr>
              <w:t>t</w:t>
            </w:r>
            <w:r w:rsidRPr="00C03B89">
              <w:rPr>
                <w:noProof/>
                <w:szCs w:val="22"/>
                <w:lang w:val="sr-Latn-ME"/>
              </w:rPr>
              <w:t>o</w:t>
            </w:r>
          </w:p>
        </w:tc>
        <w:tc>
          <w:tcPr>
            <w:tcW w:w="3543" w:type="dxa"/>
            <w:tcBorders>
              <w:top w:val="single" w:sz="4" w:space="0" w:color="000000"/>
              <w:left w:val="single" w:sz="4" w:space="0" w:color="000000"/>
              <w:bottom w:val="single" w:sz="4" w:space="0" w:color="000000"/>
              <w:right w:val="single" w:sz="4" w:space="0" w:color="000000"/>
            </w:tcBorders>
            <w:hideMark/>
          </w:tcPr>
          <w:p w14:paraId="2C068738" w14:textId="743C467C" w:rsidR="00FA4F6A" w:rsidRPr="00C03B89" w:rsidRDefault="00FA4F6A" w:rsidP="004D3C68">
            <w:pPr>
              <w:spacing w:line="246" w:lineRule="exact"/>
              <w:ind w:left="100" w:right="-20"/>
              <w:jc w:val="left"/>
              <w:rPr>
                <w:noProof/>
                <w:szCs w:val="22"/>
                <w:lang w:val="sr-Latn-ME"/>
              </w:rPr>
            </w:pPr>
            <w:r w:rsidRPr="00C03B89">
              <w:rPr>
                <w:noProof/>
                <w:szCs w:val="22"/>
                <w:lang w:val="sr-Latn-ME"/>
              </w:rPr>
              <w:t>bol</w:t>
            </w:r>
            <w:r w:rsidRPr="00C03B89">
              <w:rPr>
                <w:noProof/>
                <w:spacing w:val="1"/>
                <w:szCs w:val="22"/>
                <w:lang w:val="sr-Latn-ME"/>
              </w:rPr>
              <w:t xml:space="preserve"> </w:t>
            </w:r>
            <w:r w:rsidRPr="00C03B89">
              <w:rPr>
                <w:noProof/>
                <w:szCs w:val="22"/>
                <w:lang w:val="sr-Latn-ME"/>
              </w:rPr>
              <w:t xml:space="preserve">u </w:t>
            </w:r>
            <w:r w:rsidRPr="00C03B89">
              <w:rPr>
                <w:noProof/>
                <w:spacing w:val="-2"/>
                <w:szCs w:val="22"/>
                <w:lang w:val="sr-Latn-ME"/>
              </w:rPr>
              <w:t>ž</w:t>
            </w:r>
            <w:r w:rsidRPr="00C03B89">
              <w:rPr>
                <w:noProof/>
                <w:szCs w:val="22"/>
                <w:lang w:val="sr-Latn-ME"/>
              </w:rPr>
              <w:t>d</w:t>
            </w:r>
            <w:r w:rsidRPr="00C03B89">
              <w:rPr>
                <w:noProof/>
                <w:spacing w:val="-2"/>
                <w:szCs w:val="22"/>
                <w:lang w:val="sr-Latn-ME"/>
              </w:rPr>
              <w:t>r</w:t>
            </w:r>
            <w:r w:rsidR="004D3C68" w:rsidRPr="00C03B89">
              <w:rPr>
                <w:noProof/>
                <w:spacing w:val="-2"/>
                <w:szCs w:val="22"/>
                <w:lang w:val="sr-Latn-ME"/>
              </w:rPr>
              <w:t>ij</w:t>
            </w:r>
            <w:r w:rsidRPr="00C03B89">
              <w:rPr>
                <w:noProof/>
                <w:spacing w:val="-2"/>
                <w:szCs w:val="22"/>
                <w:lang w:val="sr-Latn-ME"/>
              </w:rPr>
              <w:t>e</w:t>
            </w:r>
            <w:r w:rsidRPr="00C03B89">
              <w:rPr>
                <w:noProof/>
                <w:spacing w:val="1"/>
                <w:szCs w:val="22"/>
                <w:lang w:val="sr-Latn-ME"/>
              </w:rPr>
              <w:t>l</w:t>
            </w:r>
            <w:r w:rsidRPr="00C03B89">
              <w:rPr>
                <w:noProof/>
                <w:szCs w:val="22"/>
                <w:lang w:val="sr-Latn-ME"/>
              </w:rPr>
              <w:t>u</w:t>
            </w:r>
            <w:r w:rsidRPr="00C03B89">
              <w:rPr>
                <w:noProof/>
                <w:spacing w:val="-2"/>
                <w:szCs w:val="22"/>
                <w:lang w:val="sr-Latn-ME"/>
              </w:rPr>
              <w:t xml:space="preserve"> </w:t>
            </w:r>
            <w:r w:rsidRPr="00C03B89">
              <w:rPr>
                <w:noProof/>
                <w:szCs w:val="22"/>
                <w:lang w:val="sr-Latn-ME"/>
              </w:rPr>
              <w:t>i</w:t>
            </w:r>
            <w:r w:rsidRPr="00C03B89">
              <w:rPr>
                <w:noProof/>
                <w:spacing w:val="1"/>
                <w:szCs w:val="22"/>
                <w:lang w:val="sr-Latn-ME"/>
              </w:rPr>
              <w:t xml:space="preserve"> </w:t>
            </w:r>
            <w:r w:rsidRPr="00C03B89">
              <w:rPr>
                <w:noProof/>
                <w:spacing w:val="-2"/>
                <w:szCs w:val="22"/>
                <w:lang w:val="sr-Latn-ME"/>
              </w:rPr>
              <w:t>g</w:t>
            </w:r>
            <w:r w:rsidRPr="00C03B89">
              <w:rPr>
                <w:noProof/>
                <w:spacing w:val="1"/>
                <w:szCs w:val="22"/>
                <w:lang w:val="sr-Latn-ME"/>
              </w:rPr>
              <w:t>r</w:t>
            </w:r>
            <w:r w:rsidRPr="00C03B89">
              <w:rPr>
                <w:noProof/>
                <w:spacing w:val="-2"/>
                <w:szCs w:val="22"/>
                <w:lang w:val="sr-Latn-ME"/>
              </w:rPr>
              <w:t>k</w:t>
            </w:r>
            <w:r w:rsidRPr="00C03B89">
              <w:rPr>
                <w:noProof/>
                <w:spacing w:val="-1"/>
                <w:szCs w:val="22"/>
                <w:lang w:val="sr-Latn-ME"/>
              </w:rPr>
              <w:t>l</w:t>
            </w:r>
            <w:r w:rsidRPr="00C03B89">
              <w:rPr>
                <w:noProof/>
                <w:spacing w:val="3"/>
                <w:szCs w:val="22"/>
                <w:lang w:val="sr-Latn-ME"/>
              </w:rPr>
              <w:t>j</w:t>
            </w:r>
            <w:r w:rsidRPr="00C03B89">
              <w:rPr>
                <w:noProof/>
                <w:szCs w:val="22"/>
                <w:lang w:val="sr-Latn-ME"/>
              </w:rPr>
              <w:t>anu,</w:t>
            </w:r>
            <w:r w:rsidRPr="00C03B89">
              <w:rPr>
                <w:noProof/>
                <w:spacing w:val="-2"/>
                <w:szCs w:val="22"/>
                <w:lang w:val="sr-Latn-ME"/>
              </w:rPr>
              <w:t xml:space="preserve"> </w:t>
            </w:r>
            <w:r w:rsidRPr="00C03B89">
              <w:rPr>
                <w:noProof/>
                <w:szCs w:val="22"/>
                <w:lang w:val="sr-Latn-ME"/>
              </w:rPr>
              <w:t>n</w:t>
            </w:r>
            <w:r w:rsidRPr="00C03B89">
              <w:rPr>
                <w:noProof/>
                <w:spacing w:val="-2"/>
                <w:szCs w:val="22"/>
                <w:lang w:val="sr-Latn-ME"/>
              </w:rPr>
              <w:t>az</w:t>
            </w:r>
            <w:r w:rsidRPr="00C03B89">
              <w:rPr>
                <w:noProof/>
                <w:szCs w:val="22"/>
                <w:lang w:val="sr-Latn-ME"/>
              </w:rPr>
              <w:t>a</w:t>
            </w:r>
            <w:r w:rsidRPr="00C03B89">
              <w:rPr>
                <w:noProof/>
                <w:spacing w:val="1"/>
                <w:szCs w:val="22"/>
                <w:lang w:val="sr-Latn-ME"/>
              </w:rPr>
              <w:t>l</w:t>
            </w:r>
            <w:r w:rsidRPr="00C03B89">
              <w:rPr>
                <w:noProof/>
                <w:szCs w:val="22"/>
                <w:lang w:val="sr-Latn-ME"/>
              </w:rPr>
              <w:t xml:space="preserve">na </w:t>
            </w:r>
            <w:r w:rsidRPr="00C03B89">
              <w:rPr>
                <w:noProof/>
                <w:spacing w:val="-2"/>
                <w:szCs w:val="22"/>
                <w:lang w:val="sr-Latn-ME"/>
              </w:rPr>
              <w:t>k</w:t>
            </w:r>
            <w:r w:rsidRPr="00C03B89">
              <w:rPr>
                <w:noProof/>
                <w:szCs w:val="22"/>
                <w:lang w:val="sr-Latn-ME"/>
              </w:rPr>
              <w:t>on</w:t>
            </w:r>
            <w:r w:rsidRPr="00C03B89">
              <w:rPr>
                <w:noProof/>
                <w:spacing w:val="-2"/>
                <w:szCs w:val="22"/>
                <w:lang w:val="sr-Latn-ME"/>
              </w:rPr>
              <w:t>g</w:t>
            </w:r>
            <w:r w:rsidRPr="00C03B89">
              <w:rPr>
                <w:noProof/>
                <w:szCs w:val="22"/>
                <w:lang w:val="sr-Latn-ME"/>
              </w:rPr>
              <w:t>es</w:t>
            </w:r>
            <w:r w:rsidRPr="00C03B89">
              <w:rPr>
                <w:noProof/>
                <w:spacing w:val="1"/>
                <w:szCs w:val="22"/>
                <w:lang w:val="sr-Latn-ME"/>
              </w:rPr>
              <w:t>t</w:t>
            </w:r>
            <w:r w:rsidRPr="00C03B89">
              <w:rPr>
                <w:noProof/>
                <w:spacing w:val="-1"/>
                <w:szCs w:val="22"/>
                <w:lang w:val="sr-Latn-ME"/>
              </w:rPr>
              <w:t>i</w:t>
            </w:r>
            <w:r w:rsidRPr="00C03B89">
              <w:rPr>
                <w:noProof/>
                <w:spacing w:val="3"/>
                <w:szCs w:val="22"/>
                <w:lang w:val="sr-Latn-ME"/>
              </w:rPr>
              <w:t>j</w:t>
            </w:r>
            <w:r w:rsidRPr="00C03B89">
              <w:rPr>
                <w:noProof/>
                <w:szCs w:val="22"/>
                <w:lang w:val="sr-Latn-ME"/>
              </w:rPr>
              <w:t xml:space="preserve">a, </w:t>
            </w:r>
            <w:r w:rsidRPr="00C03B89">
              <w:rPr>
                <w:noProof/>
                <w:spacing w:val="-2"/>
                <w:szCs w:val="22"/>
                <w:lang w:val="sr-Latn-ME"/>
              </w:rPr>
              <w:t>k</w:t>
            </w:r>
            <w:r w:rsidRPr="00C03B89">
              <w:rPr>
                <w:noProof/>
                <w:szCs w:val="22"/>
                <w:lang w:val="sr-Latn-ME"/>
              </w:rPr>
              <w:t>aš</w:t>
            </w:r>
            <w:r w:rsidRPr="00C03B89">
              <w:rPr>
                <w:noProof/>
                <w:spacing w:val="-2"/>
                <w:szCs w:val="22"/>
                <w:lang w:val="sr-Latn-ME"/>
              </w:rPr>
              <w:t>a</w:t>
            </w:r>
            <w:r w:rsidRPr="00C03B89">
              <w:rPr>
                <w:noProof/>
                <w:spacing w:val="-1"/>
                <w:szCs w:val="22"/>
                <w:lang w:val="sr-Latn-ME"/>
              </w:rPr>
              <w:t>l</w:t>
            </w:r>
            <w:r w:rsidRPr="00C03B89">
              <w:rPr>
                <w:noProof/>
                <w:szCs w:val="22"/>
                <w:lang w:val="sr-Latn-ME"/>
              </w:rPr>
              <w:t>j</w:t>
            </w:r>
          </w:p>
        </w:tc>
      </w:tr>
      <w:tr w:rsidR="00FA4F6A" w:rsidRPr="006F34F9" w14:paraId="390242F3" w14:textId="77777777" w:rsidTr="00180C9F">
        <w:trPr>
          <w:trHeight w:hRule="exact" w:val="516"/>
        </w:trPr>
        <w:tc>
          <w:tcPr>
            <w:tcW w:w="3119" w:type="dxa"/>
            <w:vMerge/>
            <w:tcBorders>
              <w:left w:val="single" w:sz="4" w:space="0" w:color="000000"/>
              <w:bottom w:val="single" w:sz="4" w:space="0" w:color="000000"/>
              <w:right w:val="single" w:sz="4" w:space="0" w:color="000000"/>
            </w:tcBorders>
          </w:tcPr>
          <w:p w14:paraId="227D6B05" w14:textId="77777777" w:rsidR="00FA4F6A" w:rsidRPr="006F34F9" w:rsidRDefault="00FA4F6A" w:rsidP="00180C9F">
            <w:pPr>
              <w:spacing w:before="1"/>
              <w:ind w:right="-20"/>
              <w:jc w:val="center"/>
              <w:rPr>
                <w:iCs/>
                <w:noProof/>
                <w:szCs w:val="22"/>
                <w:lang w:val="sr-Latn-ME"/>
              </w:rPr>
            </w:pPr>
          </w:p>
        </w:tc>
        <w:tc>
          <w:tcPr>
            <w:tcW w:w="2410" w:type="dxa"/>
            <w:tcBorders>
              <w:top w:val="single" w:sz="4" w:space="0" w:color="000000"/>
              <w:left w:val="single" w:sz="4" w:space="0" w:color="000000"/>
              <w:bottom w:val="single" w:sz="4" w:space="0" w:color="000000"/>
              <w:right w:val="single" w:sz="4" w:space="0" w:color="000000"/>
            </w:tcBorders>
          </w:tcPr>
          <w:p w14:paraId="407F50CB" w14:textId="4E3394FC" w:rsidR="00FA4F6A" w:rsidRPr="006F34F9" w:rsidRDefault="00FA4F6A" w:rsidP="00180C9F">
            <w:pPr>
              <w:spacing w:line="246" w:lineRule="exact"/>
              <w:ind w:left="100" w:right="-20"/>
              <w:rPr>
                <w:noProof/>
                <w:spacing w:val="-1"/>
                <w:szCs w:val="22"/>
                <w:lang w:val="sr-Latn-ME"/>
              </w:rPr>
            </w:pPr>
            <w:r w:rsidRPr="006F34F9">
              <w:rPr>
                <w:noProof/>
                <w:spacing w:val="-1"/>
                <w:szCs w:val="22"/>
                <w:lang w:val="sr-Latn-ME"/>
              </w:rPr>
              <w:t>Nepoznato</w:t>
            </w:r>
          </w:p>
        </w:tc>
        <w:tc>
          <w:tcPr>
            <w:tcW w:w="3543" w:type="dxa"/>
            <w:tcBorders>
              <w:top w:val="single" w:sz="4" w:space="0" w:color="000000"/>
              <w:left w:val="single" w:sz="4" w:space="0" w:color="000000"/>
              <w:bottom w:val="single" w:sz="4" w:space="0" w:color="000000"/>
              <w:right w:val="single" w:sz="4" w:space="0" w:color="000000"/>
            </w:tcBorders>
          </w:tcPr>
          <w:p w14:paraId="6F4B5B80" w14:textId="6766653E" w:rsidR="00FA4F6A" w:rsidRPr="006F34F9" w:rsidRDefault="004D3C68" w:rsidP="00180C9F">
            <w:pPr>
              <w:spacing w:line="246" w:lineRule="exact"/>
              <w:ind w:left="100" w:right="-20"/>
              <w:rPr>
                <w:noProof/>
                <w:szCs w:val="22"/>
                <w:lang w:val="sr-Latn-ME"/>
              </w:rPr>
            </w:pPr>
            <w:r w:rsidRPr="006F34F9">
              <w:rPr>
                <w:noProof/>
                <w:szCs w:val="22"/>
                <w:lang w:val="sr-Latn-ME"/>
              </w:rPr>
              <w:t xml:space="preserve">intersticijalna </w:t>
            </w:r>
            <w:r w:rsidR="00FA4F6A" w:rsidRPr="006F34F9">
              <w:rPr>
                <w:noProof/>
                <w:szCs w:val="22"/>
                <w:lang w:val="sr-Latn-ME"/>
              </w:rPr>
              <w:t>bolest pluća</w:t>
            </w:r>
          </w:p>
        </w:tc>
      </w:tr>
      <w:tr w:rsidR="00FA4F6A" w:rsidRPr="006F34F9" w14:paraId="133A50DD" w14:textId="77777777" w:rsidTr="00180C9F">
        <w:trPr>
          <w:trHeight w:hRule="exact" w:val="842"/>
        </w:trPr>
        <w:tc>
          <w:tcPr>
            <w:tcW w:w="3119" w:type="dxa"/>
            <w:tcBorders>
              <w:top w:val="single" w:sz="4" w:space="0" w:color="000000"/>
              <w:left w:val="single" w:sz="4" w:space="0" w:color="000000"/>
              <w:right w:val="single" w:sz="4" w:space="0" w:color="000000"/>
            </w:tcBorders>
            <w:hideMark/>
          </w:tcPr>
          <w:p w14:paraId="33D8EC9C" w14:textId="77777777" w:rsidR="00FA4F6A" w:rsidRPr="006F34F9" w:rsidRDefault="00FA4F6A" w:rsidP="00180C9F">
            <w:pPr>
              <w:spacing w:line="246" w:lineRule="exact"/>
              <w:ind w:right="-20"/>
              <w:jc w:val="center"/>
              <w:rPr>
                <w:noProof/>
                <w:szCs w:val="22"/>
                <w:lang w:val="sr-Latn-ME"/>
              </w:rPr>
            </w:pPr>
            <w:r w:rsidRPr="006F34F9">
              <w:rPr>
                <w:noProof/>
                <w:szCs w:val="22"/>
                <w:lang w:val="sr-Latn-ME"/>
              </w:rPr>
              <w:lastRenderedPageBreak/>
              <w:t>Gastrointestinalni poremećaji</w:t>
            </w:r>
          </w:p>
        </w:tc>
        <w:tc>
          <w:tcPr>
            <w:tcW w:w="2410" w:type="dxa"/>
            <w:tcBorders>
              <w:top w:val="single" w:sz="4" w:space="0" w:color="000000"/>
              <w:left w:val="single" w:sz="4" w:space="0" w:color="000000"/>
              <w:bottom w:val="single" w:sz="4" w:space="0" w:color="000000"/>
              <w:right w:val="single" w:sz="4" w:space="0" w:color="000000"/>
            </w:tcBorders>
            <w:hideMark/>
          </w:tcPr>
          <w:p w14:paraId="23F9F6F6" w14:textId="77777777" w:rsidR="00FA4F6A" w:rsidRPr="006F34F9" w:rsidRDefault="00FA4F6A" w:rsidP="00180C9F">
            <w:pPr>
              <w:spacing w:line="246" w:lineRule="exact"/>
              <w:ind w:left="100" w:right="-20"/>
              <w:rPr>
                <w:noProof/>
                <w:szCs w:val="22"/>
                <w:lang w:val="sr-Latn-ME"/>
              </w:rPr>
            </w:pPr>
            <w:r w:rsidRPr="006F34F9">
              <w:rPr>
                <w:noProof/>
                <w:spacing w:val="-1"/>
                <w:szCs w:val="22"/>
                <w:lang w:val="sr-Latn-ME"/>
              </w:rPr>
              <w:t>Č</w:t>
            </w:r>
            <w:r w:rsidRPr="006F34F9">
              <w:rPr>
                <w:noProof/>
                <w:szCs w:val="22"/>
                <w:lang w:val="sr-Latn-ME"/>
              </w:rPr>
              <w:t>es</w:t>
            </w:r>
            <w:r w:rsidRPr="006F34F9">
              <w:rPr>
                <w:noProof/>
                <w:spacing w:val="1"/>
                <w:szCs w:val="22"/>
                <w:lang w:val="sr-Latn-ME"/>
              </w:rPr>
              <w:t>t</w:t>
            </w:r>
            <w:r w:rsidRPr="006F34F9">
              <w:rPr>
                <w:noProof/>
                <w:szCs w:val="22"/>
                <w:lang w:val="sr-Latn-ME"/>
              </w:rPr>
              <w:t>o</w:t>
            </w:r>
          </w:p>
        </w:tc>
        <w:tc>
          <w:tcPr>
            <w:tcW w:w="3543" w:type="dxa"/>
            <w:tcBorders>
              <w:top w:val="single" w:sz="4" w:space="0" w:color="000000"/>
              <w:left w:val="single" w:sz="4" w:space="0" w:color="000000"/>
              <w:bottom w:val="single" w:sz="4" w:space="0" w:color="000000"/>
              <w:right w:val="single" w:sz="4" w:space="0" w:color="000000"/>
            </w:tcBorders>
            <w:hideMark/>
          </w:tcPr>
          <w:p w14:paraId="38684560" w14:textId="28C42D93" w:rsidR="00FA4F6A" w:rsidRPr="006F34F9" w:rsidRDefault="00FA4F6A" w:rsidP="004D3C68">
            <w:pPr>
              <w:spacing w:line="246" w:lineRule="exact"/>
              <w:ind w:left="100" w:right="-20"/>
              <w:jc w:val="left"/>
              <w:rPr>
                <w:noProof/>
                <w:szCs w:val="22"/>
                <w:lang w:val="sr-Latn-ME"/>
              </w:rPr>
            </w:pPr>
            <w:r w:rsidRPr="006F34F9">
              <w:rPr>
                <w:noProof/>
                <w:szCs w:val="22"/>
                <w:lang w:val="sr-Latn-ME"/>
              </w:rPr>
              <w:t>ana</w:t>
            </w:r>
            <w:r w:rsidRPr="006F34F9">
              <w:rPr>
                <w:noProof/>
                <w:spacing w:val="1"/>
                <w:szCs w:val="22"/>
                <w:lang w:val="sr-Latn-ME"/>
              </w:rPr>
              <w:t>l</w:t>
            </w:r>
            <w:r w:rsidRPr="006F34F9">
              <w:rPr>
                <w:noProof/>
                <w:spacing w:val="-2"/>
                <w:szCs w:val="22"/>
                <w:lang w:val="sr-Latn-ME"/>
              </w:rPr>
              <w:t>n</w:t>
            </w:r>
            <w:r w:rsidRPr="006F34F9">
              <w:rPr>
                <w:noProof/>
                <w:szCs w:val="22"/>
                <w:lang w:val="sr-Latn-ME"/>
              </w:rPr>
              <w:t>i</w:t>
            </w:r>
            <w:r w:rsidRPr="006F34F9">
              <w:rPr>
                <w:noProof/>
                <w:spacing w:val="1"/>
                <w:szCs w:val="22"/>
                <w:lang w:val="sr-Latn-ME"/>
              </w:rPr>
              <w:t xml:space="preserve"> </w:t>
            </w:r>
            <w:r w:rsidRPr="006F34F9">
              <w:rPr>
                <w:noProof/>
                <w:spacing w:val="-2"/>
                <w:szCs w:val="22"/>
                <w:lang w:val="sr-Latn-ME"/>
              </w:rPr>
              <w:t>a</w:t>
            </w:r>
            <w:r w:rsidRPr="006F34F9">
              <w:rPr>
                <w:noProof/>
                <w:szCs w:val="22"/>
                <w:lang w:val="sr-Latn-ME"/>
              </w:rPr>
              <w:t>ps</w:t>
            </w:r>
            <w:r w:rsidRPr="006F34F9">
              <w:rPr>
                <w:noProof/>
                <w:spacing w:val="-2"/>
                <w:szCs w:val="22"/>
                <w:lang w:val="sr-Latn-ME"/>
              </w:rPr>
              <w:t>c</w:t>
            </w:r>
            <w:r w:rsidRPr="006F34F9">
              <w:rPr>
                <w:noProof/>
                <w:szCs w:val="22"/>
                <w:lang w:val="sr-Latn-ME"/>
              </w:rPr>
              <w:t>es, a</w:t>
            </w:r>
            <w:r w:rsidRPr="006F34F9">
              <w:rPr>
                <w:noProof/>
                <w:spacing w:val="-2"/>
                <w:szCs w:val="22"/>
                <w:lang w:val="sr-Latn-ME"/>
              </w:rPr>
              <w:t>n</w:t>
            </w:r>
            <w:r w:rsidRPr="006F34F9">
              <w:rPr>
                <w:noProof/>
                <w:szCs w:val="22"/>
                <w:lang w:val="sr-Latn-ME"/>
              </w:rPr>
              <w:t>a</w:t>
            </w:r>
            <w:r w:rsidRPr="006F34F9">
              <w:rPr>
                <w:noProof/>
                <w:spacing w:val="1"/>
                <w:szCs w:val="22"/>
                <w:lang w:val="sr-Latn-ME"/>
              </w:rPr>
              <w:t>l</w:t>
            </w:r>
            <w:r w:rsidRPr="006F34F9">
              <w:rPr>
                <w:noProof/>
                <w:spacing w:val="-2"/>
                <w:szCs w:val="22"/>
                <w:lang w:val="sr-Latn-ME"/>
              </w:rPr>
              <w:t>n</w:t>
            </w:r>
            <w:r w:rsidRPr="006F34F9">
              <w:rPr>
                <w:noProof/>
                <w:szCs w:val="22"/>
                <w:lang w:val="sr-Latn-ME"/>
              </w:rPr>
              <w:t>a</w:t>
            </w:r>
            <w:r w:rsidRPr="006F34F9">
              <w:rPr>
                <w:noProof/>
                <w:spacing w:val="1"/>
                <w:szCs w:val="22"/>
                <w:lang w:val="sr-Latn-ME"/>
              </w:rPr>
              <w:t xml:space="preserve"> </w:t>
            </w:r>
            <w:r w:rsidRPr="006F34F9">
              <w:rPr>
                <w:noProof/>
                <w:spacing w:val="-2"/>
                <w:szCs w:val="22"/>
                <w:lang w:val="sr-Latn-ME"/>
              </w:rPr>
              <w:t>f</w:t>
            </w:r>
            <w:r w:rsidRPr="006F34F9">
              <w:rPr>
                <w:noProof/>
                <w:spacing w:val="1"/>
                <w:szCs w:val="22"/>
                <w:lang w:val="sr-Latn-ME"/>
              </w:rPr>
              <w:t>i</w:t>
            </w:r>
            <w:r w:rsidRPr="006F34F9">
              <w:rPr>
                <w:noProof/>
                <w:szCs w:val="22"/>
                <w:lang w:val="sr-Latn-ME"/>
              </w:rPr>
              <w:t>s</w:t>
            </w:r>
            <w:r w:rsidRPr="006F34F9">
              <w:rPr>
                <w:noProof/>
                <w:spacing w:val="-2"/>
                <w:szCs w:val="22"/>
                <w:lang w:val="sr-Latn-ME"/>
              </w:rPr>
              <w:t>u</w:t>
            </w:r>
            <w:r w:rsidRPr="006F34F9">
              <w:rPr>
                <w:noProof/>
                <w:spacing w:val="1"/>
                <w:szCs w:val="22"/>
                <w:lang w:val="sr-Latn-ME"/>
              </w:rPr>
              <w:t>r</w:t>
            </w:r>
            <w:r w:rsidRPr="006F34F9">
              <w:rPr>
                <w:noProof/>
                <w:spacing w:val="-2"/>
                <w:szCs w:val="22"/>
                <w:lang w:val="sr-Latn-ME"/>
              </w:rPr>
              <w:t>a</w:t>
            </w:r>
            <w:r w:rsidRPr="006F34F9">
              <w:rPr>
                <w:noProof/>
                <w:szCs w:val="22"/>
                <w:lang w:val="sr-Latn-ME"/>
              </w:rPr>
              <w:t xml:space="preserve">, </w:t>
            </w:r>
            <w:r w:rsidRPr="006F34F9">
              <w:rPr>
                <w:noProof/>
                <w:spacing w:val="-4"/>
                <w:szCs w:val="22"/>
                <w:lang w:val="sr-Latn-ME"/>
              </w:rPr>
              <w:t>m</w:t>
            </w:r>
            <w:r w:rsidRPr="006F34F9">
              <w:rPr>
                <w:noProof/>
                <w:szCs w:val="22"/>
                <w:lang w:val="sr-Latn-ME"/>
              </w:rPr>
              <w:t>učn</w:t>
            </w:r>
            <w:r w:rsidRPr="006F34F9">
              <w:rPr>
                <w:noProof/>
                <w:spacing w:val="1"/>
                <w:szCs w:val="22"/>
                <w:lang w:val="sr-Latn-ME"/>
              </w:rPr>
              <w:t>i</w:t>
            </w:r>
            <w:r w:rsidRPr="006F34F9">
              <w:rPr>
                <w:noProof/>
                <w:szCs w:val="22"/>
                <w:lang w:val="sr-Latn-ME"/>
              </w:rPr>
              <w:t>na, d</w:t>
            </w:r>
            <w:r w:rsidRPr="006F34F9">
              <w:rPr>
                <w:noProof/>
                <w:spacing w:val="-1"/>
                <w:szCs w:val="22"/>
                <w:lang w:val="sr-Latn-ME"/>
              </w:rPr>
              <w:t>i</w:t>
            </w:r>
            <w:r w:rsidRPr="006F34F9">
              <w:rPr>
                <w:noProof/>
                <w:szCs w:val="22"/>
                <w:lang w:val="sr-Latn-ME"/>
              </w:rPr>
              <w:t>spep</w:t>
            </w:r>
            <w:r w:rsidRPr="006F34F9">
              <w:rPr>
                <w:noProof/>
                <w:spacing w:val="-2"/>
                <w:szCs w:val="22"/>
                <w:lang w:val="sr-Latn-ME"/>
              </w:rPr>
              <w:t>s</w:t>
            </w:r>
            <w:r w:rsidRPr="006F34F9">
              <w:rPr>
                <w:noProof/>
                <w:spacing w:val="-1"/>
                <w:szCs w:val="22"/>
                <w:lang w:val="sr-Latn-ME"/>
              </w:rPr>
              <w:t>i</w:t>
            </w:r>
            <w:r w:rsidRPr="006F34F9">
              <w:rPr>
                <w:noProof/>
                <w:spacing w:val="1"/>
                <w:szCs w:val="22"/>
                <w:lang w:val="sr-Latn-ME"/>
              </w:rPr>
              <w:t>j</w:t>
            </w:r>
            <w:r w:rsidRPr="006F34F9">
              <w:rPr>
                <w:noProof/>
                <w:szCs w:val="22"/>
                <w:lang w:val="sr-Latn-ME"/>
              </w:rPr>
              <w:t xml:space="preserve">a, </w:t>
            </w:r>
            <w:r w:rsidRPr="006F34F9">
              <w:rPr>
                <w:noProof/>
                <w:spacing w:val="-2"/>
                <w:szCs w:val="22"/>
                <w:lang w:val="sr-Latn-ME"/>
              </w:rPr>
              <w:t>k</w:t>
            </w:r>
            <w:r w:rsidRPr="006F34F9">
              <w:rPr>
                <w:noProof/>
                <w:szCs w:val="22"/>
                <w:lang w:val="sr-Latn-ME"/>
              </w:rPr>
              <w:t>ons</w:t>
            </w:r>
            <w:r w:rsidRPr="006F34F9">
              <w:rPr>
                <w:noProof/>
                <w:spacing w:val="-1"/>
                <w:szCs w:val="22"/>
                <w:lang w:val="sr-Latn-ME"/>
              </w:rPr>
              <w:t>ti</w:t>
            </w:r>
            <w:r w:rsidRPr="006F34F9">
              <w:rPr>
                <w:noProof/>
                <w:szCs w:val="22"/>
                <w:lang w:val="sr-Latn-ME"/>
              </w:rPr>
              <w:t>pac</w:t>
            </w:r>
            <w:r w:rsidRPr="006F34F9">
              <w:rPr>
                <w:noProof/>
                <w:spacing w:val="-1"/>
                <w:szCs w:val="22"/>
                <w:lang w:val="sr-Latn-ME"/>
              </w:rPr>
              <w:t>i</w:t>
            </w:r>
            <w:r w:rsidRPr="006F34F9">
              <w:rPr>
                <w:noProof/>
                <w:spacing w:val="1"/>
                <w:szCs w:val="22"/>
                <w:lang w:val="sr-Latn-ME"/>
              </w:rPr>
              <w:t>j</w:t>
            </w:r>
            <w:r w:rsidRPr="006F34F9">
              <w:rPr>
                <w:noProof/>
                <w:szCs w:val="22"/>
                <w:lang w:val="sr-Latn-ME"/>
              </w:rPr>
              <w:t>a, abdo</w:t>
            </w:r>
            <w:r w:rsidRPr="006F34F9">
              <w:rPr>
                <w:noProof/>
                <w:spacing w:val="-4"/>
                <w:szCs w:val="22"/>
                <w:lang w:val="sr-Latn-ME"/>
              </w:rPr>
              <w:t>m</w:t>
            </w:r>
            <w:r w:rsidRPr="006F34F9">
              <w:rPr>
                <w:noProof/>
                <w:spacing w:val="1"/>
                <w:szCs w:val="22"/>
                <w:lang w:val="sr-Latn-ME"/>
              </w:rPr>
              <w:t>i</w:t>
            </w:r>
            <w:r w:rsidRPr="006F34F9">
              <w:rPr>
                <w:noProof/>
                <w:szCs w:val="22"/>
                <w:lang w:val="sr-Latn-ME"/>
              </w:rPr>
              <w:t>na</w:t>
            </w:r>
            <w:r w:rsidRPr="006F34F9">
              <w:rPr>
                <w:noProof/>
                <w:spacing w:val="1"/>
                <w:szCs w:val="22"/>
                <w:lang w:val="sr-Latn-ME"/>
              </w:rPr>
              <w:t>l</w:t>
            </w:r>
            <w:r w:rsidRPr="006F34F9">
              <w:rPr>
                <w:noProof/>
                <w:spacing w:val="-2"/>
                <w:szCs w:val="22"/>
                <w:lang w:val="sr-Latn-ME"/>
              </w:rPr>
              <w:t>n</w:t>
            </w:r>
            <w:r w:rsidRPr="006F34F9">
              <w:rPr>
                <w:noProof/>
                <w:szCs w:val="22"/>
                <w:lang w:val="sr-Latn-ME"/>
              </w:rPr>
              <w:t>a</w:t>
            </w:r>
            <w:r w:rsidRPr="006F34F9">
              <w:rPr>
                <w:noProof/>
                <w:spacing w:val="1"/>
                <w:szCs w:val="22"/>
                <w:lang w:val="sr-Latn-ME"/>
              </w:rPr>
              <w:t xml:space="preserve"> </w:t>
            </w:r>
            <w:r w:rsidRPr="006F34F9">
              <w:rPr>
                <w:noProof/>
                <w:szCs w:val="22"/>
                <w:lang w:val="sr-Latn-ME"/>
              </w:rPr>
              <w:t>d</w:t>
            </w:r>
            <w:r w:rsidRPr="006F34F9">
              <w:rPr>
                <w:noProof/>
                <w:spacing w:val="-1"/>
                <w:szCs w:val="22"/>
                <w:lang w:val="sr-Latn-ME"/>
              </w:rPr>
              <w:t>i</w:t>
            </w:r>
            <w:r w:rsidRPr="006F34F9">
              <w:rPr>
                <w:noProof/>
                <w:szCs w:val="22"/>
                <w:lang w:val="sr-Latn-ME"/>
              </w:rPr>
              <w:t>s</w:t>
            </w:r>
            <w:r w:rsidRPr="006F34F9">
              <w:rPr>
                <w:noProof/>
                <w:spacing w:val="1"/>
                <w:szCs w:val="22"/>
                <w:lang w:val="sr-Latn-ME"/>
              </w:rPr>
              <w:t>t</w:t>
            </w:r>
            <w:r w:rsidRPr="006F34F9">
              <w:rPr>
                <w:noProof/>
                <w:spacing w:val="-2"/>
                <w:szCs w:val="22"/>
                <w:lang w:val="sr-Latn-ME"/>
              </w:rPr>
              <w:t>e</w:t>
            </w:r>
            <w:r w:rsidRPr="006F34F9">
              <w:rPr>
                <w:noProof/>
                <w:szCs w:val="22"/>
                <w:lang w:val="sr-Latn-ME"/>
              </w:rPr>
              <w:t>n</w:t>
            </w:r>
            <w:r w:rsidRPr="006F34F9">
              <w:rPr>
                <w:noProof/>
                <w:spacing w:val="-2"/>
                <w:szCs w:val="22"/>
                <w:lang w:val="sr-Latn-ME"/>
              </w:rPr>
              <w:t>z</w:t>
            </w:r>
            <w:r w:rsidRPr="006F34F9">
              <w:rPr>
                <w:noProof/>
                <w:spacing w:val="-1"/>
                <w:szCs w:val="22"/>
                <w:lang w:val="sr-Latn-ME"/>
              </w:rPr>
              <w:t>i</w:t>
            </w:r>
            <w:r w:rsidRPr="006F34F9">
              <w:rPr>
                <w:noProof/>
                <w:spacing w:val="3"/>
                <w:szCs w:val="22"/>
                <w:lang w:val="sr-Latn-ME"/>
              </w:rPr>
              <w:t>j</w:t>
            </w:r>
            <w:r w:rsidRPr="006F34F9">
              <w:rPr>
                <w:noProof/>
                <w:szCs w:val="22"/>
                <w:lang w:val="sr-Latn-ME"/>
              </w:rPr>
              <w:t>a,</w:t>
            </w:r>
            <w:r w:rsidRPr="006F34F9">
              <w:rPr>
                <w:noProof/>
                <w:spacing w:val="-2"/>
                <w:szCs w:val="22"/>
                <w:lang w:val="sr-Latn-ME"/>
              </w:rPr>
              <w:t xml:space="preserve"> </w:t>
            </w:r>
            <w:r w:rsidRPr="006F34F9">
              <w:rPr>
                <w:noProof/>
                <w:spacing w:val="1"/>
                <w:szCs w:val="22"/>
                <w:lang w:val="sr-Latn-ME"/>
              </w:rPr>
              <w:t>f</w:t>
            </w:r>
            <w:r w:rsidRPr="006F34F9">
              <w:rPr>
                <w:noProof/>
                <w:spacing w:val="-1"/>
                <w:szCs w:val="22"/>
                <w:lang w:val="sr-Latn-ME"/>
              </w:rPr>
              <w:t>l</w:t>
            </w:r>
            <w:r w:rsidRPr="006F34F9">
              <w:rPr>
                <w:noProof/>
                <w:szCs w:val="22"/>
                <w:lang w:val="sr-Latn-ME"/>
              </w:rPr>
              <w:t>a</w:t>
            </w:r>
            <w:r w:rsidRPr="006F34F9">
              <w:rPr>
                <w:noProof/>
                <w:spacing w:val="-1"/>
                <w:szCs w:val="22"/>
                <w:lang w:val="sr-Latn-ME"/>
              </w:rPr>
              <w:t>t</w:t>
            </w:r>
            <w:r w:rsidRPr="006F34F9">
              <w:rPr>
                <w:noProof/>
                <w:szCs w:val="22"/>
                <w:lang w:val="sr-Latn-ME"/>
              </w:rPr>
              <w:t>u</w:t>
            </w:r>
            <w:r w:rsidRPr="006F34F9">
              <w:rPr>
                <w:noProof/>
                <w:spacing w:val="1"/>
                <w:szCs w:val="22"/>
                <w:lang w:val="sr-Latn-ME"/>
              </w:rPr>
              <w:t>l</w:t>
            </w:r>
            <w:r w:rsidRPr="006F34F9">
              <w:rPr>
                <w:noProof/>
                <w:szCs w:val="22"/>
                <w:lang w:val="sr-Latn-ME"/>
              </w:rPr>
              <w:t>en</w:t>
            </w:r>
            <w:r w:rsidRPr="006F34F9">
              <w:rPr>
                <w:noProof/>
                <w:spacing w:val="-2"/>
                <w:szCs w:val="22"/>
                <w:lang w:val="sr-Latn-ME"/>
              </w:rPr>
              <w:t>c</w:t>
            </w:r>
            <w:r w:rsidRPr="006F34F9">
              <w:rPr>
                <w:noProof/>
                <w:spacing w:val="-1"/>
                <w:szCs w:val="22"/>
                <w:lang w:val="sr-Latn-ME"/>
              </w:rPr>
              <w:t>i</w:t>
            </w:r>
            <w:r w:rsidRPr="006F34F9">
              <w:rPr>
                <w:noProof/>
                <w:spacing w:val="1"/>
                <w:szCs w:val="22"/>
                <w:lang w:val="sr-Latn-ME"/>
              </w:rPr>
              <w:t>j</w:t>
            </w:r>
            <w:r w:rsidRPr="006F34F9">
              <w:rPr>
                <w:noProof/>
                <w:szCs w:val="22"/>
                <w:lang w:val="sr-Latn-ME"/>
              </w:rPr>
              <w:t>a, he</w:t>
            </w:r>
            <w:r w:rsidRPr="006F34F9">
              <w:rPr>
                <w:noProof/>
                <w:spacing w:val="-4"/>
                <w:szCs w:val="22"/>
                <w:lang w:val="sr-Latn-ME"/>
              </w:rPr>
              <w:t>m</w:t>
            </w:r>
            <w:r w:rsidRPr="006F34F9">
              <w:rPr>
                <w:noProof/>
                <w:szCs w:val="22"/>
                <w:lang w:val="sr-Latn-ME"/>
              </w:rPr>
              <w:t>o</w:t>
            </w:r>
            <w:r w:rsidRPr="006F34F9">
              <w:rPr>
                <w:noProof/>
                <w:spacing w:val="1"/>
                <w:szCs w:val="22"/>
                <w:lang w:val="sr-Latn-ME"/>
              </w:rPr>
              <w:t>r</w:t>
            </w:r>
            <w:r w:rsidRPr="006F34F9">
              <w:rPr>
                <w:noProof/>
                <w:szCs w:val="22"/>
                <w:lang w:val="sr-Latn-ME"/>
              </w:rPr>
              <w:t>o</w:t>
            </w:r>
            <w:r w:rsidRPr="006F34F9">
              <w:rPr>
                <w:noProof/>
                <w:spacing w:val="1"/>
                <w:szCs w:val="22"/>
                <w:lang w:val="sr-Latn-ME"/>
              </w:rPr>
              <w:t>i</w:t>
            </w:r>
            <w:r w:rsidRPr="006F34F9">
              <w:rPr>
                <w:noProof/>
                <w:szCs w:val="22"/>
                <w:lang w:val="sr-Latn-ME"/>
              </w:rPr>
              <w:t>di</w:t>
            </w:r>
          </w:p>
        </w:tc>
      </w:tr>
      <w:tr w:rsidR="00DD0778" w:rsidRPr="006F34F9" w14:paraId="25914592" w14:textId="77777777" w:rsidTr="00180C9F">
        <w:trPr>
          <w:trHeight w:hRule="exact" w:val="516"/>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3F3CF1B9" w14:textId="77777777" w:rsidR="00DD0778" w:rsidRPr="006F34F9" w:rsidRDefault="00DD0778" w:rsidP="00180C9F">
            <w:pPr>
              <w:spacing w:line="246" w:lineRule="exact"/>
              <w:ind w:right="-20"/>
              <w:jc w:val="center"/>
              <w:rPr>
                <w:noProof/>
                <w:szCs w:val="22"/>
                <w:lang w:val="sr-Latn-ME"/>
              </w:rPr>
            </w:pPr>
            <w:r w:rsidRPr="006F34F9">
              <w:rPr>
                <w:noProof/>
                <w:szCs w:val="22"/>
                <w:lang w:val="sr-Latn-ME"/>
              </w:rPr>
              <w:t>Po</w:t>
            </w:r>
            <w:r w:rsidRPr="006F34F9">
              <w:rPr>
                <w:noProof/>
                <w:spacing w:val="1"/>
                <w:szCs w:val="22"/>
                <w:lang w:val="sr-Latn-ME"/>
              </w:rPr>
              <w:t>r</w:t>
            </w:r>
            <w:r w:rsidRPr="006F34F9">
              <w:rPr>
                <w:noProof/>
                <w:szCs w:val="22"/>
                <w:lang w:val="sr-Latn-ME"/>
              </w:rPr>
              <w:t>e</w:t>
            </w:r>
            <w:r w:rsidRPr="006F34F9">
              <w:rPr>
                <w:noProof/>
                <w:spacing w:val="-4"/>
                <w:szCs w:val="22"/>
                <w:lang w:val="sr-Latn-ME"/>
              </w:rPr>
              <w:t>m</w:t>
            </w:r>
            <w:r w:rsidRPr="006F34F9">
              <w:rPr>
                <w:noProof/>
                <w:szCs w:val="22"/>
                <w:lang w:val="sr-Latn-ME"/>
              </w:rPr>
              <w:t>eć</w:t>
            </w:r>
            <w:r w:rsidRPr="006F34F9">
              <w:rPr>
                <w:noProof/>
                <w:spacing w:val="-2"/>
                <w:szCs w:val="22"/>
                <w:lang w:val="sr-Latn-ME"/>
              </w:rPr>
              <w:t>a</w:t>
            </w:r>
            <w:r w:rsidRPr="006F34F9">
              <w:rPr>
                <w:noProof/>
                <w:spacing w:val="1"/>
                <w:szCs w:val="22"/>
                <w:lang w:val="sr-Latn-ME"/>
              </w:rPr>
              <w:t>j</w:t>
            </w:r>
            <w:r w:rsidRPr="006F34F9">
              <w:rPr>
                <w:noProof/>
                <w:szCs w:val="22"/>
                <w:lang w:val="sr-Latn-ME"/>
              </w:rPr>
              <w:t>i</w:t>
            </w:r>
            <w:r w:rsidRPr="006F34F9">
              <w:rPr>
                <w:noProof/>
                <w:spacing w:val="1"/>
                <w:szCs w:val="22"/>
                <w:lang w:val="sr-Latn-ME"/>
              </w:rPr>
              <w:t xml:space="preserve"> na nivou </w:t>
            </w:r>
            <w:r w:rsidRPr="006F34F9">
              <w:rPr>
                <w:noProof/>
                <w:spacing w:val="-2"/>
                <w:szCs w:val="22"/>
                <w:lang w:val="sr-Latn-ME"/>
              </w:rPr>
              <w:t>k</w:t>
            </w:r>
            <w:r w:rsidRPr="006F34F9">
              <w:rPr>
                <w:noProof/>
                <w:szCs w:val="22"/>
                <w:lang w:val="sr-Latn-ME"/>
              </w:rPr>
              <w:t>o</w:t>
            </w:r>
            <w:r w:rsidRPr="006F34F9">
              <w:rPr>
                <w:noProof/>
                <w:spacing w:val="-2"/>
                <w:szCs w:val="22"/>
                <w:lang w:val="sr-Latn-ME"/>
              </w:rPr>
              <w:t>ž</w:t>
            </w:r>
            <w:r w:rsidRPr="006F34F9">
              <w:rPr>
                <w:noProof/>
                <w:szCs w:val="22"/>
                <w:lang w:val="sr-Latn-ME"/>
              </w:rPr>
              <w:t>e</w:t>
            </w:r>
            <w:r w:rsidRPr="006F34F9">
              <w:rPr>
                <w:noProof/>
                <w:spacing w:val="1"/>
                <w:szCs w:val="22"/>
                <w:lang w:val="sr-Latn-ME"/>
              </w:rPr>
              <w:t xml:space="preserve"> </w:t>
            </w:r>
            <w:r w:rsidRPr="006F34F9">
              <w:rPr>
                <w:noProof/>
                <w:szCs w:val="22"/>
                <w:lang w:val="sr-Latn-ME"/>
              </w:rPr>
              <w:t>i</w:t>
            </w:r>
            <w:r w:rsidRPr="006F34F9">
              <w:rPr>
                <w:noProof/>
                <w:spacing w:val="1"/>
                <w:szCs w:val="22"/>
                <w:lang w:val="sr-Latn-ME"/>
              </w:rPr>
              <w:t xml:space="preserve"> </w:t>
            </w:r>
            <w:r w:rsidRPr="006F34F9">
              <w:rPr>
                <w:noProof/>
                <w:szCs w:val="22"/>
                <w:lang w:val="sr-Latn-ME"/>
              </w:rPr>
              <w:t>po</w:t>
            </w:r>
            <w:r w:rsidRPr="006F34F9">
              <w:rPr>
                <w:noProof/>
                <w:spacing w:val="1"/>
                <w:szCs w:val="22"/>
                <w:lang w:val="sr-Latn-ME"/>
              </w:rPr>
              <w:t>t</w:t>
            </w:r>
            <w:r w:rsidRPr="006F34F9">
              <w:rPr>
                <w:noProof/>
                <w:spacing w:val="-2"/>
                <w:szCs w:val="22"/>
                <w:lang w:val="sr-Latn-ME"/>
              </w:rPr>
              <w:t>k</w:t>
            </w:r>
            <w:r w:rsidRPr="006F34F9">
              <w:rPr>
                <w:noProof/>
                <w:szCs w:val="22"/>
                <w:lang w:val="sr-Latn-ME"/>
              </w:rPr>
              <w:t>o</w:t>
            </w:r>
            <w:r w:rsidRPr="006F34F9">
              <w:rPr>
                <w:noProof/>
                <w:spacing w:val="-2"/>
                <w:szCs w:val="22"/>
                <w:lang w:val="sr-Latn-ME"/>
              </w:rPr>
              <w:t>ž</w:t>
            </w:r>
            <w:r w:rsidRPr="006F34F9">
              <w:rPr>
                <w:noProof/>
                <w:szCs w:val="22"/>
                <w:lang w:val="sr-Latn-ME"/>
              </w:rPr>
              <w:t xml:space="preserve">nog </w:t>
            </w:r>
            <w:r w:rsidRPr="006F34F9">
              <w:rPr>
                <w:noProof/>
                <w:spacing w:val="1"/>
                <w:szCs w:val="22"/>
                <w:lang w:val="sr-Latn-ME"/>
              </w:rPr>
              <w:t>t</w:t>
            </w:r>
            <w:r w:rsidRPr="006F34F9">
              <w:rPr>
                <w:noProof/>
                <w:spacing w:val="-2"/>
                <w:szCs w:val="22"/>
                <w:lang w:val="sr-Latn-ME"/>
              </w:rPr>
              <w:t>k</w:t>
            </w:r>
            <w:r w:rsidRPr="006F34F9">
              <w:rPr>
                <w:noProof/>
                <w:spacing w:val="1"/>
                <w:szCs w:val="22"/>
                <w:lang w:val="sr-Latn-ME"/>
              </w:rPr>
              <w:t>i</w:t>
            </w:r>
            <w:r w:rsidRPr="006F34F9">
              <w:rPr>
                <w:noProof/>
                <w:spacing w:val="-2"/>
                <w:szCs w:val="22"/>
                <w:lang w:val="sr-Latn-ME"/>
              </w:rPr>
              <w:t>va</w:t>
            </w:r>
          </w:p>
        </w:tc>
        <w:tc>
          <w:tcPr>
            <w:tcW w:w="2410" w:type="dxa"/>
            <w:tcBorders>
              <w:top w:val="single" w:sz="4" w:space="0" w:color="000000"/>
              <w:left w:val="single" w:sz="4" w:space="0" w:color="000000"/>
              <w:bottom w:val="single" w:sz="4" w:space="0" w:color="000000"/>
              <w:right w:val="single" w:sz="4" w:space="0" w:color="000000"/>
            </w:tcBorders>
            <w:hideMark/>
          </w:tcPr>
          <w:p w14:paraId="20120BF8" w14:textId="77777777" w:rsidR="00DD0778" w:rsidRPr="006F34F9" w:rsidRDefault="00DD0778" w:rsidP="00180C9F">
            <w:pPr>
              <w:spacing w:line="246" w:lineRule="exact"/>
              <w:ind w:left="100" w:right="-20"/>
              <w:rPr>
                <w:noProof/>
                <w:szCs w:val="22"/>
                <w:lang w:val="sr-Latn-ME"/>
              </w:rPr>
            </w:pPr>
            <w:r w:rsidRPr="006F34F9">
              <w:rPr>
                <w:noProof/>
                <w:spacing w:val="-1"/>
                <w:szCs w:val="22"/>
                <w:lang w:val="sr-Latn-ME"/>
              </w:rPr>
              <w:t>Č</w:t>
            </w:r>
            <w:r w:rsidRPr="006F34F9">
              <w:rPr>
                <w:noProof/>
                <w:szCs w:val="22"/>
                <w:lang w:val="sr-Latn-ME"/>
              </w:rPr>
              <w:t>es</w:t>
            </w:r>
            <w:r w:rsidRPr="006F34F9">
              <w:rPr>
                <w:noProof/>
                <w:spacing w:val="1"/>
                <w:szCs w:val="22"/>
                <w:lang w:val="sr-Latn-ME"/>
              </w:rPr>
              <w:t>t</w:t>
            </w:r>
            <w:r w:rsidRPr="006F34F9">
              <w:rPr>
                <w:noProof/>
                <w:szCs w:val="22"/>
                <w:lang w:val="sr-Latn-ME"/>
              </w:rPr>
              <w:t>o</w:t>
            </w:r>
          </w:p>
        </w:tc>
        <w:tc>
          <w:tcPr>
            <w:tcW w:w="3543" w:type="dxa"/>
            <w:tcBorders>
              <w:top w:val="single" w:sz="4" w:space="0" w:color="000000"/>
              <w:left w:val="single" w:sz="4" w:space="0" w:color="000000"/>
              <w:bottom w:val="single" w:sz="4" w:space="0" w:color="000000"/>
              <w:right w:val="single" w:sz="4" w:space="0" w:color="000000"/>
            </w:tcBorders>
            <w:hideMark/>
          </w:tcPr>
          <w:p w14:paraId="18F5B79A" w14:textId="67FA85DA" w:rsidR="00DD0778" w:rsidRPr="006F34F9" w:rsidRDefault="00DD0778" w:rsidP="004D3C68">
            <w:pPr>
              <w:spacing w:line="246" w:lineRule="exact"/>
              <w:ind w:left="100" w:right="-20"/>
              <w:jc w:val="left"/>
              <w:rPr>
                <w:noProof/>
                <w:szCs w:val="22"/>
                <w:lang w:val="sr-Latn-ME"/>
              </w:rPr>
            </w:pPr>
            <w:r w:rsidRPr="006F34F9">
              <w:rPr>
                <w:noProof/>
                <w:szCs w:val="22"/>
                <w:lang w:val="sr-Latn-ME"/>
              </w:rPr>
              <w:t>os</w:t>
            </w:r>
            <w:r w:rsidRPr="006F34F9">
              <w:rPr>
                <w:noProof/>
                <w:spacing w:val="1"/>
                <w:szCs w:val="22"/>
                <w:lang w:val="sr-Latn-ME"/>
              </w:rPr>
              <w:t>i</w:t>
            </w:r>
            <w:r w:rsidRPr="006F34F9">
              <w:rPr>
                <w:noProof/>
                <w:szCs w:val="22"/>
                <w:lang w:val="sr-Latn-ME"/>
              </w:rPr>
              <w:t>p,</w:t>
            </w:r>
            <w:r w:rsidRPr="006F34F9">
              <w:rPr>
                <w:noProof/>
                <w:spacing w:val="-2"/>
                <w:szCs w:val="22"/>
                <w:lang w:val="sr-Latn-ME"/>
              </w:rPr>
              <w:t xml:space="preserve"> </w:t>
            </w:r>
            <w:r w:rsidRPr="006F34F9">
              <w:rPr>
                <w:noProof/>
                <w:szCs w:val="22"/>
                <w:lang w:val="sr-Latn-ME"/>
              </w:rPr>
              <w:t>p</w:t>
            </w:r>
            <w:r w:rsidRPr="006F34F9">
              <w:rPr>
                <w:noProof/>
                <w:spacing w:val="1"/>
                <w:szCs w:val="22"/>
                <w:lang w:val="sr-Latn-ME"/>
              </w:rPr>
              <w:t>r</w:t>
            </w:r>
            <w:r w:rsidRPr="006F34F9">
              <w:rPr>
                <w:noProof/>
                <w:spacing w:val="-2"/>
                <w:szCs w:val="22"/>
                <w:lang w:val="sr-Latn-ME"/>
              </w:rPr>
              <w:t>u</w:t>
            </w:r>
            <w:r w:rsidRPr="006F34F9">
              <w:rPr>
                <w:noProof/>
                <w:spacing w:val="1"/>
                <w:szCs w:val="22"/>
                <w:lang w:val="sr-Latn-ME"/>
              </w:rPr>
              <w:t>r</w:t>
            </w:r>
            <w:r w:rsidRPr="006F34F9">
              <w:rPr>
                <w:noProof/>
                <w:spacing w:val="-1"/>
                <w:szCs w:val="22"/>
                <w:lang w:val="sr-Latn-ME"/>
              </w:rPr>
              <w:t>i</w:t>
            </w:r>
            <w:r w:rsidRPr="006F34F9">
              <w:rPr>
                <w:noProof/>
                <w:spacing w:val="1"/>
                <w:szCs w:val="22"/>
                <w:lang w:val="sr-Latn-ME"/>
              </w:rPr>
              <w:t>t</w:t>
            </w:r>
            <w:r w:rsidRPr="006F34F9">
              <w:rPr>
                <w:noProof/>
                <w:szCs w:val="22"/>
                <w:lang w:val="sr-Latn-ME"/>
              </w:rPr>
              <w:t>us,</w:t>
            </w:r>
            <w:r w:rsidRPr="006F34F9">
              <w:rPr>
                <w:noProof/>
                <w:spacing w:val="-2"/>
                <w:szCs w:val="22"/>
                <w:lang w:val="sr-Latn-ME"/>
              </w:rPr>
              <w:t xml:space="preserve"> </w:t>
            </w:r>
            <w:r w:rsidRPr="006F34F9">
              <w:rPr>
                <w:noProof/>
                <w:szCs w:val="22"/>
                <w:lang w:val="sr-Latn-ME"/>
              </w:rPr>
              <w:t>e</w:t>
            </w:r>
            <w:r w:rsidRPr="006F34F9">
              <w:rPr>
                <w:noProof/>
                <w:spacing w:val="-2"/>
                <w:szCs w:val="22"/>
                <w:lang w:val="sr-Latn-ME"/>
              </w:rPr>
              <w:t>k</w:t>
            </w:r>
            <w:r w:rsidRPr="006F34F9">
              <w:rPr>
                <w:noProof/>
                <w:szCs w:val="22"/>
                <w:lang w:val="sr-Latn-ME"/>
              </w:rPr>
              <w:t>ce</w:t>
            </w:r>
            <w:r w:rsidRPr="006F34F9">
              <w:rPr>
                <w:noProof/>
                <w:spacing w:val="-4"/>
                <w:szCs w:val="22"/>
                <w:lang w:val="sr-Latn-ME"/>
              </w:rPr>
              <w:t>m</w:t>
            </w:r>
            <w:r w:rsidRPr="006F34F9">
              <w:rPr>
                <w:noProof/>
                <w:szCs w:val="22"/>
                <w:lang w:val="sr-Latn-ME"/>
              </w:rPr>
              <w:t>, e</w:t>
            </w:r>
            <w:r w:rsidRPr="006F34F9">
              <w:rPr>
                <w:noProof/>
                <w:spacing w:val="1"/>
                <w:szCs w:val="22"/>
                <w:lang w:val="sr-Latn-ME"/>
              </w:rPr>
              <w:t>rit</w:t>
            </w:r>
            <w:r w:rsidRPr="006F34F9">
              <w:rPr>
                <w:noProof/>
                <w:spacing w:val="-2"/>
                <w:szCs w:val="22"/>
                <w:lang w:val="sr-Latn-ME"/>
              </w:rPr>
              <w:t>e</w:t>
            </w:r>
            <w:r w:rsidRPr="006F34F9">
              <w:rPr>
                <w:noProof/>
                <w:spacing w:val="-4"/>
                <w:szCs w:val="22"/>
                <w:lang w:val="sr-Latn-ME"/>
              </w:rPr>
              <w:t>m</w:t>
            </w:r>
            <w:r w:rsidRPr="006F34F9">
              <w:rPr>
                <w:noProof/>
                <w:szCs w:val="22"/>
                <w:lang w:val="sr-Latn-ME"/>
              </w:rPr>
              <w:t xml:space="preserve">, noćno </w:t>
            </w:r>
            <w:r w:rsidRPr="006F34F9">
              <w:rPr>
                <w:noProof/>
                <w:spacing w:val="-2"/>
                <w:szCs w:val="22"/>
                <w:lang w:val="sr-Latn-ME"/>
              </w:rPr>
              <w:t>z</w:t>
            </w:r>
            <w:r w:rsidRPr="006F34F9">
              <w:rPr>
                <w:noProof/>
                <w:szCs w:val="22"/>
                <w:lang w:val="sr-Latn-ME"/>
              </w:rPr>
              <w:t>no</w:t>
            </w:r>
            <w:r w:rsidRPr="006F34F9">
              <w:rPr>
                <w:noProof/>
                <w:spacing w:val="3"/>
                <w:szCs w:val="22"/>
                <w:lang w:val="sr-Latn-ME"/>
              </w:rPr>
              <w:t>j</w:t>
            </w:r>
            <w:r w:rsidRPr="006F34F9">
              <w:rPr>
                <w:noProof/>
                <w:spacing w:val="-2"/>
                <w:szCs w:val="22"/>
                <w:lang w:val="sr-Latn-ME"/>
              </w:rPr>
              <w:t>en</w:t>
            </w:r>
            <w:r w:rsidRPr="006F34F9">
              <w:rPr>
                <w:noProof/>
                <w:spacing w:val="3"/>
                <w:szCs w:val="22"/>
                <w:lang w:val="sr-Latn-ME"/>
              </w:rPr>
              <w:t>j</w:t>
            </w:r>
            <w:r w:rsidRPr="006F34F9">
              <w:rPr>
                <w:noProof/>
                <w:spacing w:val="-2"/>
                <w:szCs w:val="22"/>
                <w:lang w:val="sr-Latn-ME"/>
              </w:rPr>
              <w:t>e</w:t>
            </w:r>
            <w:r w:rsidRPr="006F34F9">
              <w:rPr>
                <w:noProof/>
                <w:szCs w:val="22"/>
                <w:lang w:val="sr-Latn-ME"/>
              </w:rPr>
              <w:t>, a</w:t>
            </w:r>
            <w:r w:rsidRPr="006F34F9">
              <w:rPr>
                <w:noProof/>
                <w:spacing w:val="-2"/>
                <w:szCs w:val="22"/>
                <w:lang w:val="sr-Latn-ME"/>
              </w:rPr>
              <w:t>k</w:t>
            </w:r>
            <w:r w:rsidRPr="006F34F9">
              <w:rPr>
                <w:noProof/>
                <w:szCs w:val="22"/>
                <w:lang w:val="sr-Latn-ME"/>
              </w:rPr>
              <w:t>ne</w:t>
            </w:r>
          </w:p>
        </w:tc>
      </w:tr>
      <w:tr w:rsidR="00DD0778" w:rsidRPr="006F34F9" w14:paraId="7788525D" w14:textId="77777777" w:rsidTr="00180C9F">
        <w:trPr>
          <w:trHeight w:hRule="exact" w:val="262"/>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5126B579" w14:textId="77777777" w:rsidR="00DD0778" w:rsidRPr="006F34F9" w:rsidRDefault="00DD0778" w:rsidP="00180C9F">
            <w:pPr>
              <w:tabs>
                <w:tab w:val="clear" w:pos="284"/>
              </w:tabs>
              <w:rPr>
                <w:noProof/>
                <w:szCs w:val="22"/>
                <w:lang w:val="sr-Latn-ME"/>
              </w:rPr>
            </w:pPr>
          </w:p>
        </w:tc>
        <w:tc>
          <w:tcPr>
            <w:tcW w:w="2410" w:type="dxa"/>
            <w:tcBorders>
              <w:top w:val="single" w:sz="4" w:space="0" w:color="000000"/>
              <w:left w:val="single" w:sz="4" w:space="0" w:color="000000"/>
              <w:bottom w:val="single" w:sz="4" w:space="0" w:color="000000"/>
              <w:right w:val="single" w:sz="4" w:space="0" w:color="000000"/>
            </w:tcBorders>
            <w:hideMark/>
          </w:tcPr>
          <w:p w14:paraId="550CCF14" w14:textId="77777777" w:rsidR="00DD0778" w:rsidRPr="006F34F9" w:rsidRDefault="00DD0778" w:rsidP="00180C9F">
            <w:pPr>
              <w:spacing w:line="246" w:lineRule="exact"/>
              <w:ind w:left="100" w:right="-20"/>
              <w:rPr>
                <w:noProof/>
                <w:szCs w:val="22"/>
                <w:lang w:val="sr-Latn-ME"/>
              </w:rPr>
            </w:pPr>
            <w:r w:rsidRPr="006F34F9">
              <w:rPr>
                <w:noProof/>
                <w:szCs w:val="22"/>
                <w:lang w:val="sr-Latn-ME"/>
              </w:rPr>
              <w:t>Povremeno</w:t>
            </w:r>
          </w:p>
        </w:tc>
        <w:tc>
          <w:tcPr>
            <w:tcW w:w="3543" w:type="dxa"/>
            <w:tcBorders>
              <w:top w:val="single" w:sz="4" w:space="0" w:color="000000"/>
              <w:left w:val="single" w:sz="4" w:space="0" w:color="000000"/>
              <w:bottom w:val="single" w:sz="4" w:space="0" w:color="000000"/>
              <w:right w:val="single" w:sz="4" w:space="0" w:color="000000"/>
            </w:tcBorders>
            <w:hideMark/>
          </w:tcPr>
          <w:p w14:paraId="67711039" w14:textId="5A059C81" w:rsidR="00DD0778" w:rsidRPr="006F34F9" w:rsidRDefault="004D3C68" w:rsidP="00180C9F">
            <w:pPr>
              <w:spacing w:line="246" w:lineRule="exact"/>
              <w:ind w:left="100" w:right="-20"/>
              <w:rPr>
                <w:noProof/>
                <w:szCs w:val="22"/>
                <w:lang w:val="sr-Latn-ME"/>
              </w:rPr>
            </w:pPr>
            <w:r w:rsidRPr="006F34F9">
              <w:rPr>
                <w:noProof/>
                <w:spacing w:val="1"/>
                <w:szCs w:val="22"/>
                <w:lang w:val="sr-Latn-ME"/>
              </w:rPr>
              <w:t>f</w:t>
            </w:r>
            <w:r w:rsidRPr="006F34F9">
              <w:rPr>
                <w:noProof/>
                <w:szCs w:val="22"/>
                <w:lang w:val="sr-Latn-ME"/>
              </w:rPr>
              <w:t>o</w:t>
            </w:r>
            <w:r w:rsidRPr="006F34F9">
              <w:rPr>
                <w:noProof/>
                <w:spacing w:val="-1"/>
                <w:szCs w:val="22"/>
                <w:lang w:val="sr-Latn-ME"/>
              </w:rPr>
              <w:t>l</w:t>
            </w:r>
            <w:r w:rsidRPr="006F34F9">
              <w:rPr>
                <w:noProof/>
                <w:spacing w:val="1"/>
                <w:szCs w:val="22"/>
                <w:lang w:val="sr-Latn-ME"/>
              </w:rPr>
              <w:t>i</w:t>
            </w:r>
            <w:r w:rsidRPr="006F34F9">
              <w:rPr>
                <w:noProof/>
                <w:spacing w:val="-2"/>
                <w:szCs w:val="22"/>
                <w:lang w:val="sr-Latn-ME"/>
              </w:rPr>
              <w:t>k</w:t>
            </w:r>
            <w:r w:rsidRPr="006F34F9">
              <w:rPr>
                <w:noProof/>
                <w:szCs w:val="22"/>
                <w:lang w:val="sr-Latn-ME"/>
              </w:rPr>
              <w:t>u</w:t>
            </w:r>
            <w:r w:rsidRPr="006F34F9">
              <w:rPr>
                <w:noProof/>
                <w:spacing w:val="1"/>
                <w:szCs w:val="22"/>
                <w:lang w:val="sr-Latn-ME"/>
              </w:rPr>
              <w:t>l</w:t>
            </w:r>
            <w:r w:rsidRPr="006F34F9">
              <w:rPr>
                <w:noProof/>
                <w:spacing w:val="-1"/>
                <w:szCs w:val="22"/>
                <w:lang w:val="sr-Latn-ME"/>
              </w:rPr>
              <w:t>i</w:t>
            </w:r>
            <w:r w:rsidRPr="006F34F9">
              <w:rPr>
                <w:noProof/>
                <w:spacing w:val="1"/>
                <w:szCs w:val="22"/>
                <w:lang w:val="sr-Latn-ME"/>
              </w:rPr>
              <w:t>tis</w:t>
            </w:r>
          </w:p>
        </w:tc>
      </w:tr>
      <w:tr w:rsidR="00DD0778" w:rsidRPr="006F34F9" w14:paraId="493A5DDB" w14:textId="77777777" w:rsidTr="00180C9F">
        <w:trPr>
          <w:trHeight w:hRule="exact" w:val="264"/>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43CCBD0F" w14:textId="77777777" w:rsidR="00DD0778" w:rsidRPr="006F34F9" w:rsidRDefault="00DD0778" w:rsidP="00180C9F">
            <w:pPr>
              <w:spacing w:line="246" w:lineRule="exact"/>
              <w:ind w:right="-20"/>
              <w:jc w:val="center"/>
              <w:rPr>
                <w:noProof/>
                <w:szCs w:val="22"/>
                <w:lang w:val="sr-Latn-ME"/>
              </w:rPr>
            </w:pPr>
            <w:r w:rsidRPr="006F34F9">
              <w:rPr>
                <w:noProof/>
                <w:szCs w:val="22"/>
                <w:lang w:val="sr-Latn-ME"/>
              </w:rPr>
              <w:t>Po</w:t>
            </w:r>
            <w:r w:rsidRPr="006F34F9">
              <w:rPr>
                <w:noProof/>
                <w:spacing w:val="1"/>
                <w:szCs w:val="22"/>
                <w:lang w:val="sr-Latn-ME"/>
              </w:rPr>
              <w:t>r</w:t>
            </w:r>
            <w:r w:rsidRPr="006F34F9">
              <w:rPr>
                <w:noProof/>
                <w:szCs w:val="22"/>
                <w:lang w:val="sr-Latn-ME"/>
              </w:rPr>
              <w:t>e</w:t>
            </w:r>
            <w:r w:rsidRPr="006F34F9">
              <w:rPr>
                <w:noProof/>
                <w:spacing w:val="-4"/>
                <w:szCs w:val="22"/>
                <w:lang w:val="sr-Latn-ME"/>
              </w:rPr>
              <w:t>m</w:t>
            </w:r>
            <w:r w:rsidRPr="006F34F9">
              <w:rPr>
                <w:noProof/>
                <w:szCs w:val="22"/>
                <w:lang w:val="sr-Latn-ME"/>
              </w:rPr>
              <w:t>eć</w:t>
            </w:r>
            <w:r w:rsidRPr="006F34F9">
              <w:rPr>
                <w:noProof/>
                <w:spacing w:val="-2"/>
                <w:szCs w:val="22"/>
                <w:lang w:val="sr-Latn-ME"/>
              </w:rPr>
              <w:t>a</w:t>
            </w:r>
            <w:r w:rsidRPr="006F34F9">
              <w:rPr>
                <w:noProof/>
                <w:spacing w:val="1"/>
                <w:szCs w:val="22"/>
                <w:lang w:val="sr-Latn-ME"/>
              </w:rPr>
              <w:t>j</w:t>
            </w:r>
            <w:r w:rsidRPr="006F34F9">
              <w:rPr>
                <w:noProof/>
                <w:szCs w:val="22"/>
                <w:lang w:val="sr-Latn-ME"/>
              </w:rPr>
              <w:t>i</w:t>
            </w:r>
            <w:r w:rsidRPr="006F34F9">
              <w:rPr>
                <w:noProof/>
                <w:spacing w:val="1"/>
                <w:szCs w:val="22"/>
                <w:lang w:val="sr-Latn-ME"/>
              </w:rPr>
              <w:t xml:space="preserve"> </w:t>
            </w:r>
            <w:r w:rsidRPr="006F34F9">
              <w:rPr>
                <w:noProof/>
                <w:spacing w:val="-4"/>
                <w:szCs w:val="22"/>
                <w:lang w:val="sr-Latn-ME"/>
              </w:rPr>
              <w:t>m</w:t>
            </w:r>
            <w:r w:rsidRPr="006F34F9">
              <w:rPr>
                <w:noProof/>
                <w:spacing w:val="1"/>
                <w:szCs w:val="22"/>
                <w:lang w:val="sr-Latn-ME"/>
              </w:rPr>
              <w:t>i</w:t>
            </w:r>
            <w:r w:rsidRPr="006F34F9">
              <w:rPr>
                <w:noProof/>
                <w:szCs w:val="22"/>
                <w:lang w:val="sr-Latn-ME"/>
              </w:rPr>
              <w:t>š</w:t>
            </w:r>
            <w:r w:rsidRPr="006F34F9">
              <w:rPr>
                <w:noProof/>
                <w:spacing w:val="1"/>
                <w:szCs w:val="22"/>
                <w:lang w:val="sr-Latn-ME"/>
              </w:rPr>
              <w:t>i</w:t>
            </w:r>
            <w:r w:rsidRPr="006F34F9">
              <w:rPr>
                <w:noProof/>
                <w:szCs w:val="22"/>
                <w:lang w:val="sr-Latn-ME"/>
              </w:rPr>
              <w:t>ćn</w:t>
            </w:r>
            <w:r w:rsidRPr="006F34F9">
              <w:rPr>
                <w:noProof/>
                <w:spacing w:val="-1"/>
                <w:szCs w:val="22"/>
                <w:lang w:val="sr-Latn-ME"/>
              </w:rPr>
              <w:t>o</w:t>
            </w:r>
            <w:r w:rsidRPr="006F34F9">
              <w:rPr>
                <w:noProof/>
                <w:spacing w:val="-4"/>
                <w:szCs w:val="22"/>
                <w:lang w:val="sr-Latn-ME"/>
              </w:rPr>
              <w:t>-</w:t>
            </w:r>
            <w:r w:rsidRPr="006F34F9">
              <w:rPr>
                <w:noProof/>
                <w:spacing w:val="-2"/>
                <w:szCs w:val="22"/>
                <w:lang w:val="sr-Latn-ME"/>
              </w:rPr>
              <w:t>skeletnog</w:t>
            </w:r>
            <w:r w:rsidRPr="006F34F9">
              <w:rPr>
                <w:noProof/>
                <w:spacing w:val="1"/>
                <w:szCs w:val="22"/>
                <w:lang w:val="sr-Latn-ME"/>
              </w:rPr>
              <w:t xml:space="preserve"> </w:t>
            </w:r>
            <w:r w:rsidRPr="006F34F9">
              <w:rPr>
                <w:noProof/>
                <w:spacing w:val="-2"/>
                <w:szCs w:val="22"/>
                <w:lang w:val="sr-Latn-ME"/>
              </w:rPr>
              <w:t>v</w:t>
            </w:r>
            <w:r w:rsidRPr="006F34F9">
              <w:rPr>
                <w:noProof/>
                <w:szCs w:val="22"/>
                <w:lang w:val="sr-Latn-ME"/>
              </w:rPr>
              <w:t>e</w:t>
            </w:r>
            <w:r w:rsidRPr="006F34F9">
              <w:rPr>
                <w:noProof/>
                <w:spacing w:val="-2"/>
                <w:szCs w:val="22"/>
                <w:lang w:val="sr-Latn-ME"/>
              </w:rPr>
              <w:t>z</w:t>
            </w:r>
            <w:r w:rsidRPr="006F34F9">
              <w:rPr>
                <w:noProof/>
                <w:spacing w:val="1"/>
                <w:szCs w:val="22"/>
                <w:lang w:val="sr-Latn-ME"/>
              </w:rPr>
              <w:t>i</w:t>
            </w:r>
            <w:r w:rsidRPr="006F34F9">
              <w:rPr>
                <w:noProof/>
                <w:spacing w:val="-2"/>
                <w:szCs w:val="22"/>
                <w:lang w:val="sr-Latn-ME"/>
              </w:rPr>
              <w:t>v</w:t>
            </w:r>
            <w:r w:rsidRPr="006F34F9">
              <w:rPr>
                <w:noProof/>
                <w:szCs w:val="22"/>
                <w:lang w:val="sr-Latn-ME"/>
              </w:rPr>
              <w:t>nog</w:t>
            </w:r>
            <w:r w:rsidRPr="006F34F9">
              <w:rPr>
                <w:noProof/>
                <w:spacing w:val="-2"/>
                <w:szCs w:val="22"/>
                <w:lang w:val="sr-Latn-ME"/>
              </w:rPr>
              <w:t xml:space="preserve"> i koštanog </w:t>
            </w:r>
            <w:r w:rsidRPr="006F34F9">
              <w:rPr>
                <w:noProof/>
                <w:spacing w:val="1"/>
                <w:szCs w:val="22"/>
                <w:lang w:val="sr-Latn-ME"/>
              </w:rPr>
              <w:t>t</w:t>
            </w:r>
            <w:r w:rsidRPr="006F34F9">
              <w:rPr>
                <w:noProof/>
                <w:spacing w:val="-2"/>
                <w:szCs w:val="22"/>
                <w:lang w:val="sr-Latn-ME"/>
              </w:rPr>
              <w:t>k</w:t>
            </w:r>
            <w:r w:rsidRPr="006F34F9">
              <w:rPr>
                <w:noProof/>
                <w:spacing w:val="3"/>
                <w:szCs w:val="22"/>
                <w:lang w:val="sr-Latn-ME"/>
              </w:rPr>
              <w:t>i</w:t>
            </w:r>
            <w:r w:rsidRPr="006F34F9">
              <w:rPr>
                <w:noProof/>
                <w:spacing w:val="-2"/>
                <w:szCs w:val="22"/>
                <w:lang w:val="sr-Latn-ME"/>
              </w:rPr>
              <w:t>va</w:t>
            </w:r>
          </w:p>
        </w:tc>
        <w:tc>
          <w:tcPr>
            <w:tcW w:w="2410" w:type="dxa"/>
            <w:tcBorders>
              <w:top w:val="single" w:sz="4" w:space="0" w:color="000000"/>
              <w:left w:val="single" w:sz="4" w:space="0" w:color="000000"/>
              <w:bottom w:val="single" w:sz="4" w:space="0" w:color="000000"/>
              <w:right w:val="single" w:sz="4" w:space="0" w:color="000000"/>
            </w:tcBorders>
            <w:hideMark/>
          </w:tcPr>
          <w:p w14:paraId="207DCB48" w14:textId="77777777" w:rsidR="00DD0778" w:rsidRPr="006F34F9" w:rsidRDefault="00DD0778" w:rsidP="00180C9F">
            <w:pPr>
              <w:spacing w:line="246" w:lineRule="exact"/>
              <w:ind w:left="100" w:right="-20"/>
              <w:rPr>
                <w:noProof/>
                <w:szCs w:val="22"/>
                <w:lang w:val="sr-Latn-ME"/>
              </w:rPr>
            </w:pPr>
            <w:r w:rsidRPr="006F34F9">
              <w:rPr>
                <w:noProof/>
                <w:spacing w:val="1"/>
                <w:szCs w:val="22"/>
                <w:lang w:val="sr-Latn-ME"/>
              </w:rPr>
              <w:t>V</w:t>
            </w:r>
            <w:r w:rsidRPr="006F34F9">
              <w:rPr>
                <w:noProof/>
                <w:spacing w:val="-2"/>
                <w:szCs w:val="22"/>
                <w:lang w:val="sr-Latn-ME"/>
              </w:rPr>
              <w:t>eoma</w:t>
            </w:r>
            <w:r w:rsidRPr="006F34F9">
              <w:rPr>
                <w:noProof/>
                <w:szCs w:val="22"/>
                <w:lang w:val="sr-Latn-ME"/>
              </w:rPr>
              <w:t xml:space="preserve"> </w:t>
            </w:r>
            <w:r w:rsidRPr="006F34F9">
              <w:rPr>
                <w:noProof/>
                <w:spacing w:val="-2"/>
                <w:szCs w:val="22"/>
                <w:lang w:val="sr-Latn-ME"/>
              </w:rPr>
              <w:t>č</w:t>
            </w:r>
            <w:r w:rsidRPr="006F34F9">
              <w:rPr>
                <w:noProof/>
                <w:szCs w:val="22"/>
                <w:lang w:val="sr-Latn-ME"/>
              </w:rPr>
              <w:t>e</w:t>
            </w:r>
            <w:r w:rsidRPr="006F34F9">
              <w:rPr>
                <w:noProof/>
                <w:spacing w:val="-2"/>
                <w:szCs w:val="22"/>
                <w:lang w:val="sr-Latn-ME"/>
              </w:rPr>
              <w:t>s</w:t>
            </w:r>
            <w:r w:rsidRPr="006F34F9">
              <w:rPr>
                <w:noProof/>
                <w:spacing w:val="1"/>
                <w:szCs w:val="22"/>
                <w:lang w:val="sr-Latn-ME"/>
              </w:rPr>
              <w:t>t</w:t>
            </w:r>
            <w:r w:rsidRPr="006F34F9">
              <w:rPr>
                <w:noProof/>
                <w:szCs w:val="22"/>
                <w:lang w:val="sr-Latn-ME"/>
              </w:rPr>
              <w:t>o</w:t>
            </w:r>
          </w:p>
        </w:tc>
        <w:tc>
          <w:tcPr>
            <w:tcW w:w="3543" w:type="dxa"/>
            <w:tcBorders>
              <w:top w:val="single" w:sz="4" w:space="0" w:color="000000"/>
              <w:left w:val="single" w:sz="4" w:space="0" w:color="000000"/>
              <w:bottom w:val="single" w:sz="4" w:space="0" w:color="000000"/>
              <w:right w:val="single" w:sz="4" w:space="0" w:color="000000"/>
            </w:tcBorders>
            <w:hideMark/>
          </w:tcPr>
          <w:p w14:paraId="14EC530A" w14:textId="12A969E5" w:rsidR="00DD0778" w:rsidRPr="006F34F9" w:rsidRDefault="004D3C68" w:rsidP="00180C9F">
            <w:pPr>
              <w:spacing w:line="246" w:lineRule="exact"/>
              <w:ind w:left="100" w:right="-20"/>
              <w:rPr>
                <w:noProof/>
                <w:szCs w:val="22"/>
                <w:lang w:val="sr-Latn-ME"/>
              </w:rPr>
            </w:pPr>
            <w:r w:rsidRPr="006F34F9">
              <w:rPr>
                <w:noProof/>
                <w:szCs w:val="22"/>
                <w:lang w:val="sr-Latn-ME"/>
              </w:rPr>
              <w:t>a</w:t>
            </w:r>
            <w:r w:rsidRPr="006F34F9">
              <w:rPr>
                <w:noProof/>
                <w:spacing w:val="1"/>
                <w:szCs w:val="22"/>
                <w:lang w:val="sr-Latn-ME"/>
              </w:rPr>
              <w:t>r</w:t>
            </w:r>
            <w:r w:rsidRPr="006F34F9">
              <w:rPr>
                <w:noProof/>
                <w:spacing w:val="-1"/>
                <w:szCs w:val="22"/>
                <w:lang w:val="sr-Latn-ME"/>
              </w:rPr>
              <w:t>t</w:t>
            </w:r>
            <w:r w:rsidRPr="006F34F9">
              <w:rPr>
                <w:noProof/>
                <w:spacing w:val="1"/>
                <w:szCs w:val="22"/>
                <w:lang w:val="sr-Latn-ME"/>
              </w:rPr>
              <w:t>r</w:t>
            </w:r>
            <w:r w:rsidRPr="006F34F9">
              <w:rPr>
                <w:noProof/>
                <w:spacing w:val="-2"/>
                <w:szCs w:val="22"/>
                <w:lang w:val="sr-Latn-ME"/>
              </w:rPr>
              <w:t>a</w:t>
            </w:r>
            <w:r w:rsidRPr="006F34F9">
              <w:rPr>
                <w:noProof/>
                <w:spacing w:val="1"/>
                <w:szCs w:val="22"/>
                <w:lang w:val="sr-Latn-ME"/>
              </w:rPr>
              <w:t>l</w:t>
            </w:r>
            <w:r w:rsidRPr="006F34F9">
              <w:rPr>
                <w:noProof/>
                <w:spacing w:val="-2"/>
                <w:szCs w:val="22"/>
                <w:lang w:val="sr-Latn-ME"/>
              </w:rPr>
              <w:t>g</w:t>
            </w:r>
            <w:r w:rsidRPr="006F34F9">
              <w:rPr>
                <w:noProof/>
                <w:spacing w:val="-1"/>
                <w:szCs w:val="22"/>
                <w:lang w:val="sr-Latn-ME"/>
              </w:rPr>
              <w:t>i</w:t>
            </w:r>
            <w:r w:rsidRPr="006F34F9">
              <w:rPr>
                <w:noProof/>
                <w:spacing w:val="3"/>
                <w:szCs w:val="22"/>
                <w:lang w:val="sr-Latn-ME"/>
              </w:rPr>
              <w:t>j</w:t>
            </w:r>
            <w:r w:rsidRPr="006F34F9">
              <w:rPr>
                <w:noProof/>
                <w:szCs w:val="22"/>
                <w:lang w:val="sr-Latn-ME"/>
              </w:rPr>
              <w:t>a</w:t>
            </w:r>
          </w:p>
        </w:tc>
      </w:tr>
      <w:tr w:rsidR="00DD0778" w:rsidRPr="006F34F9" w14:paraId="018F0241" w14:textId="77777777" w:rsidTr="00180C9F">
        <w:trPr>
          <w:trHeight w:hRule="exact" w:val="941"/>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5F2F6F60" w14:textId="77777777" w:rsidR="00DD0778" w:rsidRPr="006F34F9" w:rsidRDefault="00DD0778" w:rsidP="00180C9F">
            <w:pPr>
              <w:tabs>
                <w:tab w:val="clear" w:pos="284"/>
              </w:tabs>
              <w:jc w:val="center"/>
              <w:rPr>
                <w:noProof/>
                <w:szCs w:val="22"/>
                <w:lang w:val="sr-Latn-ME"/>
              </w:rPr>
            </w:pPr>
          </w:p>
        </w:tc>
        <w:tc>
          <w:tcPr>
            <w:tcW w:w="2410" w:type="dxa"/>
            <w:tcBorders>
              <w:top w:val="single" w:sz="4" w:space="0" w:color="000000"/>
              <w:left w:val="single" w:sz="4" w:space="0" w:color="000000"/>
              <w:bottom w:val="single" w:sz="4" w:space="0" w:color="000000"/>
              <w:right w:val="single" w:sz="4" w:space="0" w:color="000000"/>
            </w:tcBorders>
            <w:hideMark/>
          </w:tcPr>
          <w:p w14:paraId="39D0A764" w14:textId="77777777" w:rsidR="00DD0778" w:rsidRPr="006F34F9" w:rsidRDefault="00DD0778" w:rsidP="00180C9F">
            <w:pPr>
              <w:spacing w:line="246" w:lineRule="exact"/>
              <w:ind w:left="100" w:right="-20"/>
              <w:rPr>
                <w:noProof/>
                <w:szCs w:val="22"/>
                <w:lang w:val="sr-Latn-ME"/>
              </w:rPr>
            </w:pPr>
            <w:r w:rsidRPr="006F34F9">
              <w:rPr>
                <w:noProof/>
                <w:spacing w:val="-1"/>
                <w:szCs w:val="22"/>
                <w:lang w:val="sr-Latn-ME"/>
              </w:rPr>
              <w:t>Č</w:t>
            </w:r>
            <w:r w:rsidRPr="006F34F9">
              <w:rPr>
                <w:noProof/>
                <w:szCs w:val="22"/>
                <w:lang w:val="sr-Latn-ME"/>
              </w:rPr>
              <w:t>es</w:t>
            </w:r>
            <w:r w:rsidRPr="006F34F9">
              <w:rPr>
                <w:noProof/>
                <w:spacing w:val="1"/>
                <w:szCs w:val="22"/>
                <w:lang w:val="sr-Latn-ME"/>
              </w:rPr>
              <w:t>t</w:t>
            </w:r>
            <w:r w:rsidRPr="006F34F9">
              <w:rPr>
                <w:noProof/>
                <w:szCs w:val="22"/>
                <w:lang w:val="sr-Latn-ME"/>
              </w:rPr>
              <w:t>o</w:t>
            </w:r>
          </w:p>
        </w:tc>
        <w:tc>
          <w:tcPr>
            <w:tcW w:w="3543" w:type="dxa"/>
            <w:tcBorders>
              <w:top w:val="single" w:sz="4" w:space="0" w:color="000000"/>
              <w:left w:val="single" w:sz="4" w:space="0" w:color="000000"/>
              <w:bottom w:val="single" w:sz="4" w:space="0" w:color="000000"/>
              <w:right w:val="single" w:sz="4" w:space="0" w:color="000000"/>
            </w:tcBorders>
            <w:hideMark/>
          </w:tcPr>
          <w:p w14:paraId="20233402" w14:textId="30617E4E" w:rsidR="00DD0778" w:rsidRPr="006F34F9" w:rsidRDefault="00DD0778" w:rsidP="004D3C68">
            <w:pPr>
              <w:spacing w:line="246" w:lineRule="exact"/>
              <w:ind w:left="100" w:right="-20"/>
              <w:jc w:val="left"/>
              <w:rPr>
                <w:noProof/>
                <w:szCs w:val="22"/>
                <w:lang w:val="sr-Latn-ME"/>
              </w:rPr>
            </w:pPr>
            <w:r w:rsidRPr="006F34F9">
              <w:rPr>
                <w:noProof/>
                <w:spacing w:val="-4"/>
                <w:szCs w:val="22"/>
                <w:lang w:val="sr-Latn-ME"/>
              </w:rPr>
              <w:t>m</w:t>
            </w:r>
            <w:r w:rsidRPr="006F34F9">
              <w:rPr>
                <w:noProof/>
                <w:spacing w:val="1"/>
                <w:szCs w:val="22"/>
                <w:lang w:val="sr-Latn-ME"/>
              </w:rPr>
              <w:t>i</w:t>
            </w:r>
            <w:r w:rsidRPr="006F34F9">
              <w:rPr>
                <w:noProof/>
                <w:szCs w:val="22"/>
                <w:lang w:val="sr-Latn-ME"/>
              </w:rPr>
              <w:t>š</w:t>
            </w:r>
            <w:r w:rsidRPr="006F34F9">
              <w:rPr>
                <w:noProof/>
                <w:spacing w:val="1"/>
                <w:szCs w:val="22"/>
                <w:lang w:val="sr-Latn-ME"/>
              </w:rPr>
              <w:t>i</w:t>
            </w:r>
            <w:r w:rsidRPr="006F34F9">
              <w:rPr>
                <w:noProof/>
                <w:szCs w:val="22"/>
                <w:lang w:val="sr-Latn-ME"/>
              </w:rPr>
              <w:t>ćni</w:t>
            </w:r>
            <w:r w:rsidRPr="006F34F9">
              <w:rPr>
                <w:noProof/>
                <w:spacing w:val="1"/>
                <w:szCs w:val="22"/>
                <w:lang w:val="sr-Latn-ME"/>
              </w:rPr>
              <w:t xml:space="preserve"> </w:t>
            </w:r>
            <w:r w:rsidRPr="006F34F9">
              <w:rPr>
                <w:noProof/>
                <w:spacing w:val="-2"/>
                <w:szCs w:val="22"/>
                <w:lang w:val="sr-Latn-ME"/>
              </w:rPr>
              <w:t>s</w:t>
            </w:r>
            <w:r w:rsidRPr="006F34F9">
              <w:rPr>
                <w:noProof/>
                <w:szCs w:val="22"/>
                <w:lang w:val="sr-Latn-ME"/>
              </w:rPr>
              <w:t>pa</w:t>
            </w:r>
            <w:r w:rsidRPr="006F34F9">
              <w:rPr>
                <w:noProof/>
                <w:spacing w:val="-2"/>
                <w:szCs w:val="22"/>
                <w:lang w:val="sr-Latn-ME"/>
              </w:rPr>
              <w:t>z</w:t>
            </w:r>
            <w:r w:rsidRPr="006F34F9">
              <w:rPr>
                <w:noProof/>
                <w:spacing w:val="-4"/>
                <w:szCs w:val="22"/>
                <w:lang w:val="sr-Latn-ME"/>
              </w:rPr>
              <w:t>m</w:t>
            </w:r>
            <w:r w:rsidRPr="006F34F9">
              <w:rPr>
                <w:noProof/>
                <w:spacing w:val="1"/>
                <w:szCs w:val="22"/>
                <w:lang w:val="sr-Latn-ME"/>
              </w:rPr>
              <w:t>i</w:t>
            </w:r>
            <w:r w:rsidRPr="006F34F9">
              <w:rPr>
                <w:noProof/>
                <w:szCs w:val="22"/>
                <w:lang w:val="sr-Latn-ME"/>
              </w:rPr>
              <w:t>, bo</w:t>
            </w:r>
            <w:r w:rsidRPr="006F34F9">
              <w:rPr>
                <w:noProof/>
                <w:spacing w:val="1"/>
                <w:szCs w:val="22"/>
                <w:lang w:val="sr-Latn-ME"/>
              </w:rPr>
              <w:t>l</w:t>
            </w:r>
            <w:r w:rsidRPr="006F34F9">
              <w:rPr>
                <w:noProof/>
                <w:szCs w:val="22"/>
                <w:lang w:val="sr-Latn-ME"/>
              </w:rPr>
              <w:t>o</w:t>
            </w:r>
            <w:r w:rsidRPr="006F34F9">
              <w:rPr>
                <w:noProof/>
                <w:spacing w:val="-2"/>
                <w:szCs w:val="22"/>
                <w:lang w:val="sr-Latn-ME"/>
              </w:rPr>
              <w:t>v</w:t>
            </w:r>
            <w:r w:rsidRPr="006F34F9">
              <w:rPr>
                <w:noProof/>
                <w:szCs w:val="22"/>
                <w:lang w:val="sr-Latn-ME"/>
              </w:rPr>
              <w:t>i</w:t>
            </w:r>
            <w:r w:rsidRPr="006F34F9">
              <w:rPr>
                <w:noProof/>
                <w:spacing w:val="1"/>
                <w:szCs w:val="22"/>
                <w:lang w:val="sr-Latn-ME"/>
              </w:rPr>
              <w:t xml:space="preserve"> </w:t>
            </w:r>
            <w:r w:rsidRPr="006F34F9">
              <w:rPr>
                <w:noProof/>
                <w:szCs w:val="22"/>
                <w:lang w:val="sr-Latn-ME"/>
              </w:rPr>
              <w:t xml:space="preserve">u </w:t>
            </w:r>
            <w:r w:rsidRPr="006F34F9">
              <w:rPr>
                <w:noProof/>
                <w:spacing w:val="-1"/>
                <w:szCs w:val="22"/>
                <w:lang w:val="sr-Latn-ME"/>
              </w:rPr>
              <w:t>l</w:t>
            </w:r>
            <w:r w:rsidRPr="006F34F9">
              <w:rPr>
                <w:noProof/>
                <w:spacing w:val="-2"/>
                <w:szCs w:val="22"/>
                <w:lang w:val="sr-Latn-ME"/>
              </w:rPr>
              <w:t>e</w:t>
            </w:r>
            <w:r w:rsidRPr="006F34F9">
              <w:rPr>
                <w:noProof/>
                <w:szCs w:val="22"/>
                <w:lang w:val="sr-Latn-ME"/>
              </w:rPr>
              <w:t>đ</w:t>
            </w:r>
            <w:r w:rsidRPr="006F34F9">
              <w:rPr>
                <w:noProof/>
                <w:spacing w:val="1"/>
                <w:szCs w:val="22"/>
                <w:lang w:val="sr-Latn-ME"/>
              </w:rPr>
              <w:t>i</w:t>
            </w:r>
            <w:r w:rsidRPr="006F34F9">
              <w:rPr>
                <w:noProof/>
                <w:spacing w:val="-4"/>
                <w:szCs w:val="22"/>
                <w:lang w:val="sr-Latn-ME"/>
              </w:rPr>
              <w:t>m</w:t>
            </w:r>
            <w:r w:rsidRPr="006F34F9">
              <w:rPr>
                <w:noProof/>
                <w:szCs w:val="22"/>
                <w:lang w:val="sr-Latn-ME"/>
              </w:rPr>
              <w:t xml:space="preserve">a, </w:t>
            </w:r>
            <w:r w:rsidRPr="006F34F9">
              <w:rPr>
                <w:noProof/>
                <w:spacing w:val="-4"/>
                <w:szCs w:val="22"/>
                <w:lang w:val="sr-Latn-ME"/>
              </w:rPr>
              <w:t>m</w:t>
            </w:r>
            <w:r w:rsidRPr="006F34F9">
              <w:rPr>
                <w:noProof/>
                <w:spacing w:val="1"/>
                <w:szCs w:val="22"/>
                <w:lang w:val="sr-Latn-ME"/>
              </w:rPr>
              <w:t>i</w:t>
            </w:r>
            <w:r w:rsidRPr="006F34F9">
              <w:rPr>
                <w:noProof/>
                <w:szCs w:val="22"/>
                <w:lang w:val="sr-Latn-ME"/>
              </w:rPr>
              <w:t>š</w:t>
            </w:r>
            <w:r w:rsidRPr="006F34F9">
              <w:rPr>
                <w:noProof/>
                <w:spacing w:val="1"/>
                <w:szCs w:val="22"/>
                <w:lang w:val="sr-Latn-ME"/>
              </w:rPr>
              <w:t>i</w:t>
            </w:r>
            <w:r w:rsidRPr="006F34F9">
              <w:rPr>
                <w:noProof/>
                <w:szCs w:val="22"/>
                <w:lang w:val="sr-Latn-ME"/>
              </w:rPr>
              <w:t>ćna</w:t>
            </w:r>
            <w:r w:rsidRPr="006F34F9">
              <w:rPr>
                <w:noProof/>
                <w:spacing w:val="1"/>
                <w:szCs w:val="22"/>
                <w:lang w:val="sr-Latn-ME"/>
              </w:rPr>
              <w:t xml:space="preserve"> </w:t>
            </w:r>
            <w:r w:rsidRPr="006F34F9">
              <w:rPr>
                <w:noProof/>
                <w:spacing w:val="-2"/>
                <w:szCs w:val="22"/>
                <w:lang w:val="sr-Latn-ME"/>
              </w:rPr>
              <w:t>s</w:t>
            </w:r>
            <w:r w:rsidRPr="006F34F9">
              <w:rPr>
                <w:noProof/>
                <w:spacing w:val="1"/>
                <w:szCs w:val="22"/>
                <w:lang w:val="sr-Latn-ME"/>
              </w:rPr>
              <w:t>l</w:t>
            </w:r>
            <w:r w:rsidRPr="006F34F9">
              <w:rPr>
                <w:noProof/>
                <w:szCs w:val="22"/>
                <w:lang w:val="sr-Latn-ME"/>
              </w:rPr>
              <w:t>ab</w:t>
            </w:r>
            <w:r w:rsidRPr="006F34F9">
              <w:rPr>
                <w:noProof/>
                <w:spacing w:val="-2"/>
                <w:szCs w:val="22"/>
                <w:lang w:val="sr-Latn-ME"/>
              </w:rPr>
              <w:t>o</w:t>
            </w:r>
            <w:r w:rsidRPr="006F34F9">
              <w:rPr>
                <w:noProof/>
                <w:szCs w:val="22"/>
                <w:lang w:val="sr-Latn-ME"/>
              </w:rPr>
              <w:t>s</w:t>
            </w:r>
            <w:r w:rsidRPr="006F34F9">
              <w:rPr>
                <w:noProof/>
                <w:spacing w:val="1"/>
                <w:szCs w:val="22"/>
                <w:lang w:val="sr-Latn-ME"/>
              </w:rPr>
              <w:t>t</w:t>
            </w:r>
            <w:r w:rsidRPr="006F34F9">
              <w:rPr>
                <w:noProof/>
                <w:szCs w:val="22"/>
                <w:lang w:val="sr-Latn-ME"/>
              </w:rPr>
              <w:t>,</w:t>
            </w:r>
            <w:r w:rsidRPr="006F34F9">
              <w:rPr>
                <w:noProof/>
                <w:spacing w:val="-2"/>
                <w:szCs w:val="22"/>
                <w:lang w:val="sr-Latn-ME"/>
              </w:rPr>
              <w:t xml:space="preserve"> </w:t>
            </w:r>
            <w:r w:rsidRPr="006F34F9">
              <w:rPr>
                <w:noProof/>
                <w:szCs w:val="22"/>
                <w:lang w:val="sr-Latn-ME"/>
              </w:rPr>
              <w:t>u</w:t>
            </w:r>
            <w:r w:rsidRPr="006F34F9">
              <w:rPr>
                <w:noProof/>
                <w:spacing w:val="-4"/>
                <w:szCs w:val="22"/>
                <w:lang w:val="sr-Latn-ME"/>
              </w:rPr>
              <w:t>m</w:t>
            </w:r>
            <w:r w:rsidRPr="006F34F9">
              <w:rPr>
                <w:noProof/>
                <w:szCs w:val="22"/>
                <w:lang w:val="sr-Latn-ME"/>
              </w:rPr>
              <w:t>or</w:t>
            </w:r>
            <w:r w:rsidR="00FA4F6A" w:rsidRPr="006F34F9">
              <w:rPr>
                <w:noProof/>
                <w:szCs w:val="22"/>
                <w:lang w:val="sr-Latn-ME"/>
              </w:rPr>
              <w:t>, bol u ekstremitetima</w:t>
            </w:r>
          </w:p>
        </w:tc>
      </w:tr>
      <w:tr w:rsidR="00DD0778" w:rsidRPr="006F34F9" w14:paraId="5DD77FE6" w14:textId="77777777" w:rsidTr="00C25965">
        <w:trPr>
          <w:trHeight w:hRule="exact" w:val="1483"/>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1097FBDD" w14:textId="42577B2D" w:rsidR="00DD0778" w:rsidRPr="006F34F9" w:rsidRDefault="00DD0778" w:rsidP="00180C9F">
            <w:pPr>
              <w:spacing w:line="246" w:lineRule="exact"/>
              <w:ind w:right="-20"/>
              <w:jc w:val="center"/>
              <w:rPr>
                <w:noProof/>
                <w:szCs w:val="22"/>
                <w:lang w:val="sr-Latn-ME"/>
              </w:rPr>
            </w:pPr>
            <w:r w:rsidRPr="006F34F9">
              <w:rPr>
                <w:noProof/>
                <w:spacing w:val="-1"/>
                <w:szCs w:val="22"/>
                <w:lang w:val="sr-Latn-ME"/>
              </w:rPr>
              <w:t>O</w:t>
            </w:r>
            <w:r w:rsidRPr="006F34F9">
              <w:rPr>
                <w:noProof/>
                <w:szCs w:val="22"/>
                <w:lang w:val="sr-Latn-ME"/>
              </w:rPr>
              <w:t>pšti</w:t>
            </w:r>
            <w:r w:rsidRPr="006F34F9">
              <w:rPr>
                <w:noProof/>
                <w:spacing w:val="1"/>
                <w:szCs w:val="22"/>
                <w:lang w:val="sr-Latn-ME"/>
              </w:rPr>
              <w:t xml:space="preserve"> </w:t>
            </w:r>
            <w:r w:rsidRPr="006F34F9">
              <w:rPr>
                <w:noProof/>
                <w:szCs w:val="22"/>
                <w:lang w:val="sr-Latn-ME"/>
              </w:rPr>
              <w:t>p</w:t>
            </w:r>
            <w:r w:rsidRPr="006F34F9">
              <w:rPr>
                <w:noProof/>
                <w:spacing w:val="-2"/>
                <w:szCs w:val="22"/>
                <w:lang w:val="sr-Latn-ME"/>
              </w:rPr>
              <w:t>o</w:t>
            </w:r>
            <w:r w:rsidRPr="006F34F9">
              <w:rPr>
                <w:noProof/>
                <w:spacing w:val="1"/>
                <w:szCs w:val="22"/>
                <w:lang w:val="sr-Latn-ME"/>
              </w:rPr>
              <w:t>r</w:t>
            </w:r>
            <w:r w:rsidRPr="006F34F9">
              <w:rPr>
                <w:noProof/>
                <w:szCs w:val="22"/>
                <w:lang w:val="sr-Latn-ME"/>
              </w:rPr>
              <w:t>e</w:t>
            </w:r>
            <w:r w:rsidRPr="006F34F9">
              <w:rPr>
                <w:noProof/>
                <w:spacing w:val="-4"/>
                <w:szCs w:val="22"/>
                <w:lang w:val="sr-Latn-ME"/>
              </w:rPr>
              <w:t>m</w:t>
            </w:r>
            <w:r w:rsidRPr="006F34F9">
              <w:rPr>
                <w:noProof/>
                <w:szCs w:val="22"/>
                <w:lang w:val="sr-Latn-ME"/>
              </w:rPr>
              <w:t>eć</w:t>
            </w:r>
            <w:r w:rsidRPr="006F34F9">
              <w:rPr>
                <w:noProof/>
                <w:spacing w:val="-2"/>
                <w:szCs w:val="22"/>
                <w:lang w:val="sr-Latn-ME"/>
              </w:rPr>
              <w:t>a</w:t>
            </w:r>
            <w:r w:rsidRPr="006F34F9">
              <w:rPr>
                <w:noProof/>
                <w:spacing w:val="1"/>
                <w:szCs w:val="22"/>
                <w:lang w:val="sr-Latn-ME"/>
              </w:rPr>
              <w:t>j</w:t>
            </w:r>
            <w:r w:rsidRPr="006F34F9">
              <w:rPr>
                <w:noProof/>
                <w:szCs w:val="22"/>
                <w:lang w:val="sr-Latn-ME"/>
              </w:rPr>
              <w:t>i</w:t>
            </w:r>
            <w:r w:rsidRPr="006F34F9">
              <w:rPr>
                <w:noProof/>
                <w:spacing w:val="1"/>
                <w:szCs w:val="22"/>
                <w:lang w:val="sr-Latn-ME"/>
              </w:rPr>
              <w:t xml:space="preserve"> </w:t>
            </w:r>
            <w:r w:rsidRPr="006F34F9">
              <w:rPr>
                <w:noProof/>
                <w:szCs w:val="22"/>
                <w:lang w:val="sr-Latn-ME"/>
              </w:rPr>
              <w:t>i</w:t>
            </w:r>
            <w:r w:rsidRPr="006F34F9">
              <w:rPr>
                <w:noProof/>
                <w:spacing w:val="-1"/>
                <w:szCs w:val="22"/>
                <w:lang w:val="sr-Latn-ME"/>
              </w:rPr>
              <w:t xml:space="preserve"> </w:t>
            </w:r>
            <w:r w:rsidRPr="006F34F9">
              <w:rPr>
                <w:noProof/>
                <w:spacing w:val="1"/>
                <w:szCs w:val="22"/>
                <w:lang w:val="sr-Latn-ME"/>
              </w:rPr>
              <w:t>r</w:t>
            </w:r>
            <w:r w:rsidRPr="006F34F9">
              <w:rPr>
                <w:noProof/>
                <w:szCs w:val="22"/>
                <w:lang w:val="sr-Latn-ME"/>
              </w:rPr>
              <w:t>ea</w:t>
            </w:r>
            <w:r w:rsidRPr="006F34F9">
              <w:rPr>
                <w:noProof/>
                <w:spacing w:val="-2"/>
                <w:szCs w:val="22"/>
                <w:lang w:val="sr-Latn-ME"/>
              </w:rPr>
              <w:t>k</w:t>
            </w:r>
            <w:r w:rsidRPr="006F34F9">
              <w:rPr>
                <w:noProof/>
                <w:szCs w:val="22"/>
                <w:lang w:val="sr-Latn-ME"/>
              </w:rPr>
              <w:t>c</w:t>
            </w:r>
            <w:r w:rsidRPr="006F34F9">
              <w:rPr>
                <w:noProof/>
                <w:spacing w:val="-1"/>
                <w:szCs w:val="22"/>
                <w:lang w:val="sr-Latn-ME"/>
              </w:rPr>
              <w:t>i</w:t>
            </w:r>
            <w:r w:rsidRPr="006F34F9">
              <w:rPr>
                <w:noProof/>
                <w:spacing w:val="1"/>
                <w:szCs w:val="22"/>
                <w:lang w:val="sr-Latn-ME"/>
              </w:rPr>
              <w:t>j</w:t>
            </w:r>
            <w:r w:rsidRPr="006F34F9">
              <w:rPr>
                <w:noProof/>
                <w:szCs w:val="22"/>
                <w:lang w:val="sr-Latn-ME"/>
              </w:rPr>
              <w:t>e</w:t>
            </w:r>
            <w:r w:rsidRPr="006F34F9">
              <w:rPr>
                <w:noProof/>
                <w:spacing w:val="-2"/>
                <w:szCs w:val="22"/>
                <w:lang w:val="sr-Latn-ME"/>
              </w:rPr>
              <w:t xml:space="preserve"> </w:t>
            </w:r>
            <w:r w:rsidRPr="006F34F9">
              <w:rPr>
                <w:noProof/>
                <w:szCs w:val="22"/>
                <w:lang w:val="sr-Latn-ME"/>
              </w:rPr>
              <w:t>na</w:t>
            </w:r>
            <w:r w:rsidR="00FA4F6A" w:rsidRPr="006F34F9">
              <w:rPr>
                <w:noProof/>
                <w:szCs w:val="22"/>
                <w:lang w:val="sr-Latn-ME"/>
              </w:rPr>
              <w:t xml:space="preserve"> </w:t>
            </w:r>
            <w:r w:rsidRPr="006F34F9">
              <w:rPr>
                <w:noProof/>
                <w:spacing w:val="-4"/>
                <w:szCs w:val="22"/>
                <w:lang w:val="sr-Latn-ME"/>
              </w:rPr>
              <w:t>m</w:t>
            </w:r>
            <w:r w:rsidR="004D3C68" w:rsidRPr="006F34F9">
              <w:rPr>
                <w:noProof/>
                <w:spacing w:val="-4"/>
                <w:szCs w:val="22"/>
                <w:lang w:val="sr-Latn-ME"/>
              </w:rPr>
              <w:t>j</w:t>
            </w:r>
            <w:r w:rsidRPr="006F34F9">
              <w:rPr>
                <w:noProof/>
                <w:szCs w:val="22"/>
                <w:lang w:val="sr-Latn-ME"/>
              </w:rPr>
              <w:t>es</w:t>
            </w:r>
            <w:r w:rsidRPr="006F34F9">
              <w:rPr>
                <w:noProof/>
                <w:spacing w:val="-1"/>
                <w:szCs w:val="22"/>
                <w:lang w:val="sr-Latn-ME"/>
              </w:rPr>
              <w:t>t</w:t>
            </w:r>
            <w:r w:rsidRPr="006F34F9">
              <w:rPr>
                <w:noProof/>
                <w:szCs w:val="22"/>
                <w:lang w:val="sr-Latn-ME"/>
              </w:rPr>
              <w:t xml:space="preserve">u </w:t>
            </w:r>
            <w:r w:rsidR="0069571E" w:rsidRPr="006F34F9">
              <w:rPr>
                <w:noProof/>
                <w:szCs w:val="22"/>
                <w:lang w:val="sr-Latn-ME"/>
              </w:rPr>
              <w:t>primjene</w:t>
            </w:r>
          </w:p>
        </w:tc>
        <w:tc>
          <w:tcPr>
            <w:tcW w:w="2410" w:type="dxa"/>
            <w:tcBorders>
              <w:top w:val="single" w:sz="4" w:space="0" w:color="000000"/>
              <w:left w:val="single" w:sz="4" w:space="0" w:color="000000"/>
              <w:bottom w:val="single" w:sz="4" w:space="0" w:color="000000"/>
              <w:right w:val="single" w:sz="4" w:space="0" w:color="000000"/>
            </w:tcBorders>
            <w:hideMark/>
          </w:tcPr>
          <w:p w14:paraId="31A5FD64" w14:textId="77777777" w:rsidR="00DD0778" w:rsidRPr="006F34F9" w:rsidRDefault="00DD0778" w:rsidP="00180C9F">
            <w:pPr>
              <w:spacing w:line="246" w:lineRule="exact"/>
              <w:ind w:left="100" w:right="-20"/>
              <w:rPr>
                <w:noProof/>
                <w:szCs w:val="22"/>
                <w:lang w:val="sr-Latn-ME"/>
              </w:rPr>
            </w:pPr>
            <w:r w:rsidRPr="006F34F9">
              <w:rPr>
                <w:noProof/>
                <w:spacing w:val="-1"/>
                <w:szCs w:val="22"/>
                <w:lang w:val="sr-Latn-ME"/>
              </w:rPr>
              <w:t>Č</w:t>
            </w:r>
            <w:r w:rsidRPr="006F34F9">
              <w:rPr>
                <w:noProof/>
                <w:szCs w:val="22"/>
                <w:lang w:val="sr-Latn-ME"/>
              </w:rPr>
              <w:t>es</w:t>
            </w:r>
            <w:r w:rsidRPr="006F34F9">
              <w:rPr>
                <w:noProof/>
                <w:spacing w:val="1"/>
                <w:szCs w:val="22"/>
                <w:lang w:val="sr-Latn-ME"/>
              </w:rPr>
              <w:t>t</w:t>
            </w:r>
            <w:r w:rsidRPr="006F34F9">
              <w:rPr>
                <w:noProof/>
                <w:szCs w:val="22"/>
                <w:lang w:val="sr-Latn-ME"/>
              </w:rPr>
              <w:t>o</w:t>
            </w:r>
          </w:p>
        </w:tc>
        <w:tc>
          <w:tcPr>
            <w:tcW w:w="3543" w:type="dxa"/>
            <w:tcBorders>
              <w:top w:val="single" w:sz="4" w:space="0" w:color="000000"/>
              <w:left w:val="single" w:sz="4" w:space="0" w:color="000000"/>
              <w:bottom w:val="single" w:sz="4" w:space="0" w:color="000000"/>
              <w:right w:val="single" w:sz="4" w:space="0" w:color="000000"/>
            </w:tcBorders>
            <w:hideMark/>
          </w:tcPr>
          <w:p w14:paraId="7D3F5836" w14:textId="3CCCB88D" w:rsidR="00DD0778" w:rsidRDefault="004D3C68" w:rsidP="00180C9F">
            <w:pPr>
              <w:spacing w:line="246" w:lineRule="exact"/>
              <w:ind w:left="100" w:right="-20"/>
              <w:rPr>
                <w:noProof/>
                <w:szCs w:val="22"/>
                <w:lang w:val="sr-Latn-ME"/>
              </w:rPr>
            </w:pPr>
            <w:r w:rsidRPr="006F34F9">
              <w:rPr>
                <w:noProof/>
                <w:szCs w:val="22"/>
                <w:lang w:val="sr-Latn-ME"/>
              </w:rPr>
              <w:t>p</w:t>
            </w:r>
            <w:r w:rsidRPr="006F34F9">
              <w:rPr>
                <w:noProof/>
                <w:spacing w:val="1"/>
                <w:szCs w:val="22"/>
                <w:lang w:val="sr-Latn-ME"/>
              </w:rPr>
              <w:t>ir</w:t>
            </w:r>
            <w:r w:rsidRPr="006F34F9">
              <w:rPr>
                <w:noProof/>
                <w:szCs w:val="22"/>
                <w:lang w:val="sr-Latn-ME"/>
              </w:rPr>
              <w:t>e</w:t>
            </w:r>
            <w:r w:rsidRPr="006F34F9">
              <w:rPr>
                <w:noProof/>
                <w:spacing w:val="-2"/>
                <w:szCs w:val="22"/>
                <w:lang w:val="sr-Latn-ME"/>
              </w:rPr>
              <w:t>k</w:t>
            </w:r>
            <w:r w:rsidRPr="006F34F9">
              <w:rPr>
                <w:noProof/>
                <w:szCs w:val="22"/>
                <w:lang w:val="sr-Latn-ME"/>
              </w:rPr>
              <w:t>s</w:t>
            </w:r>
            <w:r w:rsidRPr="006F34F9">
              <w:rPr>
                <w:noProof/>
                <w:spacing w:val="-1"/>
                <w:szCs w:val="22"/>
                <w:lang w:val="sr-Latn-ME"/>
              </w:rPr>
              <w:t>i</w:t>
            </w:r>
            <w:r w:rsidRPr="006F34F9">
              <w:rPr>
                <w:noProof/>
                <w:spacing w:val="1"/>
                <w:szCs w:val="22"/>
                <w:lang w:val="sr-Latn-ME"/>
              </w:rPr>
              <w:t>j</w:t>
            </w:r>
            <w:r w:rsidRPr="006F34F9">
              <w:rPr>
                <w:noProof/>
                <w:szCs w:val="22"/>
                <w:lang w:val="sr-Latn-ME"/>
              </w:rPr>
              <w:t>a</w:t>
            </w:r>
            <w:r w:rsidR="00FA4F6A" w:rsidRPr="006F34F9">
              <w:rPr>
                <w:noProof/>
                <w:szCs w:val="22"/>
                <w:lang w:val="sr-Latn-ME"/>
              </w:rPr>
              <w:t>,</w:t>
            </w:r>
          </w:p>
          <w:p w14:paraId="47F6B055" w14:textId="3B644C35" w:rsidR="00FA4F6A" w:rsidRPr="00D066B7" w:rsidRDefault="0035691F" w:rsidP="0035691F">
            <w:pPr>
              <w:spacing w:line="246" w:lineRule="exact"/>
              <w:ind w:left="100" w:right="-20"/>
              <w:rPr>
                <w:noProof/>
                <w:szCs w:val="22"/>
                <w:lang w:val="sr-Latn-ME"/>
              </w:rPr>
            </w:pPr>
            <w:r w:rsidRPr="003A58E8">
              <w:rPr>
                <w:noProof/>
                <w:spacing w:val="1"/>
                <w:szCs w:val="22"/>
                <w:lang w:val="sr-Latn-ME"/>
              </w:rPr>
              <w:t>r</w:t>
            </w:r>
            <w:r w:rsidRPr="003A58E8">
              <w:rPr>
                <w:noProof/>
                <w:szCs w:val="22"/>
                <w:lang w:val="sr-Latn-ME"/>
              </w:rPr>
              <w:t>ea</w:t>
            </w:r>
            <w:r w:rsidRPr="003A58E8">
              <w:rPr>
                <w:noProof/>
                <w:spacing w:val="-2"/>
                <w:szCs w:val="22"/>
                <w:lang w:val="sr-Latn-ME"/>
              </w:rPr>
              <w:t>k</w:t>
            </w:r>
            <w:r w:rsidRPr="003A58E8">
              <w:rPr>
                <w:noProof/>
                <w:szCs w:val="22"/>
                <w:lang w:val="sr-Latn-ME"/>
              </w:rPr>
              <w:t>c</w:t>
            </w:r>
            <w:r w:rsidRPr="003A58E8">
              <w:rPr>
                <w:noProof/>
                <w:spacing w:val="-1"/>
                <w:szCs w:val="22"/>
                <w:lang w:val="sr-Latn-ME"/>
              </w:rPr>
              <w:t>i</w:t>
            </w:r>
            <w:r w:rsidRPr="003A58E8">
              <w:rPr>
                <w:noProof/>
                <w:spacing w:val="1"/>
                <w:szCs w:val="22"/>
                <w:lang w:val="sr-Latn-ME"/>
              </w:rPr>
              <w:t>j</w:t>
            </w:r>
            <w:r w:rsidRPr="003A58E8">
              <w:rPr>
                <w:noProof/>
                <w:szCs w:val="22"/>
                <w:lang w:val="sr-Latn-ME"/>
              </w:rPr>
              <w:t>a</w:t>
            </w:r>
            <w:r w:rsidRPr="003A58E8">
              <w:rPr>
                <w:noProof/>
                <w:spacing w:val="1"/>
                <w:szCs w:val="22"/>
                <w:lang w:val="sr-Latn-ME"/>
              </w:rPr>
              <w:t xml:space="preserve"> </w:t>
            </w:r>
            <w:r w:rsidRPr="003A58E8">
              <w:rPr>
                <w:noProof/>
                <w:szCs w:val="22"/>
                <w:lang w:val="sr-Latn-ME"/>
              </w:rPr>
              <w:t>na</w:t>
            </w:r>
            <w:r w:rsidRPr="003A58E8">
              <w:rPr>
                <w:noProof/>
                <w:spacing w:val="-2"/>
                <w:szCs w:val="22"/>
                <w:lang w:val="sr-Latn-ME"/>
              </w:rPr>
              <w:t xml:space="preserve"> </w:t>
            </w:r>
            <w:r w:rsidRPr="003A58E8">
              <w:rPr>
                <w:noProof/>
                <w:spacing w:val="-4"/>
                <w:szCs w:val="22"/>
                <w:lang w:val="sr-Latn-ME"/>
              </w:rPr>
              <w:t>mj</w:t>
            </w:r>
            <w:r w:rsidRPr="003A58E8">
              <w:rPr>
                <w:noProof/>
                <w:szCs w:val="22"/>
                <w:lang w:val="sr-Latn-ME"/>
              </w:rPr>
              <w:t>e</w:t>
            </w:r>
            <w:r w:rsidRPr="003A58E8">
              <w:rPr>
                <w:noProof/>
                <w:spacing w:val="-2"/>
                <w:szCs w:val="22"/>
                <w:lang w:val="sr-Latn-ME"/>
              </w:rPr>
              <w:t>s</w:t>
            </w:r>
            <w:r w:rsidRPr="003A58E8">
              <w:rPr>
                <w:noProof/>
                <w:spacing w:val="1"/>
                <w:szCs w:val="22"/>
                <w:lang w:val="sr-Latn-ME"/>
              </w:rPr>
              <w:t>t</w:t>
            </w:r>
            <w:r w:rsidRPr="003A58E8">
              <w:rPr>
                <w:noProof/>
                <w:szCs w:val="22"/>
                <w:lang w:val="sr-Latn-ME"/>
              </w:rPr>
              <w:t xml:space="preserve">u </w:t>
            </w:r>
            <w:r w:rsidRPr="003A58E8">
              <w:rPr>
                <w:noProof/>
                <w:spacing w:val="-2"/>
                <w:szCs w:val="22"/>
                <w:lang w:val="sr-Latn-ME"/>
              </w:rPr>
              <w:t xml:space="preserve">primjene </w:t>
            </w:r>
            <w:r w:rsidRPr="003A58E8">
              <w:rPr>
                <w:noProof/>
                <w:spacing w:val="1"/>
                <w:szCs w:val="22"/>
                <w:lang w:val="sr-Latn-ME"/>
              </w:rPr>
              <w:t>i</w:t>
            </w:r>
            <w:r w:rsidRPr="003A58E8">
              <w:rPr>
                <w:noProof/>
                <w:szCs w:val="22"/>
                <w:lang w:val="sr-Latn-ME"/>
              </w:rPr>
              <w:t>n</w:t>
            </w:r>
            <w:r w:rsidRPr="003A58E8">
              <w:rPr>
                <w:noProof/>
                <w:spacing w:val="1"/>
                <w:szCs w:val="22"/>
                <w:lang w:val="sr-Latn-ME"/>
              </w:rPr>
              <w:t>f</w:t>
            </w:r>
            <w:r w:rsidRPr="003A58E8">
              <w:rPr>
                <w:noProof/>
                <w:szCs w:val="22"/>
                <w:lang w:val="sr-Latn-ME"/>
              </w:rPr>
              <w:t>u</w:t>
            </w:r>
            <w:r w:rsidRPr="003A58E8">
              <w:rPr>
                <w:noProof/>
                <w:spacing w:val="-2"/>
                <w:szCs w:val="22"/>
                <w:lang w:val="sr-Latn-ME"/>
              </w:rPr>
              <w:t>z</w:t>
            </w:r>
            <w:r w:rsidRPr="003A58E8">
              <w:rPr>
                <w:noProof/>
                <w:spacing w:val="-1"/>
                <w:szCs w:val="22"/>
                <w:lang w:val="sr-Latn-ME"/>
              </w:rPr>
              <w:t>i</w:t>
            </w:r>
            <w:r w:rsidRPr="003A58E8">
              <w:rPr>
                <w:noProof/>
                <w:spacing w:val="1"/>
                <w:szCs w:val="22"/>
                <w:lang w:val="sr-Latn-ME"/>
              </w:rPr>
              <w:t>j</w:t>
            </w:r>
            <w:r w:rsidRPr="003A58E8">
              <w:rPr>
                <w:noProof/>
                <w:szCs w:val="22"/>
                <w:lang w:val="sr-Latn-ME"/>
              </w:rPr>
              <w:t xml:space="preserve">e </w:t>
            </w:r>
            <w:r w:rsidRPr="003A58E8">
              <w:rPr>
                <w:noProof/>
                <w:spacing w:val="1"/>
                <w:szCs w:val="22"/>
                <w:lang w:val="sr-Latn-ME"/>
              </w:rPr>
              <w:t>(</w:t>
            </w:r>
            <w:r w:rsidRPr="003A58E8">
              <w:rPr>
                <w:noProof/>
                <w:szCs w:val="22"/>
                <w:lang w:val="sr-Latn-ME"/>
              </w:rPr>
              <w:t>u</w:t>
            </w:r>
            <w:r w:rsidRPr="003A58E8">
              <w:rPr>
                <w:noProof/>
                <w:spacing w:val="-2"/>
                <w:szCs w:val="22"/>
                <w:lang w:val="sr-Latn-ME"/>
              </w:rPr>
              <w:t>k</w:t>
            </w:r>
            <w:r w:rsidRPr="003A58E8">
              <w:rPr>
                <w:noProof/>
                <w:spacing w:val="-1"/>
                <w:szCs w:val="22"/>
                <w:lang w:val="sr-Latn-ME"/>
              </w:rPr>
              <w:t>l</w:t>
            </w:r>
            <w:r w:rsidRPr="003A58E8">
              <w:rPr>
                <w:noProof/>
                <w:spacing w:val="3"/>
                <w:szCs w:val="22"/>
                <w:lang w:val="sr-Latn-ME"/>
              </w:rPr>
              <w:t>j</w:t>
            </w:r>
            <w:r w:rsidRPr="003A58E8">
              <w:rPr>
                <w:noProof/>
                <w:szCs w:val="22"/>
                <w:lang w:val="sr-Latn-ME"/>
              </w:rPr>
              <w:t>uč</w:t>
            </w:r>
            <w:r w:rsidRPr="003A58E8">
              <w:rPr>
                <w:noProof/>
                <w:spacing w:val="-2"/>
                <w:szCs w:val="22"/>
                <w:lang w:val="sr-Latn-ME"/>
              </w:rPr>
              <w:t>u</w:t>
            </w:r>
            <w:r w:rsidRPr="003A58E8">
              <w:rPr>
                <w:noProof/>
                <w:spacing w:val="1"/>
                <w:szCs w:val="22"/>
                <w:lang w:val="sr-Latn-ME"/>
              </w:rPr>
              <w:t>j</w:t>
            </w:r>
            <w:r w:rsidRPr="003A58E8">
              <w:rPr>
                <w:noProof/>
                <w:szCs w:val="22"/>
                <w:lang w:val="sr-Latn-ME"/>
              </w:rPr>
              <w:t>u</w:t>
            </w:r>
            <w:r w:rsidRPr="003A58E8">
              <w:rPr>
                <w:noProof/>
                <w:spacing w:val="-2"/>
                <w:szCs w:val="22"/>
                <w:lang w:val="sr-Latn-ME"/>
              </w:rPr>
              <w:t>ć</w:t>
            </w:r>
            <w:r w:rsidRPr="003A58E8">
              <w:rPr>
                <w:noProof/>
                <w:spacing w:val="-1"/>
                <w:szCs w:val="22"/>
                <w:lang w:val="sr-Latn-ME"/>
              </w:rPr>
              <w:t>i</w:t>
            </w:r>
            <w:r w:rsidRPr="003A58E8">
              <w:rPr>
                <w:noProof/>
                <w:szCs w:val="22"/>
                <w:lang w:val="sr-Latn-ME"/>
              </w:rPr>
              <w:t>:</w:t>
            </w:r>
            <w:r w:rsidRPr="003A58E8">
              <w:rPr>
                <w:noProof/>
                <w:spacing w:val="1"/>
                <w:szCs w:val="22"/>
                <w:lang w:val="sr-Latn-ME"/>
              </w:rPr>
              <w:t xml:space="preserve"> </w:t>
            </w:r>
            <w:r w:rsidRPr="003A58E8">
              <w:rPr>
                <w:noProof/>
                <w:szCs w:val="22"/>
                <w:lang w:val="sr-Latn-ME"/>
              </w:rPr>
              <w:t>bol i</w:t>
            </w:r>
            <w:r w:rsidRPr="003A58E8">
              <w:rPr>
                <w:noProof/>
                <w:spacing w:val="-1"/>
                <w:szCs w:val="22"/>
                <w:lang w:val="sr-Latn-ME"/>
              </w:rPr>
              <w:t xml:space="preserve"> </w:t>
            </w:r>
            <w:r w:rsidRPr="003A58E8">
              <w:rPr>
                <w:noProof/>
                <w:szCs w:val="22"/>
                <w:lang w:val="sr-Latn-ME"/>
              </w:rPr>
              <w:t xml:space="preserve">iritaciju </w:t>
            </w:r>
            <w:r w:rsidRPr="003A58E8">
              <w:rPr>
                <w:noProof/>
                <w:spacing w:val="1"/>
                <w:szCs w:val="22"/>
                <w:lang w:val="sr-Latn-ME"/>
              </w:rPr>
              <w:t xml:space="preserve"> </w:t>
            </w:r>
            <w:r w:rsidRPr="003A58E8">
              <w:rPr>
                <w:noProof/>
                <w:szCs w:val="22"/>
                <w:lang w:val="sr-Latn-ME"/>
              </w:rPr>
              <w:t>na</w:t>
            </w:r>
            <w:r w:rsidRPr="003A58E8">
              <w:rPr>
                <w:noProof/>
                <w:spacing w:val="1"/>
                <w:szCs w:val="22"/>
                <w:lang w:val="sr-Latn-ME"/>
              </w:rPr>
              <w:t xml:space="preserve"> </w:t>
            </w:r>
            <w:r w:rsidRPr="003A58E8">
              <w:rPr>
                <w:noProof/>
                <w:spacing w:val="-4"/>
                <w:szCs w:val="22"/>
                <w:lang w:val="sr-Latn-ME"/>
              </w:rPr>
              <w:t>mj</w:t>
            </w:r>
            <w:r w:rsidRPr="003A58E8">
              <w:rPr>
                <w:noProof/>
                <w:szCs w:val="22"/>
                <w:lang w:val="sr-Latn-ME"/>
              </w:rPr>
              <w:t>e</w:t>
            </w:r>
            <w:r w:rsidRPr="003A58E8">
              <w:rPr>
                <w:noProof/>
                <w:spacing w:val="-2"/>
                <w:szCs w:val="22"/>
                <w:lang w:val="sr-Latn-ME"/>
              </w:rPr>
              <w:t>s</w:t>
            </w:r>
            <w:r w:rsidRPr="003A58E8">
              <w:rPr>
                <w:noProof/>
                <w:spacing w:val="1"/>
                <w:szCs w:val="22"/>
                <w:lang w:val="sr-Latn-ME"/>
              </w:rPr>
              <w:t>t</w:t>
            </w:r>
            <w:r w:rsidRPr="003A58E8">
              <w:rPr>
                <w:noProof/>
                <w:szCs w:val="22"/>
                <w:lang w:val="sr-Latn-ME"/>
              </w:rPr>
              <w:t>u</w:t>
            </w:r>
            <w:r w:rsidRPr="003A58E8">
              <w:rPr>
                <w:noProof/>
                <w:spacing w:val="-2"/>
                <w:szCs w:val="22"/>
                <w:lang w:val="sr-Latn-ME"/>
              </w:rPr>
              <w:t xml:space="preserve"> primjene </w:t>
            </w:r>
            <w:r w:rsidRPr="003A58E8">
              <w:rPr>
                <w:noProof/>
                <w:spacing w:val="1"/>
                <w:szCs w:val="22"/>
                <w:lang w:val="sr-Latn-ME"/>
              </w:rPr>
              <w:t>i</w:t>
            </w:r>
            <w:r w:rsidRPr="003A58E8">
              <w:rPr>
                <w:noProof/>
                <w:szCs w:val="22"/>
                <w:lang w:val="sr-Latn-ME"/>
              </w:rPr>
              <w:t>n</w:t>
            </w:r>
            <w:r w:rsidRPr="003A58E8">
              <w:rPr>
                <w:noProof/>
                <w:spacing w:val="1"/>
                <w:szCs w:val="22"/>
                <w:lang w:val="sr-Latn-ME"/>
              </w:rPr>
              <w:t>f</w:t>
            </w:r>
            <w:r w:rsidRPr="003A58E8">
              <w:rPr>
                <w:noProof/>
                <w:szCs w:val="22"/>
                <w:lang w:val="sr-Latn-ME"/>
              </w:rPr>
              <w:t>u</w:t>
            </w:r>
            <w:r w:rsidRPr="003A58E8">
              <w:rPr>
                <w:noProof/>
                <w:spacing w:val="-2"/>
                <w:szCs w:val="22"/>
                <w:lang w:val="sr-Latn-ME"/>
              </w:rPr>
              <w:t>z</w:t>
            </w:r>
            <w:r w:rsidRPr="003A58E8">
              <w:rPr>
                <w:noProof/>
                <w:spacing w:val="-1"/>
                <w:szCs w:val="22"/>
                <w:lang w:val="sr-Latn-ME"/>
              </w:rPr>
              <w:t>i</w:t>
            </w:r>
            <w:r w:rsidRPr="003A58E8">
              <w:rPr>
                <w:noProof/>
                <w:spacing w:val="1"/>
                <w:szCs w:val="22"/>
                <w:lang w:val="sr-Latn-ME"/>
              </w:rPr>
              <w:t>j</w:t>
            </w:r>
            <w:r w:rsidRPr="003A58E8">
              <w:rPr>
                <w:noProof/>
                <w:szCs w:val="22"/>
                <w:lang w:val="sr-Latn-ME"/>
              </w:rPr>
              <w:t>e</w:t>
            </w:r>
            <w:r w:rsidRPr="003A58E8">
              <w:rPr>
                <w:noProof/>
                <w:spacing w:val="1"/>
                <w:szCs w:val="22"/>
                <w:lang w:val="sr-Latn-ME"/>
              </w:rPr>
              <w:t>)</w:t>
            </w:r>
            <w:r w:rsidRPr="003A58E8">
              <w:rPr>
                <w:noProof/>
                <w:szCs w:val="22"/>
                <w:lang w:val="sr-Latn-ME"/>
              </w:rPr>
              <w:t>,</w:t>
            </w:r>
            <w:r w:rsidR="00ED3186" w:rsidRPr="00D066B7">
              <w:rPr>
                <w:noProof/>
                <w:szCs w:val="22"/>
                <w:lang w:val="sr-Latn-ME"/>
              </w:rPr>
              <w:t xml:space="preserve"> </w:t>
            </w:r>
            <w:r w:rsidR="00D066B7">
              <w:rPr>
                <w:noProof/>
                <w:szCs w:val="22"/>
                <w:lang w:val="sr-Latn-ME"/>
              </w:rPr>
              <w:t xml:space="preserve">reakcije povezane sa infuzijom, </w:t>
            </w:r>
            <w:r w:rsidR="00FA4F6A" w:rsidRPr="00D066B7">
              <w:rPr>
                <w:noProof/>
                <w:szCs w:val="22"/>
                <w:lang w:val="sr-Latn-ME"/>
              </w:rPr>
              <w:t>reakcije na m</w:t>
            </w:r>
            <w:r w:rsidR="004D3C68" w:rsidRPr="00D066B7">
              <w:rPr>
                <w:noProof/>
                <w:szCs w:val="22"/>
                <w:lang w:val="sr-Latn-ME"/>
              </w:rPr>
              <w:t>j</w:t>
            </w:r>
            <w:r w:rsidR="00FA4F6A" w:rsidRPr="00D066B7">
              <w:rPr>
                <w:noProof/>
                <w:szCs w:val="22"/>
                <w:lang w:val="sr-Latn-ME"/>
              </w:rPr>
              <w:t>estu primjene</w:t>
            </w:r>
            <w:r w:rsidR="00FA4F6A" w:rsidRPr="00D066B7">
              <w:rPr>
                <w:noProof/>
                <w:szCs w:val="22"/>
                <w:vertAlign w:val="superscript"/>
                <w:lang w:val="sr-Latn-ME"/>
              </w:rPr>
              <w:t>#</w:t>
            </w:r>
          </w:p>
        </w:tc>
      </w:tr>
      <w:tr w:rsidR="00DD0778" w:rsidRPr="006F34F9" w14:paraId="508C6228" w14:textId="77777777" w:rsidTr="00180C9F">
        <w:trPr>
          <w:trHeight w:hRule="exact" w:val="1277"/>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2F527E49" w14:textId="77777777" w:rsidR="00DD0778" w:rsidRPr="006F34F9" w:rsidRDefault="00DD0778" w:rsidP="00180C9F">
            <w:pPr>
              <w:tabs>
                <w:tab w:val="clear" w:pos="284"/>
              </w:tabs>
              <w:rPr>
                <w:noProof/>
                <w:szCs w:val="22"/>
                <w:lang w:val="sr-Latn-ME"/>
              </w:rPr>
            </w:pPr>
          </w:p>
        </w:tc>
        <w:tc>
          <w:tcPr>
            <w:tcW w:w="2410" w:type="dxa"/>
            <w:tcBorders>
              <w:top w:val="single" w:sz="4" w:space="0" w:color="000000"/>
              <w:left w:val="single" w:sz="4" w:space="0" w:color="000000"/>
              <w:bottom w:val="single" w:sz="4" w:space="0" w:color="000000"/>
              <w:right w:val="single" w:sz="4" w:space="0" w:color="000000"/>
            </w:tcBorders>
            <w:hideMark/>
          </w:tcPr>
          <w:p w14:paraId="0AC3874C" w14:textId="77777777" w:rsidR="00DD0778" w:rsidRPr="006F34F9" w:rsidRDefault="00DD0778" w:rsidP="00180C9F">
            <w:pPr>
              <w:spacing w:line="248" w:lineRule="exact"/>
              <w:ind w:left="100" w:right="-20"/>
              <w:rPr>
                <w:noProof/>
                <w:szCs w:val="22"/>
                <w:lang w:val="sr-Latn-ME"/>
              </w:rPr>
            </w:pPr>
            <w:r w:rsidRPr="006F34F9">
              <w:rPr>
                <w:noProof/>
                <w:szCs w:val="22"/>
                <w:lang w:val="sr-Latn-ME"/>
              </w:rPr>
              <w:t>Povremeno</w:t>
            </w:r>
          </w:p>
        </w:tc>
        <w:tc>
          <w:tcPr>
            <w:tcW w:w="3543" w:type="dxa"/>
            <w:tcBorders>
              <w:top w:val="single" w:sz="4" w:space="0" w:color="000000"/>
              <w:left w:val="single" w:sz="4" w:space="0" w:color="000000"/>
              <w:bottom w:val="single" w:sz="4" w:space="0" w:color="000000"/>
              <w:right w:val="single" w:sz="4" w:space="0" w:color="000000"/>
            </w:tcBorders>
            <w:hideMark/>
          </w:tcPr>
          <w:p w14:paraId="3F56148A" w14:textId="2FE5DC49" w:rsidR="0035691F" w:rsidRDefault="0035691F" w:rsidP="004D3C68">
            <w:pPr>
              <w:spacing w:line="248" w:lineRule="exact"/>
              <w:ind w:left="100" w:right="-20"/>
              <w:jc w:val="left"/>
              <w:rPr>
                <w:noProof/>
                <w:szCs w:val="22"/>
                <w:lang w:val="sr-Latn-ME"/>
              </w:rPr>
            </w:pPr>
          </w:p>
          <w:p w14:paraId="118904DE" w14:textId="4D332D1A" w:rsidR="00DD0778" w:rsidRPr="006F34F9" w:rsidRDefault="00DD0778" w:rsidP="004D3C68">
            <w:pPr>
              <w:spacing w:line="248" w:lineRule="exact"/>
              <w:ind w:left="100" w:right="-20"/>
              <w:jc w:val="left"/>
              <w:rPr>
                <w:noProof/>
                <w:szCs w:val="22"/>
                <w:lang w:val="sr-Latn-ME"/>
              </w:rPr>
            </w:pPr>
            <w:r w:rsidRPr="006F34F9">
              <w:rPr>
                <w:noProof/>
                <w:spacing w:val="-2"/>
                <w:szCs w:val="22"/>
                <w:lang w:val="sr-Latn-ME"/>
              </w:rPr>
              <w:t>drhtavica i</w:t>
            </w:r>
            <w:r w:rsidRPr="006F34F9">
              <w:rPr>
                <w:noProof/>
                <w:szCs w:val="22"/>
                <w:lang w:val="sr-Latn-ME"/>
              </w:rPr>
              <w:t xml:space="preserve"> o</w:t>
            </w:r>
            <w:r w:rsidRPr="006F34F9">
              <w:rPr>
                <w:noProof/>
                <w:spacing w:val="-2"/>
                <w:szCs w:val="22"/>
                <w:lang w:val="sr-Latn-ME"/>
              </w:rPr>
              <w:t>s</w:t>
            </w:r>
            <w:r w:rsidR="004D3C68" w:rsidRPr="006F34F9">
              <w:rPr>
                <w:noProof/>
                <w:spacing w:val="-2"/>
                <w:szCs w:val="22"/>
                <w:lang w:val="sr-Latn-ME"/>
              </w:rPr>
              <w:t>j</w:t>
            </w:r>
            <w:r w:rsidRPr="006F34F9">
              <w:rPr>
                <w:noProof/>
                <w:szCs w:val="22"/>
                <w:lang w:val="sr-Latn-ME"/>
              </w:rPr>
              <w:t>e</w:t>
            </w:r>
            <w:r w:rsidRPr="006F34F9">
              <w:rPr>
                <w:noProof/>
                <w:spacing w:val="-2"/>
                <w:szCs w:val="22"/>
                <w:lang w:val="sr-Latn-ME"/>
              </w:rPr>
              <w:t>ća</w:t>
            </w:r>
            <w:r w:rsidRPr="006F34F9">
              <w:rPr>
                <w:noProof/>
                <w:szCs w:val="22"/>
                <w:lang w:val="sr-Latn-ME"/>
              </w:rPr>
              <w:t>j h</w:t>
            </w:r>
            <w:r w:rsidRPr="006F34F9">
              <w:rPr>
                <w:noProof/>
                <w:spacing w:val="1"/>
                <w:szCs w:val="22"/>
                <w:lang w:val="sr-Latn-ME"/>
              </w:rPr>
              <w:t>l</w:t>
            </w:r>
            <w:r w:rsidRPr="006F34F9">
              <w:rPr>
                <w:noProof/>
                <w:szCs w:val="22"/>
                <w:lang w:val="sr-Latn-ME"/>
              </w:rPr>
              <w:t>adn</w:t>
            </w:r>
            <w:r w:rsidRPr="006F34F9">
              <w:rPr>
                <w:noProof/>
                <w:spacing w:val="-2"/>
                <w:szCs w:val="22"/>
                <w:lang w:val="sr-Latn-ME"/>
              </w:rPr>
              <w:t>o</w:t>
            </w:r>
            <w:r w:rsidRPr="006F34F9">
              <w:rPr>
                <w:noProof/>
                <w:szCs w:val="22"/>
                <w:lang w:val="sr-Latn-ME"/>
              </w:rPr>
              <w:t>će</w:t>
            </w:r>
          </w:p>
        </w:tc>
      </w:tr>
    </w:tbl>
    <w:p w14:paraId="6E81B69A" w14:textId="78BE08B8" w:rsidR="00DD0778" w:rsidRPr="006F34F9" w:rsidRDefault="00DD0778" w:rsidP="00E708C7">
      <w:pPr>
        <w:rPr>
          <w:szCs w:val="22"/>
          <w:lang w:val="sr-Latn-ME"/>
        </w:rPr>
      </w:pPr>
      <w:r w:rsidRPr="006F34F9">
        <w:rPr>
          <w:iCs/>
          <w:szCs w:val="22"/>
          <w:vertAlign w:val="superscript"/>
          <w:lang w:val="sr-Latn-ME"/>
        </w:rPr>
        <w:t>#</w:t>
      </w:r>
      <w:r w:rsidRPr="006F34F9">
        <w:rPr>
          <w:bCs/>
          <w:iCs/>
          <w:szCs w:val="22"/>
          <w:lang w:val="sr-Latn-ME"/>
        </w:rPr>
        <w:t xml:space="preserve">Samo subkutana </w:t>
      </w:r>
      <w:r w:rsidR="008559D3" w:rsidRPr="006F34F9">
        <w:rPr>
          <w:bCs/>
          <w:iCs/>
          <w:szCs w:val="22"/>
          <w:lang w:val="sr-Latn-ME"/>
        </w:rPr>
        <w:t>primjena</w:t>
      </w:r>
      <w:r w:rsidRPr="006F34F9">
        <w:rPr>
          <w:bCs/>
          <w:iCs/>
          <w:szCs w:val="22"/>
          <w:lang w:val="sr-Latn-ME"/>
        </w:rPr>
        <w:t>.</w:t>
      </w:r>
    </w:p>
    <w:p w14:paraId="1F10E539" w14:textId="77777777" w:rsidR="00DD0778" w:rsidRPr="006F34F9" w:rsidRDefault="00DD0778" w:rsidP="00E708C7">
      <w:pPr>
        <w:rPr>
          <w:noProof/>
          <w:szCs w:val="22"/>
          <w:u w:val="single"/>
          <w:lang w:val="sr-Latn-ME"/>
        </w:rPr>
      </w:pPr>
    </w:p>
    <w:p w14:paraId="3DEA8DB3" w14:textId="77777777" w:rsidR="00DD0778" w:rsidRPr="006F34F9" w:rsidRDefault="00DD0778" w:rsidP="00E708C7">
      <w:pPr>
        <w:autoSpaceDE w:val="0"/>
        <w:autoSpaceDN w:val="0"/>
        <w:adjustRightInd w:val="0"/>
        <w:rPr>
          <w:noProof/>
          <w:szCs w:val="22"/>
          <w:u w:val="single"/>
          <w:lang w:val="sr-Latn-ME"/>
        </w:rPr>
      </w:pPr>
      <w:r w:rsidRPr="006F34F9">
        <w:rPr>
          <w:noProof/>
          <w:szCs w:val="22"/>
          <w:u w:val="single"/>
          <w:lang w:val="sr-Latn-ME"/>
        </w:rPr>
        <w:t>Opis odabranih neželjenih dejstava</w:t>
      </w:r>
    </w:p>
    <w:p w14:paraId="1FBE1732" w14:textId="674541FC" w:rsidR="00DD0778" w:rsidRPr="006F34F9" w:rsidRDefault="00DD0778" w:rsidP="00E708C7">
      <w:pPr>
        <w:rPr>
          <w:noProof/>
          <w:szCs w:val="22"/>
          <w:u w:val="single"/>
          <w:lang w:val="sr-Latn-ME"/>
        </w:rPr>
      </w:pPr>
    </w:p>
    <w:p w14:paraId="133DD8B1" w14:textId="15C77403" w:rsidR="00DD0778" w:rsidRPr="006F34F9" w:rsidRDefault="00DD0778" w:rsidP="00180C9F">
      <w:pPr>
        <w:pStyle w:val="Level3-UnnumberedHeading"/>
        <w:spacing w:before="0" w:after="0"/>
        <w:jc w:val="both"/>
        <w:rPr>
          <w:rFonts w:eastAsia="SimSun"/>
          <w:i/>
          <w:sz w:val="22"/>
          <w:szCs w:val="22"/>
          <w:lang w:val="sr-Latn-ME"/>
        </w:rPr>
      </w:pPr>
      <w:r w:rsidRPr="006F34F9">
        <w:rPr>
          <w:rFonts w:eastAsia="SimSun"/>
          <w:i/>
          <w:sz w:val="22"/>
          <w:szCs w:val="22"/>
          <w:lang w:val="sr-Latn-ME"/>
        </w:rPr>
        <w:t xml:space="preserve">Reakcije na </w:t>
      </w:r>
      <w:r w:rsidR="00FA4F6A" w:rsidRPr="006F34F9">
        <w:rPr>
          <w:rFonts w:eastAsia="SimSun"/>
          <w:i/>
          <w:sz w:val="22"/>
          <w:szCs w:val="22"/>
          <w:lang w:val="sr-Latn-ME"/>
        </w:rPr>
        <w:t>mjestu</w:t>
      </w:r>
      <w:r w:rsidRPr="006F34F9">
        <w:rPr>
          <w:rFonts w:eastAsia="SimSun"/>
          <w:i/>
          <w:sz w:val="22"/>
          <w:szCs w:val="22"/>
          <w:lang w:val="sr-Latn-ME"/>
        </w:rPr>
        <w:t xml:space="preserve"> injekcije</w:t>
      </w:r>
    </w:p>
    <w:p w14:paraId="46AEBCDE" w14:textId="77777777" w:rsidR="00DD0778" w:rsidRPr="006F34F9" w:rsidRDefault="00DD0778" w:rsidP="004305EC">
      <w:pPr>
        <w:pStyle w:val="BodyText"/>
        <w:jc w:val="both"/>
        <w:rPr>
          <w:i w:val="0"/>
          <w:color w:val="auto"/>
          <w:szCs w:val="22"/>
          <w:lang w:val="sr-Latn-ME"/>
        </w:rPr>
      </w:pPr>
    </w:p>
    <w:p w14:paraId="38905DD3" w14:textId="41239120" w:rsidR="00DD0778" w:rsidRPr="006F34F9" w:rsidRDefault="00DD0778" w:rsidP="0066419A">
      <w:pPr>
        <w:pStyle w:val="BodyText"/>
        <w:jc w:val="both"/>
        <w:rPr>
          <w:i w:val="0"/>
          <w:color w:val="auto"/>
          <w:szCs w:val="22"/>
          <w:lang w:val="sr-Latn-ME"/>
        </w:rPr>
      </w:pPr>
      <w:r w:rsidRPr="006F34F9">
        <w:rPr>
          <w:i w:val="0"/>
          <w:color w:val="auto"/>
          <w:szCs w:val="22"/>
          <w:lang w:val="sr-Latn-ME"/>
        </w:rPr>
        <w:t xml:space="preserve">Reakcije na </w:t>
      </w:r>
      <w:r w:rsidR="008559D3" w:rsidRPr="006F34F9">
        <w:rPr>
          <w:i w:val="0"/>
          <w:color w:val="auto"/>
          <w:szCs w:val="22"/>
          <w:lang w:val="sr-Latn-ME"/>
        </w:rPr>
        <w:t>mjestu</w:t>
      </w:r>
      <w:r w:rsidRPr="006F34F9">
        <w:rPr>
          <w:i w:val="0"/>
          <w:color w:val="auto"/>
          <w:szCs w:val="22"/>
          <w:lang w:val="sr-Latn-ME"/>
        </w:rPr>
        <w:t xml:space="preserve"> injekcije (uključujući bol, edem, eritem ili </w:t>
      </w:r>
      <w:r w:rsidR="001B44E1" w:rsidRPr="006F34F9">
        <w:rPr>
          <w:i w:val="0"/>
          <w:color w:val="auto"/>
          <w:szCs w:val="22"/>
          <w:lang w:val="sr-Latn-ME"/>
        </w:rPr>
        <w:t>svrab</w:t>
      </w:r>
      <w:r w:rsidRPr="006F34F9">
        <w:rPr>
          <w:i w:val="0"/>
          <w:color w:val="auto"/>
          <w:szCs w:val="22"/>
          <w:lang w:val="sr-Latn-ME"/>
        </w:rPr>
        <w:t>)</w:t>
      </w:r>
      <w:r w:rsidRPr="006F34F9">
        <w:rPr>
          <w:color w:val="auto"/>
          <w:szCs w:val="22"/>
          <w:lang w:val="sr-Latn-ME"/>
        </w:rPr>
        <w:t xml:space="preserve"> </w:t>
      </w:r>
      <w:r w:rsidRPr="006F34F9">
        <w:rPr>
          <w:i w:val="0"/>
          <w:color w:val="auto"/>
          <w:szCs w:val="22"/>
          <w:lang w:val="sr-Latn-ME"/>
        </w:rPr>
        <w:t xml:space="preserve">prijavljene su kod 5,1% </w:t>
      </w:r>
      <w:r w:rsidR="001B44E1" w:rsidRPr="006F34F9">
        <w:rPr>
          <w:i w:val="0"/>
          <w:color w:val="auto"/>
          <w:szCs w:val="22"/>
          <w:lang w:val="sr-Latn-ME"/>
        </w:rPr>
        <w:t>pacijenata</w:t>
      </w:r>
      <w:r w:rsidRPr="006F34F9">
        <w:rPr>
          <w:i w:val="0"/>
          <w:color w:val="auto"/>
          <w:szCs w:val="22"/>
          <w:lang w:val="sr-Latn-ME"/>
        </w:rPr>
        <w:t xml:space="preserve"> koji su primali </w:t>
      </w:r>
      <w:r w:rsidR="001B44E1" w:rsidRPr="006F34F9">
        <w:rPr>
          <w:i w:val="0"/>
          <w:color w:val="auto"/>
          <w:szCs w:val="22"/>
          <w:lang w:val="sr-Latn-ME"/>
        </w:rPr>
        <w:t>subkutani</w:t>
      </w:r>
      <w:r w:rsidRPr="006F34F9">
        <w:rPr>
          <w:i w:val="0"/>
          <w:color w:val="auto"/>
          <w:szCs w:val="22"/>
          <w:lang w:val="sr-Latn-ME"/>
        </w:rPr>
        <w:t xml:space="preserve"> vedolizumab (objedinjena analiza </w:t>
      </w:r>
      <w:r w:rsidR="008062E2" w:rsidRPr="006F34F9">
        <w:rPr>
          <w:i w:val="0"/>
          <w:color w:val="auto"/>
          <w:szCs w:val="22"/>
          <w:lang w:val="sr-Latn-ME"/>
        </w:rPr>
        <w:t>bezbjednost</w:t>
      </w:r>
      <w:r w:rsidR="001B44E1" w:rsidRPr="006F34F9">
        <w:rPr>
          <w:i w:val="0"/>
          <w:color w:val="auto"/>
          <w:szCs w:val="22"/>
          <w:lang w:val="sr-Latn-ME"/>
        </w:rPr>
        <w:t>i</w:t>
      </w:r>
      <w:r w:rsidRPr="006F34F9">
        <w:rPr>
          <w:i w:val="0"/>
          <w:color w:val="auto"/>
          <w:szCs w:val="22"/>
          <w:lang w:val="sr-Latn-ME"/>
        </w:rPr>
        <w:t xml:space="preserve">). Nijedan slučaj nije doveo do </w:t>
      </w:r>
      <w:r w:rsidR="008062E2" w:rsidRPr="006F34F9">
        <w:rPr>
          <w:i w:val="0"/>
          <w:color w:val="auto"/>
          <w:szCs w:val="22"/>
          <w:lang w:val="sr-Latn-ME"/>
        </w:rPr>
        <w:t>pre</w:t>
      </w:r>
      <w:r w:rsidRPr="006F34F9">
        <w:rPr>
          <w:i w:val="0"/>
          <w:color w:val="auto"/>
          <w:szCs w:val="22"/>
          <w:lang w:val="sr-Latn-ME"/>
        </w:rPr>
        <w:t>kida l</w:t>
      </w:r>
      <w:r w:rsidR="00FA4F6A" w:rsidRPr="006F34F9">
        <w:rPr>
          <w:i w:val="0"/>
          <w:color w:val="auto"/>
          <w:szCs w:val="22"/>
          <w:lang w:val="sr-Latn-ME"/>
        </w:rPr>
        <w:t>ij</w:t>
      </w:r>
      <w:r w:rsidRPr="006F34F9">
        <w:rPr>
          <w:i w:val="0"/>
          <w:color w:val="auto"/>
          <w:szCs w:val="22"/>
          <w:lang w:val="sr-Latn-ME"/>
        </w:rPr>
        <w:t xml:space="preserve">ečenja u okviru ispitivanja ili </w:t>
      </w:r>
      <w:r w:rsidR="001B44E1" w:rsidRPr="006F34F9">
        <w:rPr>
          <w:i w:val="0"/>
          <w:color w:val="auto"/>
          <w:szCs w:val="22"/>
          <w:lang w:val="sr-Latn-ME"/>
        </w:rPr>
        <w:t>prom</w:t>
      </w:r>
      <w:r w:rsidR="008559D3" w:rsidRPr="006F34F9">
        <w:rPr>
          <w:i w:val="0"/>
          <w:color w:val="auto"/>
          <w:szCs w:val="22"/>
          <w:lang w:val="sr-Latn-ME"/>
        </w:rPr>
        <w:t>j</w:t>
      </w:r>
      <w:r w:rsidR="001B44E1" w:rsidRPr="006F34F9">
        <w:rPr>
          <w:i w:val="0"/>
          <w:color w:val="auto"/>
          <w:szCs w:val="22"/>
          <w:lang w:val="sr-Latn-ME"/>
        </w:rPr>
        <w:t>ena</w:t>
      </w:r>
      <w:r w:rsidRPr="006F34F9">
        <w:rPr>
          <w:i w:val="0"/>
          <w:color w:val="auto"/>
          <w:szCs w:val="22"/>
          <w:lang w:val="sr-Latn-ME"/>
        </w:rPr>
        <w:t xml:space="preserve"> u rasporedu doziranja. Većina reakcija na </w:t>
      </w:r>
      <w:r w:rsidR="008559D3" w:rsidRPr="006F34F9">
        <w:rPr>
          <w:i w:val="0"/>
          <w:color w:val="auto"/>
          <w:szCs w:val="22"/>
          <w:lang w:val="sr-Latn-ME"/>
        </w:rPr>
        <w:t>mjestu</w:t>
      </w:r>
      <w:r w:rsidRPr="006F34F9">
        <w:rPr>
          <w:i w:val="0"/>
          <w:color w:val="auto"/>
          <w:szCs w:val="22"/>
          <w:lang w:val="sr-Latn-ME"/>
        </w:rPr>
        <w:t xml:space="preserve"> injekcije povukla se unutar 1</w:t>
      </w:r>
      <w:r w:rsidRPr="006F34F9">
        <w:rPr>
          <w:i w:val="0"/>
          <w:color w:val="auto"/>
          <w:szCs w:val="22"/>
          <w:lang w:val="sr-Latn-ME"/>
        </w:rPr>
        <w:noBreakHyphen/>
        <w:t>4</w:t>
      </w:r>
      <w:r w:rsidR="001B44E1" w:rsidRPr="006F34F9">
        <w:rPr>
          <w:i w:val="0"/>
          <w:color w:val="auto"/>
          <w:szCs w:val="22"/>
          <w:lang w:val="sr-Latn-ME"/>
        </w:rPr>
        <w:t xml:space="preserve"> </w:t>
      </w:r>
      <w:r w:rsidRPr="006F34F9">
        <w:rPr>
          <w:i w:val="0"/>
          <w:color w:val="auto"/>
          <w:szCs w:val="22"/>
          <w:lang w:val="sr-Latn-ME"/>
        </w:rPr>
        <w:t xml:space="preserve">dana. Nije bilo prijavljenih slučajeva anafilakse nakon </w:t>
      </w:r>
      <w:r w:rsidR="0069571E" w:rsidRPr="006F34F9">
        <w:rPr>
          <w:i w:val="0"/>
          <w:color w:val="auto"/>
          <w:szCs w:val="22"/>
          <w:lang w:val="sr-Latn-ME"/>
        </w:rPr>
        <w:t>primjene</w:t>
      </w:r>
      <w:r w:rsidRPr="006F34F9">
        <w:rPr>
          <w:i w:val="0"/>
          <w:color w:val="auto"/>
          <w:szCs w:val="22"/>
          <w:lang w:val="sr-Latn-ME"/>
        </w:rPr>
        <w:t xml:space="preserve"> </w:t>
      </w:r>
      <w:r w:rsidR="001B44E1" w:rsidRPr="006F34F9">
        <w:rPr>
          <w:i w:val="0"/>
          <w:color w:val="auto"/>
          <w:szCs w:val="22"/>
          <w:lang w:val="sr-Latn-ME"/>
        </w:rPr>
        <w:t>subkutanog</w:t>
      </w:r>
      <w:r w:rsidRPr="006F34F9">
        <w:rPr>
          <w:i w:val="0"/>
          <w:color w:val="auto"/>
          <w:szCs w:val="22"/>
          <w:lang w:val="sr-Latn-ME"/>
        </w:rPr>
        <w:t xml:space="preserve"> vedolizumaba.</w:t>
      </w:r>
    </w:p>
    <w:p w14:paraId="67015309" w14:textId="38DB6F17" w:rsidR="00DD0778" w:rsidRPr="006F34F9" w:rsidRDefault="00DD0778" w:rsidP="000F3B2E">
      <w:pPr>
        <w:rPr>
          <w:noProof/>
          <w:szCs w:val="22"/>
          <w:u w:val="single"/>
          <w:lang w:val="sr-Latn-ME"/>
        </w:rPr>
      </w:pPr>
    </w:p>
    <w:p w14:paraId="0E8AE80A" w14:textId="77777777" w:rsidR="001B44E1" w:rsidRPr="006F34F9" w:rsidRDefault="001B44E1" w:rsidP="000F3B2E">
      <w:pPr>
        <w:autoSpaceDE w:val="0"/>
        <w:autoSpaceDN w:val="0"/>
        <w:adjustRightInd w:val="0"/>
        <w:rPr>
          <w:i/>
          <w:noProof/>
          <w:szCs w:val="22"/>
          <w:u w:val="single"/>
          <w:lang w:val="sr-Latn-ME"/>
        </w:rPr>
      </w:pPr>
      <w:r w:rsidRPr="006F34F9">
        <w:rPr>
          <w:i/>
          <w:noProof/>
          <w:szCs w:val="22"/>
          <w:u w:val="single"/>
          <w:lang w:val="sr-Latn-ME"/>
        </w:rPr>
        <w:t>Infekcije</w:t>
      </w:r>
    </w:p>
    <w:p w14:paraId="01F484C7" w14:textId="77777777" w:rsidR="001B44E1" w:rsidRPr="006F34F9" w:rsidRDefault="001B44E1">
      <w:pPr>
        <w:autoSpaceDE w:val="0"/>
        <w:autoSpaceDN w:val="0"/>
        <w:adjustRightInd w:val="0"/>
        <w:rPr>
          <w:noProof/>
          <w:szCs w:val="22"/>
          <w:lang w:val="sr-Latn-ME"/>
        </w:rPr>
      </w:pPr>
    </w:p>
    <w:p w14:paraId="1C96822A" w14:textId="68D9D7F5" w:rsidR="001B44E1" w:rsidRPr="006F34F9" w:rsidRDefault="001B44E1">
      <w:pPr>
        <w:autoSpaceDE w:val="0"/>
        <w:autoSpaceDN w:val="0"/>
        <w:adjustRightInd w:val="0"/>
        <w:rPr>
          <w:noProof/>
          <w:szCs w:val="22"/>
          <w:lang w:val="sr-Latn-ME"/>
        </w:rPr>
      </w:pPr>
      <w:r w:rsidRPr="006F34F9">
        <w:rPr>
          <w:noProof/>
          <w:szCs w:val="22"/>
          <w:lang w:val="sr-Latn-ME"/>
        </w:rPr>
        <w:t>U kontrolisanim ispitivanjima GEMINI 1 i 2</w:t>
      </w:r>
      <w:r w:rsidR="00FD4FBD" w:rsidRPr="006F34F9">
        <w:rPr>
          <w:noProof/>
          <w:szCs w:val="22"/>
          <w:lang w:val="sr-Latn-ME"/>
        </w:rPr>
        <w:t xml:space="preserve"> sa intravenskim vedolizumabom</w:t>
      </w:r>
      <w:r w:rsidRPr="006F34F9">
        <w:rPr>
          <w:noProof/>
          <w:szCs w:val="22"/>
          <w:lang w:val="sr-Latn-ME"/>
        </w:rPr>
        <w:t xml:space="preserve">, stopa infekcija iznosila je 0,85 po pacijent-godini, a 0,70 po pacijent-godini kod pacijenata </w:t>
      </w:r>
      <w:r w:rsidR="003D1FD7" w:rsidRPr="006F34F9">
        <w:rPr>
          <w:noProof/>
          <w:szCs w:val="22"/>
          <w:lang w:val="sr-Latn-ME"/>
        </w:rPr>
        <w:t>liječenih</w:t>
      </w:r>
      <w:r w:rsidRPr="006F34F9">
        <w:rPr>
          <w:noProof/>
          <w:szCs w:val="22"/>
          <w:lang w:val="sr-Latn-ME"/>
        </w:rPr>
        <w:t xml:space="preserve"> placebom. Prvenstveno su se javljale sl</w:t>
      </w:r>
      <w:r w:rsidR="00D066B7">
        <w:rPr>
          <w:noProof/>
          <w:szCs w:val="22"/>
          <w:lang w:val="sr-Latn-ME"/>
        </w:rPr>
        <w:t>j</w:t>
      </w:r>
      <w:r w:rsidRPr="006F34F9">
        <w:rPr>
          <w:noProof/>
          <w:szCs w:val="22"/>
          <w:lang w:val="sr-Latn-ME"/>
        </w:rPr>
        <w:t>edeće infekcije: nazofaringitis, infekcije gornjih disajnih puteva, sinuzitis i infekcije urinarnog trakta. Većina pacijenata nastavila je l</w:t>
      </w:r>
      <w:r w:rsidR="00D066B7">
        <w:rPr>
          <w:noProof/>
          <w:szCs w:val="22"/>
          <w:lang w:val="sr-Latn-ME"/>
        </w:rPr>
        <w:t>ij</w:t>
      </w:r>
      <w:r w:rsidRPr="006F34F9">
        <w:rPr>
          <w:noProof/>
          <w:szCs w:val="22"/>
          <w:lang w:val="sr-Latn-ME"/>
        </w:rPr>
        <w:t>ečenje vedolizumabom nakon povlačenja infekcije.</w:t>
      </w:r>
    </w:p>
    <w:p w14:paraId="550C3DC1" w14:textId="77777777" w:rsidR="001B44E1" w:rsidRPr="006F34F9" w:rsidRDefault="001B44E1">
      <w:pPr>
        <w:autoSpaceDE w:val="0"/>
        <w:autoSpaceDN w:val="0"/>
        <w:adjustRightInd w:val="0"/>
        <w:rPr>
          <w:noProof/>
          <w:szCs w:val="22"/>
          <w:lang w:val="sr-Latn-ME"/>
        </w:rPr>
      </w:pPr>
    </w:p>
    <w:p w14:paraId="51AA044E" w14:textId="642E99EB" w:rsidR="001B44E1" w:rsidRPr="006F34F9" w:rsidRDefault="001B44E1">
      <w:pPr>
        <w:autoSpaceDE w:val="0"/>
        <w:autoSpaceDN w:val="0"/>
        <w:adjustRightInd w:val="0"/>
        <w:rPr>
          <w:noProof/>
          <w:szCs w:val="22"/>
          <w:lang w:val="sr-Latn-ME"/>
        </w:rPr>
      </w:pPr>
      <w:r w:rsidRPr="006F34F9">
        <w:rPr>
          <w:noProof/>
          <w:szCs w:val="22"/>
          <w:lang w:val="sr-Latn-ME"/>
        </w:rPr>
        <w:t>U kontrolisanim ispitivanjima GEMINI 1 i 2</w:t>
      </w:r>
      <w:r w:rsidR="00FD4FBD" w:rsidRPr="006F34F9">
        <w:rPr>
          <w:noProof/>
          <w:szCs w:val="22"/>
          <w:lang w:val="sr-Latn-ME"/>
        </w:rPr>
        <w:t xml:space="preserve"> sa intravenskim vedolizumabom</w:t>
      </w:r>
      <w:r w:rsidRPr="006F34F9">
        <w:rPr>
          <w:noProof/>
          <w:szCs w:val="22"/>
          <w:lang w:val="sr-Latn-ME"/>
        </w:rPr>
        <w:t xml:space="preserve">, stopa ozbiljnih infekcija iznosila je 0,07 po pacijent-godini, a 0,06 po pacijent-godini kod pacijenata </w:t>
      </w:r>
      <w:r w:rsidR="003D1FD7" w:rsidRPr="006F34F9">
        <w:rPr>
          <w:noProof/>
          <w:szCs w:val="22"/>
          <w:lang w:val="sr-Latn-ME"/>
        </w:rPr>
        <w:t>liječenih</w:t>
      </w:r>
      <w:r w:rsidRPr="006F34F9">
        <w:rPr>
          <w:noProof/>
          <w:szCs w:val="22"/>
          <w:lang w:val="sr-Latn-ME"/>
        </w:rPr>
        <w:t xml:space="preserve"> placebom. Tokom vremena nije bilo značajnog porasta u stopi ozbiljnih infekcija.</w:t>
      </w:r>
    </w:p>
    <w:p w14:paraId="02741375" w14:textId="77777777" w:rsidR="001B44E1" w:rsidRPr="006F34F9" w:rsidRDefault="001B44E1">
      <w:pPr>
        <w:autoSpaceDE w:val="0"/>
        <w:autoSpaceDN w:val="0"/>
        <w:adjustRightInd w:val="0"/>
        <w:rPr>
          <w:noProof/>
          <w:szCs w:val="22"/>
          <w:lang w:val="sr-Latn-ME"/>
        </w:rPr>
      </w:pPr>
    </w:p>
    <w:p w14:paraId="3A1B314B" w14:textId="6AD3C4A1" w:rsidR="001B44E1" w:rsidRPr="006F34F9" w:rsidRDefault="001B44E1">
      <w:pPr>
        <w:autoSpaceDE w:val="0"/>
        <w:autoSpaceDN w:val="0"/>
        <w:adjustRightInd w:val="0"/>
        <w:rPr>
          <w:noProof/>
          <w:szCs w:val="22"/>
          <w:lang w:val="sr-Latn-ME"/>
        </w:rPr>
      </w:pPr>
      <w:r w:rsidRPr="006F34F9">
        <w:rPr>
          <w:noProof/>
          <w:szCs w:val="22"/>
          <w:lang w:val="sr-Latn-ME"/>
        </w:rPr>
        <w:t xml:space="preserve">U kontrolisanim, otvorenim ispitivanjima </w:t>
      </w:r>
      <w:r w:rsidR="00FD4FBD" w:rsidRPr="006F34F9">
        <w:rPr>
          <w:noProof/>
          <w:szCs w:val="22"/>
          <w:lang w:val="sr-Latn-ME"/>
        </w:rPr>
        <w:t xml:space="preserve">sa intravenskim </w:t>
      </w:r>
      <w:r w:rsidRPr="006F34F9">
        <w:rPr>
          <w:noProof/>
          <w:szCs w:val="22"/>
          <w:lang w:val="sr-Latn-ME"/>
        </w:rPr>
        <w:t>vedolizumab</w:t>
      </w:r>
      <w:r w:rsidR="00FD4FBD" w:rsidRPr="006F34F9">
        <w:rPr>
          <w:noProof/>
          <w:szCs w:val="22"/>
          <w:lang w:val="sr-Latn-ME"/>
        </w:rPr>
        <w:t>om</w:t>
      </w:r>
      <w:r w:rsidRPr="006F34F9">
        <w:rPr>
          <w:noProof/>
          <w:szCs w:val="22"/>
          <w:lang w:val="sr-Latn-ME"/>
        </w:rPr>
        <w:t xml:space="preserve"> kod odraslih</w:t>
      </w:r>
      <w:r w:rsidR="00FD4FBD" w:rsidRPr="006F34F9">
        <w:rPr>
          <w:noProof/>
          <w:szCs w:val="22"/>
          <w:lang w:val="sr-Latn-ME"/>
        </w:rPr>
        <w:t>,</w:t>
      </w:r>
      <w:r w:rsidRPr="006F34F9">
        <w:rPr>
          <w:noProof/>
          <w:szCs w:val="22"/>
          <w:lang w:val="sr-Latn-ME"/>
        </w:rPr>
        <w:t xml:space="preserve"> prijavljene su ozbiljne infekcije koje uključuju tuberkulozu, sepsu (ponekad sa smrtnim ishodom), sepsu uzrokovanu salmonelom, meningitis uzrokovan listerijom i kolitis uzrokovan citomegalovirusom.</w:t>
      </w:r>
    </w:p>
    <w:p w14:paraId="554191A2" w14:textId="4F7CCA3E" w:rsidR="00DD0778" w:rsidRPr="006F34F9" w:rsidRDefault="00DD0778">
      <w:pPr>
        <w:rPr>
          <w:noProof/>
          <w:szCs w:val="22"/>
          <w:u w:val="single"/>
          <w:lang w:val="sr-Latn-ME"/>
        </w:rPr>
      </w:pPr>
    </w:p>
    <w:p w14:paraId="4F2C67A9" w14:textId="73D44ABE" w:rsidR="001B44E1" w:rsidRPr="006F34F9" w:rsidRDefault="001B44E1" w:rsidP="00180C9F">
      <w:pPr>
        <w:pStyle w:val="NormalWeb"/>
        <w:spacing w:before="0" w:beforeAutospacing="0" w:after="0"/>
        <w:jc w:val="both"/>
        <w:rPr>
          <w:color w:val="auto"/>
          <w:w w:val="0"/>
          <w:sz w:val="22"/>
          <w:szCs w:val="22"/>
          <w:lang w:val="sr-Latn-ME"/>
        </w:rPr>
      </w:pPr>
      <w:r w:rsidRPr="006F34F9">
        <w:rPr>
          <w:color w:val="auto"/>
          <w:w w:val="0"/>
          <w:sz w:val="22"/>
          <w:szCs w:val="22"/>
          <w:lang w:val="sr-Latn-ME"/>
        </w:rPr>
        <w:t xml:space="preserve">U kliničkim ispitivanjima sa subkutanim vedolizumabom, stopa infekcija bila je 0,26 po </w:t>
      </w:r>
      <w:r w:rsidRPr="006F34F9">
        <w:rPr>
          <w:color w:val="auto"/>
          <w:sz w:val="22"/>
          <w:szCs w:val="22"/>
          <w:lang w:val="sr-Latn-ME"/>
        </w:rPr>
        <w:t>pacijent</w:t>
      </w:r>
      <w:r w:rsidRPr="006F34F9">
        <w:rPr>
          <w:color w:val="auto"/>
          <w:sz w:val="22"/>
          <w:szCs w:val="22"/>
          <w:lang w:val="sr-Latn-ME"/>
        </w:rPr>
        <w:noBreakHyphen/>
        <w:t>godini</w:t>
      </w:r>
      <w:r w:rsidR="00FD4FBD" w:rsidRPr="006F34F9">
        <w:rPr>
          <w:color w:val="auto"/>
          <w:sz w:val="22"/>
          <w:szCs w:val="22"/>
          <w:lang w:val="sr-Latn-ME"/>
        </w:rPr>
        <w:t>.</w:t>
      </w:r>
      <w:r w:rsidRPr="006F34F9">
        <w:rPr>
          <w:color w:val="auto"/>
          <w:sz w:val="22"/>
          <w:szCs w:val="22"/>
          <w:lang w:val="sr-Latn-ME"/>
        </w:rPr>
        <w:t xml:space="preserve"> </w:t>
      </w:r>
      <w:r w:rsidRPr="006F34F9">
        <w:rPr>
          <w:color w:val="auto"/>
          <w:w w:val="0"/>
          <w:sz w:val="22"/>
          <w:szCs w:val="22"/>
          <w:lang w:val="sr-Latn-ME"/>
        </w:rPr>
        <w:t xml:space="preserve">Najčešće </w:t>
      </w:r>
      <w:r w:rsidR="00FD4FBD" w:rsidRPr="006F34F9">
        <w:rPr>
          <w:color w:val="auto"/>
          <w:w w:val="0"/>
          <w:sz w:val="22"/>
          <w:szCs w:val="22"/>
          <w:lang w:val="sr-Latn-ME"/>
        </w:rPr>
        <w:t xml:space="preserve">infekcije </w:t>
      </w:r>
      <w:r w:rsidRPr="006F34F9">
        <w:rPr>
          <w:color w:val="auto"/>
          <w:w w:val="0"/>
          <w:sz w:val="22"/>
          <w:szCs w:val="22"/>
          <w:lang w:val="sr-Latn-ME"/>
        </w:rPr>
        <w:t>su bile nazofaringitis, infekcije gornjeg disajnog sistema, bronhitis i grip.</w:t>
      </w:r>
    </w:p>
    <w:p w14:paraId="7591AB56" w14:textId="77777777" w:rsidR="001B44E1" w:rsidRPr="006F34F9" w:rsidRDefault="001B44E1" w:rsidP="00180C9F">
      <w:pPr>
        <w:pStyle w:val="NormalWeb"/>
        <w:spacing w:before="0" w:beforeAutospacing="0" w:after="0"/>
        <w:jc w:val="both"/>
        <w:rPr>
          <w:color w:val="auto"/>
          <w:w w:val="0"/>
          <w:sz w:val="22"/>
          <w:szCs w:val="22"/>
          <w:lang w:val="sr-Latn-ME"/>
        </w:rPr>
      </w:pPr>
    </w:p>
    <w:p w14:paraId="3B70DA2E" w14:textId="2B929FE7" w:rsidR="001B44E1" w:rsidRPr="00CD00E4" w:rsidRDefault="001B44E1" w:rsidP="00CD00E4">
      <w:pPr>
        <w:pStyle w:val="NormalWeb"/>
        <w:spacing w:before="0" w:beforeAutospacing="0" w:after="0"/>
        <w:jc w:val="both"/>
        <w:rPr>
          <w:color w:val="auto"/>
          <w:w w:val="0"/>
          <w:sz w:val="22"/>
          <w:szCs w:val="22"/>
          <w:lang w:val="sr-Latn-ME"/>
        </w:rPr>
      </w:pPr>
      <w:r w:rsidRPr="006F34F9">
        <w:rPr>
          <w:color w:val="auto"/>
          <w:w w:val="0"/>
          <w:sz w:val="22"/>
          <w:szCs w:val="22"/>
          <w:lang w:val="sr-Latn-ME"/>
        </w:rPr>
        <w:t xml:space="preserve">U kliničkim ispitivanjima sa subkutanim vedolizumabom, </w:t>
      </w:r>
      <w:r w:rsidRPr="006F34F9">
        <w:rPr>
          <w:color w:val="auto"/>
          <w:sz w:val="22"/>
          <w:szCs w:val="22"/>
          <w:lang w:val="sr-Latn-ME"/>
        </w:rPr>
        <w:t xml:space="preserve">stopa ozbiljnih infekcija iznosila je </w:t>
      </w:r>
      <w:r w:rsidRPr="006F34F9">
        <w:rPr>
          <w:color w:val="auto"/>
          <w:w w:val="0"/>
          <w:sz w:val="22"/>
          <w:szCs w:val="22"/>
          <w:lang w:val="sr-Latn-ME"/>
        </w:rPr>
        <w:t xml:space="preserve">0,02 po </w:t>
      </w:r>
      <w:r w:rsidRPr="006F34F9">
        <w:rPr>
          <w:color w:val="auto"/>
          <w:sz w:val="22"/>
          <w:szCs w:val="22"/>
          <w:lang w:val="sr-Latn-ME"/>
        </w:rPr>
        <w:t>pacijent</w:t>
      </w:r>
      <w:r w:rsidRPr="006F34F9">
        <w:rPr>
          <w:color w:val="auto"/>
          <w:sz w:val="22"/>
          <w:szCs w:val="22"/>
          <w:lang w:val="sr-Latn-ME"/>
        </w:rPr>
        <w:noBreakHyphen/>
        <w:t>godini</w:t>
      </w:r>
      <w:r w:rsidR="00FD4FBD" w:rsidRPr="006F34F9">
        <w:rPr>
          <w:color w:val="auto"/>
          <w:sz w:val="22"/>
          <w:szCs w:val="22"/>
          <w:lang w:val="sr-Latn-ME"/>
        </w:rPr>
        <w:t>.</w:t>
      </w:r>
    </w:p>
    <w:p w14:paraId="736ED86C" w14:textId="365AF343" w:rsidR="001B44E1" w:rsidRPr="006F34F9" w:rsidRDefault="001B44E1" w:rsidP="00180C9F">
      <w:pPr>
        <w:pStyle w:val="NormalWeb"/>
        <w:spacing w:before="0" w:beforeAutospacing="0" w:after="0"/>
        <w:jc w:val="both"/>
        <w:rPr>
          <w:color w:val="auto"/>
          <w:w w:val="0"/>
          <w:sz w:val="22"/>
          <w:szCs w:val="22"/>
          <w:lang w:val="sr-Latn-ME"/>
        </w:rPr>
      </w:pPr>
      <w:r w:rsidRPr="006F34F9">
        <w:rPr>
          <w:color w:val="auto"/>
          <w:w w:val="0"/>
          <w:sz w:val="22"/>
          <w:szCs w:val="22"/>
          <w:lang w:val="sr-Latn-ME"/>
        </w:rPr>
        <w:lastRenderedPageBreak/>
        <w:t>U kliničkim ispitivanjima sa intravenskim i subkutanim</w:t>
      </w:r>
      <w:r w:rsidR="00FD4FBD" w:rsidRPr="006F34F9">
        <w:rPr>
          <w:color w:val="auto"/>
          <w:w w:val="0"/>
          <w:sz w:val="22"/>
          <w:szCs w:val="22"/>
          <w:lang w:val="sr-Latn-ME"/>
        </w:rPr>
        <w:t xml:space="preserve"> </w:t>
      </w:r>
      <w:r w:rsidRPr="006F34F9">
        <w:rPr>
          <w:color w:val="auto"/>
          <w:w w:val="0"/>
          <w:sz w:val="22"/>
          <w:szCs w:val="22"/>
          <w:lang w:val="sr-Latn-ME"/>
        </w:rPr>
        <w:t xml:space="preserve">vedolizumabom, </w:t>
      </w:r>
      <w:r w:rsidRPr="006F34F9">
        <w:rPr>
          <w:color w:val="auto"/>
          <w:sz w:val="22"/>
          <w:szCs w:val="22"/>
          <w:lang w:val="sr-Latn-ME"/>
        </w:rPr>
        <w:t>stopa</w:t>
      </w:r>
      <w:r w:rsidRPr="006F34F9">
        <w:rPr>
          <w:color w:val="auto"/>
          <w:w w:val="0"/>
          <w:sz w:val="22"/>
          <w:szCs w:val="22"/>
          <w:lang w:val="sr-Latn-ME"/>
        </w:rPr>
        <w:t xml:space="preserve"> infekcija kod pacijenata čiji je BMI bio 30 kg/m</w:t>
      </w:r>
      <w:r w:rsidRPr="006F34F9">
        <w:rPr>
          <w:color w:val="auto"/>
          <w:w w:val="0"/>
          <w:sz w:val="22"/>
          <w:szCs w:val="22"/>
          <w:vertAlign w:val="superscript"/>
          <w:lang w:val="sr-Latn-ME"/>
        </w:rPr>
        <w:t xml:space="preserve">2 </w:t>
      </w:r>
      <w:r w:rsidRPr="006F34F9">
        <w:rPr>
          <w:color w:val="auto"/>
          <w:w w:val="0"/>
          <w:sz w:val="22"/>
          <w:szCs w:val="22"/>
          <w:lang w:val="sr-Latn-ME"/>
        </w:rPr>
        <w:t xml:space="preserve">ili više bila je viša nego kod pacijenata čiji je BMI </w:t>
      </w:r>
      <w:r w:rsidR="00FD4FBD" w:rsidRPr="006F34F9">
        <w:rPr>
          <w:color w:val="auto"/>
          <w:w w:val="0"/>
          <w:sz w:val="22"/>
          <w:szCs w:val="22"/>
          <w:lang w:val="sr-Latn-ME"/>
        </w:rPr>
        <w:t xml:space="preserve">bio </w:t>
      </w:r>
      <w:r w:rsidR="00FD4FBD" w:rsidRPr="003A58E8">
        <w:rPr>
          <w:color w:val="auto"/>
          <w:w w:val="0"/>
          <w:sz w:val="22"/>
          <w:szCs w:val="22"/>
          <w:lang w:val="sr-Latn-ME"/>
        </w:rPr>
        <w:t>manji</w:t>
      </w:r>
      <w:r w:rsidR="00FD4FBD" w:rsidRPr="006F34F9">
        <w:rPr>
          <w:color w:val="auto"/>
          <w:w w:val="0"/>
          <w:sz w:val="22"/>
          <w:szCs w:val="22"/>
          <w:lang w:val="sr-Latn-ME"/>
        </w:rPr>
        <w:t xml:space="preserve"> od </w:t>
      </w:r>
      <w:r w:rsidRPr="006F34F9">
        <w:rPr>
          <w:color w:val="auto"/>
          <w:w w:val="0"/>
          <w:sz w:val="22"/>
          <w:szCs w:val="22"/>
          <w:lang w:val="sr-Latn-ME"/>
        </w:rPr>
        <w:t>30 kg/m</w:t>
      </w:r>
      <w:r w:rsidRPr="006F34F9">
        <w:rPr>
          <w:color w:val="auto"/>
          <w:w w:val="0"/>
          <w:sz w:val="22"/>
          <w:szCs w:val="22"/>
          <w:vertAlign w:val="superscript"/>
          <w:lang w:val="sr-Latn-ME"/>
        </w:rPr>
        <w:t>2</w:t>
      </w:r>
      <w:r w:rsidRPr="006F34F9">
        <w:rPr>
          <w:color w:val="auto"/>
          <w:w w:val="0"/>
          <w:sz w:val="22"/>
          <w:szCs w:val="22"/>
          <w:lang w:val="sr-Latn-ME"/>
        </w:rPr>
        <w:t>.</w:t>
      </w:r>
    </w:p>
    <w:p w14:paraId="7E718C89" w14:textId="77777777" w:rsidR="001B44E1" w:rsidRPr="006F34F9" w:rsidRDefault="001B44E1" w:rsidP="00180C9F">
      <w:pPr>
        <w:pStyle w:val="NormalWeb"/>
        <w:spacing w:before="0" w:beforeAutospacing="0" w:after="0"/>
        <w:jc w:val="both"/>
        <w:rPr>
          <w:color w:val="auto"/>
          <w:w w:val="0"/>
          <w:sz w:val="22"/>
          <w:szCs w:val="22"/>
          <w:lang w:val="sr-Latn-ME"/>
        </w:rPr>
      </w:pPr>
    </w:p>
    <w:p w14:paraId="652953C9" w14:textId="74ADFC2D" w:rsidR="001B44E1" w:rsidRPr="006F34F9" w:rsidRDefault="001B44E1" w:rsidP="000F3B2E">
      <w:pPr>
        <w:rPr>
          <w:szCs w:val="22"/>
          <w:lang w:val="sr-Latn-ME" w:eastAsia="zh-CN"/>
        </w:rPr>
      </w:pPr>
      <w:r w:rsidRPr="006F34F9">
        <w:rPr>
          <w:szCs w:val="22"/>
          <w:lang w:val="sr-Latn-ME" w:eastAsia="zh-CN"/>
        </w:rPr>
        <w:t xml:space="preserve">U kliničkim ispitivanjima sa intravenskim </w:t>
      </w:r>
      <w:r w:rsidRPr="006F34F9">
        <w:rPr>
          <w:w w:val="0"/>
          <w:szCs w:val="22"/>
          <w:lang w:val="sr-Latn-ME"/>
        </w:rPr>
        <w:t xml:space="preserve">i subkutanim </w:t>
      </w:r>
      <w:r w:rsidRPr="006F34F9">
        <w:rPr>
          <w:szCs w:val="22"/>
          <w:lang w:val="sr-Latn-ME" w:eastAsia="zh-CN"/>
        </w:rPr>
        <w:t xml:space="preserve">vedolizumabom, nešto veća incidenca ozbiljnih infekcija prijavljena je kod pacijenata koji su </w:t>
      </w:r>
      <w:r w:rsidR="008062E2" w:rsidRPr="006F34F9">
        <w:rPr>
          <w:szCs w:val="22"/>
          <w:lang w:val="sr-Latn-ME" w:eastAsia="zh-CN"/>
        </w:rPr>
        <w:t>pre</w:t>
      </w:r>
      <w:r w:rsidRPr="006F34F9">
        <w:rPr>
          <w:szCs w:val="22"/>
          <w:lang w:val="sr-Latn-ME" w:eastAsia="zh-CN"/>
        </w:rPr>
        <w:t xml:space="preserve">thodno bili izloženi </w:t>
      </w:r>
      <w:r w:rsidR="003D1FD7" w:rsidRPr="006F34F9">
        <w:rPr>
          <w:szCs w:val="22"/>
          <w:lang w:val="sr-Latn-ME" w:eastAsia="zh-CN"/>
        </w:rPr>
        <w:t>liječenju</w:t>
      </w:r>
      <w:r w:rsidRPr="006F34F9">
        <w:rPr>
          <w:szCs w:val="22"/>
          <w:lang w:val="sr-Latn-ME" w:eastAsia="zh-CN"/>
        </w:rPr>
        <w:t xml:space="preserve"> antagonistima TNFα</w:t>
      </w:r>
      <w:r w:rsidR="00FD4FBD" w:rsidRPr="006F34F9">
        <w:rPr>
          <w:szCs w:val="22"/>
          <w:lang w:val="sr-Latn-ME" w:eastAsia="zh-CN"/>
        </w:rPr>
        <w:t>,</w:t>
      </w:r>
      <w:r w:rsidRPr="006F34F9">
        <w:rPr>
          <w:szCs w:val="22"/>
          <w:lang w:val="sr-Latn-ME" w:eastAsia="zh-CN"/>
        </w:rPr>
        <w:t xml:space="preserve"> u poređenju sa pacijentima koji </w:t>
      </w:r>
      <w:r w:rsidR="008062E2" w:rsidRPr="006F34F9">
        <w:rPr>
          <w:szCs w:val="22"/>
          <w:lang w:val="sr-Latn-ME" w:eastAsia="zh-CN"/>
        </w:rPr>
        <w:t>pre</w:t>
      </w:r>
      <w:r w:rsidRPr="006F34F9">
        <w:rPr>
          <w:szCs w:val="22"/>
          <w:lang w:val="sr-Latn-ME" w:eastAsia="zh-CN"/>
        </w:rPr>
        <w:t>thodno ni</w:t>
      </w:r>
      <w:r w:rsidR="00FD4FBD" w:rsidRPr="006F34F9">
        <w:rPr>
          <w:szCs w:val="22"/>
          <w:lang w:val="sr-Latn-ME" w:eastAsia="zh-CN"/>
        </w:rPr>
        <w:t>je</w:t>
      </w:r>
      <w:r w:rsidRPr="006F34F9">
        <w:rPr>
          <w:szCs w:val="22"/>
          <w:lang w:val="sr-Latn-ME" w:eastAsia="zh-CN"/>
        </w:rPr>
        <w:t>su l</w:t>
      </w:r>
      <w:r w:rsidR="008559D3" w:rsidRPr="006F34F9">
        <w:rPr>
          <w:szCs w:val="22"/>
          <w:lang w:val="sr-Latn-ME" w:eastAsia="zh-CN"/>
        </w:rPr>
        <w:t>ij</w:t>
      </w:r>
      <w:r w:rsidRPr="006F34F9">
        <w:rPr>
          <w:szCs w:val="22"/>
          <w:lang w:val="sr-Latn-ME" w:eastAsia="zh-CN"/>
        </w:rPr>
        <w:t>ečeni antagonistima TNFα.</w:t>
      </w:r>
    </w:p>
    <w:p w14:paraId="016796ED" w14:textId="7DBFD48E" w:rsidR="00DD0778" w:rsidRPr="006F34F9" w:rsidRDefault="00DD0778">
      <w:pPr>
        <w:rPr>
          <w:noProof/>
          <w:szCs w:val="22"/>
          <w:u w:val="single"/>
          <w:lang w:val="sr-Latn-ME"/>
        </w:rPr>
      </w:pPr>
    </w:p>
    <w:p w14:paraId="153BCB45" w14:textId="77777777" w:rsidR="001B44E1" w:rsidRPr="006F34F9" w:rsidRDefault="001B44E1" w:rsidP="00E708C7">
      <w:pPr>
        <w:autoSpaceDE w:val="0"/>
        <w:autoSpaceDN w:val="0"/>
        <w:adjustRightInd w:val="0"/>
        <w:rPr>
          <w:i/>
          <w:noProof/>
          <w:szCs w:val="22"/>
          <w:u w:val="single"/>
          <w:lang w:val="sr-Latn-ME"/>
        </w:rPr>
      </w:pPr>
      <w:r w:rsidRPr="006F34F9">
        <w:rPr>
          <w:i/>
          <w:noProof/>
          <w:szCs w:val="22"/>
          <w:u w:val="single"/>
          <w:lang w:val="sr-Latn-ME"/>
        </w:rPr>
        <w:t>Maligne bolesti</w:t>
      </w:r>
      <w:r w:rsidRPr="006F34F9">
        <w:rPr>
          <w:i/>
          <w:noProof/>
          <w:szCs w:val="22"/>
          <w:u w:val="single"/>
          <w:lang w:val="sr-Latn-ME"/>
        </w:rPr>
        <w:tab/>
      </w:r>
    </w:p>
    <w:p w14:paraId="31F1CF2A" w14:textId="77777777" w:rsidR="001B44E1" w:rsidRPr="006F34F9" w:rsidRDefault="001B44E1" w:rsidP="00E708C7">
      <w:pPr>
        <w:autoSpaceDE w:val="0"/>
        <w:autoSpaceDN w:val="0"/>
        <w:adjustRightInd w:val="0"/>
        <w:rPr>
          <w:noProof/>
          <w:szCs w:val="22"/>
          <w:lang w:val="sr-Latn-ME"/>
        </w:rPr>
      </w:pPr>
    </w:p>
    <w:p w14:paraId="24A54178" w14:textId="216A3B05" w:rsidR="001B44E1" w:rsidRDefault="001B44E1" w:rsidP="00E708C7">
      <w:pPr>
        <w:autoSpaceDE w:val="0"/>
        <w:autoSpaceDN w:val="0"/>
        <w:adjustRightInd w:val="0"/>
        <w:rPr>
          <w:noProof/>
          <w:szCs w:val="22"/>
          <w:lang w:val="sr-Latn-ME"/>
        </w:rPr>
      </w:pPr>
      <w:r w:rsidRPr="006F34F9">
        <w:rPr>
          <w:noProof/>
          <w:szCs w:val="22"/>
          <w:lang w:val="sr-Latn-ME"/>
        </w:rPr>
        <w:t>Ukupno gledano, rezultati kliničkog programa za sada ne ukazuju na povećani rizik od pojave malignih bolesti uz l</w:t>
      </w:r>
      <w:r w:rsidR="00FD4FBD" w:rsidRPr="006F34F9">
        <w:rPr>
          <w:noProof/>
          <w:szCs w:val="22"/>
          <w:lang w:val="sr-Latn-ME"/>
        </w:rPr>
        <w:t>ij</w:t>
      </w:r>
      <w:r w:rsidRPr="006F34F9">
        <w:rPr>
          <w:noProof/>
          <w:szCs w:val="22"/>
          <w:lang w:val="sr-Latn-ME"/>
        </w:rPr>
        <w:t>ečenje vedolizumabom; međutim, broj malignih bolesti bio je mali, a dugoročna izloženost ograničena. Dugoročne proc</w:t>
      </w:r>
      <w:r w:rsidR="003D1FD7" w:rsidRPr="006F34F9">
        <w:rPr>
          <w:noProof/>
          <w:szCs w:val="22"/>
          <w:lang w:val="sr-Latn-ME"/>
        </w:rPr>
        <w:t>j</w:t>
      </w:r>
      <w:r w:rsidRPr="006F34F9">
        <w:rPr>
          <w:noProof/>
          <w:szCs w:val="22"/>
          <w:lang w:val="sr-Latn-ME"/>
        </w:rPr>
        <w:t xml:space="preserve">ene </w:t>
      </w:r>
      <w:r w:rsidR="008062E2" w:rsidRPr="006F34F9">
        <w:rPr>
          <w:noProof/>
          <w:szCs w:val="22"/>
          <w:lang w:val="sr-Latn-ME"/>
        </w:rPr>
        <w:t>bezbjednost</w:t>
      </w:r>
      <w:r w:rsidRPr="006F34F9">
        <w:rPr>
          <w:noProof/>
          <w:szCs w:val="22"/>
          <w:lang w:val="sr-Latn-ME"/>
        </w:rPr>
        <w:t>i su u toku.</w:t>
      </w:r>
    </w:p>
    <w:p w14:paraId="0366F34E" w14:textId="77777777" w:rsidR="00D066B7" w:rsidRPr="006F34F9" w:rsidRDefault="00D066B7" w:rsidP="00E708C7">
      <w:pPr>
        <w:autoSpaceDE w:val="0"/>
        <w:autoSpaceDN w:val="0"/>
        <w:adjustRightInd w:val="0"/>
        <w:rPr>
          <w:noProof/>
          <w:szCs w:val="22"/>
          <w:lang w:val="sr-Latn-ME"/>
        </w:rPr>
      </w:pPr>
    </w:p>
    <w:p w14:paraId="4B36F5A4" w14:textId="77777777" w:rsidR="00D43BC5" w:rsidRPr="006F34F9" w:rsidRDefault="00D43BC5" w:rsidP="000B42A8">
      <w:pPr>
        <w:spacing w:after="200" w:line="276" w:lineRule="auto"/>
        <w:rPr>
          <w:rFonts w:eastAsia="Calibri"/>
          <w:szCs w:val="22"/>
          <w:u w:val="single"/>
          <w:lang w:val="sr-Latn-ME"/>
        </w:rPr>
      </w:pPr>
      <w:r w:rsidRPr="006F34F9">
        <w:rPr>
          <w:rFonts w:eastAsia="Calibri"/>
          <w:szCs w:val="22"/>
          <w:u w:val="single"/>
          <w:lang w:val="sr-Latn-ME"/>
        </w:rPr>
        <w:t>Prijavljivanje sumnji na neželjena dejstva</w:t>
      </w:r>
    </w:p>
    <w:p w14:paraId="167A71DE" w14:textId="1DF9461F" w:rsidR="00D43BC5" w:rsidRPr="006F34F9" w:rsidRDefault="00D43BC5">
      <w:pPr>
        <w:spacing w:after="200"/>
        <w:rPr>
          <w:rFonts w:eastAsia="Calibri"/>
          <w:szCs w:val="22"/>
          <w:lang w:val="sr-Latn-ME"/>
        </w:rPr>
      </w:pPr>
      <w:r w:rsidRPr="006F34F9">
        <w:rPr>
          <w:rFonts w:eastAsia="Calibri"/>
          <w:szCs w:val="22"/>
          <w:lang w:val="sr-Latn-ME"/>
        </w:rPr>
        <w:t>Prijavljivanje neželjenih dejstava nakon dobijanja dozvole je od velikog značaja jer</w:t>
      </w:r>
      <w:r w:rsidR="003D1FD7" w:rsidRPr="006F34F9">
        <w:rPr>
          <w:rFonts w:eastAsia="Calibri"/>
          <w:szCs w:val="22"/>
          <w:lang w:val="sr-Latn-ME"/>
        </w:rPr>
        <w:t xml:space="preserve"> </w:t>
      </w:r>
      <w:r w:rsidRPr="006F34F9">
        <w:rPr>
          <w:rFonts w:eastAsia="Calibri"/>
          <w:szCs w:val="22"/>
          <w:lang w:val="sr-Latn-ME"/>
        </w:rPr>
        <w:t>obezbjeđuje kontinuirano praćenje odnosa korist/rizik primjene lijeka. Zdravstveni radnici treba da prijave svaku sumnju na neželjeno dejstvo ovog lijeka Institutu za ljekove i medicinska sredstva (CInMED):</w:t>
      </w:r>
    </w:p>
    <w:p w14:paraId="726F0A97" w14:textId="77777777" w:rsidR="00D43BC5" w:rsidRPr="006F34F9" w:rsidRDefault="00D43BC5">
      <w:pPr>
        <w:pStyle w:val="NoSpacing"/>
        <w:jc w:val="both"/>
        <w:rPr>
          <w:rFonts w:eastAsia="Calibri"/>
          <w:sz w:val="22"/>
          <w:szCs w:val="22"/>
          <w:lang w:val="sr-Latn-ME"/>
        </w:rPr>
      </w:pPr>
      <w:r w:rsidRPr="006F34F9">
        <w:rPr>
          <w:rFonts w:eastAsia="Calibri"/>
          <w:sz w:val="22"/>
          <w:szCs w:val="22"/>
          <w:lang w:val="sr-Latn-ME"/>
        </w:rPr>
        <w:t xml:space="preserve">Institut za ljekove i medicinska sredstva </w:t>
      </w:r>
    </w:p>
    <w:p w14:paraId="28F644DC" w14:textId="77777777" w:rsidR="00D43BC5" w:rsidRPr="006F34F9" w:rsidRDefault="00D43BC5">
      <w:pPr>
        <w:pStyle w:val="NoSpacing"/>
        <w:jc w:val="both"/>
        <w:rPr>
          <w:rFonts w:eastAsia="Calibri"/>
          <w:sz w:val="22"/>
          <w:szCs w:val="22"/>
          <w:lang w:val="sr-Latn-ME"/>
        </w:rPr>
      </w:pPr>
      <w:r w:rsidRPr="006F34F9">
        <w:rPr>
          <w:rFonts w:eastAsia="Calibri"/>
          <w:sz w:val="22"/>
          <w:szCs w:val="22"/>
          <w:lang w:val="sr-Latn-ME"/>
        </w:rPr>
        <w:t>Odjeljenje za farmakovigilancu</w:t>
      </w:r>
    </w:p>
    <w:p w14:paraId="787F13E5" w14:textId="65C226D2" w:rsidR="00D43BC5" w:rsidRPr="006F34F9" w:rsidRDefault="00D43BC5" w:rsidP="00180C9F">
      <w:pPr>
        <w:pStyle w:val="NoSpacing"/>
        <w:jc w:val="both"/>
        <w:rPr>
          <w:rFonts w:eastAsia="Calibri"/>
          <w:sz w:val="22"/>
          <w:szCs w:val="22"/>
          <w:lang w:val="sr-Latn-ME"/>
        </w:rPr>
      </w:pPr>
      <w:r w:rsidRPr="006F34F9">
        <w:rPr>
          <w:rFonts w:eastAsia="Calibri"/>
          <w:sz w:val="22"/>
          <w:szCs w:val="22"/>
          <w:lang w:val="sr-Latn-ME"/>
        </w:rPr>
        <w:t>Bulevar Ivana Crnojevića 64a, 81000 Podgorica</w:t>
      </w:r>
    </w:p>
    <w:p w14:paraId="3E2B31A7" w14:textId="77777777" w:rsidR="00D43BC5" w:rsidRPr="006F34F9" w:rsidRDefault="00D43BC5" w:rsidP="00E708C7">
      <w:pPr>
        <w:pStyle w:val="NoSpacing"/>
        <w:jc w:val="both"/>
        <w:rPr>
          <w:rFonts w:eastAsia="Calibri"/>
          <w:sz w:val="22"/>
          <w:szCs w:val="22"/>
          <w:lang w:val="sr-Latn-ME"/>
        </w:rPr>
      </w:pPr>
      <w:r w:rsidRPr="006F34F9">
        <w:rPr>
          <w:rFonts w:eastAsia="Calibri"/>
          <w:sz w:val="22"/>
          <w:szCs w:val="22"/>
          <w:lang w:val="sr-Latn-ME"/>
        </w:rPr>
        <w:t>tel: +382 (0) 20 310 280</w:t>
      </w:r>
    </w:p>
    <w:p w14:paraId="1A1C9815" w14:textId="77777777" w:rsidR="00D43BC5" w:rsidRPr="006F34F9" w:rsidRDefault="00D43BC5" w:rsidP="00E708C7">
      <w:pPr>
        <w:pStyle w:val="NoSpacing"/>
        <w:jc w:val="both"/>
        <w:rPr>
          <w:rFonts w:eastAsia="Calibri"/>
          <w:sz w:val="22"/>
          <w:szCs w:val="22"/>
          <w:lang w:val="sr-Latn-ME"/>
        </w:rPr>
      </w:pPr>
      <w:r w:rsidRPr="006F34F9">
        <w:rPr>
          <w:rFonts w:eastAsia="Calibri"/>
          <w:sz w:val="22"/>
          <w:szCs w:val="22"/>
          <w:lang w:val="sr-Latn-ME"/>
        </w:rPr>
        <w:t>fax: +382 (0) 20 310 581</w:t>
      </w:r>
    </w:p>
    <w:p w14:paraId="56030AE2" w14:textId="77777777" w:rsidR="00D43BC5" w:rsidRPr="006F34F9" w:rsidRDefault="008150BB" w:rsidP="00E708C7">
      <w:pPr>
        <w:pStyle w:val="NoSpacing"/>
        <w:jc w:val="both"/>
        <w:rPr>
          <w:rFonts w:eastAsia="Calibri"/>
          <w:sz w:val="22"/>
          <w:szCs w:val="22"/>
          <w:lang w:val="sr-Latn-ME"/>
        </w:rPr>
      </w:pPr>
      <w:hyperlink r:id="rId7" w:history="1">
        <w:r w:rsidR="00D43BC5" w:rsidRPr="006F34F9">
          <w:rPr>
            <w:rStyle w:val="Hyperlink"/>
            <w:rFonts w:eastAsia="Calibri"/>
            <w:sz w:val="22"/>
            <w:szCs w:val="22"/>
            <w:lang w:val="sr-Latn-ME"/>
          </w:rPr>
          <w:t>www.cinmed.me</w:t>
        </w:r>
      </w:hyperlink>
    </w:p>
    <w:p w14:paraId="4DC57537" w14:textId="77777777" w:rsidR="00D43BC5" w:rsidRPr="006F34F9" w:rsidRDefault="008150BB" w:rsidP="00E708C7">
      <w:pPr>
        <w:pStyle w:val="NoSpacing"/>
        <w:jc w:val="both"/>
        <w:rPr>
          <w:rFonts w:eastAsia="Calibri"/>
          <w:color w:val="0000FF"/>
          <w:sz w:val="22"/>
          <w:szCs w:val="22"/>
          <w:u w:val="single"/>
          <w:lang w:val="sr-Latn-ME"/>
        </w:rPr>
      </w:pPr>
      <w:hyperlink r:id="rId8" w:history="1">
        <w:r w:rsidR="00D43BC5" w:rsidRPr="006F34F9">
          <w:rPr>
            <w:rStyle w:val="Hyperlink"/>
            <w:rFonts w:eastAsia="Calibri"/>
            <w:sz w:val="22"/>
            <w:szCs w:val="22"/>
            <w:lang w:val="sr-Latn-ME"/>
          </w:rPr>
          <w:t>nezeljenadejstva@cinmed.me</w:t>
        </w:r>
      </w:hyperlink>
    </w:p>
    <w:p w14:paraId="6CE07F0E" w14:textId="2B2E9526" w:rsidR="00CE09F3" w:rsidRPr="006F34F9" w:rsidRDefault="00D43BC5" w:rsidP="00E708C7">
      <w:pPr>
        <w:rPr>
          <w:noProof/>
          <w:szCs w:val="22"/>
          <w:lang w:val="sr-Latn-ME"/>
        </w:rPr>
      </w:pPr>
      <w:r w:rsidRPr="006F34F9">
        <w:rPr>
          <w:rFonts w:eastAsia="Calibri"/>
          <w:szCs w:val="22"/>
          <w:lang w:val="sr-Latn-ME"/>
        </w:rPr>
        <w:t>putem IS zdravstvene zaštite</w:t>
      </w:r>
    </w:p>
    <w:p w14:paraId="30145686" w14:textId="77777777" w:rsidR="002006B9" w:rsidRDefault="002006B9" w:rsidP="002006B9">
      <w:pPr>
        <w:pStyle w:val="NoSpacing"/>
        <w:jc w:val="both"/>
        <w:rPr>
          <w:rFonts w:eastAsia="Calibri"/>
          <w:sz w:val="22"/>
          <w:szCs w:val="22"/>
          <w:lang w:val="sr-Latn-RS"/>
        </w:rPr>
      </w:pPr>
      <w:bookmarkStart w:id="2" w:name="_Hlk177721241"/>
      <w:r>
        <w:rPr>
          <w:rFonts w:eastAsia="Calibri"/>
          <w:sz w:val="22"/>
          <w:szCs w:val="22"/>
          <w:lang w:val="sr-Latn-RS"/>
        </w:rPr>
        <w:t>QR kod za online prijavu sumnje na neželjeno dejstvo lijeka:</w:t>
      </w:r>
    </w:p>
    <w:bookmarkEnd w:id="2"/>
    <w:p w14:paraId="17483058" w14:textId="77777777" w:rsidR="002006B9" w:rsidRDefault="002006B9" w:rsidP="002006B9">
      <w:pPr>
        <w:pStyle w:val="NoSpacing"/>
        <w:rPr>
          <w:rFonts w:eastAsia="Calibri"/>
          <w:sz w:val="22"/>
          <w:szCs w:val="22"/>
          <w:lang w:val="sr-Latn-RS"/>
        </w:rPr>
      </w:pPr>
    </w:p>
    <w:p w14:paraId="47735564" w14:textId="77777777" w:rsidR="002006B9" w:rsidRDefault="002006B9" w:rsidP="002006B9">
      <w:pPr>
        <w:tabs>
          <w:tab w:val="left" w:pos="540"/>
          <w:tab w:val="left" w:pos="569"/>
        </w:tabs>
        <w:rPr>
          <w:b/>
          <w:bCs/>
          <w:szCs w:val="22"/>
        </w:rPr>
      </w:pPr>
      <w:r w:rsidRPr="007F661E">
        <w:rPr>
          <w:b/>
          <w:bCs/>
          <w:noProof/>
          <w:szCs w:val="22"/>
        </w:rPr>
        <w:drawing>
          <wp:inline distT="0" distB="0" distL="0" distR="0" wp14:anchorId="2E9FCABA" wp14:editId="223E48FF">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CE07F0F" w14:textId="77777777" w:rsidR="00CE09F3" w:rsidRPr="006F34F9" w:rsidRDefault="00CE09F3" w:rsidP="00A5182D">
      <w:pPr>
        <w:rPr>
          <w:szCs w:val="22"/>
          <w:lang w:val="sr-Latn-ME"/>
        </w:rPr>
      </w:pPr>
    </w:p>
    <w:p w14:paraId="6CE07F10" w14:textId="51B052CB" w:rsidR="00CE09F3" w:rsidRPr="006F34F9" w:rsidRDefault="00CE09F3" w:rsidP="000B42A8">
      <w:pPr>
        <w:rPr>
          <w:b/>
          <w:bCs/>
          <w:szCs w:val="22"/>
          <w:lang w:val="sr-Latn-ME"/>
        </w:rPr>
      </w:pPr>
      <w:r w:rsidRPr="006F34F9">
        <w:rPr>
          <w:b/>
          <w:bCs/>
          <w:szCs w:val="22"/>
          <w:lang w:val="sr-Latn-ME"/>
        </w:rPr>
        <w:t>4.9.</w:t>
      </w:r>
      <w:r w:rsidR="00591D18" w:rsidRPr="006F34F9">
        <w:rPr>
          <w:b/>
          <w:bCs/>
          <w:szCs w:val="22"/>
          <w:lang w:val="sr-Latn-ME"/>
        </w:rPr>
        <w:t xml:space="preserve">  </w:t>
      </w:r>
      <w:r w:rsidR="008062E2" w:rsidRPr="006F34F9">
        <w:rPr>
          <w:b/>
          <w:bCs/>
          <w:szCs w:val="22"/>
          <w:lang w:val="sr-Latn-ME"/>
        </w:rPr>
        <w:t>Pre</w:t>
      </w:r>
      <w:r w:rsidRPr="006F34F9">
        <w:rPr>
          <w:b/>
          <w:bCs/>
          <w:szCs w:val="22"/>
          <w:lang w:val="sr-Latn-ME"/>
        </w:rPr>
        <w:t>doziranje</w:t>
      </w:r>
    </w:p>
    <w:p w14:paraId="2EDC701C" w14:textId="77777777" w:rsidR="001B44E1" w:rsidRPr="006F34F9" w:rsidRDefault="001B44E1">
      <w:pPr>
        <w:rPr>
          <w:szCs w:val="22"/>
          <w:lang w:val="sr-Latn-ME"/>
        </w:rPr>
      </w:pPr>
    </w:p>
    <w:p w14:paraId="2667F133" w14:textId="62C08E6C" w:rsidR="00591D18" w:rsidRPr="006F34F9" w:rsidRDefault="001B44E1" w:rsidP="004305EC">
      <w:pPr>
        <w:rPr>
          <w:szCs w:val="22"/>
          <w:lang w:val="sr-Latn-ME"/>
        </w:rPr>
      </w:pPr>
      <w:r w:rsidRPr="006F34F9">
        <w:rPr>
          <w:szCs w:val="22"/>
          <w:lang w:val="sr-Latn-ME"/>
        </w:rPr>
        <w:t xml:space="preserve">U kliničkim ispitivanjima </w:t>
      </w:r>
      <w:r w:rsidR="008559D3" w:rsidRPr="006F34F9">
        <w:rPr>
          <w:szCs w:val="22"/>
          <w:lang w:val="sr-Latn-ME"/>
        </w:rPr>
        <w:t>primjenjivane</w:t>
      </w:r>
      <w:r w:rsidRPr="006F34F9">
        <w:rPr>
          <w:szCs w:val="22"/>
          <w:lang w:val="sr-Latn-ME"/>
        </w:rPr>
        <w:t xml:space="preserve"> su doze do 10 mg/kg (približno 2,5 puta više od </w:t>
      </w:r>
      <w:r w:rsidR="008062E2" w:rsidRPr="006F34F9">
        <w:rPr>
          <w:szCs w:val="22"/>
          <w:lang w:val="sr-Latn-ME"/>
        </w:rPr>
        <w:t>pre</w:t>
      </w:r>
      <w:r w:rsidRPr="006F34F9">
        <w:rPr>
          <w:szCs w:val="22"/>
          <w:lang w:val="sr-Latn-ME"/>
        </w:rPr>
        <w:t>poručene doze). U kliničkim ispitivanjima nije prim</w:t>
      </w:r>
      <w:r w:rsidR="002918C0" w:rsidRPr="006F34F9">
        <w:rPr>
          <w:szCs w:val="22"/>
          <w:lang w:val="sr-Latn-ME"/>
        </w:rPr>
        <w:t>ij</w:t>
      </w:r>
      <w:r w:rsidRPr="006F34F9">
        <w:rPr>
          <w:szCs w:val="22"/>
          <w:lang w:val="sr-Latn-ME"/>
        </w:rPr>
        <w:t xml:space="preserve">ećena toksičnost koja bi </w:t>
      </w:r>
      <w:r w:rsidR="008559D3" w:rsidRPr="006F34F9">
        <w:rPr>
          <w:szCs w:val="22"/>
          <w:lang w:val="sr-Latn-ME"/>
        </w:rPr>
        <w:t>zaht</w:t>
      </w:r>
      <w:r w:rsidR="002918C0" w:rsidRPr="006F34F9">
        <w:rPr>
          <w:szCs w:val="22"/>
          <w:lang w:val="sr-Latn-ME"/>
        </w:rPr>
        <w:t>i</w:t>
      </w:r>
      <w:r w:rsidR="008559D3" w:rsidRPr="006F34F9">
        <w:rPr>
          <w:szCs w:val="22"/>
          <w:lang w:val="sr-Latn-ME"/>
        </w:rPr>
        <w:t>jevala</w:t>
      </w:r>
      <w:r w:rsidRPr="006F34F9">
        <w:rPr>
          <w:szCs w:val="22"/>
          <w:lang w:val="sr-Latn-ME"/>
        </w:rPr>
        <w:t xml:space="preserve"> ograničenje doze.</w:t>
      </w:r>
    </w:p>
    <w:p w14:paraId="58AD8495" w14:textId="77777777" w:rsidR="00A41523" w:rsidRPr="006F34F9" w:rsidRDefault="00A41523" w:rsidP="00180C9F">
      <w:pPr>
        <w:tabs>
          <w:tab w:val="left" w:pos="540"/>
          <w:tab w:val="left" w:pos="569"/>
        </w:tabs>
        <w:rPr>
          <w:bCs/>
          <w:szCs w:val="22"/>
          <w:lang w:val="sr-Latn-ME"/>
        </w:rPr>
      </w:pPr>
    </w:p>
    <w:p w14:paraId="782A14A5" w14:textId="77777777" w:rsidR="00A41523" w:rsidRPr="006F34F9" w:rsidRDefault="00A41523" w:rsidP="00180C9F">
      <w:pPr>
        <w:tabs>
          <w:tab w:val="left" w:pos="540"/>
          <w:tab w:val="left" w:pos="569"/>
        </w:tabs>
        <w:rPr>
          <w:bCs/>
          <w:szCs w:val="22"/>
          <w:lang w:val="sr-Latn-ME"/>
        </w:rPr>
      </w:pPr>
    </w:p>
    <w:p w14:paraId="6CE07F13" w14:textId="1024B88D" w:rsidR="00CE09F3" w:rsidRPr="006F34F9" w:rsidRDefault="00CE09F3" w:rsidP="00180C9F">
      <w:pPr>
        <w:tabs>
          <w:tab w:val="left" w:pos="540"/>
          <w:tab w:val="left" w:pos="569"/>
        </w:tabs>
        <w:rPr>
          <w:bCs/>
          <w:szCs w:val="22"/>
          <w:lang w:val="sr-Latn-ME"/>
        </w:rPr>
      </w:pPr>
      <w:r w:rsidRPr="006F34F9">
        <w:rPr>
          <w:b/>
          <w:bCs/>
          <w:szCs w:val="22"/>
          <w:lang w:val="sr-Latn-ME"/>
        </w:rPr>
        <w:t>5.</w:t>
      </w:r>
      <w:r w:rsidR="00591D18" w:rsidRPr="006F34F9">
        <w:rPr>
          <w:b/>
          <w:bCs/>
          <w:szCs w:val="22"/>
          <w:lang w:val="sr-Latn-ME"/>
        </w:rPr>
        <w:t xml:space="preserve">  </w:t>
      </w:r>
      <w:r w:rsidRPr="006F34F9">
        <w:rPr>
          <w:b/>
          <w:bCs/>
          <w:szCs w:val="22"/>
          <w:lang w:val="sr-Latn-ME"/>
        </w:rPr>
        <w:t>FARMAKOLOŠKI PODACI</w:t>
      </w:r>
    </w:p>
    <w:p w14:paraId="7150AD55" w14:textId="77777777" w:rsidR="00591D18" w:rsidRPr="006F34F9" w:rsidRDefault="00591D18" w:rsidP="00180C9F">
      <w:pPr>
        <w:tabs>
          <w:tab w:val="left" w:pos="540"/>
          <w:tab w:val="left" w:pos="569"/>
        </w:tabs>
        <w:rPr>
          <w:bCs/>
          <w:szCs w:val="22"/>
          <w:lang w:val="sr-Latn-ME"/>
        </w:rPr>
      </w:pPr>
    </w:p>
    <w:p w14:paraId="6CE07F14" w14:textId="0FB81C9F" w:rsidR="00CE09F3" w:rsidRPr="006F34F9" w:rsidRDefault="00CE09F3" w:rsidP="00E708C7">
      <w:pPr>
        <w:rPr>
          <w:b/>
          <w:bCs/>
          <w:szCs w:val="22"/>
          <w:lang w:val="sr-Latn-ME"/>
        </w:rPr>
      </w:pPr>
      <w:r w:rsidRPr="006F34F9">
        <w:rPr>
          <w:b/>
          <w:bCs/>
          <w:szCs w:val="22"/>
          <w:lang w:val="sr-Latn-ME"/>
        </w:rPr>
        <w:t>5.1.</w:t>
      </w:r>
      <w:r w:rsidR="00591D18" w:rsidRPr="006F34F9">
        <w:rPr>
          <w:b/>
          <w:bCs/>
          <w:szCs w:val="22"/>
          <w:lang w:val="sr-Latn-ME"/>
        </w:rPr>
        <w:t xml:space="preserve">  </w:t>
      </w:r>
      <w:r w:rsidRPr="006F34F9">
        <w:rPr>
          <w:b/>
          <w:bCs/>
          <w:szCs w:val="22"/>
          <w:lang w:val="sr-Latn-ME"/>
        </w:rPr>
        <w:t>Farmakodinamski podaci</w:t>
      </w:r>
    </w:p>
    <w:p w14:paraId="6AD98444" w14:textId="77777777" w:rsidR="00BA7334" w:rsidRPr="006F34F9" w:rsidRDefault="00BA7334" w:rsidP="00E708C7">
      <w:pPr>
        <w:rPr>
          <w:b/>
          <w:bCs/>
          <w:szCs w:val="22"/>
          <w:lang w:val="sr-Latn-ME"/>
        </w:rPr>
      </w:pPr>
    </w:p>
    <w:p w14:paraId="6CE07F15" w14:textId="0B063D3D" w:rsidR="00CE09F3" w:rsidRPr="00C03B89" w:rsidRDefault="00CE09F3" w:rsidP="00E708C7">
      <w:pPr>
        <w:rPr>
          <w:b/>
          <w:bCs/>
          <w:szCs w:val="22"/>
          <w:lang w:val="sr-Latn-ME"/>
        </w:rPr>
      </w:pPr>
      <w:r w:rsidRPr="00C03B89">
        <w:rPr>
          <w:b/>
          <w:bCs/>
          <w:szCs w:val="22"/>
          <w:lang w:val="sr-Latn-ME"/>
        </w:rPr>
        <w:t>Farmakoterapijska grupa:</w:t>
      </w:r>
      <w:r w:rsidR="001B44E1" w:rsidRPr="00C03B89">
        <w:rPr>
          <w:b/>
          <w:bCs/>
          <w:szCs w:val="22"/>
          <w:lang w:val="sr-Latn-ME"/>
        </w:rPr>
        <w:t xml:space="preserve"> </w:t>
      </w:r>
      <w:r w:rsidR="008559D3" w:rsidRPr="00C03B89">
        <w:rPr>
          <w:szCs w:val="22"/>
          <w:lang w:val="sr-Latn-ME"/>
        </w:rPr>
        <w:t>imunosupresivi</w:t>
      </w:r>
      <w:r w:rsidR="001B44E1" w:rsidRPr="00C03B89">
        <w:rPr>
          <w:szCs w:val="22"/>
          <w:lang w:val="sr-Latn-ME"/>
        </w:rPr>
        <w:t xml:space="preserve">, </w:t>
      </w:r>
      <w:r w:rsidR="009903AF" w:rsidRPr="00C03B89">
        <w:rPr>
          <w:szCs w:val="22"/>
          <w:lang w:val="sr-Latn-ME"/>
        </w:rPr>
        <w:t>monoklonska antitijela</w:t>
      </w:r>
    </w:p>
    <w:p w14:paraId="6CE07F16" w14:textId="77777777" w:rsidR="00CE09F3" w:rsidRPr="00C03B89" w:rsidRDefault="00CE09F3" w:rsidP="00E708C7">
      <w:pPr>
        <w:rPr>
          <w:szCs w:val="22"/>
          <w:lang w:val="sr-Latn-ME"/>
        </w:rPr>
      </w:pPr>
    </w:p>
    <w:p w14:paraId="6CE07F17" w14:textId="2EBAB9CF" w:rsidR="00CE09F3" w:rsidRPr="006F34F9" w:rsidRDefault="00CE09F3" w:rsidP="00E708C7">
      <w:pPr>
        <w:rPr>
          <w:b/>
          <w:bCs/>
          <w:szCs w:val="22"/>
          <w:lang w:val="sr-Latn-ME"/>
        </w:rPr>
      </w:pPr>
      <w:r w:rsidRPr="00C03B89">
        <w:rPr>
          <w:b/>
          <w:bCs/>
          <w:szCs w:val="22"/>
          <w:lang w:val="sr-Latn-ME"/>
        </w:rPr>
        <w:t xml:space="preserve">ATC </w:t>
      </w:r>
      <w:r w:rsidR="00D43BC5" w:rsidRPr="00C03B89">
        <w:rPr>
          <w:b/>
          <w:bCs/>
          <w:szCs w:val="22"/>
          <w:lang w:val="sr-Latn-ME"/>
        </w:rPr>
        <w:t>kod</w:t>
      </w:r>
      <w:r w:rsidRPr="00C03B89">
        <w:rPr>
          <w:b/>
          <w:bCs/>
          <w:szCs w:val="22"/>
          <w:lang w:val="sr-Latn-ME"/>
        </w:rPr>
        <w:t>:</w:t>
      </w:r>
      <w:r w:rsidR="001B44E1" w:rsidRPr="00C03B89">
        <w:rPr>
          <w:b/>
          <w:bCs/>
          <w:szCs w:val="22"/>
          <w:lang w:val="sr-Latn-ME"/>
        </w:rPr>
        <w:t xml:space="preserve"> </w:t>
      </w:r>
      <w:r w:rsidR="001B44E1" w:rsidRPr="00C03B89">
        <w:rPr>
          <w:szCs w:val="22"/>
          <w:lang w:val="sr-Latn-ME"/>
        </w:rPr>
        <w:t>L04A</w:t>
      </w:r>
      <w:r w:rsidR="009903AF" w:rsidRPr="00C03B89">
        <w:rPr>
          <w:szCs w:val="22"/>
          <w:lang w:val="sr-Latn-ME"/>
        </w:rPr>
        <w:t>G05</w:t>
      </w:r>
    </w:p>
    <w:p w14:paraId="5AEF0B1E" w14:textId="404D5BE2" w:rsidR="002C254F" w:rsidRPr="006F34F9" w:rsidRDefault="002C254F" w:rsidP="00A5182D">
      <w:pPr>
        <w:rPr>
          <w:szCs w:val="22"/>
          <w:u w:val="single"/>
          <w:lang w:val="sr-Latn-ME"/>
        </w:rPr>
      </w:pPr>
    </w:p>
    <w:p w14:paraId="6CE07F19" w14:textId="00D733E8" w:rsidR="00CE09F3" w:rsidRPr="006F34F9" w:rsidRDefault="001B44E1" w:rsidP="00A5182D">
      <w:pPr>
        <w:rPr>
          <w:szCs w:val="22"/>
          <w:u w:val="single"/>
          <w:lang w:val="sr-Latn-ME"/>
        </w:rPr>
      </w:pPr>
      <w:r w:rsidRPr="006F34F9">
        <w:rPr>
          <w:szCs w:val="22"/>
          <w:u w:val="single"/>
          <w:lang w:val="sr-Latn-ME"/>
        </w:rPr>
        <w:t>Mehanizam dejstva</w:t>
      </w:r>
    </w:p>
    <w:p w14:paraId="42C6EAD0" w14:textId="77777777" w:rsidR="00BA7334" w:rsidRPr="006F34F9" w:rsidRDefault="00BA7334" w:rsidP="00A5182D">
      <w:pPr>
        <w:rPr>
          <w:szCs w:val="22"/>
          <w:lang w:val="sr-Latn-ME"/>
        </w:rPr>
      </w:pPr>
    </w:p>
    <w:p w14:paraId="094F8E5A" w14:textId="770CB1F3" w:rsidR="001B44E1" w:rsidRPr="006F34F9" w:rsidRDefault="001B44E1" w:rsidP="000B42A8">
      <w:pPr>
        <w:pStyle w:val="Header"/>
        <w:rPr>
          <w:szCs w:val="22"/>
          <w:lang w:val="sr-Latn-ME"/>
        </w:rPr>
      </w:pPr>
      <w:r w:rsidRPr="006F34F9">
        <w:rPr>
          <w:szCs w:val="22"/>
          <w:lang w:val="sr-Latn-ME"/>
        </w:rPr>
        <w:t xml:space="preserve">Vedolizumab je biološki </w:t>
      </w:r>
      <w:r w:rsidR="008559D3" w:rsidRPr="006F34F9">
        <w:rPr>
          <w:szCs w:val="22"/>
          <w:lang w:val="sr-Latn-ME"/>
        </w:rPr>
        <w:t>imunosupresiv</w:t>
      </w:r>
      <w:r w:rsidRPr="006F34F9">
        <w:rPr>
          <w:szCs w:val="22"/>
          <w:lang w:val="sr-Latn-ME"/>
        </w:rPr>
        <w:t xml:space="preserve"> selektivan za cr</w:t>
      </w:r>
      <w:r w:rsidR="008559D3" w:rsidRPr="006F34F9">
        <w:rPr>
          <w:szCs w:val="22"/>
          <w:lang w:val="sr-Latn-ME"/>
        </w:rPr>
        <w:t>ij</w:t>
      </w:r>
      <w:r w:rsidRPr="006F34F9">
        <w:rPr>
          <w:szCs w:val="22"/>
          <w:lang w:val="sr-Latn-ME"/>
        </w:rPr>
        <w:t>eva. To je humanizovano monoklonsko anit</w:t>
      </w:r>
      <w:r w:rsidR="00BA7334" w:rsidRPr="006F34F9">
        <w:rPr>
          <w:szCs w:val="22"/>
          <w:lang w:val="sr-Latn-ME"/>
        </w:rPr>
        <w:t>ij</w:t>
      </w:r>
      <w:r w:rsidRPr="006F34F9">
        <w:rPr>
          <w:szCs w:val="22"/>
          <w:lang w:val="sr-Latn-ME"/>
        </w:rPr>
        <w:t>elo koje se specifično veže na integrin α</w:t>
      </w:r>
      <w:r w:rsidRPr="006F34F9">
        <w:rPr>
          <w:szCs w:val="22"/>
          <w:vertAlign w:val="subscript"/>
          <w:lang w:val="sr-Latn-ME"/>
        </w:rPr>
        <w:t>4</w:t>
      </w:r>
      <w:r w:rsidRPr="006F34F9">
        <w:rPr>
          <w:szCs w:val="22"/>
          <w:lang w:val="sr-Latn-ME"/>
        </w:rPr>
        <w:t>β</w:t>
      </w:r>
      <w:r w:rsidRPr="006F34F9">
        <w:rPr>
          <w:szCs w:val="22"/>
          <w:vertAlign w:val="subscript"/>
          <w:lang w:val="sr-Latn-ME"/>
        </w:rPr>
        <w:t>7</w:t>
      </w:r>
      <w:r w:rsidRPr="006F34F9">
        <w:rPr>
          <w:szCs w:val="22"/>
          <w:lang w:val="sr-Latn-ME"/>
        </w:rPr>
        <w:t xml:space="preserve"> koji je </w:t>
      </w:r>
      <w:r w:rsidR="008062E2" w:rsidRPr="006F34F9">
        <w:rPr>
          <w:szCs w:val="22"/>
          <w:lang w:val="sr-Latn-ME"/>
        </w:rPr>
        <w:t>prije</w:t>
      </w:r>
      <w:r w:rsidRPr="006F34F9">
        <w:rPr>
          <w:szCs w:val="22"/>
          <w:lang w:val="sr-Latn-ME"/>
        </w:rPr>
        <w:t xml:space="preserve">težno prisutan na T helper limfocitima u </w:t>
      </w:r>
      <w:r w:rsidRPr="006F34F9">
        <w:rPr>
          <w:szCs w:val="22"/>
          <w:lang w:val="sr-Latn-ME"/>
        </w:rPr>
        <w:lastRenderedPageBreak/>
        <w:t>cr</w:t>
      </w:r>
      <w:r w:rsidR="008559D3" w:rsidRPr="006F34F9">
        <w:rPr>
          <w:szCs w:val="22"/>
          <w:lang w:val="sr-Latn-ME"/>
        </w:rPr>
        <w:t>ij</w:t>
      </w:r>
      <w:r w:rsidRPr="006F34F9">
        <w:rPr>
          <w:szCs w:val="22"/>
          <w:lang w:val="sr-Latn-ME"/>
        </w:rPr>
        <w:t>evima. Vezivanjem za α</w:t>
      </w:r>
      <w:r w:rsidRPr="006F34F9">
        <w:rPr>
          <w:szCs w:val="22"/>
          <w:vertAlign w:val="subscript"/>
          <w:lang w:val="sr-Latn-ME"/>
        </w:rPr>
        <w:t>4</w:t>
      </w:r>
      <w:r w:rsidRPr="006F34F9">
        <w:rPr>
          <w:szCs w:val="22"/>
          <w:lang w:val="sr-Latn-ME"/>
        </w:rPr>
        <w:t>β</w:t>
      </w:r>
      <w:r w:rsidRPr="006F34F9">
        <w:rPr>
          <w:szCs w:val="22"/>
          <w:vertAlign w:val="subscript"/>
          <w:lang w:val="sr-Latn-ME"/>
        </w:rPr>
        <w:t>7</w:t>
      </w:r>
      <w:r w:rsidRPr="006F34F9">
        <w:rPr>
          <w:szCs w:val="22"/>
          <w:lang w:val="sr-Latn-ME"/>
        </w:rPr>
        <w:t xml:space="preserve"> na određenim limfocitima vedolizumab inhibira adheziju tih ćelija na mukozno adresinski ćelijski adhezijski molekul-1 (MAdCAM-1), ali ne i na vaskularni ćelijski adhezijski molekul-1 (VCAM-1). MAdCAM-1 je uglavnom prisutan na endotelnim ćelijama cr</w:t>
      </w:r>
      <w:r w:rsidR="008559D3" w:rsidRPr="006F34F9">
        <w:rPr>
          <w:szCs w:val="22"/>
          <w:lang w:val="sr-Latn-ME"/>
        </w:rPr>
        <w:t>ij</w:t>
      </w:r>
      <w:r w:rsidRPr="006F34F9">
        <w:rPr>
          <w:szCs w:val="22"/>
          <w:lang w:val="sr-Latn-ME"/>
        </w:rPr>
        <w:t>eva i igra ključnu ulogu u naseljavanju T limfocita u tkiva gastrointestinalnog trakta. Vedolizumab se ne veže na integrine α</w:t>
      </w:r>
      <w:r w:rsidRPr="006F34F9">
        <w:rPr>
          <w:szCs w:val="22"/>
          <w:vertAlign w:val="subscript"/>
          <w:lang w:val="sr-Latn-ME"/>
        </w:rPr>
        <w:t>4</w:t>
      </w:r>
      <w:r w:rsidRPr="006F34F9">
        <w:rPr>
          <w:szCs w:val="22"/>
          <w:lang w:val="sr-Latn-ME"/>
        </w:rPr>
        <w:t>β</w:t>
      </w:r>
      <w:r w:rsidRPr="006F34F9">
        <w:rPr>
          <w:szCs w:val="22"/>
          <w:vertAlign w:val="subscript"/>
          <w:lang w:val="sr-Latn-ME"/>
        </w:rPr>
        <w:t>1</w:t>
      </w:r>
      <w:r w:rsidRPr="006F34F9">
        <w:rPr>
          <w:szCs w:val="22"/>
          <w:lang w:val="sr-Latn-ME"/>
        </w:rPr>
        <w:t xml:space="preserve"> i α</w:t>
      </w:r>
      <w:r w:rsidRPr="006F34F9">
        <w:rPr>
          <w:szCs w:val="22"/>
          <w:vertAlign w:val="subscript"/>
          <w:lang w:val="sr-Latn-ME"/>
        </w:rPr>
        <w:t>E</w:t>
      </w:r>
      <w:r w:rsidRPr="006F34F9">
        <w:rPr>
          <w:szCs w:val="22"/>
          <w:lang w:val="sr-Latn-ME"/>
        </w:rPr>
        <w:t>β</w:t>
      </w:r>
      <w:r w:rsidRPr="006F34F9">
        <w:rPr>
          <w:szCs w:val="22"/>
          <w:vertAlign w:val="subscript"/>
          <w:lang w:val="sr-Latn-ME"/>
        </w:rPr>
        <w:t>7</w:t>
      </w:r>
      <w:r w:rsidRPr="006F34F9">
        <w:rPr>
          <w:szCs w:val="22"/>
          <w:lang w:val="sr-Latn-ME"/>
        </w:rPr>
        <w:t xml:space="preserve"> niti inhibira njihovu funkciju.</w:t>
      </w:r>
    </w:p>
    <w:p w14:paraId="4C14C293" w14:textId="77777777" w:rsidR="001B44E1" w:rsidRPr="006F34F9" w:rsidRDefault="001B44E1">
      <w:pPr>
        <w:pStyle w:val="Header"/>
        <w:rPr>
          <w:szCs w:val="22"/>
          <w:lang w:val="sr-Latn-ME"/>
        </w:rPr>
      </w:pPr>
    </w:p>
    <w:p w14:paraId="53795DDD" w14:textId="3D13C0EC" w:rsidR="001B44E1" w:rsidRPr="006F34F9" w:rsidRDefault="001B44E1">
      <w:pPr>
        <w:pStyle w:val="Header"/>
        <w:rPr>
          <w:szCs w:val="22"/>
          <w:lang w:val="sr-Latn-ME"/>
        </w:rPr>
      </w:pPr>
      <w:r w:rsidRPr="006F34F9">
        <w:rPr>
          <w:szCs w:val="22"/>
          <w:lang w:val="sr-Latn-ME"/>
        </w:rPr>
        <w:t>Integrin α</w:t>
      </w:r>
      <w:r w:rsidRPr="006F34F9">
        <w:rPr>
          <w:szCs w:val="22"/>
          <w:vertAlign w:val="subscript"/>
          <w:lang w:val="sr-Latn-ME"/>
        </w:rPr>
        <w:t>4</w:t>
      </w:r>
      <w:r w:rsidRPr="006F34F9">
        <w:rPr>
          <w:szCs w:val="22"/>
          <w:lang w:val="sr-Latn-ME"/>
        </w:rPr>
        <w:t>β</w:t>
      </w:r>
      <w:r w:rsidRPr="006F34F9">
        <w:rPr>
          <w:szCs w:val="22"/>
          <w:vertAlign w:val="subscript"/>
          <w:lang w:val="sr-Latn-ME"/>
        </w:rPr>
        <w:t>7</w:t>
      </w:r>
      <w:r w:rsidRPr="006F34F9">
        <w:rPr>
          <w:szCs w:val="22"/>
          <w:lang w:val="sr-Latn-ME"/>
        </w:rPr>
        <w:t xml:space="preserve"> je izražen na izdvojenoj podgrupi memorijskih T helper limfocita koji </w:t>
      </w:r>
      <w:r w:rsidR="008062E2" w:rsidRPr="006F34F9">
        <w:rPr>
          <w:szCs w:val="22"/>
          <w:lang w:val="sr-Latn-ME"/>
        </w:rPr>
        <w:t>pre</w:t>
      </w:r>
      <w:r w:rsidRPr="006F34F9">
        <w:rPr>
          <w:szCs w:val="22"/>
          <w:lang w:val="sr-Latn-ME"/>
        </w:rPr>
        <w:t xml:space="preserve">težno migriraju u </w:t>
      </w:r>
      <w:r w:rsidR="00D43BC5" w:rsidRPr="006F34F9">
        <w:rPr>
          <w:szCs w:val="22"/>
          <w:lang w:val="sr-Latn-ME"/>
        </w:rPr>
        <w:t>gastrointestinalni</w:t>
      </w:r>
      <w:r w:rsidRPr="006F34F9">
        <w:rPr>
          <w:szCs w:val="22"/>
          <w:lang w:val="sr-Latn-ME"/>
        </w:rPr>
        <w:t xml:space="preserve"> (GI) trakt i uzrokuju upalu koja je karakteristična za ulcerozni kolitis i Kronovu bolest, oba oboljenja su hronična, zapaljenska, imunološki posredovana stanja </w:t>
      </w:r>
      <w:r w:rsidR="00D43BC5" w:rsidRPr="006F34F9">
        <w:rPr>
          <w:szCs w:val="22"/>
          <w:lang w:val="sr-Latn-ME"/>
        </w:rPr>
        <w:t>gastrointestinalnog</w:t>
      </w:r>
      <w:r w:rsidRPr="006F34F9">
        <w:rPr>
          <w:szCs w:val="22"/>
          <w:lang w:val="sr-Latn-ME"/>
        </w:rPr>
        <w:t xml:space="preserve"> trakta. Vedolizumab smanjuje gastrointestinalnu upalu kod pacijenata sa ulceroznim kolitisom i </w:t>
      </w:r>
      <w:r w:rsidR="00B7335D" w:rsidRPr="006F34F9">
        <w:rPr>
          <w:szCs w:val="22"/>
          <w:lang w:val="sr-Latn-ME"/>
        </w:rPr>
        <w:t xml:space="preserve">Kronovom </w:t>
      </w:r>
      <w:r w:rsidRPr="006F34F9">
        <w:rPr>
          <w:szCs w:val="22"/>
          <w:lang w:val="sr-Latn-ME"/>
        </w:rPr>
        <w:t>bolešću. Inhibirajući interakciju α</w:t>
      </w:r>
      <w:r w:rsidRPr="006F34F9">
        <w:rPr>
          <w:szCs w:val="22"/>
          <w:vertAlign w:val="subscript"/>
          <w:lang w:val="sr-Latn-ME"/>
        </w:rPr>
        <w:t>4</w:t>
      </w:r>
      <w:r w:rsidRPr="006F34F9">
        <w:rPr>
          <w:szCs w:val="22"/>
          <w:lang w:val="sr-Latn-ME"/>
        </w:rPr>
        <w:t>β</w:t>
      </w:r>
      <w:r w:rsidRPr="006F34F9">
        <w:rPr>
          <w:szCs w:val="22"/>
          <w:vertAlign w:val="subscript"/>
          <w:lang w:val="sr-Latn-ME"/>
        </w:rPr>
        <w:t>7</w:t>
      </w:r>
      <w:r w:rsidRPr="006F34F9">
        <w:rPr>
          <w:szCs w:val="22"/>
          <w:lang w:val="sr-Latn-ME"/>
        </w:rPr>
        <w:t xml:space="preserve"> s</w:t>
      </w:r>
      <w:r w:rsidR="00B7335D" w:rsidRPr="006F34F9">
        <w:rPr>
          <w:szCs w:val="22"/>
          <w:lang w:val="sr-Latn-ME"/>
        </w:rPr>
        <w:t>a</w:t>
      </w:r>
      <w:r w:rsidRPr="006F34F9">
        <w:rPr>
          <w:szCs w:val="22"/>
          <w:lang w:val="sr-Latn-ME"/>
        </w:rPr>
        <w:t xml:space="preserve"> MAdCAM-1 vedolizumab </w:t>
      </w:r>
      <w:r w:rsidR="008559D3" w:rsidRPr="006F34F9">
        <w:rPr>
          <w:szCs w:val="22"/>
          <w:lang w:val="sr-Latn-ME"/>
        </w:rPr>
        <w:t>sprječava</w:t>
      </w:r>
      <w:r w:rsidRPr="006F34F9">
        <w:rPr>
          <w:szCs w:val="22"/>
          <w:lang w:val="sr-Latn-ME"/>
        </w:rPr>
        <w:t xml:space="preserve"> transmigraciju cr</w:t>
      </w:r>
      <w:r w:rsidR="008559D3" w:rsidRPr="006F34F9">
        <w:rPr>
          <w:szCs w:val="22"/>
          <w:lang w:val="sr-Latn-ME"/>
        </w:rPr>
        <w:t>ij</w:t>
      </w:r>
      <w:r w:rsidRPr="006F34F9">
        <w:rPr>
          <w:szCs w:val="22"/>
          <w:lang w:val="sr-Latn-ME"/>
        </w:rPr>
        <w:t xml:space="preserve">evnih memorijskih T helper limfocita kroz vaskularni endotel u parenhimsko tkivo kod nehumanih primata i podstiče reverzibilno trostruko povećanje broja tih ćelija u perifernoj krvi. Mišji </w:t>
      </w:r>
      <w:r w:rsidR="008062E2" w:rsidRPr="006F34F9">
        <w:rPr>
          <w:szCs w:val="22"/>
          <w:lang w:val="sr-Latn-ME"/>
        </w:rPr>
        <w:t>pr</w:t>
      </w:r>
      <w:r w:rsidR="00B7335D" w:rsidRPr="006F34F9">
        <w:rPr>
          <w:szCs w:val="22"/>
          <w:lang w:val="sr-Latn-ME"/>
        </w:rPr>
        <w:t>e</w:t>
      </w:r>
      <w:r w:rsidRPr="006F34F9">
        <w:rPr>
          <w:szCs w:val="22"/>
          <w:lang w:val="sr-Latn-ME"/>
        </w:rPr>
        <w:t>kursor vedolizumaba ublažio je upalu u gastrointestinalnom traktu kod kolitičnih majmuna, vrste pinč tamarina, koji služe kao model za ulcerozni kolitis.</w:t>
      </w:r>
    </w:p>
    <w:p w14:paraId="7212C6AB" w14:textId="77777777" w:rsidR="001B44E1" w:rsidRPr="006F34F9" w:rsidRDefault="001B44E1">
      <w:pPr>
        <w:pStyle w:val="Header"/>
        <w:rPr>
          <w:szCs w:val="22"/>
          <w:lang w:val="sr-Latn-ME"/>
        </w:rPr>
      </w:pPr>
    </w:p>
    <w:p w14:paraId="555C70BA" w14:textId="77777777" w:rsidR="001B44E1" w:rsidRPr="006F34F9" w:rsidRDefault="001B44E1">
      <w:pPr>
        <w:pStyle w:val="Header"/>
        <w:rPr>
          <w:szCs w:val="22"/>
          <w:lang w:val="sr-Latn-ME"/>
        </w:rPr>
      </w:pPr>
      <w:r w:rsidRPr="006F34F9">
        <w:rPr>
          <w:szCs w:val="22"/>
          <w:lang w:val="sr-Latn-ME"/>
        </w:rPr>
        <w:t>Kod zdravih ispitanika, pacijenata sa ulceroznim kolitisom ili pacijenata sa Kronovom bolešću vedolizumab ne dovodi do povećanja nivoa neutrofila, bazofila, eozinofila, B-helper i citotoksičnih T limfocita, ukupnih memorijskih T helper limfocita, monocita ili prirodnih ćelija ubica (NK ćelije) u perifernoj krvi bez uočene leukocitoze.</w:t>
      </w:r>
    </w:p>
    <w:p w14:paraId="565D6AE8" w14:textId="77777777" w:rsidR="001B44E1" w:rsidRPr="006F34F9" w:rsidRDefault="001B44E1">
      <w:pPr>
        <w:pStyle w:val="Header"/>
        <w:rPr>
          <w:szCs w:val="22"/>
          <w:lang w:val="sr-Latn-ME"/>
        </w:rPr>
      </w:pPr>
    </w:p>
    <w:p w14:paraId="58DB303B" w14:textId="2507A8A9" w:rsidR="001B44E1" w:rsidRPr="006F34F9" w:rsidRDefault="001B44E1">
      <w:pPr>
        <w:pStyle w:val="Header"/>
        <w:rPr>
          <w:szCs w:val="22"/>
          <w:lang w:val="sr-Latn-ME"/>
        </w:rPr>
      </w:pPr>
      <w:r w:rsidRPr="006F34F9">
        <w:rPr>
          <w:szCs w:val="22"/>
          <w:lang w:val="sr-Latn-ME"/>
        </w:rPr>
        <w:t>Vedolizumab nije uticao na imuni odgovor i pojavu zapaljenskih procesa u centralnom nervnom sistemu kod eksperimentalnog autoimunog encefalomijelitisa kod primata, model</w:t>
      </w:r>
      <w:r w:rsidR="00B7335D" w:rsidRPr="006F34F9">
        <w:rPr>
          <w:szCs w:val="22"/>
          <w:lang w:val="sr-Latn-ME"/>
        </w:rPr>
        <w:t>a</w:t>
      </w:r>
      <w:r w:rsidRPr="006F34F9">
        <w:rPr>
          <w:szCs w:val="22"/>
          <w:lang w:val="sr-Latn-ME"/>
        </w:rPr>
        <w:t xml:space="preserve"> za multiplu sklerozu. Vedolizumab nije uticao na imunološke odgovore na provokaciju antigenom u dermisu i mišićima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Pr="006F34F9">
        <w:rPr>
          <w:szCs w:val="22"/>
          <w:lang w:val="sr-Latn-ME"/>
        </w:rPr>
        <w:t xml:space="preserve"> 4.4). Nasuprot tome, vedolizumab je inhibirao imuni odgovor na gastrointestinalnu provokaciju antigenom kod zdravih dobrovoljaca (</w:t>
      </w:r>
      <w:r w:rsidR="0067327C" w:rsidRPr="006F34F9">
        <w:rPr>
          <w:szCs w:val="22"/>
          <w:lang w:val="sr-Latn-ME"/>
        </w:rPr>
        <w:t>vidjeti</w:t>
      </w:r>
      <w:r w:rsidRPr="006F34F9">
        <w:rPr>
          <w:szCs w:val="22"/>
          <w:lang w:val="sr-Latn-ME"/>
        </w:rPr>
        <w:t xml:space="preserve"> </w:t>
      </w:r>
      <w:r w:rsidR="0069571E" w:rsidRPr="006F34F9">
        <w:rPr>
          <w:szCs w:val="22"/>
          <w:lang w:val="sr-Latn-ME"/>
        </w:rPr>
        <w:t>dio</w:t>
      </w:r>
      <w:r w:rsidRPr="006F34F9">
        <w:rPr>
          <w:szCs w:val="22"/>
          <w:lang w:val="sr-Latn-ME"/>
        </w:rPr>
        <w:t xml:space="preserve"> 4.4).</w:t>
      </w:r>
    </w:p>
    <w:p w14:paraId="6BD61B20" w14:textId="77777777" w:rsidR="001B44E1" w:rsidRPr="006F34F9" w:rsidRDefault="001B44E1">
      <w:pPr>
        <w:pStyle w:val="Header"/>
        <w:rPr>
          <w:szCs w:val="22"/>
          <w:lang w:val="sr-Latn-ME"/>
        </w:rPr>
      </w:pPr>
    </w:p>
    <w:p w14:paraId="0FDB96B6" w14:textId="534A6E04" w:rsidR="001B44E1" w:rsidRPr="006F34F9" w:rsidRDefault="001B44E1">
      <w:pPr>
        <w:pStyle w:val="Header"/>
        <w:rPr>
          <w:szCs w:val="22"/>
          <w:u w:val="single"/>
          <w:lang w:val="sr-Latn-ME"/>
        </w:rPr>
      </w:pPr>
      <w:r w:rsidRPr="006F34F9">
        <w:rPr>
          <w:szCs w:val="22"/>
          <w:u w:val="single"/>
          <w:lang w:val="sr-Latn-ME"/>
        </w:rPr>
        <w:t>Imunogenost</w:t>
      </w:r>
    </w:p>
    <w:p w14:paraId="696B7F52" w14:textId="77777777" w:rsidR="0081724F" w:rsidRPr="006F34F9" w:rsidRDefault="0081724F">
      <w:pPr>
        <w:pStyle w:val="Header"/>
        <w:rPr>
          <w:szCs w:val="22"/>
          <w:u w:val="single"/>
          <w:lang w:val="sr-Latn-ME"/>
        </w:rPr>
      </w:pPr>
    </w:p>
    <w:p w14:paraId="76316FCC" w14:textId="1931E723" w:rsidR="001B44E1" w:rsidRPr="006F34F9" w:rsidRDefault="001B44E1">
      <w:pPr>
        <w:pStyle w:val="Header"/>
        <w:rPr>
          <w:szCs w:val="22"/>
          <w:lang w:val="sr-Latn-ME"/>
        </w:rPr>
      </w:pPr>
      <w:r w:rsidRPr="006F34F9">
        <w:rPr>
          <w:szCs w:val="22"/>
          <w:lang w:val="sr-Latn-ME"/>
        </w:rPr>
        <w:t xml:space="preserve">Tokom </w:t>
      </w:r>
      <w:r w:rsidR="003D1FD7" w:rsidRPr="006F34F9">
        <w:rPr>
          <w:szCs w:val="22"/>
          <w:lang w:val="sr-Latn-ME"/>
        </w:rPr>
        <w:t>liječenja</w:t>
      </w:r>
      <w:r w:rsidRPr="006F34F9">
        <w:rPr>
          <w:szCs w:val="22"/>
          <w:lang w:val="sr-Latn-ME"/>
        </w:rPr>
        <w:t xml:space="preserve"> vedolizumabom mogu se razviti antit</w:t>
      </w:r>
      <w:r w:rsidR="0081724F" w:rsidRPr="006F34F9">
        <w:rPr>
          <w:szCs w:val="22"/>
          <w:lang w:val="sr-Latn-ME"/>
        </w:rPr>
        <w:t>ij</w:t>
      </w:r>
      <w:r w:rsidRPr="006F34F9">
        <w:rPr>
          <w:szCs w:val="22"/>
          <w:lang w:val="sr-Latn-ME"/>
        </w:rPr>
        <w:t>ela na vedolizumab, od kojih je većina neutrališuća.</w:t>
      </w:r>
    </w:p>
    <w:p w14:paraId="619AE157" w14:textId="59F1E80B" w:rsidR="001B44E1" w:rsidRPr="006F34F9" w:rsidRDefault="001B44E1">
      <w:pPr>
        <w:pStyle w:val="Header"/>
        <w:rPr>
          <w:szCs w:val="22"/>
          <w:lang w:val="sr-Latn-ME"/>
        </w:rPr>
      </w:pPr>
      <w:r w:rsidRPr="006F34F9">
        <w:rPr>
          <w:szCs w:val="22"/>
          <w:lang w:val="sr-Latn-ME"/>
        </w:rPr>
        <w:t>Stvaranje anti-vedolizumab antit</w:t>
      </w:r>
      <w:r w:rsidR="0081724F" w:rsidRPr="006F34F9">
        <w:rPr>
          <w:szCs w:val="22"/>
          <w:lang w:val="sr-Latn-ME"/>
        </w:rPr>
        <w:t>ij</w:t>
      </w:r>
      <w:r w:rsidRPr="006F34F9">
        <w:rPr>
          <w:szCs w:val="22"/>
          <w:lang w:val="sr-Latn-ME"/>
        </w:rPr>
        <w:t>ela povezano je sa povećanim klirensom vedolizumaba i nižim stopama kliničke remisije.</w:t>
      </w:r>
    </w:p>
    <w:p w14:paraId="25E07C39" w14:textId="77777777" w:rsidR="001B44E1" w:rsidRPr="006F34F9" w:rsidRDefault="001B44E1">
      <w:pPr>
        <w:pStyle w:val="Header"/>
        <w:rPr>
          <w:szCs w:val="22"/>
          <w:lang w:val="sr-Latn-ME"/>
        </w:rPr>
      </w:pPr>
    </w:p>
    <w:p w14:paraId="300A6F33" w14:textId="77777777" w:rsidR="001B44E1" w:rsidRPr="006F34F9" w:rsidRDefault="001B44E1">
      <w:pPr>
        <w:pStyle w:val="Header"/>
        <w:rPr>
          <w:szCs w:val="22"/>
          <w:u w:val="single"/>
          <w:lang w:val="sr-Latn-ME"/>
        </w:rPr>
      </w:pPr>
      <w:r w:rsidRPr="006F34F9">
        <w:rPr>
          <w:szCs w:val="22"/>
          <w:u w:val="single"/>
          <w:lang w:val="sr-Latn-ME"/>
        </w:rPr>
        <w:t>Farmakodinamika</w:t>
      </w:r>
    </w:p>
    <w:p w14:paraId="1B58BEDD" w14:textId="77777777" w:rsidR="001B44E1" w:rsidRPr="006F34F9" w:rsidRDefault="001B44E1">
      <w:pPr>
        <w:pStyle w:val="Header"/>
        <w:rPr>
          <w:szCs w:val="22"/>
          <w:lang w:val="sr-Latn-ME"/>
        </w:rPr>
      </w:pPr>
    </w:p>
    <w:p w14:paraId="369ED4C4" w14:textId="346427B4" w:rsidR="001B44E1" w:rsidRPr="006F34F9" w:rsidRDefault="001B44E1">
      <w:pPr>
        <w:pStyle w:val="Header"/>
        <w:rPr>
          <w:szCs w:val="22"/>
          <w:lang w:val="sr-Latn-ME"/>
        </w:rPr>
      </w:pPr>
      <w:r w:rsidRPr="006F34F9">
        <w:rPr>
          <w:szCs w:val="22"/>
          <w:lang w:val="sr-Latn-ME"/>
        </w:rPr>
        <w:t xml:space="preserve">U kliničkim ispitivanjima vedolizumaba u dozama od </w:t>
      </w:r>
      <w:r w:rsidR="00763044">
        <w:rPr>
          <w:szCs w:val="22"/>
          <w:lang w:val="sr-Latn-ME"/>
        </w:rPr>
        <w:t>0,</w:t>
      </w:r>
      <w:r w:rsidRPr="006F34F9">
        <w:rPr>
          <w:szCs w:val="22"/>
          <w:lang w:val="sr-Latn-ME"/>
        </w:rPr>
        <w:t>2 do 10 mg/kg kod pacijenata je uočeno zasićenje receptora α</w:t>
      </w:r>
      <w:r w:rsidRPr="006F34F9">
        <w:rPr>
          <w:szCs w:val="22"/>
          <w:vertAlign w:val="subscript"/>
          <w:lang w:val="sr-Latn-ME"/>
        </w:rPr>
        <w:t>4</w:t>
      </w:r>
      <w:r w:rsidRPr="006F34F9">
        <w:rPr>
          <w:szCs w:val="22"/>
          <w:lang w:val="sr-Latn-ME"/>
        </w:rPr>
        <w:t>β</w:t>
      </w:r>
      <w:r w:rsidRPr="006F34F9">
        <w:rPr>
          <w:szCs w:val="22"/>
          <w:vertAlign w:val="subscript"/>
          <w:lang w:val="sr-Latn-ME"/>
        </w:rPr>
        <w:t>7</w:t>
      </w:r>
      <w:r w:rsidRPr="006F34F9">
        <w:rPr>
          <w:szCs w:val="22"/>
          <w:lang w:val="sr-Latn-ME"/>
        </w:rPr>
        <w:t xml:space="preserve"> veće od 95% na podgrupi cirkulišućih limfocita uključenih u imuni odgovor u cr</w:t>
      </w:r>
      <w:r w:rsidR="00BB514F" w:rsidRPr="006F34F9">
        <w:rPr>
          <w:szCs w:val="22"/>
          <w:lang w:val="sr-Latn-ME"/>
        </w:rPr>
        <w:t>ij</w:t>
      </w:r>
      <w:r w:rsidRPr="006F34F9">
        <w:rPr>
          <w:szCs w:val="22"/>
          <w:lang w:val="sr-Latn-ME"/>
        </w:rPr>
        <w:t>evima.</w:t>
      </w:r>
    </w:p>
    <w:p w14:paraId="06552AB0" w14:textId="77777777" w:rsidR="001B44E1" w:rsidRPr="006F34F9" w:rsidRDefault="001B44E1">
      <w:pPr>
        <w:pStyle w:val="Header"/>
        <w:rPr>
          <w:szCs w:val="22"/>
          <w:lang w:val="sr-Latn-ME"/>
        </w:rPr>
      </w:pPr>
    </w:p>
    <w:p w14:paraId="0C53605B" w14:textId="6795E7E3" w:rsidR="001B44E1" w:rsidRPr="006F34F9" w:rsidRDefault="001B44E1">
      <w:pPr>
        <w:pStyle w:val="Header"/>
        <w:rPr>
          <w:szCs w:val="22"/>
          <w:lang w:val="sr-Latn-ME"/>
        </w:rPr>
      </w:pPr>
      <w:r w:rsidRPr="006F34F9">
        <w:rPr>
          <w:szCs w:val="22"/>
          <w:lang w:val="sr-Latn-ME"/>
        </w:rPr>
        <w:t>Vedolizumab nije uticao na migraciju CD4</w:t>
      </w:r>
      <w:r w:rsidRPr="006F34F9">
        <w:rPr>
          <w:szCs w:val="22"/>
          <w:vertAlign w:val="superscript"/>
          <w:lang w:val="sr-Latn-ME"/>
        </w:rPr>
        <w:t>+</w:t>
      </w:r>
      <w:r w:rsidRPr="006F34F9">
        <w:rPr>
          <w:szCs w:val="22"/>
          <w:lang w:val="sr-Latn-ME"/>
        </w:rPr>
        <w:t xml:space="preserve"> i CD8</w:t>
      </w:r>
      <w:r w:rsidRPr="006F34F9">
        <w:rPr>
          <w:szCs w:val="22"/>
          <w:vertAlign w:val="superscript"/>
          <w:lang w:val="sr-Latn-ME"/>
        </w:rPr>
        <w:t>+</w:t>
      </w:r>
      <w:r w:rsidRPr="006F34F9">
        <w:rPr>
          <w:szCs w:val="22"/>
          <w:lang w:val="sr-Latn-ME"/>
        </w:rPr>
        <w:t xml:space="preserve"> limfocita u CNS-u što se ogleda u izostanku </w:t>
      </w:r>
      <w:r w:rsidR="0069571E" w:rsidRPr="006F34F9">
        <w:rPr>
          <w:szCs w:val="22"/>
          <w:lang w:val="sr-Latn-ME"/>
        </w:rPr>
        <w:t>promjene</w:t>
      </w:r>
      <w:r w:rsidRPr="006F34F9">
        <w:rPr>
          <w:szCs w:val="22"/>
          <w:lang w:val="sr-Latn-ME"/>
        </w:rPr>
        <w:t xml:space="preserve"> u odnosu CD4</w:t>
      </w:r>
      <w:r w:rsidRPr="006F34F9">
        <w:rPr>
          <w:szCs w:val="22"/>
          <w:vertAlign w:val="superscript"/>
          <w:lang w:val="sr-Latn-ME"/>
        </w:rPr>
        <w:t>+</w:t>
      </w:r>
      <w:r w:rsidRPr="006F34F9">
        <w:rPr>
          <w:szCs w:val="22"/>
          <w:lang w:val="sr-Latn-ME"/>
        </w:rPr>
        <w:t xml:space="preserve"> /CD8</w:t>
      </w:r>
      <w:r w:rsidRPr="006F34F9">
        <w:rPr>
          <w:szCs w:val="22"/>
          <w:vertAlign w:val="superscript"/>
          <w:lang w:val="sr-Latn-ME"/>
        </w:rPr>
        <w:t>+</w:t>
      </w:r>
      <w:r w:rsidRPr="006F34F9">
        <w:rPr>
          <w:szCs w:val="22"/>
          <w:lang w:val="sr-Latn-ME"/>
        </w:rPr>
        <w:t xml:space="preserve"> u cerebrospinalnoj tečnosti </w:t>
      </w:r>
      <w:r w:rsidR="008062E2" w:rsidRPr="006F34F9">
        <w:rPr>
          <w:szCs w:val="22"/>
          <w:lang w:val="sr-Latn-ME"/>
        </w:rPr>
        <w:t>prije</w:t>
      </w:r>
      <w:r w:rsidRPr="006F34F9">
        <w:rPr>
          <w:szCs w:val="22"/>
          <w:lang w:val="sr-Latn-ME"/>
        </w:rPr>
        <w:t xml:space="preserve"> i nakon </w:t>
      </w:r>
      <w:r w:rsidR="0069571E" w:rsidRPr="006F34F9">
        <w:rPr>
          <w:szCs w:val="22"/>
          <w:lang w:val="sr-Latn-ME"/>
        </w:rPr>
        <w:t>primjene</w:t>
      </w:r>
      <w:r w:rsidRPr="006F34F9">
        <w:rPr>
          <w:szCs w:val="22"/>
          <w:lang w:val="sr-Latn-ME"/>
        </w:rPr>
        <w:t xml:space="preserve"> vedolizumaba kod zdravih dobrovoljaca. Ovi podaci su u skladu sa ispitivanjima kod primata kod kojih nije zab</w:t>
      </w:r>
      <w:r w:rsidR="00BB514F" w:rsidRPr="006F34F9">
        <w:rPr>
          <w:szCs w:val="22"/>
          <w:lang w:val="sr-Latn-ME"/>
        </w:rPr>
        <w:t>i</w:t>
      </w:r>
      <w:r w:rsidRPr="006F34F9">
        <w:rPr>
          <w:szCs w:val="22"/>
          <w:lang w:val="sr-Latn-ME"/>
        </w:rPr>
        <w:t>l</w:t>
      </w:r>
      <w:r w:rsidR="00BB514F" w:rsidRPr="006F34F9">
        <w:rPr>
          <w:szCs w:val="22"/>
          <w:lang w:val="sr-Latn-ME"/>
        </w:rPr>
        <w:t>j</w:t>
      </w:r>
      <w:r w:rsidRPr="006F34F9">
        <w:rPr>
          <w:szCs w:val="22"/>
          <w:lang w:val="sr-Latn-ME"/>
        </w:rPr>
        <w:t>ežen uticaj na imuni odgovor centralnog nervnog sistema.</w:t>
      </w:r>
    </w:p>
    <w:p w14:paraId="75A4424C" w14:textId="77777777" w:rsidR="001B44E1" w:rsidRPr="006F34F9" w:rsidRDefault="001B44E1">
      <w:pPr>
        <w:pStyle w:val="Header"/>
        <w:rPr>
          <w:szCs w:val="22"/>
          <w:lang w:val="sr-Latn-ME"/>
        </w:rPr>
      </w:pPr>
    </w:p>
    <w:p w14:paraId="39904323" w14:textId="77777777" w:rsidR="001B44E1" w:rsidRPr="006F34F9" w:rsidRDefault="001B44E1">
      <w:pPr>
        <w:pStyle w:val="Header"/>
        <w:rPr>
          <w:szCs w:val="22"/>
          <w:u w:val="single"/>
          <w:lang w:val="sr-Latn-ME"/>
        </w:rPr>
      </w:pPr>
      <w:r w:rsidRPr="006F34F9">
        <w:rPr>
          <w:szCs w:val="22"/>
          <w:u w:val="single"/>
          <w:lang w:val="sr-Latn-ME"/>
        </w:rPr>
        <w:t>Klinička efikasnost</w:t>
      </w:r>
    </w:p>
    <w:p w14:paraId="6E6C7459" w14:textId="77777777" w:rsidR="001B44E1" w:rsidRPr="006F34F9" w:rsidRDefault="001B44E1">
      <w:pPr>
        <w:pStyle w:val="Header"/>
        <w:rPr>
          <w:szCs w:val="22"/>
          <w:lang w:val="sr-Latn-ME"/>
        </w:rPr>
      </w:pPr>
    </w:p>
    <w:p w14:paraId="51B863FB" w14:textId="0E2399D0" w:rsidR="001B44E1" w:rsidRPr="006F34F9" w:rsidRDefault="001B44E1">
      <w:pPr>
        <w:pStyle w:val="Header"/>
        <w:rPr>
          <w:i/>
          <w:iCs/>
          <w:szCs w:val="22"/>
          <w:u w:val="single"/>
          <w:lang w:val="sr-Latn-ME"/>
        </w:rPr>
      </w:pPr>
      <w:r w:rsidRPr="006F34F9">
        <w:rPr>
          <w:i/>
          <w:iCs/>
          <w:szCs w:val="22"/>
          <w:u w:val="single"/>
          <w:lang w:val="sr-Latn-ME"/>
        </w:rPr>
        <w:t xml:space="preserve">Ulcerozni kolitis – vedolizumab za intravensku </w:t>
      </w:r>
      <w:r w:rsidR="008062E2" w:rsidRPr="006F34F9">
        <w:rPr>
          <w:i/>
          <w:iCs/>
          <w:szCs w:val="22"/>
          <w:u w:val="single"/>
          <w:lang w:val="sr-Latn-ME"/>
        </w:rPr>
        <w:t>primjenu</w:t>
      </w:r>
    </w:p>
    <w:p w14:paraId="29E07285" w14:textId="77777777" w:rsidR="001B44E1" w:rsidRPr="006F34F9" w:rsidRDefault="001B44E1">
      <w:pPr>
        <w:pStyle w:val="Header"/>
        <w:rPr>
          <w:szCs w:val="22"/>
          <w:lang w:val="sr-Latn-ME"/>
        </w:rPr>
      </w:pPr>
    </w:p>
    <w:p w14:paraId="22962618" w14:textId="793829B3" w:rsidR="001B44E1" w:rsidRPr="006F34F9" w:rsidRDefault="001B44E1">
      <w:pPr>
        <w:pStyle w:val="Header"/>
        <w:rPr>
          <w:szCs w:val="22"/>
          <w:lang w:val="sr-Latn-ME"/>
        </w:rPr>
      </w:pPr>
      <w:r w:rsidRPr="006F34F9">
        <w:rPr>
          <w:szCs w:val="22"/>
          <w:lang w:val="sr-Latn-ME"/>
        </w:rPr>
        <w:t xml:space="preserve">Efikasnost i </w:t>
      </w:r>
      <w:r w:rsidR="008062E2" w:rsidRPr="006F34F9">
        <w:rPr>
          <w:szCs w:val="22"/>
          <w:lang w:val="sr-Latn-ME"/>
        </w:rPr>
        <w:t>bezbjednost</w:t>
      </w:r>
      <w:r w:rsidRPr="006F34F9">
        <w:rPr>
          <w:szCs w:val="22"/>
          <w:lang w:val="sr-Latn-ME"/>
        </w:rPr>
        <w:t xml:space="preserve"> vedolizumaba u </w:t>
      </w:r>
      <w:r w:rsidR="003D1FD7" w:rsidRPr="006F34F9">
        <w:rPr>
          <w:szCs w:val="22"/>
          <w:lang w:val="sr-Latn-ME"/>
        </w:rPr>
        <w:t>liječenju</w:t>
      </w:r>
      <w:r w:rsidRPr="006F34F9">
        <w:rPr>
          <w:szCs w:val="22"/>
          <w:lang w:val="sr-Latn-ME"/>
        </w:rPr>
        <w:t xml:space="preserve"> odraslih pacijenata sa </w:t>
      </w:r>
      <w:r w:rsidR="008062E2" w:rsidRPr="006F34F9">
        <w:rPr>
          <w:szCs w:val="22"/>
          <w:lang w:val="sr-Latn-ME"/>
        </w:rPr>
        <w:t>umjereno</w:t>
      </w:r>
      <w:r w:rsidRPr="006F34F9">
        <w:rPr>
          <w:szCs w:val="22"/>
          <w:lang w:val="sr-Latn-ME"/>
        </w:rPr>
        <w:t xml:space="preserve"> do izrazito aktivnim ulceroznim kolitisom (Mayo </w:t>
      </w:r>
      <w:r w:rsidR="0067327C" w:rsidRPr="006F34F9">
        <w:rPr>
          <w:szCs w:val="22"/>
          <w:lang w:val="sr-Latn-ME"/>
        </w:rPr>
        <w:t>ocjena</w:t>
      </w:r>
      <w:r w:rsidRPr="006F34F9">
        <w:rPr>
          <w:szCs w:val="22"/>
          <w:lang w:val="sr-Latn-ME"/>
        </w:rPr>
        <w:t xml:space="preserve"> 6 do 12, endoskopski podrezultat ≥</w:t>
      </w:r>
      <w:r w:rsidR="00EB503C">
        <w:rPr>
          <w:szCs w:val="22"/>
          <w:lang w:val="sr-Latn-ME"/>
        </w:rPr>
        <w:t xml:space="preserve"> </w:t>
      </w:r>
      <w:r w:rsidRPr="006F34F9">
        <w:rPr>
          <w:szCs w:val="22"/>
          <w:lang w:val="sr-Latn-ME"/>
        </w:rPr>
        <w:t xml:space="preserve">2) dokazane su u randomizovanom, dvostruko </w:t>
      </w:r>
      <w:r w:rsidR="008062E2" w:rsidRPr="006F34F9">
        <w:rPr>
          <w:szCs w:val="22"/>
          <w:lang w:val="sr-Latn-ME"/>
        </w:rPr>
        <w:t>slijepo</w:t>
      </w:r>
      <w:r w:rsidRPr="006F34F9">
        <w:rPr>
          <w:szCs w:val="22"/>
          <w:lang w:val="sr-Latn-ME"/>
        </w:rPr>
        <w:t>m, placebom kontrolisanom ispitivanju u kojem su oc</w:t>
      </w:r>
      <w:r w:rsidR="0067327C" w:rsidRPr="006F34F9">
        <w:rPr>
          <w:szCs w:val="22"/>
          <w:lang w:val="sr-Latn-ME"/>
        </w:rPr>
        <w:t>ij</w:t>
      </w:r>
      <w:r w:rsidRPr="006F34F9">
        <w:rPr>
          <w:szCs w:val="22"/>
          <w:lang w:val="sr-Latn-ME"/>
        </w:rPr>
        <w:t xml:space="preserve">enjeni rezultati efikasnosti u 6. i 52. </w:t>
      </w:r>
      <w:r w:rsidR="0069571E" w:rsidRPr="006F34F9">
        <w:rPr>
          <w:szCs w:val="22"/>
          <w:lang w:val="sr-Latn-ME"/>
        </w:rPr>
        <w:t>nedjelji</w:t>
      </w:r>
      <w:r w:rsidRPr="006F34F9">
        <w:rPr>
          <w:szCs w:val="22"/>
          <w:lang w:val="sr-Latn-ME"/>
        </w:rPr>
        <w:t xml:space="preserve"> (GEMINI I). Uključeni pacijenti ni</w:t>
      </w:r>
      <w:r w:rsidR="00BB514F" w:rsidRPr="006F34F9">
        <w:rPr>
          <w:szCs w:val="22"/>
          <w:lang w:val="sr-Latn-ME"/>
        </w:rPr>
        <w:t>je</w:t>
      </w:r>
      <w:r w:rsidRPr="006F34F9">
        <w:rPr>
          <w:szCs w:val="22"/>
          <w:lang w:val="sr-Latn-ME"/>
        </w:rPr>
        <w:t>su odgovorili na barem jednu standardnu terapiju, uključujući kortikosteroide, imunomodulatore i/ili antagonist</w:t>
      </w:r>
      <w:r w:rsidR="00BB514F" w:rsidRPr="006F34F9">
        <w:rPr>
          <w:szCs w:val="22"/>
          <w:lang w:val="sr-Latn-ME"/>
        </w:rPr>
        <w:t>u</w:t>
      </w:r>
      <w:r w:rsidRPr="006F34F9">
        <w:rPr>
          <w:szCs w:val="22"/>
          <w:lang w:val="sr-Latn-ME"/>
        </w:rPr>
        <w:t xml:space="preserve"> TNFα infliksimab </w:t>
      </w:r>
      <w:r w:rsidRPr="006F34F9">
        <w:rPr>
          <w:szCs w:val="22"/>
          <w:lang w:val="sr-Latn-ME"/>
        </w:rPr>
        <w:lastRenderedPageBreak/>
        <w:t>(uključujući i pacijente bez odgovora na primarno l</w:t>
      </w:r>
      <w:r w:rsidR="00BB514F" w:rsidRPr="006F34F9">
        <w:rPr>
          <w:szCs w:val="22"/>
          <w:lang w:val="sr-Latn-ME"/>
        </w:rPr>
        <w:t>ij</w:t>
      </w:r>
      <w:r w:rsidRPr="006F34F9">
        <w:rPr>
          <w:szCs w:val="22"/>
          <w:lang w:val="sr-Latn-ME"/>
        </w:rPr>
        <w:t xml:space="preserve">ečenje). Bile su </w:t>
      </w:r>
      <w:r w:rsidR="00F816D3" w:rsidRPr="006F34F9">
        <w:rPr>
          <w:szCs w:val="22"/>
          <w:lang w:val="sr-Latn-ME"/>
        </w:rPr>
        <w:t xml:space="preserve">dozvoljene </w:t>
      </w:r>
      <w:r w:rsidRPr="006F34F9">
        <w:rPr>
          <w:szCs w:val="22"/>
          <w:lang w:val="sr-Latn-ME"/>
        </w:rPr>
        <w:t>istovremene stabilne doze oralnih aminosalicilata, kortikosteroida i/ili imunomodulatora.</w:t>
      </w:r>
    </w:p>
    <w:p w14:paraId="75402F06" w14:textId="77777777" w:rsidR="001B44E1" w:rsidRPr="006F34F9" w:rsidRDefault="001B44E1">
      <w:pPr>
        <w:pStyle w:val="Header"/>
        <w:rPr>
          <w:szCs w:val="22"/>
          <w:lang w:val="sr-Latn-ME"/>
        </w:rPr>
      </w:pPr>
    </w:p>
    <w:p w14:paraId="3A58DDE2" w14:textId="7CEDCB66" w:rsidR="001B44E1" w:rsidRPr="006F34F9" w:rsidRDefault="001B44E1">
      <w:pPr>
        <w:pStyle w:val="Header"/>
        <w:rPr>
          <w:szCs w:val="22"/>
          <w:lang w:val="sr-Latn-ME"/>
        </w:rPr>
      </w:pPr>
      <w:r w:rsidRPr="006F34F9">
        <w:rPr>
          <w:szCs w:val="22"/>
          <w:lang w:val="sr-Latn-ME"/>
        </w:rPr>
        <w:t>Za proc</w:t>
      </w:r>
      <w:r w:rsidR="00F816D3" w:rsidRPr="006F34F9">
        <w:rPr>
          <w:szCs w:val="22"/>
          <w:lang w:val="sr-Latn-ME"/>
        </w:rPr>
        <w:t>j</w:t>
      </w:r>
      <w:r w:rsidRPr="006F34F9">
        <w:rPr>
          <w:szCs w:val="22"/>
          <w:lang w:val="sr-Latn-ME"/>
        </w:rPr>
        <w:t xml:space="preserve">enu rezultata u 6. </w:t>
      </w:r>
      <w:r w:rsidR="0069571E" w:rsidRPr="006F34F9">
        <w:rPr>
          <w:szCs w:val="22"/>
          <w:lang w:val="sr-Latn-ME"/>
        </w:rPr>
        <w:t>nedjelji</w:t>
      </w:r>
      <w:r w:rsidRPr="006F34F9">
        <w:rPr>
          <w:szCs w:val="22"/>
          <w:lang w:val="sr-Latn-ME"/>
        </w:rPr>
        <w:t>, 374 pacijenta su dvostruko-</w:t>
      </w:r>
      <w:r w:rsidR="008062E2" w:rsidRPr="006F34F9">
        <w:rPr>
          <w:szCs w:val="22"/>
          <w:lang w:val="sr-Latn-ME"/>
        </w:rPr>
        <w:t>slijepo</w:t>
      </w:r>
      <w:r w:rsidRPr="006F34F9">
        <w:rPr>
          <w:szCs w:val="22"/>
          <w:lang w:val="sr-Latn-ME"/>
        </w:rPr>
        <w:t xml:space="preserve"> randomizovana (3:2) za primanje vedolizumaba 300 mg ili placeba u nultoj i drugoj </w:t>
      </w:r>
      <w:r w:rsidR="0069571E" w:rsidRPr="006F34F9">
        <w:rPr>
          <w:szCs w:val="22"/>
          <w:lang w:val="sr-Latn-ME"/>
        </w:rPr>
        <w:t>nedjelji</w:t>
      </w:r>
      <w:r w:rsidRPr="006F34F9">
        <w:rPr>
          <w:szCs w:val="22"/>
          <w:lang w:val="sr-Latn-ME"/>
        </w:rPr>
        <w:t xml:space="preserve">. Primarni parametar efikasnosti bio je </w:t>
      </w:r>
      <w:r w:rsidR="003D1FD7" w:rsidRPr="006F34F9">
        <w:rPr>
          <w:szCs w:val="22"/>
          <w:lang w:val="sr-Latn-ME"/>
        </w:rPr>
        <w:t>ud</w:t>
      </w:r>
      <w:r w:rsidR="00924E83" w:rsidRPr="006F34F9">
        <w:rPr>
          <w:szCs w:val="22"/>
          <w:lang w:val="sr-Latn-ME"/>
        </w:rPr>
        <w:t>i</w:t>
      </w:r>
      <w:r w:rsidR="003D1FD7" w:rsidRPr="006F34F9">
        <w:rPr>
          <w:szCs w:val="22"/>
          <w:lang w:val="sr-Latn-ME"/>
        </w:rPr>
        <w:t>o</w:t>
      </w:r>
      <w:r w:rsidRPr="006F34F9">
        <w:rPr>
          <w:szCs w:val="22"/>
          <w:lang w:val="sr-Latn-ME"/>
        </w:rPr>
        <w:t xml:space="preserve"> pacijenata sa kliničkim odgovorom (definisan kao smanjenje ukupne Mayo </w:t>
      </w:r>
      <w:r w:rsidR="0067327C" w:rsidRPr="006F34F9">
        <w:rPr>
          <w:szCs w:val="22"/>
          <w:lang w:val="sr-Latn-ME"/>
        </w:rPr>
        <w:t>ocjene</w:t>
      </w:r>
      <w:r w:rsidRPr="006F34F9">
        <w:rPr>
          <w:szCs w:val="22"/>
          <w:lang w:val="sr-Latn-ME"/>
        </w:rPr>
        <w:t xml:space="preserve"> za ≥</w:t>
      </w:r>
      <w:r w:rsidR="00EB503C">
        <w:rPr>
          <w:szCs w:val="22"/>
          <w:lang w:val="sr-Latn-ME"/>
        </w:rPr>
        <w:t xml:space="preserve"> </w:t>
      </w:r>
      <w:r w:rsidRPr="006F34F9">
        <w:rPr>
          <w:szCs w:val="22"/>
          <w:lang w:val="sr-Latn-ME"/>
        </w:rPr>
        <w:t>3 boda i ≥</w:t>
      </w:r>
      <w:r w:rsidR="00EB503C">
        <w:rPr>
          <w:szCs w:val="22"/>
          <w:lang w:val="sr-Latn-ME"/>
        </w:rPr>
        <w:t xml:space="preserve"> </w:t>
      </w:r>
      <w:r w:rsidRPr="006F34F9">
        <w:rPr>
          <w:szCs w:val="22"/>
          <w:lang w:val="sr-Latn-ME"/>
        </w:rPr>
        <w:t>30% od početnih vr</w:t>
      </w:r>
      <w:r w:rsidR="00924E83" w:rsidRPr="006F34F9">
        <w:rPr>
          <w:szCs w:val="22"/>
          <w:lang w:val="sr-Latn-ME"/>
        </w:rPr>
        <w:t>ij</w:t>
      </w:r>
      <w:r w:rsidRPr="006F34F9">
        <w:rPr>
          <w:szCs w:val="22"/>
          <w:lang w:val="sr-Latn-ME"/>
        </w:rPr>
        <w:t>ednosti sa dodatnim smanjenjem podrezultata rektalnog krvarenja od ≥</w:t>
      </w:r>
      <w:r w:rsidR="00EB503C">
        <w:rPr>
          <w:szCs w:val="22"/>
          <w:lang w:val="sr-Latn-ME"/>
        </w:rPr>
        <w:t xml:space="preserve"> </w:t>
      </w:r>
      <w:r w:rsidRPr="006F34F9">
        <w:rPr>
          <w:szCs w:val="22"/>
          <w:lang w:val="sr-Latn-ME"/>
        </w:rPr>
        <w:t>1 boda ili apsolutnim podrezultatom rektalnog krvarenja od ≤</w:t>
      </w:r>
      <w:r w:rsidR="00EB503C">
        <w:rPr>
          <w:szCs w:val="22"/>
          <w:lang w:val="sr-Latn-ME"/>
        </w:rPr>
        <w:t xml:space="preserve"> </w:t>
      </w:r>
      <w:r w:rsidRPr="006F34F9">
        <w:rPr>
          <w:szCs w:val="22"/>
          <w:lang w:val="sr-Latn-ME"/>
        </w:rPr>
        <w:t xml:space="preserve">1 boda) u 6. </w:t>
      </w:r>
      <w:r w:rsidR="0069571E" w:rsidRPr="006F34F9">
        <w:rPr>
          <w:szCs w:val="22"/>
          <w:lang w:val="sr-Latn-ME"/>
        </w:rPr>
        <w:t>nedjelji</w:t>
      </w:r>
      <w:r w:rsidRPr="006F34F9">
        <w:rPr>
          <w:szCs w:val="22"/>
          <w:lang w:val="sr-Latn-ME"/>
        </w:rPr>
        <w:t>. Tabela 2 prikazuje rezultate primarnih i sekundarnih parametara efikasnosti.</w:t>
      </w:r>
    </w:p>
    <w:tbl>
      <w:tblPr>
        <w:tblW w:w="0" w:type="auto"/>
        <w:tblInd w:w="-142" w:type="dxa"/>
        <w:tblLayout w:type="fixed"/>
        <w:tblLook w:val="04A0" w:firstRow="1" w:lastRow="0" w:firstColumn="1" w:lastColumn="0" w:noHBand="0" w:noVBand="1"/>
      </w:tblPr>
      <w:tblGrid>
        <w:gridCol w:w="2441"/>
        <w:gridCol w:w="2441"/>
        <w:gridCol w:w="2441"/>
      </w:tblGrid>
      <w:tr w:rsidR="001B44E1" w:rsidRPr="006F34F9" w14:paraId="661DB03F" w14:textId="77777777" w:rsidTr="00180C9F">
        <w:trPr>
          <w:trHeight w:val="147"/>
        </w:trPr>
        <w:tc>
          <w:tcPr>
            <w:tcW w:w="7323" w:type="dxa"/>
            <w:gridSpan w:val="3"/>
            <w:tcBorders>
              <w:top w:val="nil"/>
              <w:left w:val="nil"/>
              <w:bottom w:val="single" w:sz="4" w:space="0" w:color="auto"/>
              <w:right w:val="nil"/>
            </w:tcBorders>
            <w:hideMark/>
          </w:tcPr>
          <w:p w14:paraId="34377855" w14:textId="77777777" w:rsidR="00A41523" w:rsidRPr="006F34F9" w:rsidRDefault="00A41523">
            <w:pPr>
              <w:pStyle w:val="Header"/>
              <w:spacing w:before="80" w:after="80"/>
              <w:rPr>
                <w:b/>
                <w:bCs/>
                <w:szCs w:val="22"/>
                <w:lang w:val="sr-Latn-ME"/>
              </w:rPr>
            </w:pPr>
          </w:p>
          <w:p w14:paraId="38F9E6F2" w14:textId="6858DD87" w:rsidR="001B44E1" w:rsidRPr="006F34F9" w:rsidRDefault="001B44E1">
            <w:pPr>
              <w:pStyle w:val="Header"/>
              <w:spacing w:before="80" w:after="80"/>
              <w:rPr>
                <w:bCs/>
                <w:szCs w:val="22"/>
                <w:lang w:val="sr-Latn-ME"/>
              </w:rPr>
            </w:pPr>
            <w:r w:rsidRPr="006F34F9">
              <w:rPr>
                <w:b/>
                <w:bCs/>
                <w:szCs w:val="22"/>
                <w:lang w:val="sr-Latn-ME"/>
              </w:rPr>
              <w:t xml:space="preserve">Tabela 2. Rezultati efikasnosti u ispitivanju GEMINI I u 6. </w:t>
            </w:r>
            <w:r w:rsidR="0069571E" w:rsidRPr="006F34F9">
              <w:rPr>
                <w:b/>
                <w:bCs/>
                <w:szCs w:val="22"/>
                <w:lang w:val="sr-Latn-ME"/>
              </w:rPr>
              <w:t>nedjelji</w:t>
            </w:r>
            <w:r w:rsidRPr="006F34F9">
              <w:rPr>
                <w:b/>
                <w:bCs/>
                <w:szCs w:val="22"/>
                <w:lang w:val="sr-Latn-ME"/>
              </w:rPr>
              <w:t xml:space="preserve"> </w:t>
            </w:r>
          </w:p>
        </w:tc>
      </w:tr>
      <w:tr w:rsidR="001B44E1" w:rsidRPr="006F34F9" w14:paraId="2067A783" w14:textId="77777777" w:rsidTr="00180C9F">
        <w:trPr>
          <w:trHeight w:val="271"/>
        </w:trPr>
        <w:tc>
          <w:tcPr>
            <w:tcW w:w="2441" w:type="dxa"/>
            <w:tcBorders>
              <w:top w:val="single" w:sz="4" w:space="0" w:color="auto"/>
              <w:left w:val="nil"/>
              <w:bottom w:val="single" w:sz="4" w:space="0" w:color="auto"/>
              <w:right w:val="nil"/>
            </w:tcBorders>
            <w:hideMark/>
          </w:tcPr>
          <w:p w14:paraId="1BFF5507" w14:textId="77777777" w:rsidR="001B44E1" w:rsidRPr="006F34F9" w:rsidRDefault="001B44E1" w:rsidP="00E708C7">
            <w:pPr>
              <w:pStyle w:val="Header"/>
              <w:spacing w:before="80" w:after="80"/>
              <w:rPr>
                <w:bCs/>
                <w:szCs w:val="22"/>
                <w:lang w:val="sr-Latn-ME"/>
              </w:rPr>
            </w:pPr>
            <w:r w:rsidRPr="006F34F9">
              <w:rPr>
                <w:bCs/>
                <w:szCs w:val="22"/>
                <w:lang w:val="sr-Latn-ME"/>
              </w:rPr>
              <w:t xml:space="preserve">Ishod </w:t>
            </w:r>
          </w:p>
        </w:tc>
        <w:tc>
          <w:tcPr>
            <w:tcW w:w="2441" w:type="dxa"/>
            <w:tcBorders>
              <w:top w:val="single" w:sz="4" w:space="0" w:color="auto"/>
              <w:left w:val="nil"/>
              <w:bottom w:val="single" w:sz="4" w:space="0" w:color="auto"/>
              <w:right w:val="nil"/>
            </w:tcBorders>
            <w:hideMark/>
          </w:tcPr>
          <w:p w14:paraId="2D6DB5DA" w14:textId="77777777" w:rsidR="001B44E1" w:rsidRPr="006F34F9" w:rsidRDefault="001B44E1" w:rsidP="0066419A">
            <w:pPr>
              <w:pStyle w:val="Header"/>
              <w:spacing w:before="80" w:after="80"/>
              <w:jc w:val="center"/>
              <w:rPr>
                <w:bCs/>
                <w:szCs w:val="22"/>
                <w:lang w:val="sr-Latn-ME"/>
              </w:rPr>
            </w:pPr>
            <w:r w:rsidRPr="006F34F9">
              <w:rPr>
                <w:bCs/>
                <w:szCs w:val="22"/>
                <w:lang w:val="sr-Latn-ME"/>
              </w:rPr>
              <w:t>Placebo</w:t>
            </w:r>
          </w:p>
          <w:p w14:paraId="64E62A89" w14:textId="77777777" w:rsidR="001B44E1" w:rsidRPr="006F34F9" w:rsidRDefault="001B44E1" w:rsidP="0066419A">
            <w:pPr>
              <w:pStyle w:val="Header"/>
              <w:spacing w:before="80" w:after="80"/>
              <w:jc w:val="center"/>
              <w:rPr>
                <w:bCs/>
                <w:szCs w:val="22"/>
                <w:lang w:val="sr-Latn-ME"/>
              </w:rPr>
            </w:pPr>
            <w:r w:rsidRPr="006F34F9">
              <w:rPr>
                <w:bCs/>
                <w:szCs w:val="22"/>
                <w:lang w:val="sr-Latn-ME"/>
              </w:rPr>
              <w:t>N=149</w:t>
            </w:r>
          </w:p>
        </w:tc>
        <w:tc>
          <w:tcPr>
            <w:tcW w:w="2441" w:type="dxa"/>
            <w:tcBorders>
              <w:top w:val="single" w:sz="4" w:space="0" w:color="auto"/>
              <w:left w:val="nil"/>
              <w:bottom w:val="single" w:sz="4" w:space="0" w:color="auto"/>
              <w:right w:val="nil"/>
            </w:tcBorders>
            <w:hideMark/>
          </w:tcPr>
          <w:p w14:paraId="6CFAA867" w14:textId="77777777" w:rsidR="001B44E1" w:rsidRPr="006F34F9" w:rsidRDefault="001B44E1" w:rsidP="0066419A">
            <w:pPr>
              <w:pStyle w:val="Header"/>
              <w:spacing w:before="80" w:after="80"/>
              <w:jc w:val="center"/>
              <w:rPr>
                <w:bCs/>
                <w:szCs w:val="22"/>
                <w:lang w:val="sr-Latn-ME"/>
              </w:rPr>
            </w:pPr>
            <w:r w:rsidRPr="006F34F9">
              <w:rPr>
                <w:bCs/>
                <w:szCs w:val="22"/>
                <w:lang w:val="sr-Latn-ME"/>
              </w:rPr>
              <w:t>Vedolizumab</w:t>
            </w:r>
          </w:p>
          <w:p w14:paraId="671B6111" w14:textId="77777777" w:rsidR="001B44E1" w:rsidRPr="006F34F9" w:rsidRDefault="001B44E1" w:rsidP="0066419A">
            <w:pPr>
              <w:pStyle w:val="Header"/>
              <w:spacing w:before="80" w:after="80"/>
              <w:jc w:val="center"/>
              <w:rPr>
                <w:bCs/>
                <w:szCs w:val="22"/>
                <w:lang w:val="sr-Latn-ME"/>
              </w:rPr>
            </w:pPr>
            <w:r w:rsidRPr="006F34F9">
              <w:rPr>
                <w:bCs/>
                <w:szCs w:val="22"/>
                <w:lang w:val="sr-Latn-ME"/>
              </w:rPr>
              <w:t>N=225</w:t>
            </w:r>
          </w:p>
        </w:tc>
      </w:tr>
      <w:tr w:rsidR="001B44E1" w:rsidRPr="006F34F9" w14:paraId="17B97B1B" w14:textId="77777777" w:rsidTr="00180C9F">
        <w:trPr>
          <w:trHeight w:val="145"/>
        </w:trPr>
        <w:tc>
          <w:tcPr>
            <w:tcW w:w="2441" w:type="dxa"/>
            <w:tcBorders>
              <w:top w:val="single" w:sz="4" w:space="0" w:color="auto"/>
              <w:left w:val="nil"/>
              <w:bottom w:val="nil"/>
              <w:right w:val="nil"/>
            </w:tcBorders>
            <w:hideMark/>
          </w:tcPr>
          <w:p w14:paraId="43921A5E" w14:textId="77777777" w:rsidR="001B44E1" w:rsidRPr="006F34F9" w:rsidRDefault="001B44E1" w:rsidP="00E708C7">
            <w:pPr>
              <w:pStyle w:val="Header"/>
              <w:spacing w:before="80" w:after="80"/>
              <w:rPr>
                <w:bCs/>
                <w:szCs w:val="22"/>
                <w:lang w:val="sr-Latn-ME"/>
              </w:rPr>
            </w:pPr>
            <w:r w:rsidRPr="006F34F9">
              <w:rPr>
                <w:bCs/>
                <w:szCs w:val="22"/>
                <w:lang w:val="sr-Latn-ME"/>
              </w:rPr>
              <w:t xml:space="preserve">Klinički odgovor </w:t>
            </w:r>
          </w:p>
        </w:tc>
        <w:tc>
          <w:tcPr>
            <w:tcW w:w="2441" w:type="dxa"/>
            <w:tcBorders>
              <w:top w:val="single" w:sz="4" w:space="0" w:color="auto"/>
              <w:left w:val="nil"/>
              <w:bottom w:val="nil"/>
              <w:right w:val="nil"/>
            </w:tcBorders>
            <w:hideMark/>
          </w:tcPr>
          <w:p w14:paraId="570A5074" w14:textId="77777777" w:rsidR="001B44E1" w:rsidRPr="006F34F9" w:rsidRDefault="001B44E1" w:rsidP="0066419A">
            <w:pPr>
              <w:pStyle w:val="Header"/>
              <w:spacing w:before="80" w:after="80"/>
              <w:jc w:val="center"/>
              <w:rPr>
                <w:bCs/>
                <w:szCs w:val="22"/>
                <w:lang w:val="sr-Latn-ME"/>
              </w:rPr>
            </w:pPr>
            <w:r w:rsidRPr="006F34F9">
              <w:rPr>
                <w:bCs/>
                <w:szCs w:val="22"/>
                <w:lang w:val="sr-Latn-ME"/>
              </w:rPr>
              <w:t>26%</w:t>
            </w:r>
          </w:p>
        </w:tc>
        <w:tc>
          <w:tcPr>
            <w:tcW w:w="2441" w:type="dxa"/>
            <w:tcBorders>
              <w:top w:val="single" w:sz="4" w:space="0" w:color="auto"/>
              <w:left w:val="nil"/>
              <w:bottom w:val="nil"/>
              <w:right w:val="nil"/>
            </w:tcBorders>
            <w:hideMark/>
          </w:tcPr>
          <w:p w14:paraId="41BD56D8" w14:textId="77777777" w:rsidR="001B44E1" w:rsidRPr="006F34F9" w:rsidRDefault="001B44E1" w:rsidP="0066419A">
            <w:pPr>
              <w:pStyle w:val="Header"/>
              <w:spacing w:before="80" w:after="80"/>
              <w:jc w:val="center"/>
              <w:rPr>
                <w:bCs/>
                <w:szCs w:val="22"/>
                <w:lang w:val="sr-Latn-ME"/>
              </w:rPr>
            </w:pPr>
            <w:r w:rsidRPr="006F34F9">
              <w:rPr>
                <w:bCs/>
                <w:szCs w:val="22"/>
                <w:lang w:val="sr-Latn-ME"/>
              </w:rPr>
              <w:t>47%*</w:t>
            </w:r>
          </w:p>
        </w:tc>
      </w:tr>
      <w:tr w:rsidR="001B44E1" w:rsidRPr="006F34F9" w14:paraId="1EED85D0" w14:textId="77777777" w:rsidTr="00180C9F">
        <w:trPr>
          <w:trHeight w:val="154"/>
        </w:trPr>
        <w:tc>
          <w:tcPr>
            <w:tcW w:w="2441" w:type="dxa"/>
            <w:tcBorders>
              <w:top w:val="nil"/>
              <w:left w:val="nil"/>
              <w:bottom w:val="nil"/>
              <w:right w:val="nil"/>
            </w:tcBorders>
            <w:hideMark/>
          </w:tcPr>
          <w:p w14:paraId="41B47E18" w14:textId="77777777" w:rsidR="001B44E1" w:rsidRPr="006F34F9" w:rsidRDefault="001B44E1" w:rsidP="00E708C7">
            <w:pPr>
              <w:pStyle w:val="Header"/>
              <w:spacing w:before="80" w:after="80"/>
              <w:rPr>
                <w:bCs/>
                <w:szCs w:val="22"/>
                <w:lang w:val="sr-Latn-ME"/>
              </w:rPr>
            </w:pPr>
            <w:r w:rsidRPr="006F34F9">
              <w:rPr>
                <w:bCs/>
                <w:szCs w:val="22"/>
                <w:lang w:val="sr-Latn-ME"/>
              </w:rPr>
              <w:t xml:space="preserve">Klinička remisija§ </w:t>
            </w:r>
          </w:p>
        </w:tc>
        <w:tc>
          <w:tcPr>
            <w:tcW w:w="2441" w:type="dxa"/>
            <w:tcBorders>
              <w:top w:val="nil"/>
              <w:left w:val="nil"/>
              <w:bottom w:val="nil"/>
              <w:right w:val="nil"/>
            </w:tcBorders>
            <w:hideMark/>
          </w:tcPr>
          <w:p w14:paraId="44563CE7" w14:textId="77777777" w:rsidR="001B44E1" w:rsidRPr="006F34F9" w:rsidRDefault="001B44E1" w:rsidP="0066419A">
            <w:pPr>
              <w:pStyle w:val="Header"/>
              <w:spacing w:before="80" w:after="80"/>
              <w:jc w:val="center"/>
              <w:rPr>
                <w:bCs/>
                <w:szCs w:val="22"/>
                <w:lang w:val="sr-Latn-ME"/>
              </w:rPr>
            </w:pPr>
            <w:r w:rsidRPr="006F34F9">
              <w:rPr>
                <w:bCs/>
                <w:szCs w:val="22"/>
                <w:lang w:val="sr-Latn-ME"/>
              </w:rPr>
              <w:t>5%</w:t>
            </w:r>
          </w:p>
        </w:tc>
        <w:tc>
          <w:tcPr>
            <w:tcW w:w="2441" w:type="dxa"/>
            <w:tcBorders>
              <w:top w:val="nil"/>
              <w:left w:val="nil"/>
              <w:bottom w:val="nil"/>
              <w:right w:val="nil"/>
            </w:tcBorders>
            <w:hideMark/>
          </w:tcPr>
          <w:p w14:paraId="3B6B501F" w14:textId="77777777" w:rsidR="001B44E1" w:rsidRPr="006F34F9" w:rsidRDefault="001B44E1" w:rsidP="0066419A">
            <w:pPr>
              <w:pStyle w:val="Header"/>
              <w:spacing w:before="80" w:after="80"/>
              <w:jc w:val="center"/>
              <w:rPr>
                <w:bCs/>
                <w:szCs w:val="22"/>
                <w:lang w:val="sr-Latn-ME"/>
              </w:rPr>
            </w:pPr>
            <w:r w:rsidRPr="006F34F9">
              <w:rPr>
                <w:bCs/>
                <w:szCs w:val="22"/>
                <w:lang w:val="sr-Latn-ME"/>
              </w:rPr>
              <w:t>17%†</w:t>
            </w:r>
          </w:p>
        </w:tc>
      </w:tr>
      <w:tr w:rsidR="001B44E1" w:rsidRPr="006F34F9" w14:paraId="1F31472C" w14:textId="77777777" w:rsidTr="00180C9F">
        <w:trPr>
          <w:trHeight w:val="154"/>
        </w:trPr>
        <w:tc>
          <w:tcPr>
            <w:tcW w:w="2441" w:type="dxa"/>
            <w:tcBorders>
              <w:top w:val="nil"/>
              <w:left w:val="nil"/>
              <w:bottom w:val="single" w:sz="4" w:space="0" w:color="auto"/>
              <w:right w:val="nil"/>
            </w:tcBorders>
            <w:hideMark/>
          </w:tcPr>
          <w:p w14:paraId="19333A28" w14:textId="2D4D0E37" w:rsidR="001B44E1" w:rsidRPr="006F34F9" w:rsidRDefault="0067327C" w:rsidP="00E708C7">
            <w:pPr>
              <w:pStyle w:val="Header"/>
              <w:spacing w:before="80" w:after="80"/>
              <w:rPr>
                <w:bCs/>
                <w:szCs w:val="22"/>
                <w:lang w:val="sr-Latn-ME"/>
              </w:rPr>
            </w:pPr>
            <w:r w:rsidRPr="006F34F9">
              <w:rPr>
                <w:bCs/>
                <w:szCs w:val="22"/>
                <w:lang w:val="sr-Latn-ME"/>
              </w:rPr>
              <w:t>Za</w:t>
            </w:r>
            <w:r w:rsidR="00944C83" w:rsidRPr="006F34F9">
              <w:rPr>
                <w:bCs/>
                <w:szCs w:val="22"/>
                <w:lang w:val="sr-Latn-ME"/>
              </w:rPr>
              <w:t>cj</w:t>
            </w:r>
            <w:r w:rsidRPr="006F34F9">
              <w:rPr>
                <w:bCs/>
                <w:szCs w:val="22"/>
                <w:lang w:val="sr-Latn-ME"/>
              </w:rPr>
              <w:t>e</w:t>
            </w:r>
            <w:r w:rsidR="00944C83" w:rsidRPr="006F34F9">
              <w:rPr>
                <w:bCs/>
                <w:szCs w:val="22"/>
                <w:lang w:val="sr-Latn-ME"/>
              </w:rPr>
              <w:t>ljiva</w:t>
            </w:r>
            <w:r w:rsidRPr="006F34F9">
              <w:rPr>
                <w:bCs/>
                <w:szCs w:val="22"/>
                <w:lang w:val="sr-Latn-ME"/>
              </w:rPr>
              <w:t>nje</w:t>
            </w:r>
            <w:r w:rsidR="001B44E1" w:rsidRPr="006F34F9">
              <w:rPr>
                <w:bCs/>
                <w:szCs w:val="22"/>
                <w:lang w:val="sr-Latn-ME"/>
              </w:rPr>
              <w:t xml:space="preserve"> sluzokože¶ </w:t>
            </w:r>
          </w:p>
        </w:tc>
        <w:tc>
          <w:tcPr>
            <w:tcW w:w="2441" w:type="dxa"/>
            <w:tcBorders>
              <w:top w:val="nil"/>
              <w:left w:val="nil"/>
              <w:bottom w:val="single" w:sz="4" w:space="0" w:color="auto"/>
              <w:right w:val="nil"/>
            </w:tcBorders>
            <w:hideMark/>
          </w:tcPr>
          <w:p w14:paraId="5D4ACFD8" w14:textId="77777777" w:rsidR="001B44E1" w:rsidRPr="006F34F9" w:rsidRDefault="001B44E1" w:rsidP="0066419A">
            <w:pPr>
              <w:pStyle w:val="Header"/>
              <w:spacing w:before="80" w:after="80"/>
              <w:jc w:val="center"/>
              <w:rPr>
                <w:bCs/>
                <w:szCs w:val="22"/>
                <w:lang w:val="sr-Latn-ME"/>
              </w:rPr>
            </w:pPr>
            <w:r w:rsidRPr="006F34F9">
              <w:rPr>
                <w:bCs/>
                <w:szCs w:val="22"/>
                <w:lang w:val="sr-Latn-ME"/>
              </w:rPr>
              <w:t>25%</w:t>
            </w:r>
          </w:p>
        </w:tc>
        <w:tc>
          <w:tcPr>
            <w:tcW w:w="2441" w:type="dxa"/>
            <w:tcBorders>
              <w:top w:val="nil"/>
              <w:left w:val="nil"/>
              <w:bottom w:val="single" w:sz="4" w:space="0" w:color="auto"/>
              <w:right w:val="nil"/>
            </w:tcBorders>
            <w:hideMark/>
          </w:tcPr>
          <w:p w14:paraId="1A147DF8" w14:textId="77777777" w:rsidR="001B44E1" w:rsidRPr="006F34F9" w:rsidRDefault="001B44E1" w:rsidP="0066419A">
            <w:pPr>
              <w:pStyle w:val="Header"/>
              <w:spacing w:before="80" w:after="80"/>
              <w:jc w:val="center"/>
              <w:rPr>
                <w:bCs/>
                <w:szCs w:val="22"/>
                <w:lang w:val="sr-Latn-ME"/>
              </w:rPr>
            </w:pPr>
            <w:r w:rsidRPr="006F34F9">
              <w:rPr>
                <w:bCs/>
                <w:szCs w:val="22"/>
                <w:lang w:val="sr-Latn-ME"/>
              </w:rPr>
              <w:t>41%‡</w:t>
            </w:r>
          </w:p>
        </w:tc>
      </w:tr>
      <w:tr w:rsidR="001B44E1" w:rsidRPr="006F34F9" w14:paraId="1B798DE4" w14:textId="77777777" w:rsidTr="00180C9F">
        <w:trPr>
          <w:trHeight w:val="777"/>
        </w:trPr>
        <w:tc>
          <w:tcPr>
            <w:tcW w:w="7323" w:type="dxa"/>
            <w:gridSpan w:val="3"/>
            <w:tcBorders>
              <w:top w:val="nil"/>
              <w:left w:val="nil"/>
              <w:bottom w:val="nil"/>
              <w:right w:val="nil"/>
            </w:tcBorders>
            <w:hideMark/>
          </w:tcPr>
          <w:p w14:paraId="40841FAD" w14:textId="09B174DB" w:rsidR="001B44E1" w:rsidRPr="0066419A" w:rsidRDefault="001B44E1" w:rsidP="00E708C7">
            <w:pPr>
              <w:pStyle w:val="Header"/>
              <w:spacing w:before="80" w:after="80"/>
              <w:rPr>
                <w:bCs/>
                <w:sz w:val="20"/>
                <w:szCs w:val="20"/>
                <w:lang w:val="sr-Latn-ME"/>
              </w:rPr>
            </w:pPr>
            <w:r w:rsidRPr="0066419A">
              <w:rPr>
                <w:bCs/>
                <w:sz w:val="20"/>
                <w:szCs w:val="20"/>
                <w:lang w:val="sr-Latn-ME"/>
              </w:rPr>
              <w:t>*p</w:t>
            </w:r>
            <w:r w:rsidR="00EB503C">
              <w:rPr>
                <w:bCs/>
                <w:sz w:val="20"/>
                <w:szCs w:val="20"/>
                <w:lang w:val="sr-Latn-ME"/>
              </w:rPr>
              <w:t xml:space="preserve"> </w:t>
            </w:r>
            <w:r w:rsidRPr="0066419A">
              <w:rPr>
                <w:bCs/>
                <w:sz w:val="20"/>
                <w:szCs w:val="20"/>
                <w:lang w:val="sr-Latn-ME"/>
              </w:rPr>
              <w:t>&lt;</w:t>
            </w:r>
            <w:r w:rsidR="00EB503C">
              <w:rPr>
                <w:bCs/>
                <w:sz w:val="20"/>
                <w:szCs w:val="20"/>
                <w:lang w:val="sr-Latn-ME"/>
              </w:rPr>
              <w:t xml:space="preserve"> </w:t>
            </w:r>
            <w:r w:rsidRPr="0066419A">
              <w:rPr>
                <w:bCs/>
                <w:sz w:val="20"/>
                <w:szCs w:val="20"/>
                <w:lang w:val="sr-Latn-ME"/>
              </w:rPr>
              <w:t xml:space="preserve">0,0001 </w:t>
            </w:r>
          </w:p>
          <w:p w14:paraId="27C00EA2" w14:textId="65F38EB0" w:rsidR="001B44E1" w:rsidRPr="0066419A" w:rsidRDefault="001B44E1" w:rsidP="00E708C7">
            <w:pPr>
              <w:pStyle w:val="Header"/>
              <w:spacing w:before="80" w:after="80"/>
              <w:rPr>
                <w:bCs/>
                <w:sz w:val="20"/>
                <w:szCs w:val="20"/>
                <w:lang w:val="sr-Latn-ME"/>
              </w:rPr>
            </w:pPr>
            <w:r w:rsidRPr="0066419A">
              <w:rPr>
                <w:bCs/>
                <w:sz w:val="20"/>
                <w:szCs w:val="20"/>
                <w:lang w:val="sr-Latn-ME"/>
              </w:rPr>
              <w:t>†p</w:t>
            </w:r>
            <w:r w:rsidR="00EB503C">
              <w:rPr>
                <w:bCs/>
                <w:sz w:val="20"/>
                <w:szCs w:val="20"/>
                <w:lang w:val="sr-Latn-ME"/>
              </w:rPr>
              <w:t xml:space="preserve"> </w:t>
            </w:r>
            <w:r w:rsidRPr="0066419A">
              <w:rPr>
                <w:bCs/>
                <w:sz w:val="20"/>
                <w:szCs w:val="20"/>
                <w:lang w:val="sr-Latn-ME"/>
              </w:rPr>
              <w:t>≤</w:t>
            </w:r>
            <w:r w:rsidR="00EB503C">
              <w:rPr>
                <w:bCs/>
                <w:sz w:val="20"/>
                <w:szCs w:val="20"/>
                <w:lang w:val="sr-Latn-ME"/>
              </w:rPr>
              <w:t xml:space="preserve"> </w:t>
            </w:r>
            <w:r w:rsidRPr="0066419A">
              <w:rPr>
                <w:bCs/>
                <w:sz w:val="20"/>
                <w:szCs w:val="20"/>
                <w:lang w:val="sr-Latn-ME"/>
              </w:rPr>
              <w:t xml:space="preserve">0,001 </w:t>
            </w:r>
          </w:p>
          <w:p w14:paraId="0DFE2E14" w14:textId="3E1FCF52" w:rsidR="001B44E1" w:rsidRPr="0066419A" w:rsidRDefault="001B44E1" w:rsidP="00E708C7">
            <w:pPr>
              <w:pStyle w:val="Header"/>
              <w:spacing w:before="80" w:after="80"/>
              <w:rPr>
                <w:bCs/>
                <w:sz w:val="20"/>
                <w:szCs w:val="20"/>
                <w:lang w:val="sr-Latn-ME"/>
              </w:rPr>
            </w:pPr>
            <w:r w:rsidRPr="0066419A">
              <w:rPr>
                <w:bCs/>
                <w:sz w:val="20"/>
                <w:szCs w:val="20"/>
                <w:lang w:val="sr-Latn-ME"/>
              </w:rPr>
              <w:t>‡p</w:t>
            </w:r>
            <w:r w:rsidR="00EB503C">
              <w:rPr>
                <w:bCs/>
                <w:sz w:val="20"/>
                <w:szCs w:val="20"/>
                <w:lang w:val="sr-Latn-ME"/>
              </w:rPr>
              <w:t xml:space="preserve"> </w:t>
            </w:r>
            <w:r w:rsidRPr="0066419A">
              <w:rPr>
                <w:bCs/>
                <w:sz w:val="20"/>
                <w:szCs w:val="20"/>
                <w:lang w:val="sr-Latn-ME"/>
              </w:rPr>
              <w:t>&lt;</w:t>
            </w:r>
            <w:r w:rsidR="00EB503C">
              <w:rPr>
                <w:bCs/>
                <w:sz w:val="20"/>
                <w:szCs w:val="20"/>
                <w:lang w:val="sr-Latn-ME"/>
              </w:rPr>
              <w:t xml:space="preserve"> </w:t>
            </w:r>
            <w:r w:rsidRPr="0066419A">
              <w:rPr>
                <w:bCs/>
                <w:sz w:val="20"/>
                <w:szCs w:val="20"/>
                <w:lang w:val="sr-Latn-ME"/>
              </w:rPr>
              <w:t xml:space="preserve">0,05 </w:t>
            </w:r>
          </w:p>
          <w:p w14:paraId="6B3A64D8" w14:textId="389D13FE" w:rsidR="001B44E1" w:rsidRPr="0066419A" w:rsidRDefault="001B44E1" w:rsidP="00E708C7">
            <w:pPr>
              <w:pStyle w:val="Header"/>
              <w:spacing w:before="80" w:after="80"/>
              <w:rPr>
                <w:bCs/>
                <w:sz w:val="20"/>
                <w:szCs w:val="20"/>
                <w:lang w:val="sr-Latn-ME"/>
              </w:rPr>
            </w:pPr>
            <w:r w:rsidRPr="0066419A">
              <w:rPr>
                <w:bCs/>
                <w:sz w:val="20"/>
                <w:szCs w:val="20"/>
                <w:lang w:val="sr-Latn-ME"/>
              </w:rPr>
              <w:t xml:space="preserve">§Klinička remisija: Ukupna Mayo </w:t>
            </w:r>
            <w:r w:rsidR="003D1FD7" w:rsidRPr="0066419A">
              <w:rPr>
                <w:bCs/>
                <w:sz w:val="20"/>
                <w:szCs w:val="20"/>
                <w:lang w:val="sr-Latn-ME"/>
              </w:rPr>
              <w:t>ocjena</w:t>
            </w:r>
            <w:r w:rsidRPr="0066419A">
              <w:rPr>
                <w:bCs/>
                <w:sz w:val="20"/>
                <w:szCs w:val="20"/>
                <w:lang w:val="sr-Latn-ME"/>
              </w:rPr>
              <w:t xml:space="preserve"> ≤</w:t>
            </w:r>
            <w:r w:rsidR="00EB503C">
              <w:rPr>
                <w:bCs/>
                <w:sz w:val="20"/>
                <w:szCs w:val="20"/>
                <w:lang w:val="sr-Latn-ME"/>
              </w:rPr>
              <w:t xml:space="preserve"> </w:t>
            </w:r>
            <w:r w:rsidRPr="0066419A">
              <w:rPr>
                <w:bCs/>
                <w:sz w:val="20"/>
                <w:szCs w:val="20"/>
                <w:lang w:val="sr-Latn-ME"/>
              </w:rPr>
              <w:t xml:space="preserve">2 boda i bez individualnog podrezultata &gt;1 boda </w:t>
            </w:r>
          </w:p>
          <w:p w14:paraId="3A3B996C" w14:textId="2C646B9E" w:rsidR="001B44E1" w:rsidRPr="006F34F9" w:rsidRDefault="0067327C" w:rsidP="00E708C7">
            <w:pPr>
              <w:pStyle w:val="Header"/>
              <w:spacing w:before="80" w:after="80"/>
              <w:rPr>
                <w:bCs/>
                <w:szCs w:val="22"/>
                <w:lang w:val="sr-Latn-ME"/>
              </w:rPr>
            </w:pPr>
            <w:r w:rsidRPr="0066419A">
              <w:rPr>
                <w:bCs/>
                <w:sz w:val="20"/>
                <w:szCs w:val="20"/>
                <w:lang w:val="sr-Latn-ME"/>
              </w:rPr>
              <w:t>Za</w:t>
            </w:r>
            <w:r w:rsidR="007459C2" w:rsidRPr="0066419A">
              <w:rPr>
                <w:bCs/>
                <w:sz w:val="20"/>
                <w:szCs w:val="20"/>
                <w:lang w:val="sr-Latn-ME"/>
              </w:rPr>
              <w:t>cje</w:t>
            </w:r>
            <w:r w:rsidRPr="0066419A">
              <w:rPr>
                <w:bCs/>
                <w:sz w:val="20"/>
                <w:szCs w:val="20"/>
                <w:lang w:val="sr-Latn-ME"/>
              </w:rPr>
              <w:t>lj</w:t>
            </w:r>
            <w:r w:rsidR="007459C2" w:rsidRPr="0066419A">
              <w:rPr>
                <w:bCs/>
                <w:sz w:val="20"/>
                <w:szCs w:val="20"/>
                <w:lang w:val="sr-Latn-ME"/>
              </w:rPr>
              <w:t>iva</w:t>
            </w:r>
            <w:r w:rsidRPr="0066419A">
              <w:rPr>
                <w:bCs/>
                <w:sz w:val="20"/>
                <w:szCs w:val="20"/>
                <w:lang w:val="sr-Latn-ME"/>
              </w:rPr>
              <w:t>nje</w:t>
            </w:r>
            <w:r w:rsidR="001B44E1" w:rsidRPr="0066419A">
              <w:rPr>
                <w:bCs/>
                <w:sz w:val="20"/>
                <w:szCs w:val="20"/>
                <w:lang w:val="sr-Latn-ME"/>
              </w:rPr>
              <w:t xml:space="preserve"> sluznice: Mayo endoskopski podrezultat  ≤</w:t>
            </w:r>
            <w:r w:rsidR="00EB503C">
              <w:rPr>
                <w:bCs/>
                <w:sz w:val="20"/>
                <w:szCs w:val="20"/>
                <w:lang w:val="sr-Latn-ME"/>
              </w:rPr>
              <w:t xml:space="preserve"> </w:t>
            </w:r>
            <w:r w:rsidR="001B44E1" w:rsidRPr="0066419A">
              <w:rPr>
                <w:bCs/>
                <w:sz w:val="20"/>
                <w:szCs w:val="20"/>
                <w:lang w:val="sr-Latn-ME"/>
              </w:rPr>
              <w:t>1 boda</w:t>
            </w:r>
            <w:r w:rsidR="001B44E1" w:rsidRPr="006F34F9">
              <w:rPr>
                <w:bCs/>
                <w:szCs w:val="22"/>
                <w:lang w:val="sr-Latn-ME"/>
              </w:rPr>
              <w:t xml:space="preserve"> </w:t>
            </w:r>
          </w:p>
        </w:tc>
      </w:tr>
    </w:tbl>
    <w:p w14:paraId="21452C83" w14:textId="77777777" w:rsidR="001B44E1" w:rsidRPr="006F34F9" w:rsidRDefault="001B44E1" w:rsidP="00E708C7">
      <w:pPr>
        <w:pStyle w:val="Header"/>
        <w:tabs>
          <w:tab w:val="left" w:pos="284"/>
        </w:tabs>
        <w:rPr>
          <w:szCs w:val="22"/>
          <w:lang w:val="sr-Latn-ME"/>
        </w:rPr>
      </w:pPr>
    </w:p>
    <w:p w14:paraId="75C95868" w14:textId="0578A158" w:rsidR="001B44E1" w:rsidRPr="006F34F9" w:rsidRDefault="001B44E1" w:rsidP="00180C9F">
      <w:pPr>
        <w:pStyle w:val="Header"/>
        <w:spacing w:before="80"/>
        <w:rPr>
          <w:bCs/>
          <w:szCs w:val="22"/>
          <w:lang w:val="sr-Latn-ME"/>
        </w:rPr>
      </w:pPr>
      <w:r w:rsidRPr="006F34F9">
        <w:rPr>
          <w:bCs/>
          <w:szCs w:val="22"/>
          <w:lang w:val="sr-Latn-ME"/>
        </w:rPr>
        <w:t xml:space="preserve">Povoljni uticaj vedolizumaba na klinički odgovor, remisiju i </w:t>
      </w:r>
      <w:r w:rsidR="0067327C" w:rsidRPr="006F34F9">
        <w:rPr>
          <w:bCs/>
          <w:szCs w:val="22"/>
          <w:lang w:val="sr-Latn-ME"/>
        </w:rPr>
        <w:t>zalječenje</w:t>
      </w:r>
      <w:r w:rsidRPr="006F34F9">
        <w:rPr>
          <w:bCs/>
          <w:szCs w:val="22"/>
          <w:lang w:val="sr-Latn-ME"/>
        </w:rPr>
        <w:t xml:space="preserve"> sluznice uočen je i kod pacijenata koji ni</w:t>
      </w:r>
      <w:r w:rsidR="00924E83" w:rsidRPr="006F34F9">
        <w:rPr>
          <w:bCs/>
          <w:szCs w:val="22"/>
          <w:lang w:val="sr-Latn-ME"/>
        </w:rPr>
        <w:t>je</w:t>
      </w:r>
      <w:r w:rsidRPr="006F34F9">
        <w:rPr>
          <w:bCs/>
          <w:szCs w:val="22"/>
          <w:lang w:val="sr-Latn-ME"/>
        </w:rPr>
        <w:t xml:space="preserve">su </w:t>
      </w:r>
      <w:r w:rsidR="00B148F2" w:rsidRPr="006F34F9">
        <w:rPr>
          <w:bCs/>
          <w:szCs w:val="22"/>
          <w:lang w:val="sr-Latn-ME"/>
        </w:rPr>
        <w:t>prethodno</w:t>
      </w:r>
      <w:r w:rsidRPr="006F34F9">
        <w:rPr>
          <w:bCs/>
          <w:szCs w:val="22"/>
          <w:lang w:val="sr-Latn-ME"/>
        </w:rPr>
        <w:t xml:space="preserve"> uzimali antagoniste TNFα kao i kod onih sa </w:t>
      </w:r>
      <w:r w:rsidR="0067327C" w:rsidRPr="006F34F9">
        <w:rPr>
          <w:bCs/>
          <w:szCs w:val="22"/>
          <w:lang w:val="sr-Latn-ME"/>
        </w:rPr>
        <w:t>neuspješnom</w:t>
      </w:r>
      <w:r w:rsidRPr="006F34F9">
        <w:rPr>
          <w:bCs/>
          <w:szCs w:val="22"/>
          <w:lang w:val="sr-Latn-ME"/>
        </w:rPr>
        <w:t xml:space="preserve"> </w:t>
      </w:r>
      <w:r w:rsidR="00B148F2" w:rsidRPr="006F34F9">
        <w:rPr>
          <w:bCs/>
          <w:szCs w:val="22"/>
          <w:lang w:val="sr-Latn-ME"/>
        </w:rPr>
        <w:t>prethodno</w:t>
      </w:r>
      <w:r w:rsidRPr="006F34F9">
        <w:rPr>
          <w:bCs/>
          <w:szCs w:val="22"/>
          <w:lang w:val="sr-Latn-ME"/>
        </w:rPr>
        <w:t>m terapijom TNFα antagonistima.</w:t>
      </w:r>
    </w:p>
    <w:p w14:paraId="48517E2C" w14:textId="77777777" w:rsidR="001B44E1" w:rsidRPr="006F34F9" w:rsidRDefault="001B44E1" w:rsidP="00180C9F">
      <w:pPr>
        <w:pStyle w:val="Header"/>
        <w:rPr>
          <w:bCs/>
          <w:szCs w:val="22"/>
          <w:lang w:val="sr-Latn-ME"/>
        </w:rPr>
      </w:pPr>
    </w:p>
    <w:p w14:paraId="79624981" w14:textId="46DEBCB3" w:rsidR="001B44E1" w:rsidRPr="006F34F9" w:rsidRDefault="001B44E1" w:rsidP="00E708C7">
      <w:pPr>
        <w:pStyle w:val="Header"/>
        <w:spacing w:before="80" w:after="80"/>
        <w:rPr>
          <w:bCs/>
          <w:szCs w:val="22"/>
          <w:lang w:val="sr-Latn-ME"/>
        </w:rPr>
      </w:pPr>
      <w:r w:rsidRPr="006F34F9">
        <w:rPr>
          <w:bCs/>
          <w:szCs w:val="22"/>
          <w:lang w:val="sr-Latn-ME"/>
        </w:rPr>
        <w:t>U ispitivanju GEMINI I</w:t>
      </w:r>
      <w:r w:rsidR="00EB503C">
        <w:rPr>
          <w:bCs/>
          <w:szCs w:val="22"/>
          <w:lang w:val="sr-Latn-ME"/>
        </w:rPr>
        <w:t>,</w:t>
      </w:r>
      <w:r w:rsidRPr="006F34F9">
        <w:rPr>
          <w:bCs/>
          <w:szCs w:val="22"/>
          <w:lang w:val="sr-Latn-ME"/>
        </w:rPr>
        <w:t xml:space="preserve"> dv</w:t>
      </w:r>
      <w:r w:rsidR="0067327C" w:rsidRPr="006F34F9">
        <w:rPr>
          <w:bCs/>
          <w:szCs w:val="22"/>
          <w:lang w:val="sr-Latn-ME"/>
        </w:rPr>
        <w:t>ij</w:t>
      </w:r>
      <w:r w:rsidRPr="006F34F9">
        <w:rPr>
          <w:bCs/>
          <w:szCs w:val="22"/>
          <w:lang w:val="sr-Latn-ME"/>
        </w:rPr>
        <w:t xml:space="preserve">e kohorte pacijenata primile su vedolizumab u nultoj i drugoj </w:t>
      </w:r>
      <w:r w:rsidR="0069571E" w:rsidRPr="006F34F9">
        <w:rPr>
          <w:bCs/>
          <w:szCs w:val="22"/>
          <w:lang w:val="sr-Latn-ME"/>
        </w:rPr>
        <w:t>nedjelji</w:t>
      </w:r>
      <w:r w:rsidRPr="006F34F9">
        <w:rPr>
          <w:bCs/>
          <w:szCs w:val="22"/>
          <w:lang w:val="sr-Latn-ME"/>
        </w:rPr>
        <w:t>: u kohorti 1 pacijenti su dvostruko-</w:t>
      </w:r>
      <w:r w:rsidR="008062E2" w:rsidRPr="006F34F9">
        <w:rPr>
          <w:bCs/>
          <w:szCs w:val="22"/>
          <w:lang w:val="sr-Latn-ME"/>
        </w:rPr>
        <w:t>slijepo</w:t>
      </w:r>
      <w:r w:rsidRPr="006F34F9">
        <w:rPr>
          <w:bCs/>
          <w:szCs w:val="22"/>
          <w:lang w:val="sr-Latn-ME"/>
        </w:rPr>
        <w:t xml:space="preserve"> randomizovani za primanje vedolizumaba 300 mg ili placeba, a pacijenti iz kohorte 2 su otvoreno l</w:t>
      </w:r>
      <w:r w:rsidR="0067327C" w:rsidRPr="006F34F9">
        <w:rPr>
          <w:bCs/>
          <w:szCs w:val="22"/>
          <w:lang w:val="sr-Latn-ME"/>
        </w:rPr>
        <w:t>ij</w:t>
      </w:r>
      <w:r w:rsidRPr="006F34F9">
        <w:rPr>
          <w:bCs/>
          <w:szCs w:val="22"/>
          <w:lang w:val="sr-Latn-ME"/>
        </w:rPr>
        <w:t>ečeni vedolizumabom 300 mg. Za proc</w:t>
      </w:r>
      <w:r w:rsidR="00924E83" w:rsidRPr="006F34F9">
        <w:rPr>
          <w:bCs/>
          <w:szCs w:val="22"/>
          <w:lang w:val="sr-Latn-ME"/>
        </w:rPr>
        <w:t>j</w:t>
      </w:r>
      <w:r w:rsidRPr="006F34F9">
        <w:rPr>
          <w:bCs/>
          <w:szCs w:val="22"/>
          <w:lang w:val="sr-Latn-ME"/>
        </w:rPr>
        <w:t xml:space="preserve">enu efikasnosti u 52. </w:t>
      </w:r>
      <w:r w:rsidR="0069571E" w:rsidRPr="006F34F9">
        <w:rPr>
          <w:bCs/>
          <w:szCs w:val="22"/>
          <w:lang w:val="sr-Latn-ME"/>
        </w:rPr>
        <w:t>nedjelji</w:t>
      </w:r>
      <w:r w:rsidRPr="006F34F9">
        <w:rPr>
          <w:bCs/>
          <w:szCs w:val="22"/>
          <w:lang w:val="sr-Latn-ME"/>
        </w:rPr>
        <w:t>, 373 pacijenta iz kohorte 1 i 2 koji su l</w:t>
      </w:r>
      <w:r w:rsidR="0067327C" w:rsidRPr="006F34F9">
        <w:rPr>
          <w:bCs/>
          <w:szCs w:val="22"/>
          <w:lang w:val="sr-Latn-ME"/>
        </w:rPr>
        <w:t>ij</w:t>
      </w:r>
      <w:r w:rsidRPr="006F34F9">
        <w:rPr>
          <w:bCs/>
          <w:szCs w:val="22"/>
          <w:lang w:val="sr-Latn-ME"/>
        </w:rPr>
        <w:t xml:space="preserve">ečeni vedolizumabom i koji su postigli klinički odgovor u 6. </w:t>
      </w:r>
      <w:r w:rsidR="0069571E" w:rsidRPr="006F34F9">
        <w:rPr>
          <w:bCs/>
          <w:szCs w:val="22"/>
          <w:lang w:val="sr-Latn-ME"/>
        </w:rPr>
        <w:t>nedjelji</w:t>
      </w:r>
      <w:r w:rsidRPr="006F34F9">
        <w:rPr>
          <w:bCs/>
          <w:szCs w:val="22"/>
          <w:lang w:val="sr-Latn-ME"/>
        </w:rPr>
        <w:t xml:space="preserve"> randomizovani su na dvostruko-sl</w:t>
      </w:r>
      <w:r w:rsidR="0067327C" w:rsidRPr="006F34F9">
        <w:rPr>
          <w:bCs/>
          <w:szCs w:val="22"/>
          <w:lang w:val="sr-Latn-ME"/>
        </w:rPr>
        <w:t>ij</w:t>
      </w:r>
      <w:r w:rsidRPr="006F34F9">
        <w:rPr>
          <w:bCs/>
          <w:szCs w:val="22"/>
          <w:lang w:val="sr-Latn-ME"/>
        </w:rPr>
        <w:t>epi način (1:1:1) za jedan od sl</w:t>
      </w:r>
      <w:r w:rsidR="00924E83" w:rsidRPr="006F34F9">
        <w:rPr>
          <w:bCs/>
          <w:szCs w:val="22"/>
          <w:lang w:val="sr-Latn-ME"/>
        </w:rPr>
        <w:t>j</w:t>
      </w:r>
      <w:r w:rsidRPr="006F34F9">
        <w:rPr>
          <w:bCs/>
          <w:szCs w:val="22"/>
          <w:lang w:val="sr-Latn-ME"/>
        </w:rPr>
        <w:t xml:space="preserve">edećih režima počevši od 6. </w:t>
      </w:r>
      <w:r w:rsidR="00A22425" w:rsidRPr="006F34F9">
        <w:rPr>
          <w:bCs/>
          <w:szCs w:val="22"/>
          <w:lang w:val="sr-Latn-ME"/>
        </w:rPr>
        <w:t>nedjelje</w:t>
      </w:r>
      <w:r w:rsidRPr="006F34F9">
        <w:rPr>
          <w:bCs/>
          <w:szCs w:val="22"/>
          <w:lang w:val="sr-Latn-ME"/>
        </w:rPr>
        <w:t xml:space="preserve">: vedolizumab 300 mg svake osme </w:t>
      </w:r>
      <w:r w:rsidR="00A22425" w:rsidRPr="006F34F9">
        <w:rPr>
          <w:bCs/>
          <w:szCs w:val="22"/>
          <w:lang w:val="sr-Latn-ME"/>
        </w:rPr>
        <w:t>nedjelje</w:t>
      </w:r>
      <w:r w:rsidRPr="006F34F9">
        <w:rPr>
          <w:bCs/>
          <w:szCs w:val="22"/>
          <w:lang w:val="sr-Latn-ME"/>
        </w:rPr>
        <w:t xml:space="preserve">, vedolizumab 300 mg svake četvrte </w:t>
      </w:r>
      <w:r w:rsidR="00A22425" w:rsidRPr="006F34F9">
        <w:rPr>
          <w:bCs/>
          <w:szCs w:val="22"/>
          <w:lang w:val="sr-Latn-ME"/>
        </w:rPr>
        <w:t>nedjelje</w:t>
      </w:r>
      <w:r w:rsidRPr="006F34F9">
        <w:rPr>
          <w:bCs/>
          <w:szCs w:val="22"/>
          <w:lang w:val="sr-Latn-ME"/>
        </w:rPr>
        <w:t xml:space="preserve"> ili placebo svake četvrte </w:t>
      </w:r>
      <w:r w:rsidR="00A22425" w:rsidRPr="006F34F9">
        <w:rPr>
          <w:bCs/>
          <w:szCs w:val="22"/>
          <w:lang w:val="sr-Latn-ME"/>
        </w:rPr>
        <w:t>nedjelje</w:t>
      </w:r>
      <w:r w:rsidRPr="006F34F9">
        <w:rPr>
          <w:bCs/>
          <w:szCs w:val="22"/>
          <w:lang w:val="sr-Latn-ME"/>
        </w:rPr>
        <w:t xml:space="preserve">. Počevši od 6. </w:t>
      </w:r>
      <w:r w:rsidR="00A22425" w:rsidRPr="006F34F9">
        <w:rPr>
          <w:bCs/>
          <w:szCs w:val="22"/>
          <w:lang w:val="sr-Latn-ME"/>
        </w:rPr>
        <w:t>nedjelje</w:t>
      </w:r>
      <w:r w:rsidRPr="006F34F9">
        <w:rPr>
          <w:bCs/>
          <w:szCs w:val="22"/>
          <w:lang w:val="sr-Latn-ME"/>
        </w:rPr>
        <w:t>, od pacijenata koji su uzimali kortikosteroide i postigli klinički odgovor, tražilo se da počnu da smanjuju dozu kortikosteroida.</w:t>
      </w:r>
    </w:p>
    <w:p w14:paraId="4AAACCCE" w14:textId="77777777" w:rsidR="001B44E1" w:rsidRPr="006F34F9" w:rsidRDefault="001B44E1" w:rsidP="00180C9F">
      <w:pPr>
        <w:pStyle w:val="Header"/>
        <w:rPr>
          <w:bCs/>
          <w:szCs w:val="22"/>
          <w:lang w:val="sr-Latn-ME"/>
        </w:rPr>
      </w:pPr>
    </w:p>
    <w:p w14:paraId="157FC6E4" w14:textId="314A81B5" w:rsidR="001B44E1" w:rsidRPr="006F34F9" w:rsidRDefault="001B44E1" w:rsidP="00A5182D">
      <w:pPr>
        <w:pStyle w:val="Header"/>
        <w:tabs>
          <w:tab w:val="left" w:pos="284"/>
        </w:tabs>
        <w:rPr>
          <w:bCs/>
          <w:szCs w:val="22"/>
          <w:lang w:val="sr-Latn-ME"/>
        </w:rPr>
      </w:pPr>
      <w:r w:rsidRPr="006F34F9">
        <w:rPr>
          <w:szCs w:val="22"/>
          <w:lang w:val="sr-Latn-ME"/>
        </w:rPr>
        <w:t xml:space="preserve">Primarni parametar efikasnosti </w:t>
      </w:r>
      <w:r w:rsidRPr="006F34F9">
        <w:rPr>
          <w:bCs/>
          <w:szCs w:val="22"/>
          <w:lang w:val="sr-Latn-ME"/>
        </w:rPr>
        <w:t xml:space="preserve">bio je broj pacijenata u kliničkoj remisiji u 52. </w:t>
      </w:r>
      <w:r w:rsidR="0069571E" w:rsidRPr="006F34F9">
        <w:rPr>
          <w:bCs/>
          <w:szCs w:val="22"/>
          <w:lang w:val="sr-Latn-ME"/>
        </w:rPr>
        <w:t>nedjelji</w:t>
      </w:r>
      <w:r w:rsidRPr="006F34F9">
        <w:rPr>
          <w:bCs/>
          <w:szCs w:val="22"/>
          <w:lang w:val="sr-Latn-ME"/>
        </w:rPr>
        <w:t>. Tabela 3 prikazuje rezultate primarnih i sekundarnih parametara efikasnosti.</w:t>
      </w:r>
    </w:p>
    <w:p w14:paraId="61FDDA50" w14:textId="77777777" w:rsidR="001B44E1" w:rsidRPr="006F34F9" w:rsidRDefault="001B44E1" w:rsidP="000B42A8">
      <w:pPr>
        <w:pStyle w:val="Header"/>
        <w:tabs>
          <w:tab w:val="left" w:pos="284"/>
        </w:tabs>
        <w:rPr>
          <w:szCs w:val="22"/>
          <w:lang w:val="sr-Latn-ME"/>
        </w:rPr>
      </w:pPr>
    </w:p>
    <w:tbl>
      <w:tblPr>
        <w:tblW w:w="0" w:type="auto"/>
        <w:tblInd w:w="-142" w:type="dxa"/>
        <w:tblLayout w:type="fixed"/>
        <w:tblLook w:val="04A0" w:firstRow="1" w:lastRow="0" w:firstColumn="1" w:lastColumn="0" w:noHBand="0" w:noVBand="1"/>
      </w:tblPr>
      <w:tblGrid>
        <w:gridCol w:w="3828"/>
        <w:gridCol w:w="1134"/>
        <w:gridCol w:w="2409"/>
        <w:gridCol w:w="1731"/>
      </w:tblGrid>
      <w:tr w:rsidR="001B44E1" w:rsidRPr="006F34F9" w14:paraId="2790E5AC" w14:textId="77777777" w:rsidTr="00180C9F">
        <w:trPr>
          <w:trHeight w:val="147"/>
        </w:trPr>
        <w:tc>
          <w:tcPr>
            <w:tcW w:w="9102" w:type="dxa"/>
            <w:gridSpan w:val="4"/>
            <w:tcBorders>
              <w:top w:val="nil"/>
              <w:left w:val="nil"/>
              <w:bottom w:val="single" w:sz="4" w:space="0" w:color="auto"/>
              <w:right w:val="nil"/>
            </w:tcBorders>
            <w:hideMark/>
          </w:tcPr>
          <w:p w14:paraId="62AD25D2" w14:textId="19DE5B83" w:rsidR="001B44E1" w:rsidRPr="006F34F9" w:rsidRDefault="001B44E1">
            <w:pPr>
              <w:pStyle w:val="Header"/>
              <w:spacing w:before="80" w:after="80"/>
              <w:rPr>
                <w:bCs/>
                <w:szCs w:val="22"/>
                <w:lang w:val="sr-Latn-ME"/>
              </w:rPr>
            </w:pPr>
            <w:r w:rsidRPr="006F34F9">
              <w:rPr>
                <w:b/>
                <w:bCs/>
                <w:szCs w:val="22"/>
                <w:lang w:val="sr-Latn-ME"/>
              </w:rPr>
              <w:t xml:space="preserve">Tabela 3. Rezultati efikasnosti u ispitivanju GEMINI I u 52. </w:t>
            </w:r>
            <w:r w:rsidR="0069571E" w:rsidRPr="006F34F9">
              <w:rPr>
                <w:b/>
                <w:bCs/>
                <w:szCs w:val="22"/>
                <w:lang w:val="sr-Latn-ME"/>
              </w:rPr>
              <w:t>nedjelji</w:t>
            </w:r>
            <w:r w:rsidRPr="006F34F9">
              <w:rPr>
                <w:b/>
                <w:bCs/>
                <w:szCs w:val="22"/>
                <w:lang w:val="sr-Latn-ME"/>
              </w:rPr>
              <w:t xml:space="preserve"> </w:t>
            </w:r>
          </w:p>
        </w:tc>
      </w:tr>
      <w:tr w:rsidR="001B44E1" w:rsidRPr="006F34F9" w14:paraId="226D1B96" w14:textId="77777777" w:rsidTr="00180C9F">
        <w:trPr>
          <w:trHeight w:val="851"/>
        </w:trPr>
        <w:tc>
          <w:tcPr>
            <w:tcW w:w="3828" w:type="dxa"/>
            <w:tcBorders>
              <w:top w:val="single" w:sz="4" w:space="0" w:color="auto"/>
              <w:left w:val="nil"/>
              <w:bottom w:val="single" w:sz="4" w:space="0" w:color="auto"/>
              <w:right w:val="nil"/>
            </w:tcBorders>
          </w:tcPr>
          <w:p w14:paraId="7CC7BF0A" w14:textId="77777777" w:rsidR="001B44E1" w:rsidRPr="006F34F9" w:rsidRDefault="001B44E1" w:rsidP="00E708C7">
            <w:pPr>
              <w:pStyle w:val="Header"/>
              <w:spacing w:before="80" w:after="80"/>
              <w:rPr>
                <w:bCs/>
                <w:szCs w:val="22"/>
                <w:lang w:val="sr-Latn-ME"/>
              </w:rPr>
            </w:pPr>
          </w:p>
          <w:p w14:paraId="15F8CE62" w14:textId="77777777" w:rsidR="001B44E1" w:rsidRPr="006F34F9" w:rsidRDefault="001B44E1" w:rsidP="00E708C7">
            <w:pPr>
              <w:pStyle w:val="Header"/>
              <w:spacing w:before="80" w:after="80"/>
              <w:rPr>
                <w:bCs/>
                <w:szCs w:val="22"/>
                <w:lang w:val="sr-Latn-ME"/>
              </w:rPr>
            </w:pPr>
          </w:p>
          <w:p w14:paraId="051240E0" w14:textId="77777777" w:rsidR="001B44E1" w:rsidRPr="006F34F9" w:rsidRDefault="001B44E1" w:rsidP="00E708C7">
            <w:pPr>
              <w:pStyle w:val="Header"/>
              <w:spacing w:before="80" w:after="80"/>
              <w:rPr>
                <w:bCs/>
                <w:szCs w:val="22"/>
                <w:lang w:val="sr-Latn-ME"/>
              </w:rPr>
            </w:pPr>
            <w:r w:rsidRPr="006F34F9">
              <w:rPr>
                <w:bCs/>
                <w:szCs w:val="22"/>
                <w:lang w:val="sr-Latn-ME"/>
              </w:rPr>
              <w:t xml:space="preserve">Ishod </w:t>
            </w:r>
          </w:p>
        </w:tc>
        <w:tc>
          <w:tcPr>
            <w:tcW w:w="1134" w:type="dxa"/>
            <w:tcBorders>
              <w:top w:val="single" w:sz="4" w:space="0" w:color="auto"/>
              <w:left w:val="nil"/>
              <w:bottom w:val="single" w:sz="4" w:space="0" w:color="auto"/>
              <w:right w:val="nil"/>
            </w:tcBorders>
          </w:tcPr>
          <w:p w14:paraId="284F787D" w14:textId="77777777" w:rsidR="001B44E1" w:rsidRPr="006F34F9" w:rsidRDefault="001B44E1" w:rsidP="0066419A">
            <w:pPr>
              <w:pStyle w:val="Header"/>
              <w:spacing w:before="80" w:after="80"/>
              <w:jc w:val="center"/>
              <w:rPr>
                <w:bCs/>
                <w:szCs w:val="22"/>
                <w:lang w:val="sr-Latn-ME"/>
              </w:rPr>
            </w:pPr>
          </w:p>
          <w:p w14:paraId="0BCE2636" w14:textId="77777777" w:rsidR="001B44E1" w:rsidRPr="006F34F9" w:rsidRDefault="001B44E1" w:rsidP="0066419A">
            <w:pPr>
              <w:pStyle w:val="Header"/>
              <w:spacing w:before="80" w:after="80"/>
              <w:jc w:val="center"/>
              <w:rPr>
                <w:bCs/>
                <w:szCs w:val="22"/>
                <w:lang w:val="sr-Latn-ME"/>
              </w:rPr>
            </w:pPr>
            <w:r w:rsidRPr="006F34F9">
              <w:rPr>
                <w:bCs/>
                <w:szCs w:val="22"/>
                <w:lang w:val="sr-Latn-ME"/>
              </w:rPr>
              <w:t>Placebo</w:t>
            </w:r>
          </w:p>
          <w:p w14:paraId="7E9C8E13" w14:textId="77777777" w:rsidR="001B44E1" w:rsidRPr="006F34F9" w:rsidRDefault="001B44E1" w:rsidP="0066419A">
            <w:pPr>
              <w:pStyle w:val="Header"/>
              <w:spacing w:before="80" w:after="80"/>
              <w:jc w:val="center"/>
              <w:rPr>
                <w:bCs/>
                <w:szCs w:val="22"/>
                <w:lang w:val="sr-Latn-ME"/>
              </w:rPr>
            </w:pPr>
            <w:r w:rsidRPr="006F34F9">
              <w:rPr>
                <w:bCs/>
                <w:szCs w:val="22"/>
                <w:lang w:val="sr-Latn-ME"/>
              </w:rPr>
              <w:t>N = 126*</w:t>
            </w:r>
          </w:p>
        </w:tc>
        <w:tc>
          <w:tcPr>
            <w:tcW w:w="2409" w:type="dxa"/>
            <w:tcBorders>
              <w:top w:val="single" w:sz="4" w:space="0" w:color="auto"/>
              <w:left w:val="nil"/>
              <w:bottom w:val="single" w:sz="4" w:space="0" w:color="auto"/>
              <w:right w:val="nil"/>
            </w:tcBorders>
            <w:hideMark/>
          </w:tcPr>
          <w:p w14:paraId="57037267" w14:textId="77777777" w:rsidR="001B44E1" w:rsidRPr="006F34F9" w:rsidRDefault="001B44E1" w:rsidP="0066419A">
            <w:pPr>
              <w:pStyle w:val="Header"/>
              <w:spacing w:before="80" w:after="80"/>
              <w:jc w:val="center"/>
              <w:rPr>
                <w:bCs/>
                <w:szCs w:val="22"/>
                <w:lang w:val="sr-Latn-ME"/>
              </w:rPr>
            </w:pPr>
            <w:r w:rsidRPr="006F34F9">
              <w:rPr>
                <w:bCs/>
                <w:szCs w:val="22"/>
                <w:lang w:val="sr-Latn-ME"/>
              </w:rPr>
              <w:t>Vedolizumab</w:t>
            </w:r>
          </w:p>
          <w:p w14:paraId="3A48AADE" w14:textId="617D9C8D" w:rsidR="001B44E1" w:rsidRPr="006F34F9" w:rsidRDefault="001B44E1" w:rsidP="0066419A">
            <w:pPr>
              <w:pStyle w:val="Header"/>
              <w:spacing w:before="80" w:after="80"/>
              <w:jc w:val="center"/>
              <w:rPr>
                <w:bCs/>
                <w:szCs w:val="22"/>
                <w:lang w:val="sr-Latn-ME"/>
              </w:rPr>
            </w:pPr>
            <w:r w:rsidRPr="006F34F9">
              <w:rPr>
                <w:bCs/>
                <w:szCs w:val="22"/>
                <w:lang w:val="sr-Latn-ME"/>
              </w:rPr>
              <w:t xml:space="preserve">svakih 8 </w:t>
            </w:r>
            <w:r w:rsidR="008062E2" w:rsidRPr="006F34F9">
              <w:rPr>
                <w:bCs/>
                <w:szCs w:val="22"/>
                <w:lang w:val="sr-Latn-ME"/>
              </w:rPr>
              <w:t>nedjelja</w:t>
            </w:r>
          </w:p>
          <w:p w14:paraId="10CFCB23" w14:textId="77777777" w:rsidR="001B44E1" w:rsidRPr="006F34F9" w:rsidRDefault="001B44E1" w:rsidP="0066419A">
            <w:pPr>
              <w:pStyle w:val="Header"/>
              <w:spacing w:before="80" w:after="80"/>
              <w:jc w:val="center"/>
              <w:rPr>
                <w:bCs/>
                <w:szCs w:val="22"/>
                <w:lang w:val="sr-Latn-ME"/>
              </w:rPr>
            </w:pPr>
            <w:r w:rsidRPr="006F34F9">
              <w:rPr>
                <w:bCs/>
                <w:szCs w:val="22"/>
                <w:lang w:val="sr-Latn-ME"/>
              </w:rPr>
              <w:t>N = 122</w:t>
            </w:r>
          </w:p>
        </w:tc>
        <w:tc>
          <w:tcPr>
            <w:tcW w:w="1731" w:type="dxa"/>
            <w:tcBorders>
              <w:top w:val="single" w:sz="4" w:space="0" w:color="auto"/>
              <w:left w:val="nil"/>
              <w:bottom w:val="single" w:sz="4" w:space="0" w:color="auto"/>
              <w:right w:val="nil"/>
            </w:tcBorders>
            <w:hideMark/>
          </w:tcPr>
          <w:p w14:paraId="0EB0B1F1" w14:textId="77777777" w:rsidR="001B44E1" w:rsidRPr="006F34F9" w:rsidRDefault="001B44E1" w:rsidP="0066419A">
            <w:pPr>
              <w:pStyle w:val="Header"/>
              <w:spacing w:before="80" w:after="80"/>
              <w:jc w:val="center"/>
              <w:rPr>
                <w:bCs/>
                <w:szCs w:val="22"/>
                <w:lang w:val="sr-Latn-ME"/>
              </w:rPr>
            </w:pPr>
            <w:r w:rsidRPr="006F34F9">
              <w:rPr>
                <w:bCs/>
                <w:szCs w:val="22"/>
                <w:lang w:val="sr-Latn-ME"/>
              </w:rPr>
              <w:t>Vedolizumab</w:t>
            </w:r>
          </w:p>
          <w:p w14:paraId="2BA7352E" w14:textId="226F6536" w:rsidR="001B44E1" w:rsidRPr="006F34F9" w:rsidRDefault="001B44E1" w:rsidP="0066419A">
            <w:pPr>
              <w:pStyle w:val="Header"/>
              <w:spacing w:before="80" w:after="80"/>
              <w:jc w:val="center"/>
              <w:rPr>
                <w:bCs/>
                <w:szCs w:val="22"/>
                <w:lang w:val="sr-Latn-ME"/>
              </w:rPr>
            </w:pPr>
            <w:r w:rsidRPr="006F34F9">
              <w:rPr>
                <w:bCs/>
                <w:szCs w:val="22"/>
                <w:lang w:val="sr-Latn-ME"/>
              </w:rPr>
              <w:t>svake 4 ned</w:t>
            </w:r>
            <w:r w:rsidR="003D1FD7" w:rsidRPr="006F34F9">
              <w:rPr>
                <w:bCs/>
                <w:szCs w:val="22"/>
                <w:lang w:val="sr-Latn-ME"/>
              </w:rPr>
              <w:t>j</w:t>
            </w:r>
            <w:r w:rsidRPr="006F34F9">
              <w:rPr>
                <w:bCs/>
                <w:szCs w:val="22"/>
                <w:lang w:val="sr-Latn-ME"/>
              </w:rPr>
              <w:t>elje</w:t>
            </w:r>
          </w:p>
          <w:p w14:paraId="48AFFC41" w14:textId="77777777" w:rsidR="001B44E1" w:rsidRPr="006F34F9" w:rsidRDefault="001B44E1" w:rsidP="0066419A">
            <w:pPr>
              <w:pStyle w:val="Header"/>
              <w:spacing w:before="80" w:after="80"/>
              <w:jc w:val="center"/>
              <w:rPr>
                <w:bCs/>
                <w:szCs w:val="22"/>
                <w:lang w:val="sr-Latn-ME"/>
              </w:rPr>
            </w:pPr>
            <w:r w:rsidRPr="006F34F9">
              <w:rPr>
                <w:bCs/>
                <w:szCs w:val="22"/>
                <w:lang w:val="sr-Latn-ME"/>
              </w:rPr>
              <w:t>N = 125</w:t>
            </w:r>
          </w:p>
        </w:tc>
      </w:tr>
      <w:tr w:rsidR="001B44E1" w:rsidRPr="006F34F9" w14:paraId="3D586617" w14:textId="77777777" w:rsidTr="00180C9F">
        <w:trPr>
          <w:trHeight w:val="154"/>
        </w:trPr>
        <w:tc>
          <w:tcPr>
            <w:tcW w:w="3828" w:type="dxa"/>
            <w:tcBorders>
              <w:top w:val="single" w:sz="4" w:space="0" w:color="auto"/>
              <w:left w:val="nil"/>
              <w:bottom w:val="nil"/>
              <w:right w:val="nil"/>
            </w:tcBorders>
            <w:hideMark/>
          </w:tcPr>
          <w:p w14:paraId="4EC81864" w14:textId="77777777" w:rsidR="001B44E1" w:rsidRPr="006F34F9" w:rsidRDefault="001B44E1" w:rsidP="00E708C7">
            <w:pPr>
              <w:pStyle w:val="Header"/>
              <w:spacing w:before="80" w:after="80"/>
              <w:rPr>
                <w:bCs/>
                <w:szCs w:val="22"/>
                <w:lang w:val="sr-Latn-ME"/>
              </w:rPr>
            </w:pPr>
            <w:r w:rsidRPr="006F34F9">
              <w:rPr>
                <w:bCs/>
                <w:szCs w:val="22"/>
                <w:lang w:val="sr-Latn-ME"/>
              </w:rPr>
              <w:t xml:space="preserve">Klinička remisija </w:t>
            </w:r>
          </w:p>
        </w:tc>
        <w:tc>
          <w:tcPr>
            <w:tcW w:w="1134" w:type="dxa"/>
            <w:tcBorders>
              <w:top w:val="single" w:sz="4" w:space="0" w:color="auto"/>
              <w:left w:val="nil"/>
              <w:bottom w:val="nil"/>
              <w:right w:val="nil"/>
            </w:tcBorders>
            <w:hideMark/>
          </w:tcPr>
          <w:p w14:paraId="6D5C986E" w14:textId="77777777" w:rsidR="001B44E1" w:rsidRPr="006F34F9" w:rsidRDefault="001B44E1" w:rsidP="0066419A">
            <w:pPr>
              <w:pStyle w:val="Header"/>
              <w:spacing w:before="80" w:after="80"/>
              <w:jc w:val="center"/>
              <w:rPr>
                <w:bCs/>
                <w:szCs w:val="22"/>
                <w:lang w:val="sr-Latn-ME"/>
              </w:rPr>
            </w:pPr>
            <w:r w:rsidRPr="006F34F9">
              <w:rPr>
                <w:bCs/>
                <w:szCs w:val="22"/>
                <w:lang w:val="sr-Latn-ME"/>
              </w:rPr>
              <w:t>16%</w:t>
            </w:r>
          </w:p>
        </w:tc>
        <w:tc>
          <w:tcPr>
            <w:tcW w:w="2409" w:type="dxa"/>
            <w:tcBorders>
              <w:top w:val="single" w:sz="4" w:space="0" w:color="auto"/>
              <w:left w:val="nil"/>
              <w:bottom w:val="nil"/>
              <w:right w:val="nil"/>
            </w:tcBorders>
            <w:hideMark/>
          </w:tcPr>
          <w:p w14:paraId="1450A794" w14:textId="77777777" w:rsidR="001B44E1" w:rsidRPr="006F34F9" w:rsidRDefault="001B44E1" w:rsidP="0066419A">
            <w:pPr>
              <w:pStyle w:val="Header"/>
              <w:spacing w:before="80" w:after="80"/>
              <w:jc w:val="center"/>
              <w:rPr>
                <w:bCs/>
                <w:szCs w:val="22"/>
                <w:lang w:val="sr-Latn-ME"/>
              </w:rPr>
            </w:pPr>
            <w:r w:rsidRPr="006F34F9">
              <w:rPr>
                <w:bCs/>
                <w:szCs w:val="22"/>
                <w:lang w:val="sr-Latn-ME"/>
              </w:rPr>
              <w:t>42%†</w:t>
            </w:r>
          </w:p>
        </w:tc>
        <w:tc>
          <w:tcPr>
            <w:tcW w:w="1731" w:type="dxa"/>
            <w:tcBorders>
              <w:top w:val="single" w:sz="4" w:space="0" w:color="auto"/>
              <w:left w:val="nil"/>
              <w:bottom w:val="nil"/>
              <w:right w:val="nil"/>
            </w:tcBorders>
            <w:hideMark/>
          </w:tcPr>
          <w:p w14:paraId="753996BA" w14:textId="77777777" w:rsidR="001B44E1" w:rsidRPr="006F34F9" w:rsidRDefault="001B44E1" w:rsidP="0066419A">
            <w:pPr>
              <w:pStyle w:val="Header"/>
              <w:spacing w:before="80" w:after="80"/>
              <w:jc w:val="center"/>
              <w:rPr>
                <w:bCs/>
                <w:szCs w:val="22"/>
                <w:lang w:val="sr-Latn-ME"/>
              </w:rPr>
            </w:pPr>
            <w:r w:rsidRPr="006F34F9">
              <w:rPr>
                <w:bCs/>
                <w:szCs w:val="22"/>
                <w:lang w:val="sr-Latn-ME"/>
              </w:rPr>
              <w:t>45%†</w:t>
            </w:r>
          </w:p>
        </w:tc>
      </w:tr>
      <w:tr w:rsidR="001B44E1" w:rsidRPr="006F34F9" w14:paraId="04A7570A" w14:textId="77777777" w:rsidTr="00180C9F">
        <w:trPr>
          <w:trHeight w:val="154"/>
        </w:trPr>
        <w:tc>
          <w:tcPr>
            <w:tcW w:w="3828" w:type="dxa"/>
            <w:tcBorders>
              <w:top w:val="nil"/>
              <w:left w:val="nil"/>
              <w:bottom w:val="nil"/>
              <w:right w:val="nil"/>
            </w:tcBorders>
            <w:hideMark/>
          </w:tcPr>
          <w:p w14:paraId="03515866" w14:textId="77777777" w:rsidR="001B44E1" w:rsidRPr="006F34F9" w:rsidRDefault="001B44E1" w:rsidP="00E708C7">
            <w:pPr>
              <w:pStyle w:val="Header"/>
              <w:spacing w:before="80" w:after="80"/>
              <w:rPr>
                <w:bCs/>
                <w:szCs w:val="22"/>
                <w:lang w:val="sr-Latn-ME"/>
              </w:rPr>
            </w:pPr>
            <w:r w:rsidRPr="006F34F9">
              <w:rPr>
                <w:bCs/>
                <w:szCs w:val="22"/>
                <w:lang w:val="sr-Latn-ME"/>
              </w:rPr>
              <w:t>Trajni klinički odgovor</w:t>
            </w:r>
            <w:r w:rsidRPr="006F34F9">
              <w:rPr>
                <w:bCs/>
                <w:szCs w:val="22"/>
                <w:vertAlign w:val="superscript"/>
                <w:lang w:val="sr-Latn-ME"/>
              </w:rPr>
              <w:t>¶</w:t>
            </w:r>
            <w:r w:rsidRPr="006F34F9">
              <w:rPr>
                <w:bCs/>
                <w:szCs w:val="22"/>
                <w:lang w:val="sr-Latn-ME"/>
              </w:rPr>
              <w:t xml:space="preserve"> </w:t>
            </w:r>
          </w:p>
        </w:tc>
        <w:tc>
          <w:tcPr>
            <w:tcW w:w="1134" w:type="dxa"/>
            <w:tcBorders>
              <w:top w:val="nil"/>
              <w:left w:val="nil"/>
              <w:bottom w:val="nil"/>
              <w:right w:val="nil"/>
            </w:tcBorders>
            <w:hideMark/>
          </w:tcPr>
          <w:p w14:paraId="62B904F0" w14:textId="77777777" w:rsidR="001B44E1" w:rsidRPr="006F34F9" w:rsidRDefault="001B44E1" w:rsidP="0066419A">
            <w:pPr>
              <w:pStyle w:val="Header"/>
              <w:spacing w:before="80" w:after="80"/>
              <w:jc w:val="center"/>
              <w:rPr>
                <w:bCs/>
                <w:szCs w:val="22"/>
                <w:lang w:val="sr-Latn-ME"/>
              </w:rPr>
            </w:pPr>
            <w:r w:rsidRPr="006F34F9">
              <w:rPr>
                <w:bCs/>
                <w:szCs w:val="22"/>
                <w:lang w:val="sr-Latn-ME"/>
              </w:rPr>
              <w:t>24%</w:t>
            </w:r>
          </w:p>
        </w:tc>
        <w:tc>
          <w:tcPr>
            <w:tcW w:w="2409" w:type="dxa"/>
            <w:tcBorders>
              <w:top w:val="nil"/>
              <w:left w:val="nil"/>
              <w:bottom w:val="nil"/>
              <w:right w:val="nil"/>
            </w:tcBorders>
            <w:hideMark/>
          </w:tcPr>
          <w:p w14:paraId="6EFF5AC1" w14:textId="77777777" w:rsidR="001B44E1" w:rsidRPr="006F34F9" w:rsidRDefault="001B44E1" w:rsidP="0066419A">
            <w:pPr>
              <w:pStyle w:val="Header"/>
              <w:spacing w:before="80" w:after="80"/>
              <w:jc w:val="center"/>
              <w:rPr>
                <w:bCs/>
                <w:szCs w:val="22"/>
                <w:lang w:val="sr-Latn-ME"/>
              </w:rPr>
            </w:pPr>
            <w:r w:rsidRPr="006F34F9">
              <w:rPr>
                <w:bCs/>
                <w:szCs w:val="22"/>
                <w:lang w:val="sr-Latn-ME"/>
              </w:rPr>
              <w:t>57%†</w:t>
            </w:r>
          </w:p>
        </w:tc>
        <w:tc>
          <w:tcPr>
            <w:tcW w:w="1731" w:type="dxa"/>
            <w:tcBorders>
              <w:top w:val="nil"/>
              <w:left w:val="nil"/>
              <w:bottom w:val="nil"/>
              <w:right w:val="nil"/>
            </w:tcBorders>
            <w:hideMark/>
          </w:tcPr>
          <w:p w14:paraId="5549A0B6" w14:textId="77777777" w:rsidR="001B44E1" w:rsidRPr="006F34F9" w:rsidRDefault="001B44E1" w:rsidP="0066419A">
            <w:pPr>
              <w:pStyle w:val="Header"/>
              <w:spacing w:before="80" w:after="80"/>
              <w:jc w:val="center"/>
              <w:rPr>
                <w:bCs/>
                <w:szCs w:val="22"/>
                <w:lang w:val="sr-Latn-ME"/>
              </w:rPr>
            </w:pPr>
            <w:r w:rsidRPr="006F34F9">
              <w:rPr>
                <w:bCs/>
                <w:szCs w:val="22"/>
                <w:lang w:val="sr-Latn-ME"/>
              </w:rPr>
              <w:t>52%†</w:t>
            </w:r>
          </w:p>
        </w:tc>
      </w:tr>
      <w:tr w:rsidR="001B44E1" w:rsidRPr="006F34F9" w14:paraId="47B89601" w14:textId="77777777" w:rsidTr="00180C9F">
        <w:trPr>
          <w:trHeight w:val="154"/>
        </w:trPr>
        <w:tc>
          <w:tcPr>
            <w:tcW w:w="3828" w:type="dxa"/>
            <w:tcBorders>
              <w:top w:val="nil"/>
              <w:left w:val="nil"/>
              <w:bottom w:val="nil"/>
              <w:right w:val="nil"/>
            </w:tcBorders>
            <w:hideMark/>
          </w:tcPr>
          <w:p w14:paraId="22C2C3D8" w14:textId="3ACD25B3" w:rsidR="001B44E1" w:rsidRPr="006F34F9" w:rsidRDefault="003D1FD7" w:rsidP="00E708C7">
            <w:pPr>
              <w:pStyle w:val="Header"/>
              <w:spacing w:before="80" w:after="80"/>
              <w:rPr>
                <w:bCs/>
                <w:szCs w:val="22"/>
                <w:lang w:val="sr-Latn-ME"/>
              </w:rPr>
            </w:pPr>
            <w:r w:rsidRPr="006F34F9">
              <w:rPr>
                <w:bCs/>
                <w:szCs w:val="22"/>
                <w:lang w:val="sr-Latn-ME"/>
              </w:rPr>
              <w:lastRenderedPageBreak/>
              <w:t>Za</w:t>
            </w:r>
            <w:r w:rsidR="00944C83" w:rsidRPr="006F34F9">
              <w:rPr>
                <w:bCs/>
                <w:szCs w:val="22"/>
                <w:lang w:val="sr-Latn-ME"/>
              </w:rPr>
              <w:t>cj</w:t>
            </w:r>
            <w:r w:rsidRPr="006F34F9">
              <w:rPr>
                <w:bCs/>
                <w:szCs w:val="22"/>
                <w:lang w:val="sr-Latn-ME"/>
              </w:rPr>
              <w:t>e</w:t>
            </w:r>
            <w:r w:rsidR="00944C83" w:rsidRPr="006F34F9">
              <w:rPr>
                <w:bCs/>
                <w:szCs w:val="22"/>
                <w:lang w:val="sr-Latn-ME"/>
              </w:rPr>
              <w:t>ljiva</w:t>
            </w:r>
            <w:r w:rsidRPr="006F34F9">
              <w:rPr>
                <w:bCs/>
                <w:szCs w:val="22"/>
                <w:lang w:val="sr-Latn-ME"/>
              </w:rPr>
              <w:t>nje</w:t>
            </w:r>
            <w:r w:rsidR="001B44E1" w:rsidRPr="006F34F9">
              <w:rPr>
                <w:bCs/>
                <w:szCs w:val="22"/>
                <w:lang w:val="sr-Latn-ME"/>
              </w:rPr>
              <w:t xml:space="preserve"> sluzokože</w:t>
            </w:r>
          </w:p>
        </w:tc>
        <w:tc>
          <w:tcPr>
            <w:tcW w:w="1134" w:type="dxa"/>
            <w:tcBorders>
              <w:top w:val="nil"/>
              <w:left w:val="nil"/>
              <w:bottom w:val="nil"/>
              <w:right w:val="nil"/>
            </w:tcBorders>
            <w:hideMark/>
          </w:tcPr>
          <w:p w14:paraId="24E00B90" w14:textId="77777777" w:rsidR="001B44E1" w:rsidRPr="006F34F9" w:rsidRDefault="001B44E1" w:rsidP="0066419A">
            <w:pPr>
              <w:pStyle w:val="Header"/>
              <w:spacing w:before="80" w:after="80"/>
              <w:jc w:val="center"/>
              <w:rPr>
                <w:bCs/>
                <w:szCs w:val="22"/>
                <w:lang w:val="sr-Latn-ME"/>
              </w:rPr>
            </w:pPr>
            <w:r w:rsidRPr="006F34F9">
              <w:rPr>
                <w:bCs/>
                <w:szCs w:val="22"/>
                <w:lang w:val="sr-Latn-ME"/>
              </w:rPr>
              <w:t>20%</w:t>
            </w:r>
          </w:p>
        </w:tc>
        <w:tc>
          <w:tcPr>
            <w:tcW w:w="2409" w:type="dxa"/>
            <w:tcBorders>
              <w:top w:val="nil"/>
              <w:left w:val="nil"/>
              <w:bottom w:val="nil"/>
              <w:right w:val="nil"/>
            </w:tcBorders>
            <w:hideMark/>
          </w:tcPr>
          <w:p w14:paraId="422861D6" w14:textId="77777777" w:rsidR="001B44E1" w:rsidRPr="006F34F9" w:rsidRDefault="001B44E1" w:rsidP="0066419A">
            <w:pPr>
              <w:pStyle w:val="Header"/>
              <w:spacing w:before="80" w:after="80"/>
              <w:jc w:val="center"/>
              <w:rPr>
                <w:bCs/>
                <w:szCs w:val="22"/>
                <w:lang w:val="sr-Latn-ME"/>
              </w:rPr>
            </w:pPr>
            <w:r w:rsidRPr="006F34F9">
              <w:rPr>
                <w:bCs/>
                <w:szCs w:val="22"/>
                <w:lang w:val="sr-Latn-ME"/>
              </w:rPr>
              <w:t>52%†</w:t>
            </w:r>
          </w:p>
        </w:tc>
        <w:tc>
          <w:tcPr>
            <w:tcW w:w="1731" w:type="dxa"/>
            <w:tcBorders>
              <w:top w:val="nil"/>
              <w:left w:val="nil"/>
              <w:bottom w:val="nil"/>
              <w:right w:val="nil"/>
            </w:tcBorders>
            <w:hideMark/>
          </w:tcPr>
          <w:p w14:paraId="223E365F" w14:textId="77777777" w:rsidR="001B44E1" w:rsidRPr="006F34F9" w:rsidRDefault="001B44E1" w:rsidP="0066419A">
            <w:pPr>
              <w:pStyle w:val="Header"/>
              <w:spacing w:before="80" w:after="80"/>
              <w:jc w:val="center"/>
              <w:rPr>
                <w:bCs/>
                <w:szCs w:val="22"/>
                <w:lang w:val="sr-Latn-ME"/>
              </w:rPr>
            </w:pPr>
            <w:r w:rsidRPr="006F34F9">
              <w:rPr>
                <w:bCs/>
                <w:szCs w:val="22"/>
                <w:lang w:val="sr-Latn-ME"/>
              </w:rPr>
              <w:t>56%†</w:t>
            </w:r>
          </w:p>
        </w:tc>
      </w:tr>
      <w:tr w:rsidR="001B44E1" w:rsidRPr="006F34F9" w14:paraId="4D312B37" w14:textId="77777777" w:rsidTr="00180C9F">
        <w:trPr>
          <w:trHeight w:val="154"/>
        </w:trPr>
        <w:tc>
          <w:tcPr>
            <w:tcW w:w="3828" w:type="dxa"/>
            <w:tcBorders>
              <w:top w:val="nil"/>
              <w:left w:val="nil"/>
              <w:bottom w:val="nil"/>
              <w:right w:val="nil"/>
            </w:tcBorders>
            <w:hideMark/>
          </w:tcPr>
          <w:p w14:paraId="0F5F86BF" w14:textId="77777777" w:rsidR="001B44E1" w:rsidRPr="006F34F9" w:rsidRDefault="001B44E1" w:rsidP="00E708C7">
            <w:pPr>
              <w:pStyle w:val="Header"/>
              <w:spacing w:before="80" w:after="80"/>
              <w:rPr>
                <w:bCs/>
                <w:szCs w:val="22"/>
                <w:lang w:val="sr-Latn-ME"/>
              </w:rPr>
            </w:pPr>
            <w:r w:rsidRPr="006F34F9">
              <w:rPr>
                <w:bCs/>
                <w:szCs w:val="22"/>
                <w:lang w:val="sr-Latn-ME"/>
              </w:rPr>
              <w:t>Trajna klinička remisija</w:t>
            </w:r>
            <w:r w:rsidRPr="006F34F9">
              <w:rPr>
                <w:bCs/>
                <w:szCs w:val="22"/>
                <w:vertAlign w:val="superscript"/>
                <w:lang w:val="sr-Latn-ME"/>
              </w:rPr>
              <w:t>#</w:t>
            </w:r>
            <w:r w:rsidRPr="006F34F9">
              <w:rPr>
                <w:bCs/>
                <w:szCs w:val="22"/>
                <w:lang w:val="sr-Latn-ME"/>
              </w:rPr>
              <w:t xml:space="preserve"> </w:t>
            </w:r>
          </w:p>
        </w:tc>
        <w:tc>
          <w:tcPr>
            <w:tcW w:w="1134" w:type="dxa"/>
            <w:tcBorders>
              <w:top w:val="nil"/>
              <w:left w:val="nil"/>
              <w:bottom w:val="nil"/>
              <w:right w:val="nil"/>
            </w:tcBorders>
            <w:hideMark/>
          </w:tcPr>
          <w:p w14:paraId="5EC113D1" w14:textId="77777777" w:rsidR="001B44E1" w:rsidRPr="006F34F9" w:rsidRDefault="001B44E1" w:rsidP="0066419A">
            <w:pPr>
              <w:pStyle w:val="Header"/>
              <w:spacing w:before="80" w:after="80"/>
              <w:jc w:val="center"/>
              <w:rPr>
                <w:bCs/>
                <w:szCs w:val="22"/>
                <w:lang w:val="sr-Latn-ME"/>
              </w:rPr>
            </w:pPr>
            <w:r w:rsidRPr="006F34F9">
              <w:rPr>
                <w:bCs/>
                <w:szCs w:val="22"/>
                <w:lang w:val="sr-Latn-ME"/>
              </w:rPr>
              <w:t>9%</w:t>
            </w:r>
          </w:p>
        </w:tc>
        <w:tc>
          <w:tcPr>
            <w:tcW w:w="2409" w:type="dxa"/>
            <w:tcBorders>
              <w:top w:val="nil"/>
              <w:left w:val="nil"/>
              <w:bottom w:val="nil"/>
              <w:right w:val="nil"/>
            </w:tcBorders>
            <w:hideMark/>
          </w:tcPr>
          <w:p w14:paraId="30222F3D" w14:textId="77777777" w:rsidR="001B44E1" w:rsidRPr="006F34F9" w:rsidRDefault="001B44E1" w:rsidP="0066419A">
            <w:pPr>
              <w:pStyle w:val="Header"/>
              <w:spacing w:before="80" w:after="80"/>
              <w:jc w:val="center"/>
              <w:rPr>
                <w:bCs/>
                <w:szCs w:val="22"/>
                <w:lang w:val="sr-Latn-ME"/>
              </w:rPr>
            </w:pPr>
            <w:r w:rsidRPr="006F34F9">
              <w:rPr>
                <w:bCs/>
                <w:szCs w:val="22"/>
                <w:lang w:val="sr-Latn-ME"/>
              </w:rPr>
              <w:t>20%§</w:t>
            </w:r>
          </w:p>
        </w:tc>
        <w:tc>
          <w:tcPr>
            <w:tcW w:w="1731" w:type="dxa"/>
            <w:tcBorders>
              <w:top w:val="nil"/>
              <w:left w:val="nil"/>
              <w:bottom w:val="nil"/>
              <w:right w:val="nil"/>
            </w:tcBorders>
            <w:hideMark/>
          </w:tcPr>
          <w:p w14:paraId="2A7B09BC" w14:textId="77777777" w:rsidR="001B44E1" w:rsidRPr="006F34F9" w:rsidRDefault="001B44E1" w:rsidP="0066419A">
            <w:pPr>
              <w:pStyle w:val="Header"/>
              <w:spacing w:before="80" w:after="80"/>
              <w:jc w:val="center"/>
              <w:rPr>
                <w:bCs/>
                <w:szCs w:val="22"/>
                <w:lang w:val="sr-Latn-ME"/>
              </w:rPr>
            </w:pPr>
            <w:r w:rsidRPr="006F34F9">
              <w:rPr>
                <w:bCs/>
                <w:szCs w:val="22"/>
                <w:lang w:val="sr-Latn-ME"/>
              </w:rPr>
              <w:t>24%‡</w:t>
            </w:r>
          </w:p>
        </w:tc>
      </w:tr>
      <w:tr w:rsidR="001B44E1" w:rsidRPr="006F34F9" w14:paraId="70114C4D" w14:textId="77777777" w:rsidTr="00180C9F">
        <w:trPr>
          <w:trHeight w:val="154"/>
        </w:trPr>
        <w:tc>
          <w:tcPr>
            <w:tcW w:w="3828" w:type="dxa"/>
            <w:tcBorders>
              <w:top w:val="nil"/>
              <w:left w:val="nil"/>
              <w:bottom w:val="single" w:sz="4" w:space="0" w:color="auto"/>
              <w:right w:val="nil"/>
            </w:tcBorders>
            <w:hideMark/>
          </w:tcPr>
          <w:p w14:paraId="7253C67A" w14:textId="77777777" w:rsidR="001B44E1" w:rsidRPr="006F34F9" w:rsidRDefault="001B44E1" w:rsidP="00E708C7">
            <w:pPr>
              <w:pStyle w:val="Header"/>
              <w:spacing w:before="80" w:after="80"/>
              <w:rPr>
                <w:bCs/>
                <w:szCs w:val="22"/>
                <w:lang w:val="sr-Latn-ME"/>
              </w:rPr>
            </w:pPr>
            <w:r w:rsidRPr="006F34F9">
              <w:rPr>
                <w:bCs/>
                <w:szCs w:val="22"/>
                <w:lang w:val="sr-Latn-ME"/>
              </w:rPr>
              <w:t>Klinička remisija bez kortikosteroida</w:t>
            </w:r>
            <w:r w:rsidRPr="006F34F9">
              <w:rPr>
                <w:bCs/>
                <w:szCs w:val="22"/>
                <w:vertAlign w:val="superscript"/>
                <w:lang w:val="sr-Latn-ME"/>
              </w:rPr>
              <w:t>♠</w:t>
            </w:r>
            <w:r w:rsidRPr="006F34F9">
              <w:rPr>
                <w:bCs/>
                <w:szCs w:val="22"/>
                <w:lang w:val="sr-Latn-ME"/>
              </w:rPr>
              <w:t xml:space="preserve"> </w:t>
            </w:r>
          </w:p>
        </w:tc>
        <w:tc>
          <w:tcPr>
            <w:tcW w:w="1134" w:type="dxa"/>
            <w:tcBorders>
              <w:top w:val="nil"/>
              <w:left w:val="nil"/>
              <w:bottom w:val="single" w:sz="4" w:space="0" w:color="auto"/>
              <w:right w:val="nil"/>
            </w:tcBorders>
            <w:hideMark/>
          </w:tcPr>
          <w:p w14:paraId="12F22CEF" w14:textId="77777777" w:rsidR="001B44E1" w:rsidRPr="006F34F9" w:rsidRDefault="001B44E1" w:rsidP="0066419A">
            <w:pPr>
              <w:pStyle w:val="Header"/>
              <w:spacing w:before="80" w:after="80"/>
              <w:jc w:val="center"/>
              <w:rPr>
                <w:bCs/>
                <w:szCs w:val="22"/>
                <w:lang w:val="sr-Latn-ME"/>
              </w:rPr>
            </w:pPr>
            <w:r w:rsidRPr="006F34F9">
              <w:rPr>
                <w:bCs/>
                <w:szCs w:val="22"/>
                <w:lang w:val="sr-Latn-ME"/>
              </w:rPr>
              <w:t>14%</w:t>
            </w:r>
          </w:p>
        </w:tc>
        <w:tc>
          <w:tcPr>
            <w:tcW w:w="2409" w:type="dxa"/>
            <w:tcBorders>
              <w:top w:val="nil"/>
              <w:left w:val="nil"/>
              <w:bottom w:val="single" w:sz="4" w:space="0" w:color="auto"/>
              <w:right w:val="nil"/>
            </w:tcBorders>
            <w:hideMark/>
          </w:tcPr>
          <w:p w14:paraId="6FB294FA" w14:textId="77777777" w:rsidR="001B44E1" w:rsidRPr="006F34F9" w:rsidRDefault="001B44E1" w:rsidP="0066419A">
            <w:pPr>
              <w:pStyle w:val="Header"/>
              <w:spacing w:before="80" w:after="80"/>
              <w:jc w:val="center"/>
              <w:rPr>
                <w:bCs/>
                <w:szCs w:val="22"/>
                <w:lang w:val="sr-Latn-ME"/>
              </w:rPr>
            </w:pPr>
            <w:r w:rsidRPr="006F34F9">
              <w:rPr>
                <w:bCs/>
                <w:szCs w:val="22"/>
                <w:lang w:val="sr-Latn-ME"/>
              </w:rPr>
              <w:t>31%§</w:t>
            </w:r>
          </w:p>
        </w:tc>
        <w:tc>
          <w:tcPr>
            <w:tcW w:w="1731" w:type="dxa"/>
            <w:tcBorders>
              <w:top w:val="nil"/>
              <w:left w:val="nil"/>
              <w:bottom w:val="single" w:sz="4" w:space="0" w:color="auto"/>
              <w:right w:val="nil"/>
            </w:tcBorders>
            <w:hideMark/>
          </w:tcPr>
          <w:p w14:paraId="310A37F4" w14:textId="77777777" w:rsidR="001B44E1" w:rsidRPr="006F34F9" w:rsidRDefault="001B44E1" w:rsidP="0066419A">
            <w:pPr>
              <w:pStyle w:val="Header"/>
              <w:spacing w:before="80" w:after="80"/>
              <w:jc w:val="center"/>
              <w:rPr>
                <w:bCs/>
                <w:szCs w:val="22"/>
                <w:lang w:val="sr-Latn-ME"/>
              </w:rPr>
            </w:pPr>
            <w:r w:rsidRPr="006F34F9">
              <w:rPr>
                <w:bCs/>
                <w:szCs w:val="22"/>
                <w:lang w:val="sr-Latn-ME"/>
              </w:rPr>
              <w:t>45%†</w:t>
            </w:r>
          </w:p>
        </w:tc>
      </w:tr>
      <w:tr w:rsidR="001B44E1" w:rsidRPr="006F34F9" w14:paraId="1C0FA396" w14:textId="77777777" w:rsidTr="00180C9F">
        <w:trPr>
          <w:trHeight w:val="1409"/>
        </w:trPr>
        <w:tc>
          <w:tcPr>
            <w:tcW w:w="9102" w:type="dxa"/>
            <w:gridSpan w:val="4"/>
            <w:tcBorders>
              <w:top w:val="single" w:sz="4" w:space="0" w:color="auto"/>
              <w:left w:val="nil"/>
              <w:bottom w:val="nil"/>
              <w:right w:val="nil"/>
            </w:tcBorders>
            <w:hideMark/>
          </w:tcPr>
          <w:p w14:paraId="0CC30E57" w14:textId="4C269004" w:rsidR="001B44E1" w:rsidRPr="0066419A" w:rsidRDefault="001B44E1" w:rsidP="00E708C7">
            <w:pPr>
              <w:pStyle w:val="Header"/>
              <w:spacing w:before="80" w:after="80"/>
              <w:rPr>
                <w:bCs/>
                <w:sz w:val="20"/>
                <w:szCs w:val="20"/>
                <w:lang w:val="sr-Latn-ME"/>
              </w:rPr>
            </w:pPr>
            <w:r w:rsidRPr="0066419A">
              <w:rPr>
                <w:bCs/>
                <w:sz w:val="20"/>
                <w:szCs w:val="20"/>
                <w:lang w:val="sr-Latn-ME"/>
              </w:rPr>
              <w:t xml:space="preserve">*Grupa koja je primala placebo uključuje one ispitanike koji su primali vedolizumab u 0. i 2. </w:t>
            </w:r>
            <w:r w:rsidR="0069571E" w:rsidRPr="0066419A">
              <w:rPr>
                <w:bCs/>
                <w:sz w:val="20"/>
                <w:szCs w:val="20"/>
                <w:lang w:val="sr-Latn-ME"/>
              </w:rPr>
              <w:t>nedjelji</w:t>
            </w:r>
            <w:r w:rsidRPr="0066419A">
              <w:rPr>
                <w:bCs/>
                <w:sz w:val="20"/>
                <w:szCs w:val="20"/>
                <w:lang w:val="sr-Latn-ME"/>
              </w:rPr>
              <w:t xml:space="preserve"> pa su bili randomizovani da primaju placebo od 6. do 52. </w:t>
            </w:r>
            <w:r w:rsidR="00A22425" w:rsidRPr="0066419A">
              <w:rPr>
                <w:bCs/>
                <w:sz w:val="20"/>
                <w:szCs w:val="20"/>
                <w:lang w:val="sr-Latn-ME"/>
              </w:rPr>
              <w:t>nedjelje</w:t>
            </w:r>
            <w:r w:rsidRPr="0066419A">
              <w:rPr>
                <w:bCs/>
                <w:sz w:val="20"/>
                <w:szCs w:val="20"/>
                <w:lang w:val="sr-Latn-ME"/>
              </w:rPr>
              <w:t>.</w:t>
            </w:r>
          </w:p>
          <w:p w14:paraId="3209CA9E" w14:textId="0890C13A" w:rsidR="001B44E1" w:rsidRPr="0066419A" w:rsidRDefault="001B44E1" w:rsidP="00E708C7">
            <w:pPr>
              <w:pStyle w:val="Header"/>
              <w:spacing w:before="80" w:after="80"/>
              <w:rPr>
                <w:bCs/>
                <w:sz w:val="20"/>
                <w:szCs w:val="20"/>
                <w:lang w:val="sr-Latn-ME"/>
              </w:rPr>
            </w:pPr>
            <w:r w:rsidRPr="0066419A">
              <w:rPr>
                <w:bCs/>
                <w:sz w:val="20"/>
                <w:szCs w:val="20"/>
                <w:lang w:val="sr-Latn-ME"/>
              </w:rPr>
              <w:t>†p</w:t>
            </w:r>
            <w:r w:rsidR="00EB503C">
              <w:rPr>
                <w:bCs/>
                <w:sz w:val="20"/>
                <w:szCs w:val="20"/>
                <w:lang w:val="sr-Latn-ME"/>
              </w:rPr>
              <w:t xml:space="preserve"> </w:t>
            </w:r>
            <w:r w:rsidRPr="0066419A">
              <w:rPr>
                <w:bCs/>
                <w:sz w:val="20"/>
                <w:szCs w:val="20"/>
                <w:lang w:val="sr-Latn-ME"/>
              </w:rPr>
              <w:t>&lt;</w:t>
            </w:r>
            <w:r w:rsidR="00EB503C">
              <w:rPr>
                <w:bCs/>
                <w:sz w:val="20"/>
                <w:szCs w:val="20"/>
                <w:lang w:val="sr-Latn-ME"/>
              </w:rPr>
              <w:t xml:space="preserve"> </w:t>
            </w:r>
            <w:r w:rsidRPr="0066419A">
              <w:rPr>
                <w:bCs/>
                <w:sz w:val="20"/>
                <w:szCs w:val="20"/>
                <w:lang w:val="sr-Latn-ME"/>
              </w:rPr>
              <w:t>0,0001</w:t>
            </w:r>
          </w:p>
          <w:p w14:paraId="3CAECCEA" w14:textId="27EB8916" w:rsidR="001B44E1" w:rsidRPr="0066419A" w:rsidRDefault="001B44E1" w:rsidP="00E708C7">
            <w:pPr>
              <w:pStyle w:val="Header"/>
              <w:spacing w:before="80" w:after="80"/>
              <w:rPr>
                <w:bCs/>
                <w:sz w:val="20"/>
                <w:szCs w:val="20"/>
                <w:lang w:val="sr-Latn-ME"/>
              </w:rPr>
            </w:pPr>
            <w:r w:rsidRPr="0066419A">
              <w:rPr>
                <w:bCs/>
                <w:sz w:val="20"/>
                <w:szCs w:val="20"/>
                <w:lang w:val="sr-Latn-ME"/>
              </w:rPr>
              <w:t>‡p</w:t>
            </w:r>
            <w:r w:rsidR="00EB503C">
              <w:rPr>
                <w:bCs/>
                <w:sz w:val="20"/>
                <w:szCs w:val="20"/>
                <w:lang w:val="sr-Latn-ME"/>
              </w:rPr>
              <w:t xml:space="preserve"> </w:t>
            </w:r>
            <w:r w:rsidRPr="0066419A">
              <w:rPr>
                <w:bCs/>
                <w:sz w:val="20"/>
                <w:szCs w:val="20"/>
                <w:lang w:val="sr-Latn-ME"/>
              </w:rPr>
              <w:t>&lt;</w:t>
            </w:r>
            <w:r w:rsidR="00EB503C">
              <w:rPr>
                <w:bCs/>
                <w:sz w:val="20"/>
                <w:szCs w:val="20"/>
                <w:lang w:val="sr-Latn-ME"/>
              </w:rPr>
              <w:t xml:space="preserve"> </w:t>
            </w:r>
            <w:r w:rsidRPr="0066419A">
              <w:rPr>
                <w:bCs/>
                <w:sz w:val="20"/>
                <w:szCs w:val="20"/>
                <w:lang w:val="sr-Latn-ME"/>
              </w:rPr>
              <w:t>0,001</w:t>
            </w:r>
          </w:p>
          <w:p w14:paraId="18F80BB8" w14:textId="7340E6E8" w:rsidR="001B44E1" w:rsidRPr="0066419A" w:rsidRDefault="001B44E1" w:rsidP="00E708C7">
            <w:pPr>
              <w:pStyle w:val="Header"/>
              <w:spacing w:before="80" w:after="80"/>
              <w:rPr>
                <w:bCs/>
                <w:sz w:val="20"/>
                <w:szCs w:val="20"/>
                <w:lang w:val="sr-Latn-ME"/>
              </w:rPr>
            </w:pPr>
            <w:r w:rsidRPr="0066419A">
              <w:rPr>
                <w:bCs/>
                <w:sz w:val="20"/>
                <w:szCs w:val="20"/>
                <w:lang w:val="sr-Latn-ME"/>
              </w:rPr>
              <w:t>§p</w:t>
            </w:r>
            <w:r w:rsidR="00EB503C">
              <w:rPr>
                <w:bCs/>
                <w:sz w:val="20"/>
                <w:szCs w:val="20"/>
                <w:lang w:val="sr-Latn-ME"/>
              </w:rPr>
              <w:t xml:space="preserve"> </w:t>
            </w:r>
            <w:r w:rsidRPr="0066419A">
              <w:rPr>
                <w:bCs/>
                <w:sz w:val="20"/>
                <w:szCs w:val="20"/>
                <w:lang w:val="sr-Latn-ME"/>
              </w:rPr>
              <w:t>&lt;</w:t>
            </w:r>
            <w:r w:rsidR="00EB503C">
              <w:rPr>
                <w:bCs/>
                <w:sz w:val="20"/>
                <w:szCs w:val="20"/>
                <w:lang w:val="sr-Latn-ME"/>
              </w:rPr>
              <w:t xml:space="preserve"> </w:t>
            </w:r>
            <w:r w:rsidRPr="0066419A">
              <w:rPr>
                <w:bCs/>
                <w:sz w:val="20"/>
                <w:szCs w:val="20"/>
                <w:lang w:val="sr-Latn-ME"/>
              </w:rPr>
              <w:t>0,05</w:t>
            </w:r>
          </w:p>
          <w:p w14:paraId="7EE65C18" w14:textId="307A1FB2" w:rsidR="001B44E1" w:rsidRPr="0066419A" w:rsidRDefault="001B44E1" w:rsidP="00E708C7">
            <w:pPr>
              <w:pStyle w:val="Header"/>
              <w:spacing w:before="80" w:after="80"/>
              <w:rPr>
                <w:bCs/>
                <w:sz w:val="20"/>
                <w:szCs w:val="20"/>
                <w:lang w:val="sr-Latn-ME"/>
              </w:rPr>
            </w:pPr>
            <w:r w:rsidRPr="0066419A">
              <w:rPr>
                <w:bCs/>
                <w:sz w:val="20"/>
                <w:szCs w:val="20"/>
                <w:lang w:val="sr-Latn-ME"/>
              </w:rPr>
              <w:t xml:space="preserve">¶Trajni klinički odgovor: klinički odgovor u </w:t>
            </w:r>
            <w:r w:rsidR="008062E2" w:rsidRPr="0066419A">
              <w:rPr>
                <w:bCs/>
                <w:sz w:val="20"/>
                <w:szCs w:val="20"/>
                <w:lang w:val="sr-Latn-ME"/>
              </w:rPr>
              <w:t>nedjelja</w:t>
            </w:r>
            <w:r w:rsidRPr="0066419A">
              <w:rPr>
                <w:bCs/>
                <w:sz w:val="20"/>
                <w:szCs w:val="20"/>
                <w:lang w:val="sr-Latn-ME"/>
              </w:rPr>
              <w:t>ma 6 i 52</w:t>
            </w:r>
          </w:p>
          <w:p w14:paraId="66680525" w14:textId="30AC4575" w:rsidR="001B44E1" w:rsidRPr="0066419A" w:rsidRDefault="001B44E1" w:rsidP="00A5182D">
            <w:pPr>
              <w:pStyle w:val="Header"/>
              <w:spacing w:before="80" w:after="80"/>
              <w:rPr>
                <w:bCs/>
                <w:sz w:val="20"/>
                <w:szCs w:val="20"/>
                <w:lang w:val="sr-Latn-ME"/>
              </w:rPr>
            </w:pPr>
            <w:r w:rsidRPr="0066419A">
              <w:rPr>
                <w:bCs/>
                <w:sz w:val="20"/>
                <w:szCs w:val="20"/>
                <w:lang w:val="sr-Latn-ME"/>
              </w:rPr>
              <w:t xml:space="preserve">#Trajna klinička remisija: klinička remisija u </w:t>
            </w:r>
            <w:r w:rsidR="008062E2" w:rsidRPr="0066419A">
              <w:rPr>
                <w:bCs/>
                <w:sz w:val="20"/>
                <w:szCs w:val="20"/>
                <w:lang w:val="sr-Latn-ME"/>
              </w:rPr>
              <w:t>nedjelja</w:t>
            </w:r>
            <w:r w:rsidRPr="0066419A">
              <w:rPr>
                <w:bCs/>
                <w:sz w:val="20"/>
                <w:szCs w:val="20"/>
                <w:lang w:val="sr-Latn-ME"/>
              </w:rPr>
              <w:t>ma 6 i 52</w:t>
            </w:r>
          </w:p>
          <w:p w14:paraId="3F9A432B" w14:textId="25DCC04B" w:rsidR="001B44E1" w:rsidRPr="006F34F9" w:rsidRDefault="001B44E1" w:rsidP="000B42A8">
            <w:pPr>
              <w:pStyle w:val="Header"/>
              <w:spacing w:before="80" w:after="80"/>
              <w:rPr>
                <w:bCs/>
                <w:szCs w:val="22"/>
                <w:lang w:val="sr-Latn-ME"/>
              </w:rPr>
            </w:pPr>
            <w:r w:rsidRPr="0066419A">
              <w:rPr>
                <w:bCs/>
                <w:sz w:val="20"/>
                <w:szCs w:val="20"/>
                <w:lang w:val="sr-Latn-ME"/>
              </w:rPr>
              <w:t xml:space="preserve">♠Klinička remisija bez kortikosteroida: Pacijenti koji su pri uključivanju u ispitivanje koristili oralne kortikosteroide i počevši od 6. </w:t>
            </w:r>
            <w:r w:rsidR="00A22425" w:rsidRPr="0066419A">
              <w:rPr>
                <w:bCs/>
                <w:sz w:val="20"/>
                <w:szCs w:val="20"/>
                <w:lang w:val="sr-Latn-ME"/>
              </w:rPr>
              <w:t>nedjelje</w:t>
            </w:r>
            <w:r w:rsidRPr="0066419A">
              <w:rPr>
                <w:bCs/>
                <w:sz w:val="20"/>
                <w:szCs w:val="20"/>
                <w:lang w:val="sr-Latn-ME"/>
              </w:rPr>
              <w:t xml:space="preserve"> </w:t>
            </w:r>
            <w:r w:rsidR="008062E2" w:rsidRPr="0066419A">
              <w:rPr>
                <w:bCs/>
                <w:sz w:val="20"/>
                <w:szCs w:val="20"/>
                <w:lang w:val="sr-Latn-ME"/>
              </w:rPr>
              <w:t>pre</w:t>
            </w:r>
            <w:r w:rsidRPr="0066419A">
              <w:rPr>
                <w:bCs/>
                <w:sz w:val="20"/>
                <w:szCs w:val="20"/>
                <w:lang w:val="sr-Latn-ME"/>
              </w:rPr>
              <w:t xml:space="preserve">kinuli njihovo uzimanje i bili su u kliničkoj remisiji u 52. </w:t>
            </w:r>
            <w:r w:rsidR="0069571E" w:rsidRPr="0066419A">
              <w:rPr>
                <w:bCs/>
                <w:sz w:val="20"/>
                <w:szCs w:val="20"/>
                <w:lang w:val="sr-Latn-ME"/>
              </w:rPr>
              <w:t>nedjelji</w:t>
            </w:r>
            <w:r w:rsidRPr="0066419A">
              <w:rPr>
                <w:bCs/>
                <w:sz w:val="20"/>
                <w:szCs w:val="20"/>
                <w:lang w:val="sr-Latn-ME"/>
              </w:rPr>
              <w:t>. Broj pacijenata bio je n</w:t>
            </w:r>
            <w:r w:rsidR="00EB503C">
              <w:rPr>
                <w:bCs/>
                <w:sz w:val="20"/>
                <w:szCs w:val="20"/>
                <w:lang w:val="sr-Latn-ME"/>
              </w:rPr>
              <w:t xml:space="preserve"> </w:t>
            </w:r>
            <w:r w:rsidRPr="0066419A">
              <w:rPr>
                <w:bCs/>
                <w:sz w:val="20"/>
                <w:szCs w:val="20"/>
                <w:lang w:val="sr-Latn-ME"/>
              </w:rPr>
              <w:t>=</w:t>
            </w:r>
            <w:r w:rsidR="00EB503C">
              <w:rPr>
                <w:bCs/>
                <w:sz w:val="20"/>
                <w:szCs w:val="20"/>
                <w:lang w:val="sr-Latn-ME"/>
              </w:rPr>
              <w:t xml:space="preserve"> </w:t>
            </w:r>
            <w:r w:rsidRPr="0066419A">
              <w:rPr>
                <w:bCs/>
                <w:sz w:val="20"/>
                <w:szCs w:val="20"/>
                <w:lang w:val="sr-Latn-ME"/>
              </w:rPr>
              <w:t>72 za placebo, n</w:t>
            </w:r>
            <w:r w:rsidR="00EB503C">
              <w:rPr>
                <w:bCs/>
                <w:sz w:val="20"/>
                <w:szCs w:val="20"/>
                <w:lang w:val="sr-Latn-ME"/>
              </w:rPr>
              <w:t xml:space="preserve"> </w:t>
            </w:r>
            <w:r w:rsidRPr="0066419A">
              <w:rPr>
                <w:bCs/>
                <w:sz w:val="20"/>
                <w:szCs w:val="20"/>
                <w:lang w:val="sr-Latn-ME"/>
              </w:rPr>
              <w:t xml:space="preserve">= 70 za vedolizumab svake osme </w:t>
            </w:r>
            <w:r w:rsidR="00A22425" w:rsidRPr="0066419A">
              <w:rPr>
                <w:bCs/>
                <w:sz w:val="20"/>
                <w:szCs w:val="20"/>
                <w:lang w:val="sr-Latn-ME"/>
              </w:rPr>
              <w:t>nedjelje</w:t>
            </w:r>
            <w:r w:rsidRPr="0066419A">
              <w:rPr>
                <w:bCs/>
                <w:sz w:val="20"/>
                <w:szCs w:val="20"/>
                <w:lang w:val="sr-Latn-ME"/>
              </w:rPr>
              <w:t xml:space="preserve"> i n</w:t>
            </w:r>
            <w:r w:rsidR="00EB503C">
              <w:rPr>
                <w:bCs/>
                <w:sz w:val="20"/>
                <w:szCs w:val="20"/>
                <w:lang w:val="sr-Latn-ME"/>
              </w:rPr>
              <w:t xml:space="preserve"> </w:t>
            </w:r>
            <w:r w:rsidRPr="0066419A">
              <w:rPr>
                <w:bCs/>
                <w:sz w:val="20"/>
                <w:szCs w:val="20"/>
                <w:lang w:val="sr-Latn-ME"/>
              </w:rPr>
              <w:t>=</w:t>
            </w:r>
            <w:r w:rsidR="00EB503C">
              <w:rPr>
                <w:bCs/>
                <w:sz w:val="20"/>
                <w:szCs w:val="20"/>
                <w:lang w:val="sr-Latn-ME"/>
              </w:rPr>
              <w:t xml:space="preserve"> </w:t>
            </w:r>
            <w:r w:rsidRPr="0066419A">
              <w:rPr>
                <w:bCs/>
                <w:sz w:val="20"/>
                <w:szCs w:val="20"/>
                <w:lang w:val="sr-Latn-ME"/>
              </w:rPr>
              <w:t xml:space="preserve">73 za vedolizumab svake četvrte </w:t>
            </w:r>
            <w:r w:rsidR="00A22425" w:rsidRPr="0066419A">
              <w:rPr>
                <w:bCs/>
                <w:sz w:val="20"/>
                <w:szCs w:val="20"/>
                <w:lang w:val="sr-Latn-ME"/>
              </w:rPr>
              <w:t>nedjelje</w:t>
            </w:r>
            <w:r w:rsidRPr="0066419A">
              <w:rPr>
                <w:bCs/>
                <w:sz w:val="20"/>
                <w:szCs w:val="20"/>
                <w:lang w:val="sr-Latn-ME"/>
              </w:rPr>
              <w:t>.</w:t>
            </w:r>
          </w:p>
        </w:tc>
      </w:tr>
    </w:tbl>
    <w:p w14:paraId="1F03789A" w14:textId="51637188" w:rsidR="001B44E1" w:rsidRPr="006F34F9" w:rsidRDefault="001B44E1" w:rsidP="00180C9F">
      <w:pPr>
        <w:pStyle w:val="Header"/>
        <w:spacing w:before="80"/>
        <w:rPr>
          <w:bCs/>
          <w:szCs w:val="22"/>
          <w:lang w:val="sr-Latn-ME"/>
        </w:rPr>
      </w:pPr>
      <w:r w:rsidRPr="006F34F9">
        <w:rPr>
          <w:bCs/>
          <w:szCs w:val="22"/>
          <w:lang w:val="sr-Latn-ME"/>
        </w:rPr>
        <w:t xml:space="preserve">Eksplorativne analize daju dodatne podatke o ključnim ispitivanim subpopulacijama. Približno jedna trećina pacijenata nije odgovorila na </w:t>
      </w:r>
      <w:r w:rsidR="00B148F2" w:rsidRPr="006F34F9">
        <w:rPr>
          <w:bCs/>
          <w:szCs w:val="22"/>
          <w:lang w:val="sr-Latn-ME"/>
        </w:rPr>
        <w:t>prethodno</w:t>
      </w:r>
      <w:r w:rsidRPr="006F34F9">
        <w:rPr>
          <w:bCs/>
          <w:szCs w:val="22"/>
          <w:lang w:val="sr-Latn-ME"/>
        </w:rPr>
        <w:t xml:space="preserve"> l</w:t>
      </w:r>
      <w:r w:rsidR="009275B3" w:rsidRPr="006F34F9">
        <w:rPr>
          <w:bCs/>
          <w:szCs w:val="22"/>
          <w:lang w:val="sr-Latn-ME"/>
        </w:rPr>
        <w:t>ij</w:t>
      </w:r>
      <w:r w:rsidRPr="006F34F9">
        <w:rPr>
          <w:bCs/>
          <w:szCs w:val="22"/>
          <w:lang w:val="sr-Latn-ME"/>
        </w:rPr>
        <w:t xml:space="preserve">ečenje antagonistom TNFα. Od tih pacijenata, 37% onih koji su primali vedolizumab svake osme </w:t>
      </w:r>
      <w:r w:rsidR="00A22425" w:rsidRPr="006F34F9">
        <w:rPr>
          <w:bCs/>
          <w:szCs w:val="22"/>
          <w:lang w:val="sr-Latn-ME"/>
        </w:rPr>
        <w:t>nedjelje</w:t>
      </w:r>
      <w:r w:rsidRPr="006F34F9">
        <w:rPr>
          <w:bCs/>
          <w:szCs w:val="22"/>
          <w:lang w:val="sr-Latn-ME"/>
        </w:rPr>
        <w:t xml:space="preserve">, 35% onih koji su primali vedolizumab svake četvrte </w:t>
      </w:r>
      <w:r w:rsidR="00A22425" w:rsidRPr="006F34F9">
        <w:rPr>
          <w:bCs/>
          <w:szCs w:val="22"/>
          <w:lang w:val="sr-Latn-ME"/>
        </w:rPr>
        <w:t>nedjelje</w:t>
      </w:r>
      <w:r w:rsidRPr="006F34F9">
        <w:rPr>
          <w:bCs/>
          <w:szCs w:val="22"/>
          <w:lang w:val="sr-Latn-ME"/>
        </w:rPr>
        <w:t xml:space="preserve"> i 5% onih koji su primali placebo postiglo je kliničku remisiju u 52. </w:t>
      </w:r>
      <w:r w:rsidR="0069571E" w:rsidRPr="006F34F9">
        <w:rPr>
          <w:bCs/>
          <w:szCs w:val="22"/>
          <w:lang w:val="sr-Latn-ME"/>
        </w:rPr>
        <w:t>nedjelji</w:t>
      </w:r>
      <w:r w:rsidRPr="006F34F9">
        <w:rPr>
          <w:bCs/>
          <w:szCs w:val="22"/>
          <w:lang w:val="sr-Latn-ME"/>
        </w:rPr>
        <w:t xml:space="preserve">. Kod pacijenata koji </w:t>
      </w:r>
      <w:r w:rsidR="00B148F2" w:rsidRPr="006F34F9">
        <w:rPr>
          <w:bCs/>
          <w:szCs w:val="22"/>
          <w:lang w:val="sr-Latn-ME"/>
        </w:rPr>
        <w:t>prethodno</w:t>
      </w:r>
      <w:r w:rsidRPr="006F34F9">
        <w:rPr>
          <w:bCs/>
          <w:szCs w:val="22"/>
          <w:lang w:val="sr-Latn-ME"/>
        </w:rPr>
        <w:t xml:space="preserve"> ni</w:t>
      </w:r>
      <w:r w:rsidR="009275B3" w:rsidRPr="006F34F9">
        <w:rPr>
          <w:bCs/>
          <w:szCs w:val="22"/>
          <w:lang w:val="sr-Latn-ME"/>
        </w:rPr>
        <w:t>je</w:t>
      </w:r>
      <w:r w:rsidRPr="006F34F9">
        <w:rPr>
          <w:bCs/>
          <w:szCs w:val="22"/>
          <w:lang w:val="sr-Latn-ME"/>
        </w:rPr>
        <w:t>su odgovorili na l</w:t>
      </w:r>
      <w:r w:rsidR="009275B3" w:rsidRPr="006F34F9">
        <w:rPr>
          <w:bCs/>
          <w:szCs w:val="22"/>
          <w:lang w:val="sr-Latn-ME"/>
        </w:rPr>
        <w:t>ij</w:t>
      </w:r>
      <w:r w:rsidRPr="006F34F9">
        <w:rPr>
          <w:bCs/>
          <w:szCs w:val="22"/>
          <w:lang w:val="sr-Latn-ME"/>
        </w:rPr>
        <w:t xml:space="preserve">ečenje antagonistom TNFα uočeno je, u grupi koja je primala vedolizumab svake osme </w:t>
      </w:r>
      <w:r w:rsidR="00A22425" w:rsidRPr="006F34F9">
        <w:rPr>
          <w:bCs/>
          <w:szCs w:val="22"/>
          <w:lang w:val="sr-Latn-ME"/>
        </w:rPr>
        <w:t>nedjelje</w:t>
      </w:r>
      <w:r w:rsidRPr="006F34F9">
        <w:rPr>
          <w:bCs/>
          <w:szCs w:val="22"/>
          <w:lang w:val="sr-Latn-ME"/>
        </w:rPr>
        <w:t xml:space="preserve">, vedolizumab svake četvrte </w:t>
      </w:r>
      <w:r w:rsidR="00A22425" w:rsidRPr="006F34F9">
        <w:rPr>
          <w:bCs/>
          <w:szCs w:val="22"/>
          <w:lang w:val="sr-Latn-ME"/>
        </w:rPr>
        <w:t>nedjelje</w:t>
      </w:r>
      <w:r w:rsidRPr="006F34F9">
        <w:rPr>
          <w:bCs/>
          <w:szCs w:val="22"/>
          <w:lang w:val="sr-Latn-ME"/>
        </w:rPr>
        <w:t xml:space="preserve"> odnosno placebo svake četvrte </w:t>
      </w:r>
      <w:r w:rsidR="00A22425" w:rsidRPr="006F34F9">
        <w:rPr>
          <w:bCs/>
          <w:szCs w:val="22"/>
          <w:lang w:val="sr-Latn-ME"/>
        </w:rPr>
        <w:t>nedjelje</w:t>
      </w:r>
      <w:r w:rsidRPr="006F34F9">
        <w:rPr>
          <w:bCs/>
          <w:szCs w:val="22"/>
          <w:lang w:val="sr-Latn-ME"/>
        </w:rPr>
        <w:t xml:space="preserve">, poboljšanje u trajnom kliničkom odgovoru (47%, 43%, 16%), </w:t>
      </w:r>
      <w:r w:rsidR="0067327C" w:rsidRPr="006F34F9">
        <w:rPr>
          <w:bCs/>
          <w:szCs w:val="22"/>
          <w:lang w:val="sr-Latn-ME"/>
        </w:rPr>
        <w:t>zalječenju</w:t>
      </w:r>
      <w:r w:rsidRPr="006F34F9">
        <w:rPr>
          <w:bCs/>
          <w:szCs w:val="22"/>
          <w:lang w:val="sr-Latn-ME"/>
        </w:rPr>
        <w:t xml:space="preserve"> sluzokože (42%, 48%, 8%), trajnoj kliničkoj remisiji (21%, 13%, 3%) i kliničkoj remisiji bez kortikosteroida (23%, 32%, 4%).</w:t>
      </w:r>
    </w:p>
    <w:p w14:paraId="63366DE1" w14:textId="77777777" w:rsidR="001B44E1" w:rsidRPr="006F34F9" w:rsidRDefault="001B44E1" w:rsidP="00180C9F">
      <w:pPr>
        <w:pStyle w:val="Header"/>
        <w:rPr>
          <w:bCs/>
          <w:szCs w:val="22"/>
          <w:lang w:val="sr-Latn-ME"/>
        </w:rPr>
      </w:pPr>
    </w:p>
    <w:p w14:paraId="3A224AF2" w14:textId="77F39F09" w:rsidR="001B44E1" w:rsidRPr="006F34F9" w:rsidRDefault="001B44E1" w:rsidP="00180C9F">
      <w:pPr>
        <w:pStyle w:val="Header"/>
        <w:rPr>
          <w:bCs/>
          <w:szCs w:val="22"/>
          <w:lang w:val="sr-Latn-ME"/>
        </w:rPr>
      </w:pPr>
      <w:r w:rsidRPr="006F34F9">
        <w:rPr>
          <w:bCs/>
          <w:szCs w:val="22"/>
          <w:lang w:val="sr-Latn-ME"/>
        </w:rPr>
        <w:t>Pacijenti kod kojih nije postignut odgovor na l</w:t>
      </w:r>
      <w:r w:rsidR="009275B3" w:rsidRPr="006F34F9">
        <w:rPr>
          <w:bCs/>
          <w:szCs w:val="22"/>
          <w:lang w:val="sr-Latn-ME"/>
        </w:rPr>
        <w:t>ij</w:t>
      </w:r>
      <w:r w:rsidRPr="006F34F9">
        <w:rPr>
          <w:bCs/>
          <w:szCs w:val="22"/>
          <w:lang w:val="sr-Latn-ME"/>
        </w:rPr>
        <w:t xml:space="preserve">ečenje u 6. </w:t>
      </w:r>
      <w:r w:rsidR="0069571E" w:rsidRPr="006F34F9">
        <w:rPr>
          <w:bCs/>
          <w:szCs w:val="22"/>
          <w:lang w:val="sr-Latn-ME"/>
        </w:rPr>
        <w:t>nedjelji</w:t>
      </w:r>
      <w:r w:rsidRPr="006F34F9">
        <w:rPr>
          <w:bCs/>
          <w:szCs w:val="22"/>
          <w:lang w:val="sr-Latn-ME"/>
        </w:rPr>
        <w:t xml:space="preserve"> nastavili su ispitivanje, pa su primali</w:t>
      </w:r>
      <w:r w:rsidR="000017ED" w:rsidRPr="006F34F9">
        <w:rPr>
          <w:bCs/>
          <w:szCs w:val="22"/>
          <w:lang w:val="sr-Latn-ME"/>
        </w:rPr>
        <w:t xml:space="preserve"> </w:t>
      </w:r>
      <w:r w:rsidRPr="006F34F9">
        <w:rPr>
          <w:bCs/>
          <w:szCs w:val="22"/>
          <w:lang w:val="sr-Latn-ME"/>
        </w:rPr>
        <w:t xml:space="preserve"> vedolizumab svake četvrte </w:t>
      </w:r>
      <w:r w:rsidR="00A22425" w:rsidRPr="006F34F9">
        <w:rPr>
          <w:bCs/>
          <w:szCs w:val="22"/>
          <w:lang w:val="sr-Latn-ME"/>
        </w:rPr>
        <w:t>nedjelje</w:t>
      </w:r>
      <w:r w:rsidRPr="006F34F9">
        <w:rPr>
          <w:bCs/>
          <w:szCs w:val="22"/>
          <w:lang w:val="sr-Latn-ME"/>
        </w:rPr>
        <w:t xml:space="preserve">. Klinički odgovor na osnovu </w:t>
      </w:r>
      <w:r w:rsidR="0067327C" w:rsidRPr="006F34F9">
        <w:rPr>
          <w:bCs/>
          <w:szCs w:val="22"/>
          <w:lang w:val="sr-Latn-ME"/>
        </w:rPr>
        <w:t>djelimične</w:t>
      </w:r>
      <w:r w:rsidRPr="006F34F9">
        <w:rPr>
          <w:bCs/>
          <w:szCs w:val="22"/>
          <w:lang w:val="sr-Latn-ME"/>
        </w:rPr>
        <w:t xml:space="preserve"> Mayo </w:t>
      </w:r>
      <w:r w:rsidR="0067327C" w:rsidRPr="006F34F9">
        <w:rPr>
          <w:bCs/>
          <w:szCs w:val="22"/>
          <w:lang w:val="sr-Latn-ME"/>
        </w:rPr>
        <w:t>ocjene</w:t>
      </w:r>
      <w:r w:rsidRPr="006F34F9">
        <w:rPr>
          <w:bCs/>
          <w:szCs w:val="22"/>
          <w:lang w:val="sr-Latn-ME"/>
        </w:rPr>
        <w:t xml:space="preserve"> postignut je u 10. i 14. </w:t>
      </w:r>
      <w:r w:rsidR="0069571E" w:rsidRPr="006F34F9">
        <w:rPr>
          <w:bCs/>
          <w:szCs w:val="22"/>
          <w:lang w:val="sr-Latn-ME"/>
        </w:rPr>
        <w:t>nedjelji</w:t>
      </w:r>
      <w:r w:rsidRPr="006F34F9">
        <w:rPr>
          <w:bCs/>
          <w:szCs w:val="22"/>
          <w:lang w:val="sr-Latn-ME"/>
        </w:rPr>
        <w:t xml:space="preserve"> kod većeg procenta pacijenata </w:t>
      </w:r>
      <w:r w:rsidR="003D1FD7" w:rsidRPr="006F34F9">
        <w:rPr>
          <w:bCs/>
          <w:szCs w:val="22"/>
          <w:lang w:val="sr-Latn-ME"/>
        </w:rPr>
        <w:t>liječenih</w:t>
      </w:r>
      <w:r w:rsidRPr="006F34F9">
        <w:rPr>
          <w:bCs/>
          <w:szCs w:val="22"/>
          <w:lang w:val="sr-Latn-ME"/>
        </w:rPr>
        <w:t xml:space="preserve"> vedolizumabom (32% odnosno 39%) u odnosu na pacijente koji su primali placebo (15% odnosno 21%).</w:t>
      </w:r>
    </w:p>
    <w:p w14:paraId="50A20991" w14:textId="77777777" w:rsidR="001B44E1" w:rsidRPr="006F34F9" w:rsidRDefault="001B44E1" w:rsidP="00180C9F">
      <w:pPr>
        <w:pStyle w:val="Header"/>
        <w:rPr>
          <w:bCs/>
          <w:szCs w:val="22"/>
          <w:lang w:val="sr-Latn-ME"/>
        </w:rPr>
      </w:pPr>
    </w:p>
    <w:p w14:paraId="7355EFD7" w14:textId="39B27BC7" w:rsidR="001B44E1" w:rsidRPr="006F34F9" w:rsidRDefault="001B44E1" w:rsidP="00180C9F">
      <w:pPr>
        <w:pStyle w:val="Header"/>
        <w:rPr>
          <w:bCs/>
          <w:szCs w:val="22"/>
          <w:lang w:val="sr-Latn-ME"/>
        </w:rPr>
      </w:pPr>
      <w:r w:rsidRPr="006F34F9">
        <w:rPr>
          <w:bCs/>
          <w:szCs w:val="22"/>
          <w:lang w:val="sr-Latn-ME"/>
        </w:rPr>
        <w:t xml:space="preserve">Pacijenti kod kojih je došlo do slabljenja terapijskog odgovora na vedolizumab </w:t>
      </w:r>
      <w:r w:rsidR="008062E2" w:rsidRPr="006F34F9">
        <w:rPr>
          <w:bCs/>
          <w:szCs w:val="22"/>
          <w:lang w:val="sr-Latn-ME"/>
        </w:rPr>
        <w:t>prim</w:t>
      </w:r>
      <w:r w:rsidR="00EB503C">
        <w:rPr>
          <w:bCs/>
          <w:szCs w:val="22"/>
          <w:lang w:val="sr-Latn-ME"/>
        </w:rPr>
        <w:t>i</w:t>
      </w:r>
      <w:r w:rsidR="008062E2" w:rsidRPr="006F34F9">
        <w:rPr>
          <w:bCs/>
          <w:szCs w:val="22"/>
          <w:lang w:val="sr-Latn-ME"/>
        </w:rPr>
        <w:t>jenjen</w:t>
      </w:r>
      <w:r w:rsidRPr="006F34F9">
        <w:rPr>
          <w:bCs/>
          <w:szCs w:val="22"/>
          <w:lang w:val="sr-Latn-ME"/>
        </w:rPr>
        <w:t xml:space="preserve"> na svakih</w:t>
      </w:r>
      <w:r w:rsidR="000017ED" w:rsidRPr="006F34F9">
        <w:rPr>
          <w:bCs/>
          <w:szCs w:val="22"/>
          <w:lang w:val="sr-Latn-ME"/>
        </w:rPr>
        <w:t xml:space="preserve"> </w:t>
      </w:r>
      <w:r w:rsidRPr="006F34F9">
        <w:rPr>
          <w:bCs/>
          <w:szCs w:val="22"/>
          <w:lang w:val="sr-Latn-ME"/>
        </w:rPr>
        <w:t xml:space="preserve"> osam </w:t>
      </w:r>
      <w:r w:rsidR="008062E2" w:rsidRPr="006F34F9">
        <w:rPr>
          <w:bCs/>
          <w:szCs w:val="22"/>
          <w:lang w:val="sr-Latn-ME"/>
        </w:rPr>
        <w:t>nedjelja</w:t>
      </w:r>
      <w:r w:rsidRPr="006F34F9">
        <w:rPr>
          <w:bCs/>
          <w:szCs w:val="22"/>
          <w:lang w:val="sr-Latn-ME"/>
        </w:rPr>
        <w:t xml:space="preserve"> mogli su da uđu u otvoreni nastavak ispitivanja i primaju vedolizumab svake četvrte </w:t>
      </w:r>
      <w:r w:rsidR="00A22425" w:rsidRPr="006F34F9">
        <w:rPr>
          <w:bCs/>
          <w:szCs w:val="22"/>
          <w:lang w:val="sr-Latn-ME"/>
        </w:rPr>
        <w:t>nedjelje</w:t>
      </w:r>
      <w:r w:rsidRPr="006F34F9">
        <w:rPr>
          <w:bCs/>
          <w:szCs w:val="22"/>
          <w:lang w:val="sr-Latn-ME"/>
        </w:rPr>
        <w:t xml:space="preserve">. Kod tih pacijenata klinička remisija postignuta je kod 25% pacijenata u 28. </w:t>
      </w:r>
      <w:r w:rsidR="0069571E" w:rsidRPr="006F34F9">
        <w:rPr>
          <w:bCs/>
          <w:szCs w:val="22"/>
          <w:lang w:val="sr-Latn-ME"/>
        </w:rPr>
        <w:t>nedjelji</w:t>
      </w:r>
      <w:r w:rsidRPr="006F34F9">
        <w:rPr>
          <w:bCs/>
          <w:szCs w:val="22"/>
          <w:lang w:val="sr-Latn-ME"/>
        </w:rPr>
        <w:t xml:space="preserve"> i 52. </w:t>
      </w:r>
      <w:r w:rsidR="0069571E" w:rsidRPr="006F34F9">
        <w:rPr>
          <w:bCs/>
          <w:szCs w:val="22"/>
          <w:lang w:val="sr-Latn-ME"/>
        </w:rPr>
        <w:t>nedjelji</w:t>
      </w:r>
      <w:r w:rsidRPr="006F34F9">
        <w:rPr>
          <w:bCs/>
          <w:szCs w:val="22"/>
          <w:lang w:val="sr-Latn-ME"/>
        </w:rPr>
        <w:t>.</w:t>
      </w:r>
    </w:p>
    <w:p w14:paraId="42DF0816" w14:textId="77777777" w:rsidR="001B44E1" w:rsidRPr="006F34F9" w:rsidRDefault="001B44E1" w:rsidP="00180C9F">
      <w:pPr>
        <w:pStyle w:val="Header"/>
        <w:rPr>
          <w:bCs/>
          <w:szCs w:val="22"/>
          <w:lang w:val="sr-Latn-ME"/>
        </w:rPr>
      </w:pPr>
    </w:p>
    <w:p w14:paraId="01460CF0" w14:textId="12C28A85" w:rsidR="001B44E1" w:rsidRPr="006F34F9" w:rsidRDefault="001B44E1" w:rsidP="00180C9F">
      <w:pPr>
        <w:pStyle w:val="Header"/>
        <w:rPr>
          <w:bCs/>
          <w:szCs w:val="22"/>
          <w:lang w:val="sr-Latn-ME"/>
        </w:rPr>
      </w:pPr>
      <w:r w:rsidRPr="006F34F9">
        <w:rPr>
          <w:bCs/>
          <w:szCs w:val="22"/>
          <w:lang w:val="sr-Latn-ME"/>
        </w:rPr>
        <w:t>Pacijenti kod kojih je zab</w:t>
      </w:r>
      <w:r w:rsidR="009275B3" w:rsidRPr="006F34F9">
        <w:rPr>
          <w:bCs/>
          <w:szCs w:val="22"/>
          <w:lang w:val="sr-Latn-ME"/>
        </w:rPr>
        <w:t>i</w:t>
      </w:r>
      <w:r w:rsidRPr="006F34F9">
        <w:rPr>
          <w:bCs/>
          <w:szCs w:val="22"/>
          <w:lang w:val="sr-Latn-ME"/>
        </w:rPr>
        <w:t>l</w:t>
      </w:r>
      <w:r w:rsidR="009275B3" w:rsidRPr="006F34F9">
        <w:rPr>
          <w:bCs/>
          <w:szCs w:val="22"/>
          <w:lang w:val="sr-Latn-ME"/>
        </w:rPr>
        <w:t>j</w:t>
      </w:r>
      <w:r w:rsidRPr="006F34F9">
        <w:rPr>
          <w:bCs/>
          <w:szCs w:val="22"/>
          <w:lang w:val="sr-Latn-ME"/>
        </w:rPr>
        <w:t xml:space="preserve">ežen klinički odgovor nakon primanja vedolizumaba u nultoj i u drugoj </w:t>
      </w:r>
      <w:r w:rsidR="0069571E" w:rsidRPr="006F34F9">
        <w:rPr>
          <w:bCs/>
          <w:szCs w:val="22"/>
          <w:lang w:val="sr-Latn-ME"/>
        </w:rPr>
        <w:t>nedjelji</w:t>
      </w:r>
      <w:r w:rsidRPr="006F34F9">
        <w:rPr>
          <w:bCs/>
          <w:szCs w:val="22"/>
          <w:lang w:val="sr-Latn-ME"/>
        </w:rPr>
        <w:t xml:space="preserve">, koji su </w:t>
      </w:r>
      <w:r w:rsidR="008062E2" w:rsidRPr="006F34F9">
        <w:rPr>
          <w:bCs/>
          <w:szCs w:val="22"/>
          <w:lang w:val="sr-Latn-ME"/>
        </w:rPr>
        <w:t xml:space="preserve">zatim </w:t>
      </w:r>
      <w:r w:rsidRPr="006F34F9">
        <w:rPr>
          <w:bCs/>
          <w:szCs w:val="22"/>
          <w:lang w:val="sr-Latn-ME"/>
        </w:rPr>
        <w:t xml:space="preserve">randomizovani u grupu koja je primala placebo (od 6. do 52. </w:t>
      </w:r>
      <w:r w:rsidR="00A22425" w:rsidRPr="006F34F9">
        <w:rPr>
          <w:bCs/>
          <w:szCs w:val="22"/>
          <w:lang w:val="sr-Latn-ME"/>
        </w:rPr>
        <w:t>nedjelje</w:t>
      </w:r>
      <w:r w:rsidRPr="006F34F9">
        <w:rPr>
          <w:bCs/>
          <w:szCs w:val="22"/>
          <w:lang w:val="sr-Latn-ME"/>
        </w:rPr>
        <w:t xml:space="preserve">) i </w:t>
      </w:r>
      <w:r w:rsidR="008062E2" w:rsidRPr="006F34F9">
        <w:rPr>
          <w:bCs/>
          <w:szCs w:val="22"/>
          <w:lang w:val="sr-Latn-ME"/>
        </w:rPr>
        <w:t>nakon</w:t>
      </w:r>
      <w:r w:rsidRPr="006F34F9">
        <w:rPr>
          <w:bCs/>
          <w:szCs w:val="22"/>
          <w:lang w:val="sr-Latn-ME"/>
        </w:rPr>
        <w:t xml:space="preserve"> čega je došlo do izostanka odgovora na l</w:t>
      </w:r>
      <w:r w:rsidR="009275B3" w:rsidRPr="006F34F9">
        <w:rPr>
          <w:bCs/>
          <w:szCs w:val="22"/>
          <w:lang w:val="sr-Latn-ME"/>
        </w:rPr>
        <w:t>ij</w:t>
      </w:r>
      <w:r w:rsidRPr="006F34F9">
        <w:rPr>
          <w:bCs/>
          <w:szCs w:val="22"/>
          <w:lang w:val="sr-Latn-ME"/>
        </w:rPr>
        <w:t xml:space="preserve">ečenje, mogli su da uđu u otvoreni nastavak ispitivanja i primaju vedolizumab svake četvrte </w:t>
      </w:r>
      <w:r w:rsidR="00A22425" w:rsidRPr="006F34F9">
        <w:rPr>
          <w:bCs/>
          <w:szCs w:val="22"/>
          <w:lang w:val="sr-Latn-ME"/>
        </w:rPr>
        <w:t>nedjelje</w:t>
      </w:r>
      <w:r w:rsidRPr="006F34F9">
        <w:rPr>
          <w:bCs/>
          <w:szCs w:val="22"/>
          <w:lang w:val="sr-Latn-ME"/>
        </w:rPr>
        <w:t xml:space="preserve">. Kod tih pacijenata klinička remisija postignuta je kod 45% pacijenata u 28. </w:t>
      </w:r>
      <w:r w:rsidR="0069571E" w:rsidRPr="006F34F9">
        <w:rPr>
          <w:bCs/>
          <w:szCs w:val="22"/>
          <w:lang w:val="sr-Latn-ME"/>
        </w:rPr>
        <w:t>nedjelji</w:t>
      </w:r>
      <w:r w:rsidRPr="006F34F9">
        <w:rPr>
          <w:bCs/>
          <w:szCs w:val="22"/>
          <w:lang w:val="sr-Latn-ME"/>
        </w:rPr>
        <w:t xml:space="preserve"> i kod 36% u 52. </w:t>
      </w:r>
      <w:r w:rsidR="0069571E" w:rsidRPr="006F34F9">
        <w:rPr>
          <w:bCs/>
          <w:szCs w:val="22"/>
          <w:lang w:val="sr-Latn-ME"/>
        </w:rPr>
        <w:t>nedjelji</w:t>
      </w:r>
      <w:r w:rsidRPr="006F34F9">
        <w:rPr>
          <w:bCs/>
          <w:szCs w:val="22"/>
          <w:lang w:val="sr-Latn-ME"/>
        </w:rPr>
        <w:t>.</w:t>
      </w:r>
    </w:p>
    <w:p w14:paraId="776AF799" w14:textId="77777777" w:rsidR="001B44E1" w:rsidRPr="006F34F9" w:rsidRDefault="001B44E1" w:rsidP="00180C9F">
      <w:pPr>
        <w:pStyle w:val="Header"/>
        <w:rPr>
          <w:bCs/>
          <w:szCs w:val="22"/>
          <w:lang w:val="sr-Latn-ME"/>
        </w:rPr>
      </w:pPr>
    </w:p>
    <w:p w14:paraId="5DA9B36D" w14:textId="49A10363" w:rsidR="001B44E1" w:rsidRPr="006F34F9" w:rsidRDefault="001B44E1" w:rsidP="00180C9F">
      <w:pPr>
        <w:pStyle w:val="Header"/>
        <w:rPr>
          <w:bCs/>
          <w:szCs w:val="22"/>
          <w:lang w:val="sr-Latn-ME"/>
        </w:rPr>
      </w:pPr>
      <w:r w:rsidRPr="006F34F9">
        <w:rPr>
          <w:bCs/>
          <w:szCs w:val="22"/>
          <w:lang w:val="sr-Latn-ME"/>
        </w:rPr>
        <w:t xml:space="preserve">U otvorenom nastavku ispitivanja, korist </w:t>
      </w:r>
      <w:r w:rsidR="003D1FD7" w:rsidRPr="006F34F9">
        <w:rPr>
          <w:bCs/>
          <w:szCs w:val="22"/>
          <w:lang w:val="sr-Latn-ME"/>
        </w:rPr>
        <w:t>liječenja</w:t>
      </w:r>
      <w:r w:rsidRPr="006F34F9">
        <w:rPr>
          <w:bCs/>
          <w:szCs w:val="22"/>
          <w:lang w:val="sr-Latn-ME"/>
        </w:rPr>
        <w:t xml:space="preserve"> vedolizumabom proc</w:t>
      </w:r>
      <w:r w:rsidR="009275B3" w:rsidRPr="006F34F9">
        <w:rPr>
          <w:bCs/>
          <w:szCs w:val="22"/>
          <w:lang w:val="sr-Latn-ME"/>
        </w:rPr>
        <w:t>ij</w:t>
      </w:r>
      <w:r w:rsidRPr="006F34F9">
        <w:rPr>
          <w:bCs/>
          <w:szCs w:val="22"/>
          <w:lang w:val="sr-Latn-ME"/>
        </w:rPr>
        <w:t xml:space="preserve">enjena </w:t>
      </w:r>
      <w:r w:rsidR="008062E2" w:rsidRPr="006F34F9">
        <w:rPr>
          <w:bCs/>
          <w:szCs w:val="22"/>
          <w:lang w:val="sr-Latn-ME"/>
        </w:rPr>
        <w:t>prje</w:t>
      </w:r>
      <w:r w:rsidRPr="006F34F9">
        <w:rPr>
          <w:bCs/>
          <w:szCs w:val="22"/>
          <w:lang w:val="sr-Latn-ME"/>
        </w:rPr>
        <w:t xml:space="preserve">ma </w:t>
      </w:r>
      <w:r w:rsidR="008062E2" w:rsidRPr="006F34F9">
        <w:rPr>
          <w:bCs/>
          <w:szCs w:val="22"/>
          <w:lang w:val="sr-Latn-ME"/>
        </w:rPr>
        <w:t>djelimičnoj</w:t>
      </w:r>
      <w:r w:rsidR="000017ED" w:rsidRPr="006F34F9">
        <w:rPr>
          <w:bCs/>
          <w:szCs w:val="22"/>
          <w:lang w:val="sr-Latn-ME"/>
        </w:rPr>
        <w:t xml:space="preserve"> </w:t>
      </w:r>
      <w:r w:rsidRPr="006F34F9">
        <w:rPr>
          <w:bCs/>
          <w:szCs w:val="22"/>
          <w:lang w:val="sr-Latn-ME"/>
        </w:rPr>
        <w:t xml:space="preserve"> Mayo </w:t>
      </w:r>
      <w:r w:rsidR="008062E2" w:rsidRPr="006F34F9">
        <w:rPr>
          <w:bCs/>
          <w:szCs w:val="22"/>
          <w:lang w:val="sr-Latn-ME"/>
        </w:rPr>
        <w:t>ocjeni</w:t>
      </w:r>
      <w:r w:rsidRPr="006F34F9">
        <w:rPr>
          <w:bCs/>
          <w:szCs w:val="22"/>
          <w:lang w:val="sr-Latn-ME"/>
        </w:rPr>
        <w:t>, kliničkoj remisiji i kliničkom odgovoru bila je prisutna do 196</w:t>
      </w:r>
      <w:r w:rsidR="00AA3783" w:rsidRPr="006F34F9">
        <w:rPr>
          <w:bCs/>
          <w:szCs w:val="22"/>
          <w:lang w:val="sr-Latn-ME"/>
        </w:rPr>
        <w:t>.</w:t>
      </w:r>
      <w:r w:rsidR="000017ED" w:rsidRPr="006F34F9">
        <w:rPr>
          <w:bCs/>
          <w:szCs w:val="22"/>
          <w:lang w:val="sr-Latn-ME"/>
        </w:rPr>
        <w:t xml:space="preserve"> </w:t>
      </w:r>
      <w:r w:rsidR="00A22425" w:rsidRPr="006F34F9">
        <w:rPr>
          <w:bCs/>
          <w:szCs w:val="22"/>
          <w:lang w:val="sr-Latn-ME"/>
        </w:rPr>
        <w:t>nedjelje</w:t>
      </w:r>
      <w:r w:rsidRPr="006F34F9">
        <w:rPr>
          <w:bCs/>
          <w:szCs w:val="22"/>
          <w:lang w:val="sr-Latn-ME"/>
        </w:rPr>
        <w:t>.</w:t>
      </w:r>
    </w:p>
    <w:p w14:paraId="525531F1" w14:textId="77777777" w:rsidR="001B44E1" w:rsidRPr="006F34F9" w:rsidRDefault="001B44E1" w:rsidP="00180C9F">
      <w:pPr>
        <w:pStyle w:val="Header"/>
        <w:rPr>
          <w:bCs/>
          <w:szCs w:val="22"/>
          <w:lang w:val="sr-Latn-ME"/>
        </w:rPr>
      </w:pPr>
    </w:p>
    <w:p w14:paraId="2969C01F" w14:textId="410BC634" w:rsidR="001B44E1" w:rsidRPr="006F34F9" w:rsidRDefault="001B44E1" w:rsidP="00180C9F">
      <w:pPr>
        <w:pStyle w:val="Header"/>
        <w:rPr>
          <w:bCs/>
          <w:szCs w:val="22"/>
          <w:lang w:val="sr-Latn-ME"/>
        </w:rPr>
      </w:pPr>
      <w:r w:rsidRPr="006F34F9">
        <w:rPr>
          <w:bCs/>
          <w:szCs w:val="22"/>
          <w:lang w:val="sr-Latn-ME"/>
        </w:rPr>
        <w:t xml:space="preserve">Kvalitet života povezan sa zdravljem (HRQOL, engl. </w:t>
      </w:r>
      <w:r w:rsidRPr="006F34F9">
        <w:rPr>
          <w:bCs/>
          <w:i/>
          <w:iCs/>
          <w:szCs w:val="22"/>
          <w:lang w:val="sr-Latn-ME"/>
        </w:rPr>
        <w:t>Health-related quality of life</w:t>
      </w:r>
      <w:r w:rsidRPr="006F34F9">
        <w:rPr>
          <w:bCs/>
          <w:szCs w:val="22"/>
          <w:lang w:val="sr-Latn-ME"/>
        </w:rPr>
        <w:t>) proc</w:t>
      </w:r>
      <w:r w:rsidR="0067327C" w:rsidRPr="006F34F9">
        <w:rPr>
          <w:bCs/>
          <w:szCs w:val="22"/>
          <w:lang w:val="sr-Latn-ME"/>
        </w:rPr>
        <w:t>ij</w:t>
      </w:r>
      <w:r w:rsidRPr="006F34F9">
        <w:rPr>
          <w:bCs/>
          <w:szCs w:val="22"/>
          <w:lang w:val="sr-Latn-ME"/>
        </w:rPr>
        <w:t>enjen je</w:t>
      </w:r>
      <w:r w:rsidR="000017ED" w:rsidRPr="006F34F9">
        <w:rPr>
          <w:bCs/>
          <w:szCs w:val="22"/>
          <w:lang w:val="sr-Latn-ME"/>
        </w:rPr>
        <w:t xml:space="preserve"> </w:t>
      </w:r>
      <w:r w:rsidRPr="006F34F9">
        <w:rPr>
          <w:bCs/>
          <w:szCs w:val="22"/>
          <w:lang w:val="sr-Latn-ME"/>
        </w:rPr>
        <w:t xml:space="preserve"> Upitnikom o inflamatorno</w:t>
      </w:r>
      <w:r w:rsidR="00AA3783" w:rsidRPr="006F34F9">
        <w:rPr>
          <w:bCs/>
          <w:szCs w:val="22"/>
          <w:lang w:val="sr-Latn-ME"/>
        </w:rPr>
        <w:t>m</w:t>
      </w:r>
      <w:r w:rsidRPr="006F34F9">
        <w:rPr>
          <w:bCs/>
          <w:szCs w:val="22"/>
          <w:lang w:val="sr-Latn-ME"/>
        </w:rPr>
        <w:t xml:space="preserve"> (zapaljensko</w:t>
      </w:r>
      <w:r w:rsidR="00AA3783" w:rsidRPr="006F34F9">
        <w:rPr>
          <w:bCs/>
          <w:szCs w:val="22"/>
          <w:lang w:val="sr-Latn-ME"/>
        </w:rPr>
        <w:t>m</w:t>
      </w:r>
      <w:r w:rsidRPr="006F34F9">
        <w:rPr>
          <w:bCs/>
          <w:szCs w:val="22"/>
          <w:lang w:val="sr-Latn-ME"/>
        </w:rPr>
        <w:t xml:space="preserve">) </w:t>
      </w:r>
      <w:r w:rsidR="00AA3783" w:rsidRPr="006F34F9">
        <w:rPr>
          <w:bCs/>
          <w:szCs w:val="22"/>
          <w:lang w:val="sr-Latn-ME"/>
        </w:rPr>
        <w:t>oboljenju</w:t>
      </w:r>
      <w:r w:rsidRPr="006F34F9">
        <w:rPr>
          <w:bCs/>
          <w:szCs w:val="22"/>
          <w:lang w:val="sr-Latn-ME"/>
        </w:rPr>
        <w:t xml:space="preserve"> cr</w:t>
      </w:r>
      <w:r w:rsidR="0067327C" w:rsidRPr="006F34F9">
        <w:rPr>
          <w:bCs/>
          <w:szCs w:val="22"/>
          <w:lang w:val="sr-Latn-ME"/>
        </w:rPr>
        <w:t>ij</w:t>
      </w:r>
      <w:r w:rsidRPr="006F34F9">
        <w:rPr>
          <w:bCs/>
          <w:szCs w:val="22"/>
          <w:lang w:val="sr-Latn-ME"/>
        </w:rPr>
        <w:t xml:space="preserve">eva (IBDQ, engl. </w:t>
      </w:r>
      <w:r w:rsidRPr="006F34F9">
        <w:rPr>
          <w:bCs/>
          <w:i/>
          <w:iCs/>
          <w:szCs w:val="22"/>
          <w:lang w:val="sr-Latn-ME"/>
        </w:rPr>
        <w:t>Inflammatory Bowel Disease Questionnaire</w:t>
      </w:r>
      <w:r w:rsidRPr="006F34F9">
        <w:rPr>
          <w:bCs/>
          <w:szCs w:val="22"/>
          <w:lang w:val="sr-Latn-ME"/>
        </w:rPr>
        <w:t xml:space="preserve">), instrumentom specifičnim za </w:t>
      </w:r>
      <w:r w:rsidR="00AA3783" w:rsidRPr="006F34F9">
        <w:rPr>
          <w:bCs/>
          <w:szCs w:val="22"/>
          <w:lang w:val="sr-Latn-ME"/>
        </w:rPr>
        <w:t>oboljenje</w:t>
      </w:r>
      <w:r w:rsidRPr="006F34F9">
        <w:rPr>
          <w:bCs/>
          <w:szCs w:val="22"/>
          <w:lang w:val="sr-Latn-ME"/>
        </w:rPr>
        <w:t>, kao i upitnicima SF-36 i EQ-5D koji se smatraju opštom m</w:t>
      </w:r>
      <w:r w:rsidR="008062E2" w:rsidRPr="006F34F9">
        <w:rPr>
          <w:bCs/>
          <w:szCs w:val="22"/>
          <w:lang w:val="sr-Latn-ME"/>
        </w:rPr>
        <w:t>j</w:t>
      </w:r>
      <w:r w:rsidRPr="006F34F9">
        <w:rPr>
          <w:bCs/>
          <w:szCs w:val="22"/>
          <w:lang w:val="sr-Latn-ME"/>
        </w:rPr>
        <w:t xml:space="preserve">erom. Eksplorativne analize pokazuju da su u 6. i 52. </w:t>
      </w:r>
      <w:r w:rsidR="0069571E" w:rsidRPr="006F34F9">
        <w:rPr>
          <w:bCs/>
          <w:szCs w:val="22"/>
          <w:lang w:val="sr-Latn-ME"/>
        </w:rPr>
        <w:t>nedjelji</w:t>
      </w:r>
      <w:r w:rsidRPr="006F34F9">
        <w:rPr>
          <w:bCs/>
          <w:szCs w:val="22"/>
          <w:lang w:val="sr-Latn-ME"/>
        </w:rPr>
        <w:t xml:space="preserve"> </w:t>
      </w:r>
      <w:r w:rsidR="008062E2" w:rsidRPr="006F34F9">
        <w:rPr>
          <w:bCs/>
          <w:szCs w:val="22"/>
          <w:lang w:val="sr-Latn-ME"/>
        </w:rPr>
        <w:t>pre</w:t>
      </w:r>
      <w:r w:rsidRPr="006F34F9">
        <w:rPr>
          <w:bCs/>
          <w:szCs w:val="22"/>
          <w:lang w:val="sr-Latn-ME"/>
        </w:rPr>
        <w:t>ma rezultatima upitnika EQ-5D i EQ-5D VAS, svih podskala IBDQ (simptomi</w:t>
      </w:r>
      <w:r w:rsidR="00AA3783" w:rsidRPr="006F34F9">
        <w:rPr>
          <w:bCs/>
          <w:szCs w:val="22"/>
          <w:lang w:val="sr-Latn-ME"/>
        </w:rPr>
        <w:t xml:space="preserve"> povezani sa</w:t>
      </w:r>
      <w:r w:rsidRPr="006F34F9">
        <w:rPr>
          <w:bCs/>
          <w:szCs w:val="22"/>
          <w:lang w:val="sr-Latn-ME"/>
        </w:rPr>
        <w:t xml:space="preserve"> </w:t>
      </w:r>
      <w:r w:rsidR="008062E2" w:rsidRPr="006F34F9">
        <w:rPr>
          <w:bCs/>
          <w:szCs w:val="22"/>
          <w:lang w:val="sr-Latn-ME"/>
        </w:rPr>
        <w:t>crijevima</w:t>
      </w:r>
      <w:r w:rsidRPr="006F34F9">
        <w:rPr>
          <w:bCs/>
          <w:szCs w:val="22"/>
          <w:lang w:val="sr-Latn-ME"/>
        </w:rPr>
        <w:t xml:space="preserve">, sistemska funkcija, emocionalna funkcija i društvena funkcija) i svih podskala SF-36 uključujući i Sažetak fizičke komponente (PCS) i Sažetak mentalne komponente (MCS), u grupama koje su primale vedolizumab </w:t>
      </w:r>
      <w:r w:rsidRPr="006F34F9">
        <w:rPr>
          <w:bCs/>
          <w:szCs w:val="22"/>
          <w:lang w:val="sr-Latn-ME"/>
        </w:rPr>
        <w:lastRenderedPageBreak/>
        <w:t>zab</w:t>
      </w:r>
      <w:r w:rsidR="00AA3783" w:rsidRPr="006F34F9">
        <w:rPr>
          <w:bCs/>
          <w:szCs w:val="22"/>
          <w:lang w:val="sr-Latn-ME"/>
        </w:rPr>
        <w:t>i</w:t>
      </w:r>
      <w:r w:rsidRPr="006F34F9">
        <w:rPr>
          <w:bCs/>
          <w:szCs w:val="22"/>
          <w:lang w:val="sr-Latn-ME"/>
        </w:rPr>
        <w:t>l</w:t>
      </w:r>
      <w:r w:rsidR="00AA3783" w:rsidRPr="006F34F9">
        <w:rPr>
          <w:bCs/>
          <w:szCs w:val="22"/>
          <w:lang w:val="sr-Latn-ME"/>
        </w:rPr>
        <w:t>j</w:t>
      </w:r>
      <w:r w:rsidRPr="006F34F9">
        <w:rPr>
          <w:bCs/>
          <w:szCs w:val="22"/>
          <w:lang w:val="sr-Latn-ME"/>
        </w:rPr>
        <w:t>ežena klinički značajna poboljšanja koja su bila značajno veća u poređenju sa grupom koja je primala placebo.</w:t>
      </w:r>
    </w:p>
    <w:p w14:paraId="58FC295F" w14:textId="64EE4C7B" w:rsidR="001B44E1" w:rsidRPr="006F34F9" w:rsidRDefault="001B44E1" w:rsidP="00180C9F">
      <w:pPr>
        <w:pStyle w:val="Header"/>
        <w:rPr>
          <w:bCs/>
          <w:szCs w:val="22"/>
          <w:lang w:val="sr-Latn-ME"/>
        </w:rPr>
      </w:pPr>
    </w:p>
    <w:p w14:paraId="0020C3C8" w14:textId="08C6755D" w:rsidR="001B44E1" w:rsidRPr="006F34F9" w:rsidRDefault="001B44E1">
      <w:pPr>
        <w:keepNext/>
        <w:rPr>
          <w:i/>
          <w:szCs w:val="22"/>
          <w:u w:val="single"/>
          <w:lang w:val="sr-Latn-ME"/>
        </w:rPr>
      </w:pPr>
      <w:r w:rsidRPr="006F34F9">
        <w:rPr>
          <w:i/>
          <w:szCs w:val="22"/>
          <w:u w:val="single"/>
          <w:lang w:val="sr-Latn-ME"/>
        </w:rPr>
        <w:t xml:space="preserve">Ulcerozni kolitis </w:t>
      </w:r>
      <w:r w:rsidRPr="006F34F9">
        <w:rPr>
          <w:i/>
          <w:szCs w:val="22"/>
          <w:u w:val="single"/>
          <w:lang w:val="sr-Latn-ME"/>
        </w:rPr>
        <w:noBreakHyphen/>
        <w:t xml:space="preserve"> vedolizumab za subkutanu </w:t>
      </w:r>
      <w:r w:rsidR="008062E2" w:rsidRPr="006F34F9">
        <w:rPr>
          <w:i/>
          <w:szCs w:val="22"/>
          <w:u w:val="single"/>
          <w:lang w:val="sr-Latn-ME"/>
        </w:rPr>
        <w:t>primjenu</w:t>
      </w:r>
    </w:p>
    <w:p w14:paraId="040375F3" w14:textId="77777777" w:rsidR="001B44E1" w:rsidRPr="006F34F9" w:rsidRDefault="001B44E1">
      <w:pPr>
        <w:keepNext/>
        <w:rPr>
          <w:szCs w:val="22"/>
          <w:lang w:val="sr-Latn-ME"/>
        </w:rPr>
      </w:pPr>
    </w:p>
    <w:p w14:paraId="13D097CA" w14:textId="2C39A5D5" w:rsidR="001B44E1" w:rsidRPr="006F34F9" w:rsidRDefault="001B44E1">
      <w:pPr>
        <w:rPr>
          <w:szCs w:val="22"/>
          <w:lang w:val="sr-Latn-ME"/>
        </w:rPr>
      </w:pPr>
      <w:bookmarkStart w:id="3" w:name="_Hlk33187372"/>
      <w:r w:rsidRPr="006F34F9">
        <w:rPr>
          <w:szCs w:val="22"/>
          <w:lang w:val="sr-Latn-ME"/>
        </w:rPr>
        <w:t xml:space="preserve">Efikasnost i </w:t>
      </w:r>
      <w:r w:rsidR="008062E2" w:rsidRPr="006F34F9">
        <w:rPr>
          <w:szCs w:val="22"/>
          <w:lang w:val="sr-Latn-ME"/>
        </w:rPr>
        <w:t>bezbjednost</w:t>
      </w:r>
      <w:r w:rsidRPr="006F34F9">
        <w:rPr>
          <w:szCs w:val="22"/>
          <w:lang w:val="sr-Latn-ME"/>
        </w:rPr>
        <w:t xml:space="preserve"> subkutanog vedolizumaba u </w:t>
      </w:r>
      <w:r w:rsidR="003D1FD7" w:rsidRPr="006F34F9">
        <w:rPr>
          <w:szCs w:val="22"/>
          <w:lang w:val="sr-Latn-ME"/>
        </w:rPr>
        <w:t>liječenju</w:t>
      </w:r>
      <w:r w:rsidRPr="006F34F9">
        <w:rPr>
          <w:szCs w:val="22"/>
          <w:lang w:val="sr-Latn-ME"/>
        </w:rPr>
        <w:t xml:space="preserve"> odraslih pacijenata sa </w:t>
      </w:r>
      <w:r w:rsidR="008062E2" w:rsidRPr="006F34F9">
        <w:rPr>
          <w:szCs w:val="22"/>
          <w:lang w:val="sr-Latn-ME"/>
        </w:rPr>
        <w:t>umjereno</w:t>
      </w:r>
      <w:r w:rsidRPr="006F34F9">
        <w:rPr>
          <w:szCs w:val="22"/>
          <w:lang w:val="sr-Latn-ME"/>
        </w:rPr>
        <w:t xml:space="preserve"> do izrazito aktivnim ulceroznim kolitisom (</w:t>
      </w:r>
      <w:r w:rsidR="008062E2" w:rsidRPr="006F34F9">
        <w:rPr>
          <w:szCs w:val="22"/>
          <w:lang w:val="sr-Latn-ME"/>
        </w:rPr>
        <w:t>pre</w:t>
      </w:r>
      <w:r w:rsidRPr="006F34F9">
        <w:rPr>
          <w:szCs w:val="22"/>
          <w:lang w:val="sr-Latn-ME"/>
        </w:rPr>
        <w:t xml:space="preserve">ma Mayo </w:t>
      </w:r>
      <w:r w:rsidR="008062E2" w:rsidRPr="006F34F9">
        <w:rPr>
          <w:szCs w:val="22"/>
          <w:lang w:val="sr-Latn-ME"/>
        </w:rPr>
        <w:t>ocjeni</w:t>
      </w:r>
      <w:r w:rsidRPr="006F34F9">
        <w:rPr>
          <w:szCs w:val="22"/>
          <w:lang w:val="sr-Latn-ME"/>
        </w:rPr>
        <w:t xml:space="preserve"> rezultat od 6 do 12 sa endoskopskim podrezultatom ≥ 2) pokazale su se u randomizovanom, dvostruko </w:t>
      </w:r>
      <w:r w:rsidR="008062E2" w:rsidRPr="006F34F9">
        <w:rPr>
          <w:szCs w:val="22"/>
          <w:lang w:val="sr-Latn-ME"/>
        </w:rPr>
        <w:t>slijepo</w:t>
      </w:r>
      <w:r w:rsidRPr="006F34F9">
        <w:rPr>
          <w:szCs w:val="22"/>
          <w:lang w:val="sr-Latn-ME"/>
        </w:rPr>
        <w:t>m, placebom kontrolisanom ispitivanju za proc</w:t>
      </w:r>
      <w:r w:rsidR="001E29CA" w:rsidRPr="006F34F9">
        <w:rPr>
          <w:szCs w:val="22"/>
          <w:lang w:val="sr-Latn-ME"/>
        </w:rPr>
        <w:t>j</w:t>
      </w:r>
      <w:r w:rsidRPr="006F34F9">
        <w:rPr>
          <w:szCs w:val="22"/>
          <w:lang w:val="sr-Latn-ME"/>
        </w:rPr>
        <w:t>enu m</w:t>
      </w:r>
      <w:r w:rsidR="001E29CA" w:rsidRPr="006F34F9">
        <w:rPr>
          <w:szCs w:val="22"/>
          <w:lang w:val="sr-Latn-ME"/>
        </w:rPr>
        <w:t>j</w:t>
      </w:r>
      <w:r w:rsidRPr="006F34F9">
        <w:rPr>
          <w:szCs w:val="22"/>
          <w:lang w:val="sr-Latn-ME"/>
        </w:rPr>
        <w:t>era ishoda za efikasnost u 52</w:t>
      </w:r>
      <w:r w:rsidR="001800FD" w:rsidRPr="006F34F9">
        <w:rPr>
          <w:szCs w:val="22"/>
          <w:lang w:val="sr-Latn-ME"/>
        </w:rPr>
        <w:t xml:space="preserve">. </w:t>
      </w:r>
      <w:r w:rsidR="0069571E" w:rsidRPr="006F34F9">
        <w:rPr>
          <w:szCs w:val="22"/>
          <w:lang w:val="sr-Latn-ME"/>
        </w:rPr>
        <w:t>nedjelji</w:t>
      </w:r>
      <w:r w:rsidRPr="006F34F9">
        <w:rPr>
          <w:szCs w:val="22"/>
          <w:lang w:val="sr-Latn-ME"/>
        </w:rPr>
        <w:t xml:space="preserve"> (VISIBLE 1). U ispitivanju VISIBLE 1, uključeni </w:t>
      </w:r>
      <w:r w:rsidR="001800FD" w:rsidRPr="006F34F9">
        <w:rPr>
          <w:szCs w:val="22"/>
          <w:lang w:val="sr-Latn-ME"/>
        </w:rPr>
        <w:t>pacijenti</w:t>
      </w:r>
      <w:r w:rsidRPr="006F34F9">
        <w:rPr>
          <w:szCs w:val="22"/>
          <w:lang w:val="sr-Latn-ME"/>
        </w:rPr>
        <w:t xml:space="preserve"> (n = 383) ni</w:t>
      </w:r>
      <w:r w:rsidR="001E29CA" w:rsidRPr="006F34F9">
        <w:rPr>
          <w:szCs w:val="22"/>
          <w:lang w:val="sr-Latn-ME"/>
        </w:rPr>
        <w:t>je</w:t>
      </w:r>
      <w:r w:rsidRPr="006F34F9">
        <w:rPr>
          <w:szCs w:val="22"/>
          <w:lang w:val="sr-Latn-ME"/>
        </w:rPr>
        <w:t xml:space="preserve">su odgovorili na barem 1 standardnu terapiju, uključujući kortikosteroide, imunomodulatore i/ili antagoniste TNFα (uključujući i </w:t>
      </w:r>
      <w:r w:rsidR="001800FD" w:rsidRPr="006F34F9">
        <w:rPr>
          <w:szCs w:val="22"/>
          <w:lang w:val="sr-Latn-ME"/>
        </w:rPr>
        <w:t>pacijente</w:t>
      </w:r>
      <w:r w:rsidRPr="006F34F9">
        <w:rPr>
          <w:szCs w:val="22"/>
          <w:lang w:val="sr-Latn-ME"/>
        </w:rPr>
        <w:t xml:space="preserve"> bez odgovora na primarno l</w:t>
      </w:r>
      <w:r w:rsidR="001E29CA" w:rsidRPr="006F34F9">
        <w:rPr>
          <w:szCs w:val="22"/>
          <w:lang w:val="sr-Latn-ME"/>
        </w:rPr>
        <w:t>ij</w:t>
      </w:r>
      <w:r w:rsidRPr="006F34F9">
        <w:rPr>
          <w:szCs w:val="22"/>
          <w:lang w:val="sr-Latn-ME"/>
        </w:rPr>
        <w:t xml:space="preserve">ečenje). Bile su </w:t>
      </w:r>
      <w:r w:rsidR="00F62C15" w:rsidRPr="006F34F9">
        <w:rPr>
          <w:szCs w:val="22"/>
          <w:lang w:val="sr-Latn-ME"/>
        </w:rPr>
        <w:t xml:space="preserve">dozvoljene </w:t>
      </w:r>
      <w:r w:rsidR="0001324E" w:rsidRPr="006F34F9">
        <w:rPr>
          <w:szCs w:val="22"/>
          <w:lang w:val="sr-Latn-ME"/>
        </w:rPr>
        <w:t xml:space="preserve">istovremeno </w:t>
      </w:r>
      <w:r w:rsidRPr="006F34F9">
        <w:rPr>
          <w:szCs w:val="22"/>
          <w:lang w:val="sr-Latn-ME"/>
        </w:rPr>
        <w:t xml:space="preserve">stabilne doze oralnih </w:t>
      </w:r>
      <w:r w:rsidR="003D1FD7" w:rsidRPr="006F34F9">
        <w:rPr>
          <w:szCs w:val="22"/>
          <w:lang w:val="sr-Latn-ME"/>
        </w:rPr>
        <w:t>aminosalicilata</w:t>
      </w:r>
      <w:r w:rsidRPr="006F34F9">
        <w:rPr>
          <w:szCs w:val="22"/>
          <w:lang w:val="sr-Latn-ME"/>
        </w:rPr>
        <w:t>, kortikosteroida i/ili imunomodulatora.</w:t>
      </w:r>
    </w:p>
    <w:p w14:paraId="445BDE2F" w14:textId="77777777" w:rsidR="001B44E1" w:rsidRPr="006F34F9" w:rsidRDefault="001B44E1">
      <w:pPr>
        <w:rPr>
          <w:szCs w:val="22"/>
          <w:lang w:val="sr-Latn-ME"/>
        </w:rPr>
      </w:pPr>
    </w:p>
    <w:p w14:paraId="136794C5" w14:textId="7BC20626" w:rsidR="001B44E1" w:rsidRDefault="001800FD">
      <w:pPr>
        <w:rPr>
          <w:szCs w:val="22"/>
          <w:lang w:val="sr-Latn-ME"/>
        </w:rPr>
      </w:pPr>
      <w:r w:rsidRPr="006F34F9">
        <w:rPr>
          <w:szCs w:val="22"/>
          <w:lang w:val="sr-Latn-ME"/>
        </w:rPr>
        <w:t>Pacijenti</w:t>
      </w:r>
      <w:r w:rsidR="001B44E1" w:rsidRPr="006F34F9">
        <w:rPr>
          <w:szCs w:val="22"/>
          <w:lang w:val="sr-Latn-ME"/>
        </w:rPr>
        <w:t xml:space="preserve"> koji su postigli klinički odgovor na otvoreno l</w:t>
      </w:r>
      <w:r w:rsidR="001E29CA" w:rsidRPr="006F34F9">
        <w:rPr>
          <w:szCs w:val="22"/>
          <w:lang w:val="sr-Latn-ME"/>
        </w:rPr>
        <w:t>ij</w:t>
      </w:r>
      <w:r w:rsidR="001B44E1" w:rsidRPr="006F34F9">
        <w:rPr>
          <w:szCs w:val="22"/>
          <w:lang w:val="sr-Latn-ME"/>
        </w:rPr>
        <w:t xml:space="preserve">ečenje intravenskim vedolizumabom u 6. </w:t>
      </w:r>
      <w:r w:rsidR="0069571E" w:rsidRPr="006F34F9">
        <w:rPr>
          <w:szCs w:val="22"/>
          <w:lang w:val="sr-Latn-ME"/>
        </w:rPr>
        <w:t>nedjelji</w:t>
      </w:r>
      <w:r w:rsidR="001B44E1" w:rsidRPr="006F34F9">
        <w:rPr>
          <w:szCs w:val="22"/>
          <w:lang w:val="sr-Latn-ME"/>
        </w:rPr>
        <w:t xml:space="preserve"> mogli su se randomiz</w:t>
      </w:r>
      <w:r w:rsidRPr="006F34F9">
        <w:rPr>
          <w:szCs w:val="22"/>
          <w:lang w:val="sr-Latn-ME"/>
        </w:rPr>
        <w:t>ov</w:t>
      </w:r>
      <w:r w:rsidR="001B44E1" w:rsidRPr="006F34F9">
        <w:rPr>
          <w:szCs w:val="22"/>
          <w:lang w:val="sr-Latn-ME"/>
        </w:rPr>
        <w:t xml:space="preserve">ati. Za procjenu </w:t>
      </w:r>
      <w:r w:rsidRPr="006F34F9">
        <w:rPr>
          <w:szCs w:val="22"/>
          <w:lang w:val="sr-Latn-ME"/>
        </w:rPr>
        <w:t>m</w:t>
      </w:r>
      <w:r w:rsidR="00F71BAC" w:rsidRPr="006F34F9">
        <w:rPr>
          <w:szCs w:val="22"/>
          <w:lang w:val="sr-Latn-ME"/>
        </w:rPr>
        <w:t>j</w:t>
      </w:r>
      <w:r w:rsidRPr="006F34F9">
        <w:rPr>
          <w:szCs w:val="22"/>
          <w:lang w:val="sr-Latn-ME"/>
        </w:rPr>
        <w:t>era</w:t>
      </w:r>
      <w:r w:rsidR="001B44E1" w:rsidRPr="006F34F9">
        <w:rPr>
          <w:szCs w:val="22"/>
          <w:lang w:val="sr-Latn-ME"/>
        </w:rPr>
        <w:t xml:space="preserve"> ishoda u 52</w:t>
      </w:r>
      <w:r w:rsidRPr="006F34F9">
        <w:rPr>
          <w:szCs w:val="22"/>
          <w:lang w:val="sr-Latn-ME"/>
        </w:rPr>
        <w:t xml:space="preserve">. </w:t>
      </w:r>
      <w:r w:rsidR="0069571E" w:rsidRPr="006F34F9">
        <w:rPr>
          <w:szCs w:val="22"/>
          <w:lang w:val="sr-Latn-ME"/>
        </w:rPr>
        <w:t>nedjelji</w:t>
      </w:r>
      <w:r w:rsidR="001B44E1" w:rsidRPr="006F34F9">
        <w:rPr>
          <w:szCs w:val="22"/>
          <w:lang w:val="sr-Latn-ME"/>
        </w:rPr>
        <w:t xml:space="preserve">, 216 (56,4%) </w:t>
      </w:r>
      <w:r w:rsidRPr="006F34F9">
        <w:rPr>
          <w:szCs w:val="22"/>
          <w:lang w:val="sr-Latn-ME"/>
        </w:rPr>
        <w:t>pacijenata</w:t>
      </w:r>
      <w:r w:rsidR="001B44E1" w:rsidRPr="006F34F9">
        <w:rPr>
          <w:szCs w:val="22"/>
          <w:lang w:val="sr-Latn-ME"/>
        </w:rPr>
        <w:t xml:space="preserve"> randomiz</w:t>
      </w:r>
      <w:r w:rsidRPr="006F34F9">
        <w:rPr>
          <w:szCs w:val="22"/>
          <w:lang w:val="sr-Latn-ME"/>
        </w:rPr>
        <w:t>ov</w:t>
      </w:r>
      <w:r w:rsidR="001B44E1" w:rsidRPr="006F34F9">
        <w:rPr>
          <w:szCs w:val="22"/>
          <w:lang w:val="sr-Latn-ME"/>
        </w:rPr>
        <w:t>ano je i l</w:t>
      </w:r>
      <w:r w:rsidR="0067327C" w:rsidRPr="006F34F9">
        <w:rPr>
          <w:szCs w:val="22"/>
          <w:lang w:val="sr-Latn-ME"/>
        </w:rPr>
        <w:t>ij</w:t>
      </w:r>
      <w:r w:rsidR="001B44E1" w:rsidRPr="006F34F9">
        <w:rPr>
          <w:szCs w:val="22"/>
          <w:lang w:val="sr-Latn-ME"/>
        </w:rPr>
        <w:t>ečeno, uz dvostruko sl</w:t>
      </w:r>
      <w:r w:rsidR="0067327C" w:rsidRPr="006F34F9">
        <w:rPr>
          <w:szCs w:val="22"/>
          <w:lang w:val="sr-Latn-ME"/>
        </w:rPr>
        <w:t>ij</w:t>
      </w:r>
      <w:r w:rsidR="001B44E1" w:rsidRPr="006F34F9">
        <w:rPr>
          <w:szCs w:val="22"/>
          <w:lang w:val="sr-Latn-ME"/>
        </w:rPr>
        <w:t>epi dizajn ispitivanja</w:t>
      </w:r>
      <w:r w:rsidRPr="006F34F9">
        <w:rPr>
          <w:szCs w:val="22"/>
          <w:lang w:val="sr-Latn-ME"/>
        </w:rPr>
        <w:t xml:space="preserve"> </w:t>
      </w:r>
      <w:r w:rsidR="001B44E1" w:rsidRPr="006F34F9">
        <w:rPr>
          <w:szCs w:val="22"/>
          <w:lang w:val="sr-Latn-ME"/>
        </w:rPr>
        <w:t>(2:1:1), jednim od sl</w:t>
      </w:r>
      <w:r w:rsidR="00F71BAC" w:rsidRPr="006F34F9">
        <w:rPr>
          <w:szCs w:val="22"/>
          <w:lang w:val="sr-Latn-ME"/>
        </w:rPr>
        <w:t>j</w:t>
      </w:r>
      <w:r w:rsidR="001B44E1" w:rsidRPr="006F34F9">
        <w:rPr>
          <w:szCs w:val="22"/>
          <w:lang w:val="sr-Latn-ME"/>
        </w:rPr>
        <w:t xml:space="preserve">edećih režima: </w:t>
      </w:r>
      <w:r w:rsidRPr="006F34F9">
        <w:rPr>
          <w:szCs w:val="22"/>
          <w:lang w:val="sr-Latn-ME"/>
        </w:rPr>
        <w:t>subkutanim</w:t>
      </w:r>
      <w:r w:rsidR="001B44E1" w:rsidRPr="006F34F9">
        <w:rPr>
          <w:szCs w:val="22"/>
          <w:lang w:val="sr-Latn-ME"/>
        </w:rPr>
        <w:t xml:space="preserve"> vedolizumabom 108 mg svak</w:t>
      </w:r>
      <w:r w:rsidRPr="006F34F9">
        <w:rPr>
          <w:szCs w:val="22"/>
          <w:lang w:val="sr-Latn-ME"/>
        </w:rPr>
        <w:t>e</w:t>
      </w:r>
      <w:r w:rsidR="001B44E1" w:rsidRPr="006F34F9">
        <w:rPr>
          <w:szCs w:val="22"/>
          <w:lang w:val="sr-Latn-ME"/>
        </w:rPr>
        <w:t xml:space="preserve"> 2 </w:t>
      </w:r>
      <w:r w:rsidR="00A22425" w:rsidRPr="006F34F9">
        <w:rPr>
          <w:szCs w:val="22"/>
          <w:lang w:val="sr-Latn-ME"/>
        </w:rPr>
        <w:t>nedjelje</w:t>
      </w:r>
      <w:r w:rsidR="001B44E1" w:rsidRPr="006F34F9">
        <w:rPr>
          <w:szCs w:val="22"/>
          <w:lang w:val="sr-Latn-ME"/>
        </w:rPr>
        <w:t xml:space="preserve">, intravenskim vedolizumabom 300 mg svakih 8 </w:t>
      </w:r>
      <w:r w:rsidR="008062E2" w:rsidRPr="006F34F9">
        <w:rPr>
          <w:szCs w:val="22"/>
          <w:lang w:val="sr-Latn-ME"/>
        </w:rPr>
        <w:t>nedjelja</w:t>
      </w:r>
      <w:r w:rsidR="001B44E1" w:rsidRPr="006F34F9">
        <w:rPr>
          <w:szCs w:val="22"/>
          <w:lang w:val="sr-Latn-ME"/>
        </w:rPr>
        <w:t xml:space="preserve"> ili placebom.</w:t>
      </w:r>
    </w:p>
    <w:p w14:paraId="5D72E40D" w14:textId="77777777" w:rsidR="00D7095F" w:rsidRPr="006F34F9" w:rsidRDefault="00D7095F">
      <w:pPr>
        <w:rPr>
          <w:szCs w:val="22"/>
          <w:lang w:val="sr-Latn-ME"/>
        </w:rPr>
      </w:pPr>
    </w:p>
    <w:p w14:paraId="07C303B7" w14:textId="6665998C" w:rsidR="001B44E1" w:rsidRPr="006F34F9" w:rsidRDefault="001B44E1">
      <w:pPr>
        <w:rPr>
          <w:szCs w:val="22"/>
          <w:lang w:val="sr-Latn-ME"/>
        </w:rPr>
      </w:pPr>
      <w:r w:rsidRPr="006F34F9">
        <w:rPr>
          <w:szCs w:val="22"/>
          <w:lang w:val="sr-Latn-ME"/>
        </w:rPr>
        <w:t xml:space="preserve">Osnovna demografija bila je slična </w:t>
      </w:r>
      <w:r w:rsidR="001800FD" w:rsidRPr="006F34F9">
        <w:rPr>
          <w:szCs w:val="22"/>
          <w:lang w:val="sr-Latn-ME"/>
        </w:rPr>
        <w:t>kod</w:t>
      </w:r>
      <w:r w:rsidRPr="006F34F9">
        <w:rPr>
          <w:szCs w:val="22"/>
          <w:lang w:val="sr-Latn-ME"/>
        </w:rPr>
        <w:t xml:space="preserve"> </w:t>
      </w:r>
      <w:r w:rsidR="001800FD" w:rsidRPr="006F34F9">
        <w:rPr>
          <w:szCs w:val="22"/>
          <w:lang w:val="sr-Latn-ME"/>
        </w:rPr>
        <w:t>pacijenata</w:t>
      </w:r>
      <w:r w:rsidRPr="006F34F9">
        <w:rPr>
          <w:szCs w:val="22"/>
          <w:lang w:val="sr-Latn-ME"/>
        </w:rPr>
        <w:t xml:space="preserve"> na vedolizumabu i na placebu. Mayo rezultat s</w:t>
      </w:r>
      <w:r w:rsidR="001800FD" w:rsidRPr="006F34F9">
        <w:rPr>
          <w:szCs w:val="22"/>
          <w:lang w:val="sr-Latn-ME"/>
        </w:rPr>
        <w:t>a</w:t>
      </w:r>
      <w:r w:rsidRPr="006F34F9">
        <w:rPr>
          <w:szCs w:val="22"/>
          <w:lang w:val="sr-Latn-ME"/>
        </w:rPr>
        <w:t xml:space="preserve"> početka ispitivanja bio je između 9 i 12 (teški ulcerozni kolitis) u oko 62% i 6 do 8 (</w:t>
      </w:r>
      <w:r w:rsidR="008062E2" w:rsidRPr="006F34F9">
        <w:rPr>
          <w:szCs w:val="22"/>
          <w:lang w:val="sr-Latn-ME"/>
        </w:rPr>
        <w:t>umjereno</w:t>
      </w:r>
      <w:r w:rsidRPr="006F34F9">
        <w:rPr>
          <w:szCs w:val="22"/>
          <w:lang w:val="sr-Latn-ME"/>
        </w:rPr>
        <w:t xml:space="preserve"> teški ulcerozni kolitis) u oko 38% ukupne populacije iz ispitivanja. </w:t>
      </w:r>
    </w:p>
    <w:p w14:paraId="5F723528" w14:textId="77777777" w:rsidR="001B44E1" w:rsidRPr="006F34F9" w:rsidRDefault="001B44E1">
      <w:pPr>
        <w:rPr>
          <w:szCs w:val="22"/>
          <w:lang w:val="sr-Latn-ME"/>
        </w:rPr>
      </w:pPr>
    </w:p>
    <w:p w14:paraId="3B6E29C8" w14:textId="3D3F5868" w:rsidR="001B44E1" w:rsidRPr="006F34F9" w:rsidRDefault="001B44E1">
      <w:pPr>
        <w:rPr>
          <w:szCs w:val="22"/>
          <w:lang w:val="sr-Latn-ME"/>
        </w:rPr>
      </w:pPr>
      <w:r w:rsidRPr="006F34F9">
        <w:rPr>
          <w:szCs w:val="22"/>
          <w:lang w:val="sr-Latn-ME"/>
        </w:rPr>
        <w:t>Primarna mjera ishoda, klinička remisija, defini</w:t>
      </w:r>
      <w:r w:rsidR="00C15B4F" w:rsidRPr="006F34F9">
        <w:rPr>
          <w:szCs w:val="22"/>
          <w:lang w:val="sr-Latn-ME"/>
        </w:rPr>
        <w:t>s</w:t>
      </w:r>
      <w:r w:rsidRPr="006F34F9">
        <w:rPr>
          <w:szCs w:val="22"/>
          <w:lang w:val="sr-Latn-ME"/>
        </w:rPr>
        <w:t>ana je kao ukupni Mayo rezultat ≤ 2 boda i bez pojedinačnog podrezultata &gt; 1 bod u 52</w:t>
      </w:r>
      <w:r w:rsidR="00C15B4F" w:rsidRPr="006F34F9">
        <w:rPr>
          <w:szCs w:val="22"/>
          <w:lang w:val="sr-Latn-ME"/>
        </w:rPr>
        <w:t xml:space="preserve"> nedjelje</w:t>
      </w:r>
      <w:r w:rsidRPr="006F34F9">
        <w:rPr>
          <w:szCs w:val="22"/>
          <w:lang w:val="sr-Latn-ME"/>
        </w:rPr>
        <w:t xml:space="preserve"> </w:t>
      </w:r>
      <w:r w:rsidR="00C15B4F" w:rsidRPr="006F34F9">
        <w:rPr>
          <w:szCs w:val="22"/>
          <w:lang w:val="sr-Latn-ME"/>
        </w:rPr>
        <w:t>kod</w:t>
      </w:r>
      <w:r w:rsidRPr="006F34F9">
        <w:rPr>
          <w:szCs w:val="22"/>
          <w:lang w:val="sr-Latn-ME"/>
        </w:rPr>
        <w:t xml:space="preserve"> </w:t>
      </w:r>
      <w:r w:rsidR="00D43BC5" w:rsidRPr="006F34F9">
        <w:rPr>
          <w:szCs w:val="22"/>
          <w:lang w:val="sr-Latn-ME"/>
        </w:rPr>
        <w:t>pacijenata</w:t>
      </w:r>
      <w:r w:rsidRPr="006F34F9">
        <w:rPr>
          <w:szCs w:val="22"/>
          <w:lang w:val="sr-Latn-ME"/>
        </w:rPr>
        <w:t xml:space="preserve"> s</w:t>
      </w:r>
      <w:r w:rsidR="00C15B4F" w:rsidRPr="006F34F9">
        <w:rPr>
          <w:szCs w:val="22"/>
          <w:lang w:val="sr-Latn-ME"/>
        </w:rPr>
        <w:t>a</w:t>
      </w:r>
      <w:r w:rsidRPr="006F34F9">
        <w:rPr>
          <w:szCs w:val="22"/>
          <w:lang w:val="sr-Latn-ME"/>
        </w:rPr>
        <w:t xml:space="preserve"> kliničkim odgovorom u 6. </w:t>
      </w:r>
      <w:r w:rsidR="0067327C" w:rsidRPr="006F34F9">
        <w:rPr>
          <w:szCs w:val="22"/>
          <w:lang w:val="sr-Latn-ME"/>
        </w:rPr>
        <w:t>nedjelji</w:t>
      </w:r>
      <w:r w:rsidRPr="006F34F9">
        <w:rPr>
          <w:szCs w:val="22"/>
          <w:lang w:val="sr-Latn-ME"/>
        </w:rPr>
        <w:t xml:space="preserve"> uvodnog liječenja intravenskim vedolizumabom. Klinički odgovor defini</w:t>
      </w:r>
      <w:r w:rsidR="00C15B4F" w:rsidRPr="006F34F9">
        <w:rPr>
          <w:szCs w:val="22"/>
          <w:lang w:val="sr-Latn-ME"/>
        </w:rPr>
        <w:t>s</w:t>
      </w:r>
      <w:r w:rsidRPr="006F34F9">
        <w:rPr>
          <w:szCs w:val="22"/>
          <w:lang w:val="sr-Latn-ME"/>
        </w:rPr>
        <w:t>an je kao smanjenje ukupnog Mayo rezultata za ≥ 3 boda i ≥ 30% u odnosu na početak ispitivanja, uz prateće smanjenje podrezultata za rektalno krvarenje ≥ 1 boda ili apsolutnog podrezultata za rektalno krvarenje ≤ 2 boda i bez pojedinačnog podrezultata &gt; 1 bod.</w:t>
      </w:r>
    </w:p>
    <w:bookmarkEnd w:id="3"/>
    <w:p w14:paraId="0C45A6DD" w14:textId="77777777" w:rsidR="001B44E1" w:rsidRPr="006F34F9" w:rsidRDefault="001B44E1" w:rsidP="00591D18">
      <w:pPr>
        <w:ind w:right="140"/>
        <w:rPr>
          <w:szCs w:val="22"/>
          <w:lang w:val="sr-Latn-ME"/>
        </w:rPr>
      </w:pPr>
    </w:p>
    <w:p w14:paraId="32BB8EDD" w14:textId="4D9F5121" w:rsidR="001B44E1" w:rsidRPr="006F34F9" w:rsidRDefault="0067327C" w:rsidP="00591D18">
      <w:pPr>
        <w:rPr>
          <w:szCs w:val="22"/>
          <w:lang w:val="sr-Latn-ME"/>
        </w:rPr>
      </w:pPr>
      <w:r w:rsidRPr="006F34F9">
        <w:rPr>
          <w:szCs w:val="22"/>
          <w:lang w:val="sr-Latn-ME"/>
        </w:rPr>
        <w:t>Tabela</w:t>
      </w:r>
      <w:r w:rsidR="001B44E1" w:rsidRPr="006F34F9">
        <w:rPr>
          <w:szCs w:val="22"/>
          <w:lang w:val="sr-Latn-ME"/>
        </w:rPr>
        <w:t> 4 prikazuje proc</w:t>
      </w:r>
      <w:r w:rsidR="00F71BAC" w:rsidRPr="006F34F9">
        <w:rPr>
          <w:szCs w:val="22"/>
          <w:lang w:val="sr-Latn-ME"/>
        </w:rPr>
        <w:t>ij</w:t>
      </w:r>
      <w:r w:rsidR="001B44E1" w:rsidRPr="006F34F9">
        <w:rPr>
          <w:szCs w:val="22"/>
          <w:lang w:val="sr-Latn-ME"/>
        </w:rPr>
        <w:t>enjene rezultate primarnih i sekundarnih mjera ishoda.</w:t>
      </w:r>
    </w:p>
    <w:p w14:paraId="60647C11" w14:textId="39ECE029" w:rsidR="001B44E1" w:rsidRPr="006F34F9" w:rsidRDefault="0067327C">
      <w:pPr>
        <w:keepNext/>
        <w:rPr>
          <w:b/>
          <w:szCs w:val="22"/>
          <w:lang w:val="sr-Latn-ME"/>
        </w:rPr>
      </w:pPr>
      <w:bookmarkStart w:id="4" w:name="_Hlk33188261"/>
      <w:r w:rsidRPr="006F34F9">
        <w:rPr>
          <w:b/>
          <w:szCs w:val="22"/>
          <w:lang w:val="sr-Latn-ME"/>
        </w:rPr>
        <w:lastRenderedPageBreak/>
        <w:t>Tabela</w:t>
      </w:r>
      <w:r w:rsidR="001B44E1" w:rsidRPr="006F34F9">
        <w:rPr>
          <w:b/>
          <w:szCs w:val="22"/>
          <w:lang w:val="sr-Latn-ME"/>
        </w:rPr>
        <w:t xml:space="preserve"> 4. Rezultati </w:t>
      </w:r>
      <w:r w:rsidR="00B148F2" w:rsidRPr="006F34F9">
        <w:rPr>
          <w:b/>
          <w:szCs w:val="22"/>
          <w:lang w:val="sr-Latn-ME"/>
        </w:rPr>
        <w:t>efikasnosti</w:t>
      </w:r>
      <w:r w:rsidR="001B44E1" w:rsidRPr="006F34F9">
        <w:rPr>
          <w:b/>
          <w:szCs w:val="22"/>
          <w:lang w:val="sr-Latn-ME"/>
        </w:rPr>
        <w:t xml:space="preserve"> u ispitivanju VISIBLE I u 52. </w:t>
      </w:r>
      <w:r w:rsidRPr="006F34F9">
        <w:rPr>
          <w:b/>
          <w:szCs w:val="22"/>
          <w:lang w:val="sr-Latn-ME"/>
        </w:rPr>
        <w:t>nedjelji</w:t>
      </w:r>
    </w:p>
    <w:tbl>
      <w:tblPr>
        <w:tblW w:w="9175" w:type="dxa"/>
        <w:jc w:val="center"/>
        <w:tblLayout w:type="fixed"/>
        <w:tblLook w:val="04A0" w:firstRow="1" w:lastRow="0" w:firstColumn="1" w:lastColumn="0" w:noHBand="0" w:noVBand="1"/>
      </w:tblPr>
      <w:tblGrid>
        <w:gridCol w:w="1809"/>
        <w:gridCol w:w="1134"/>
        <w:gridCol w:w="1452"/>
        <w:gridCol w:w="1720"/>
        <w:gridCol w:w="1890"/>
        <w:gridCol w:w="1170"/>
      </w:tblGrid>
      <w:tr w:rsidR="001B44E1" w:rsidRPr="006F34F9" w14:paraId="36643160" w14:textId="77777777" w:rsidTr="00180C9F">
        <w:trPr>
          <w:tblHeader/>
          <w:jc w:val="center"/>
        </w:trPr>
        <w:tc>
          <w:tcPr>
            <w:tcW w:w="1809" w:type="dxa"/>
            <w:tcBorders>
              <w:top w:val="single" w:sz="4" w:space="0" w:color="auto"/>
              <w:bottom w:val="single" w:sz="4" w:space="0" w:color="auto"/>
            </w:tcBorders>
            <w:vAlign w:val="center"/>
          </w:tcPr>
          <w:p w14:paraId="09F87278" w14:textId="77777777" w:rsidR="001B44E1" w:rsidRPr="006F34F9" w:rsidRDefault="001B44E1" w:rsidP="00180C9F">
            <w:pPr>
              <w:pStyle w:val="table-heading-9"/>
              <w:keepLines/>
              <w:spacing w:before="0" w:after="0"/>
              <w:jc w:val="both"/>
              <w:rPr>
                <w:b w:val="0"/>
                <w:sz w:val="22"/>
                <w:szCs w:val="22"/>
                <w:lang w:val="sr-Latn-ME"/>
              </w:rPr>
            </w:pPr>
            <w:r w:rsidRPr="006F34F9">
              <w:rPr>
                <w:b w:val="0"/>
                <w:sz w:val="22"/>
                <w:szCs w:val="22"/>
                <w:lang w:val="sr-Latn-ME"/>
              </w:rPr>
              <w:t xml:space="preserve">Mjera ishoda </w:t>
            </w:r>
          </w:p>
        </w:tc>
        <w:tc>
          <w:tcPr>
            <w:tcW w:w="1134" w:type="dxa"/>
            <w:tcBorders>
              <w:top w:val="single" w:sz="4" w:space="0" w:color="auto"/>
              <w:bottom w:val="single" w:sz="4" w:space="0" w:color="auto"/>
            </w:tcBorders>
            <w:vAlign w:val="center"/>
          </w:tcPr>
          <w:p w14:paraId="1B4C145A" w14:textId="77777777" w:rsidR="001B44E1" w:rsidRPr="006F34F9" w:rsidRDefault="001B44E1" w:rsidP="0066419A">
            <w:pPr>
              <w:pStyle w:val="table-heading-9centered"/>
              <w:keepLines/>
              <w:spacing w:before="0" w:after="0"/>
              <w:rPr>
                <w:b w:val="0"/>
                <w:sz w:val="22"/>
                <w:szCs w:val="22"/>
                <w:lang w:val="sr-Latn-ME"/>
              </w:rPr>
            </w:pPr>
            <w:r w:rsidRPr="006F34F9">
              <w:rPr>
                <w:b w:val="0"/>
                <w:sz w:val="22"/>
                <w:szCs w:val="22"/>
                <w:lang w:val="sr-Latn-ME"/>
              </w:rPr>
              <w:t>Placebo</w:t>
            </w:r>
            <w:r w:rsidRPr="006F34F9">
              <w:rPr>
                <w:b w:val="0"/>
                <w:sz w:val="22"/>
                <w:szCs w:val="22"/>
                <w:vertAlign w:val="superscript"/>
                <w:lang w:val="sr-Latn-ME"/>
              </w:rPr>
              <w:t>b</w:t>
            </w:r>
          </w:p>
          <w:p w14:paraId="50B5815C" w14:textId="77777777" w:rsidR="001B44E1" w:rsidRPr="006F34F9" w:rsidRDefault="001B44E1" w:rsidP="0066419A">
            <w:pPr>
              <w:pStyle w:val="table-heading-9centered"/>
              <w:keepLines/>
              <w:spacing w:before="0" w:after="0"/>
              <w:rPr>
                <w:b w:val="0"/>
                <w:sz w:val="22"/>
                <w:szCs w:val="22"/>
                <w:lang w:val="sr-Latn-ME"/>
              </w:rPr>
            </w:pPr>
            <w:r w:rsidRPr="006F34F9">
              <w:rPr>
                <w:b w:val="0"/>
                <w:sz w:val="22"/>
                <w:szCs w:val="22"/>
                <w:lang w:val="sr-Latn-ME"/>
              </w:rPr>
              <w:t>n = 56</w:t>
            </w:r>
          </w:p>
        </w:tc>
        <w:tc>
          <w:tcPr>
            <w:tcW w:w="1452" w:type="dxa"/>
            <w:tcBorders>
              <w:top w:val="single" w:sz="4" w:space="0" w:color="auto"/>
              <w:bottom w:val="single" w:sz="4" w:space="0" w:color="auto"/>
            </w:tcBorders>
            <w:vAlign w:val="center"/>
          </w:tcPr>
          <w:p w14:paraId="5E3076E5" w14:textId="77777777" w:rsidR="001B44E1" w:rsidRPr="006F34F9" w:rsidRDefault="001B44E1" w:rsidP="0066419A">
            <w:pPr>
              <w:pStyle w:val="table-heading-9centered"/>
              <w:keepLines/>
              <w:spacing w:before="0" w:after="0"/>
              <w:rPr>
                <w:b w:val="0"/>
                <w:sz w:val="22"/>
                <w:szCs w:val="22"/>
                <w:lang w:val="sr-Latn-ME"/>
              </w:rPr>
            </w:pPr>
            <w:r w:rsidRPr="006F34F9">
              <w:rPr>
                <w:b w:val="0"/>
                <w:sz w:val="22"/>
                <w:szCs w:val="22"/>
                <w:lang w:val="sr-Latn-ME"/>
              </w:rPr>
              <w:t>Vedolizumab s.c. 108 mg</w:t>
            </w:r>
          </w:p>
          <w:p w14:paraId="044E0C2E" w14:textId="40F17A78" w:rsidR="001B44E1" w:rsidRPr="006F34F9" w:rsidRDefault="001B44E1" w:rsidP="0066419A">
            <w:pPr>
              <w:pStyle w:val="table-heading-9centered"/>
              <w:keepLines/>
              <w:spacing w:before="0" w:after="0"/>
              <w:rPr>
                <w:b w:val="0"/>
                <w:sz w:val="22"/>
                <w:szCs w:val="22"/>
                <w:lang w:val="sr-Latn-ME"/>
              </w:rPr>
            </w:pPr>
            <w:r w:rsidRPr="006F34F9">
              <w:rPr>
                <w:b w:val="0"/>
                <w:sz w:val="22"/>
                <w:szCs w:val="22"/>
                <w:lang w:val="sr-Latn-ME"/>
              </w:rPr>
              <w:t>svak</w:t>
            </w:r>
            <w:r w:rsidR="00C15B4F" w:rsidRPr="006F34F9">
              <w:rPr>
                <w:b w:val="0"/>
                <w:sz w:val="22"/>
                <w:szCs w:val="22"/>
                <w:lang w:val="sr-Latn-ME"/>
              </w:rPr>
              <w:t>e</w:t>
            </w:r>
            <w:r w:rsidRPr="006F34F9">
              <w:rPr>
                <w:b w:val="0"/>
                <w:sz w:val="22"/>
                <w:szCs w:val="22"/>
                <w:lang w:val="sr-Latn-ME"/>
              </w:rPr>
              <w:t xml:space="preserve"> 2 </w:t>
            </w:r>
            <w:r w:rsidR="00C15B4F" w:rsidRPr="006F34F9">
              <w:rPr>
                <w:b w:val="0"/>
                <w:sz w:val="22"/>
                <w:szCs w:val="22"/>
                <w:lang w:val="sr-Latn-ME"/>
              </w:rPr>
              <w:t>nedjelje</w:t>
            </w:r>
          </w:p>
          <w:p w14:paraId="41360426" w14:textId="77777777" w:rsidR="001B44E1" w:rsidRPr="006F34F9" w:rsidRDefault="001B44E1" w:rsidP="0066419A">
            <w:pPr>
              <w:pStyle w:val="table-heading-9centered"/>
              <w:keepLines/>
              <w:spacing w:before="0" w:after="0"/>
              <w:rPr>
                <w:b w:val="0"/>
                <w:sz w:val="22"/>
                <w:szCs w:val="22"/>
                <w:lang w:val="sr-Latn-ME"/>
              </w:rPr>
            </w:pPr>
            <w:r w:rsidRPr="006F34F9">
              <w:rPr>
                <w:b w:val="0"/>
                <w:sz w:val="22"/>
                <w:szCs w:val="22"/>
                <w:lang w:val="sr-Latn-ME"/>
              </w:rPr>
              <w:t>n = 106</w:t>
            </w:r>
          </w:p>
        </w:tc>
        <w:tc>
          <w:tcPr>
            <w:tcW w:w="1720" w:type="dxa"/>
            <w:tcBorders>
              <w:top w:val="single" w:sz="4" w:space="0" w:color="auto"/>
              <w:bottom w:val="single" w:sz="4" w:space="0" w:color="auto"/>
            </w:tcBorders>
            <w:vAlign w:val="center"/>
          </w:tcPr>
          <w:p w14:paraId="5049EB90" w14:textId="77777777" w:rsidR="001B44E1" w:rsidRPr="006F34F9" w:rsidRDefault="001B44E1" w:rsidP="0066419A">
            <w:pPr>
              <w:pStyle w:val="table-heading-9centered"/>
              <w:keepLines/>
              <w:spacing w:before="0" w:after="0"/>
              <w:rPr>
                <w:b w:val="0"/>
                <w:sz w:val="22"/>
                <w:szCs w:val="22"/>
                <w:lang w:val="sr-Latn-ME"/>
              </w:rPr>
            </w:pPr>
            <w:r w:rsidRPr="006F34F9">
              <w:rPr>
                <w:b w:val="0"/>
                <w:sz w:val="22"/>
                <w:szCs w:val="22"/>
                <w:lang w:val="sr-Latn-ME"/>
              </w:rPr>
              <w:t>Vedolizumab i.v.</w:t>
            </w:r>
          </w:p>
          <w:p w14:paraId="3EDED146" w14:textId="77777777" w:rsidR="001B44E1" w:rsidRPr="006F34F9" w:rsidRDefault="001B44E1" w:rsidP="0066419A">
            <w:pPr>
              <w:pStyle w:val="table-heading-9centered"/>
              <w:keepLines/>
              <w:spacing w:before="0" w:after="0"/>
              <w:rPr>
                <w:b w:val="0"/>
                <w:sz w:val="22"/>
                <w:szCs w:val="22"/>
                <w:lang w:val="sr-Latn-ME"/>
              </w:rPr>
            </w:pPr>
            <w:r w:rsidRPr="006F34F9">
              <w:rPr>
                <w:b w:val="0"/>
                <w:sz w:val="22"/>
                <w:szCs w:val="22"/>
                <w:lang w:val="sr-Latn-ME"/>
              </w:rPr>
              <w:t>300 mg</w:t>
            </w:r>
          </w:p>
          <w:p w14:paraId="050F3BBB" w14:textId="3B1AD5CC" w:rsidR="001B44E1" w:rsidRPr="006F34F9" w:rsidRDefault="001B44E1" w:rsidP="0066419A">
            <w:pPr>
              <w:pStyle w:val="table-heading-9centered"/>
              <w:keepLines/>
              <w:spacing w:before="0" w:after="0"/>
              <w:rPr>
                <w:b w:val="0"/>
                <w:sz w:val="22"/>
                <w:szCs w:val="22"/>
                <w:lang w:val="sr-Latn-ME"/>
              </w:rPr>
            </w:pPr>
            <w:r w:rsidRPr="006F34F9">
              <w:rPr>
                <w:b w:val="0"/>
                <w:sz w:val="22"/>
                <w:szCs w:val="22"/>
                <w:lang w:val="sr-Latn-ME"/>
              </w:rPr>
              <w:t xml:space="preserve">svakih 8 </w:t>
            </w:r>
            <w:r w:rsidR="00C15B4F" w:rsidRPr="006F34F9">
              <w:rPr>
                <w:b w:val="0"/>
                <w:sz w:val="22"/>
                <w:szCs w:val="22"/>
                <w:lang w:val="sr-Latn-ME"/>
              </w:rPr>
              <w:t>nedjelja</w:t>
            </w:r>
          </w:p>
          <w:p w14:paraId="34732B7C" w14:textId="77777777" w:rsidR="001B44E1" w:rsidRPr="006F34F9" w:rsidRDefault="001B44E1" w:rsidP="0066419A">
            <w:pPr>
              <w:pStyle w:val="table-heading-9centered"/>
              <w:keepLines/>
              <w:spacing w:before="0" w:after="0"/>
              <w:rPr>
                <w:b w:val="0"/>
                <w:sz w:val="22"/>
                <w:szCs w:val="22"/>
                <w:lang w:val="sr-Latn-ME"/>
              </w:rPr>
            </w:pPr>
            <w:r w:rsidRPr="006F34F9">
              <w:rPr>
                <w:b w:val="0"/>
                <w:sz w:val="22"/>
                <w:szCs w:val="22"/>
                <w:lang w:val="sr-Latn-ME"/>
              </w:rPr>
              <w:t>n = 54</w:t>
            </w:r>
          </w:p>
        </w:tc>
        <w:tc>
          <w:tcPr>
            <w:tcW w:w="1890" w:type="dxa"/>
            <w:tcBorders>
              <w:top w:val="single" w:sz="4" w:space="0" w:color="auto"/>
              <w:bottom w:val="single" w:sz="4" w:space="0" w:color="auto"/>
            </w:tcBorders>
            <w:vAlign w:val="center"/>
          </w:tcPr>
          <w:p w14:paraId="4157F084" w14:textId="6D5A6F04" w:rsidR="001B44E1" w:rsidRPr="006F34F9" w:rsidRDefault="001B44E1" w:rsidP="0066419A">
            <w:pPr>
              <w:pStyle w:val="table-heading-9centered"/>
              <w:keepLines/>
              <w:spacing w:before="0" w:after="0"/>
              <w:rPr>
                <w:b w:val="0"/>
                <w:sz w:val="22"/>
                <w:szCs w:val="22"/>
                <w:lang w:val="sr-Latn-ME"/>
              </w:rPr>
            </w:pPr>
            <w:r w:rsidRPr="006F34F9">
              <w:rPr>
                <w:b w:val="0"/>
                <w:sz w:val="22"/>
                <w:szCs w:val="22"/>
                <w:lang w:val="sr-Latn-ME"/>
              </w:rPr>
              <w:t>Procjena</w:t>
            </w:r>
            <w:r w:rsidRPr="006F34F9">
              <w:rPr>
                <w:b w:val="0"/>
                <w:sz w:val="22"/>
                <w:szCs w:val="22"/>
                <w:vertAlign w:val="superscript"/>
                <w:lang w:val="sr-Latn-ME"/>
              </w:rPr>
              <w:t xml:space="preserve">c </w:t>
            </w:r>
            <w:r w:rsidRPr="006F34F9">
              <w:rPr>
                <w:b w:val="0"/>
                <w:sz w:val="22"/>
                <w:szCs w:val="22"/>
                <w:lang w:val="sr-Latn-ME"/>
              </w:rPr>
              <w:t>razlike liječenja</w:t>
            </w:r>
          </w:p>
          <w:p w14:paraId="65B2C1D5" w14:textId="4161D8E0" w:rsidR="001B44E1" w:rsidRPr="006F34F9" w:rsidRDefault="001B44E1" w:rsidP="0066419A">
            <w:pPr>
              <w:pStyle w:val="table-heading-9centered"/>
              <w:keepLines/>
              <w:spacing w:before="0" w:after="0"/>
              <w:rPr>
                <w:b w:val="0"/>
                <w:sz w:val="22"/>
                <w:szCs w:val="22"/>
                <w:lang w:val="sr-Latn-ME"/>
              </w:rPr>
            </w:pPr>
            <w:r w:rsidRPr="006F34F9">
              <w:rPr>
                <w:b w:val="0"/>
                <w:sz w:val="22"/>
                <w:szCs w:val="22"/>
                <w:lang w:val="sr-Latn-ME"/>
              </w:rPr>
              <w:t>(95% CI)</w:t>
            </w:r>
          </w:p>
          <w:p w14:paraId="15C2E5F8" w14:textId="77777777" w:rsidR="001B44E1" w:rsidRPr="006F34F9" w:rsidRDefault="001B44E1" w:rsidP="0066419A">
            <w:pPr>
              <w:pStyle w:val="table-heading-9centered"/>
              <w:keepLines/>
              <w:spacing w:before="0" w:after="0"/>
              <w:rPr>
                <w:b w:val="0"/>
                <w:sz w:val="22"/>
                <w:szCs w:val="22"/>
                <w:lang w:val="sr-Latn-ME"/>
              </w:rPr>
            </w:pPr>
            <w:r w:rsidRPr="006F34F9">
              <w:rPr>
                <w:b w:val="0"/>
                <w:sz w:val="22"/>
                <w:szCs w:val="22"/>
                <w:lang w:val="sr-Latn-ME"/>
              </w:rPr>
              <w:t>Vedolizumab s.c. u odnosu na placebo</w:t>
            </w:r>
          </w:p>
        </w:tc>
        <w:tc>
          <w:tcPr>
            <w:tcW w:w="1170" w:type="dxa"/>
            <w:tcBorders>
              <w:top w:val="single" w:sz="4" w:space="0" w:color="auto"/>
              <w:bottom w:val="single" w:sz="4" w:space="0" w:color="auto"/>
            </w:tcBorders>
            <w:vAlign w:val="center"/>
          </w:tcPr>
          <w:p w14:paraId="70FD098C" w14:textId="77777777" w:rsidR="001B44E1" w:rsidRPr="006F34F9" w:rsidRDefault="001B44E1" w:rsidP="0066419A">
            <w:pPr>
              <w:pStyle w:val="table-heading-9centered"/>
              <w:keepLines/>
              <w:spacing w:before="0" w:after="0"/>
              <w:rPr>
                <w:b w:val="0"/>
                <w:sz w:val="22"/>
                <w:szCs w:val="22"/>
                <w:lang w:val="sr-Latn-ME"/>
              </w:rPr>
            </w:pPr>
            <w:r w:rsidRPr="006F34F9">
              <w:rPr>
                <w:b w:val="0"/>
                <w:sz w:val="22"/>
                <w:szCs w:val="22"/>
                <w:lang w:val="sr-Latn-ME"/>
              </w:rPr>
              <w:t>P</w:t>
            </w:r>
            <w:r w:rsidRPr="006F34F9">
              <w:rPr>
                <w:b w:val="0"/>
                <w:sz w:val="22"/>
                <w:szCs w:val="22"/>
                <w:lang w:val="sr-Latn-ME"/>
              </w:rPr>
              <w:noBreakHyphen/>
              <w:t>vrijednost</w:t>
            </w:r>
            <w:r w:rsidRPr="006F34F9">
              <w:rPr>
                <w:b w:val="0"/>
                <w:sz w:val="22"/>
                <w:szCs w:val="22"/>
                <w:vertAlign w:val="superscript"/>
                <w:lang w:val="sr-Latn-ME"/>
              </w:rPr>
              <w:t>c</w:t>
            </w:r>
          </w:p>
        </w:tc>
      </w:tr>
      <w:tr w:rsidR="001B44E1" w:rsidRPr="006F34F9" w14:paraId="5B02B9F1" w14:textId="77777777" w:rsidTr="00180C9F">
        <w:trPr>
          <w:jc w:val="center"/>
        </w:trPr>
        <w:tc>
          <w:tcPr>
            <w:tcW w:w="1809" w:type="dxa"/>
            <w:vAlign w:val="center"/>
          </w:tcPr>
          <w:p w14:paraId="3CC710E8" w14:textId="77777777" w:rsidR="001B44E1" w:rsidRPr="006F34F9" w:rsidRDefault="001B44E1">
            <w:pPr>
              <w:pStyle w:val="table-body-9"/>
              <w:keepNext/>
              <w:rPr>
                <w:sz w:val="22"/>
                <w:szCs w:val="22"/>
                <w:lang w:val="sr-Latn-ME"/>
              </w:rPr>
            </w:pPr>
            <w:r w:rsidRPr="006F34F9">
              <w:rPr>
                <w:sz w:val="22"/>
                <w:szCs w:val="22"/>
                <w:lang w:val="sr-Latn-ME"/>
              </w:rPr>
              <w:t>Klinička remisija</w:t>
            </w:r>
            <w:r w:rsidRPr="006F34F9">
              <w:rPr>
                <w:sz w:val="22"/>
                <w:szCs w:val="22"/>
                <w:vertAlign w:val="superscript"/>
                <w:lang w:val="sr-Latn-ME"/>
              </w:rPr>
              <w:t>d</w:t>
            </w:r>
          </w:p>
        </w:tc>
        <w:tc>
          <w:tcPr>
            <w:tcW w:w="1134" w:type="dxa"/>
            <w:vAlign w:val="center"/>
          </w:tcPr>
          <w:p w14:paraId="3BE076BD"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14,3%</w:t>
            </w:r>
          </w:p>
        </w:tc>
        <w:tc>
          <w:tcPr>
            <w:tcW w:w="1452" w:type="dxa"/>
            <w:vAlign w:val="center"/>
          </w:tcPr>
          <w:p w14:paraId="2D37FE10"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46,2%</w:t>
            </w:r>
          </w:p>
        </w:tc>
        <w:tc>
          <w:tcPr>
            <w:tcW w:w="1720" w:type="dxa"/>
            <w:vAlign w:val="center"/>
          </w:tcPr>
          <w:p w14:paraId="581A77A4"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42,6%</w:t>
            </w:r>
          </w:p>
        </w:tc>
        <w:tc>
          <w:tcPr>
            <w:tcW w:w="1890" w:type="dxa"/>
            <w:vAlign w:val="center"/>
          </w:tcPr>
          <w:p w14:paraId="0A6CA187" w14:textId="77777777" w:rsidR="001B44E1" w:rsidRPr="006F34F9" w:rsidRDefault="001B44E1" w:rsidP="0066419A">
            <w:pPr>
              <w:pStyle w:val="EUtablebody-9centered"/>
              <w:keepNext/>
              <w:keepLines/>
              <w:rPr>
                <w:rFonts w:ascii="Times New Roman" w:eastAsia="Calibri" w:hAnsi="Times New Roman"/>
                <w:sz w:val="22"/>
                <w:szCs w:val="22"/>
                <w:lang w:val="sr-Latn-ME"/>
              </w:rPr>
            </w:pPr>
            <w:r w:rsidRPr="006F34F9">
              <w:rPr>
                <w:rFonts w:ascii="Times New Roman" w:hAnsi="Times New Roman"/>
                <w:sz w:val="22"/>
                <w:szCs w:val="22"/>
                <w:lang w:val="sr-Latn-ME"/>
              </w:rPr>
              <w:t>32,3 (19,7; 45,0)</w:t>
            </w:r>
          </w:p>
        </w:tc>
        <w:tc>
          <w:tcPr>
            <w:tcW w:w="1170" w:type="dxa"/>
            <w:vAlign w:val="center"/>
          </w:tcPr>
          <w:p w14:paraId="047D6E72"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p &lt; 0,001</w:t>
            </w:r>
          </w:p>
        </w:tc>
      </w:tr>
      <w:tr w:rsidR="001B44E1" w:rsidRPr="006F34F9" w14:paraId="344E1294" w14:textId="77777777" w:rsidTr="00180C9F">
        <w:trPr>
          <w:jc w:val="center"/>
        </w:trPr>
        <w:tc>
          <w:tcPr>
            <w:tcW w:w="1809" w:type="dxa"/>
            <w:vAlign w:val="center"/>
          </w:tcPr>
          <w:p w14:paraId="12A44B0A" w14:textId="13A8BE30" w:rsidR="001B44E1" w:rsidRPr="006F34F9" w:rsidRDefault="00C15B4F">
            <w:pPr>
              <w:pStyle w:val="table-body-9"/>
              <w:keepNext/>
              <w:rPr>
                <w:sz w:val="22"/>
                <w:szCs w:val="22"/>
                <w:lang w:val="sr-Latn-ME"/>
              </w:rPr>
            </w:pPr>
            <w:bookmarkStart w:id="5" w:name="_Hlk100674403"/>
            <w:r w:rsidRPr="006F34F9">
              <w:rPr>
                <w:sz w:val="22"/>
                <w:szCs w:val="22"/>
                <w:lang w:val="sr-Latn-ME"/>
              </w:rPr>
              <w:t>Za</w:t>
            </w:r>
            <w:r w:rsidR="00944C83" w:rsidRPr="006F34F9">
              <w:rPr>
                <w:sz w:val="22"/>
                <w:szCs w:val="22"/>
                <w:lang w:val="sr-Latn-ME"/>
              </w:rPr>
              <w:t>cj</w:t>
            </w:r>
            <w:r w:rsidRPr="006F34F9">
              <w:rPr>
                <w:sz w:val="22"/>
                <w:szCs w:val="22"/>
                <w:lang w:val="sr-Latn-ME"/>
              </w:rPr>
              <w:t>e</w:t>
            </w:r>
            <w:r w:rsidR="00944C83" w:rsidRPr="006F34F9">
              <w:rPr>
                <w:sz w:val="22"/>
                <w:szCs w:val="22"/>
                <w:lang w:val="sr-Latn-ME"/>
              </w:rPr>
              <w:t>ljiva</w:t>
            </w:r>
            <w:r w:rsidRPr="006F34F9">
              <w:rPr>
                <w:sz w:val="22"/>
                <w:szCs w:val="22"/>
                <w:lang w:val="sr-Latn-ME"/>
              </w:rPr>
              <w:t>nje</w:t>
            </w:r>
            <w:r w:rsidR="001B44E1" w:rsidRPr="006F34F9">
              <w:rPr>
                <w:sz w:val="22"/>
                <w:szCs w:val="22"/>
                <w:lang w:val="sr-Latn-ME"/>
              </w:rPr>
              <w:t xml:space="preserve"> </w:t>
            </w:r>
            <w:bookmarkEnd w:id="5"/>
            <w:r w:rsidR="001B44E1" w:rsidRPr="006F34F9">
              <w:rPr>
                <w:sz w:val="22"/>
                <w:szCs w:val="22"/>
                <w:lang w:val="sr-Latn-ME"/>
              </w:rPr>
              <w:t>sluznice</w:t>
            </w:r>
            <w:r w:rsidR="001B44E1" w:rsidRPr="006F34F9">
              <w:rPr>
                <w:sz w:val="22"/>
                <w:szCs w:val="22"/>
                <w:vertAlign w:val="superscript"/>
                <w:lang w:val="sr-Latn-ME"/>
              </w:rPr>
              <w:t>e</w:t>
            </w:r>
          </w:p>
        </w:tc>
        <w:tc>
          <w:tcPr>
            <w:tcW w:w="1134" w:type="dxa"/>
            <w:vAlign w:val="center"/>
          </w:tcPr>
          <w:p w14:paraId="43DF751B"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21,4%</w:t>
            </w:r>
          </w:p>
        </w:tc>
        <w:tc>
          <w:tcPr>
            <w:tcW w:w="1452" w:type="dxa"/>
            <w:vAlign w:val="center"/>
          </w:tcPr>
          <w:p w14:paraId="6E9C68AB"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56,6%</w:t>
            </w:r>
          </w:p>
        </w:tc>
        <w:tc>
          <w:tcPr>
            <w:tcW w:w="1720" w:type="dxa"/>
            <w:vAlign w:val="center"/>
          </w:tcPr>
          <w:p w14:paraId="01685C7D"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53,7%</w:t>
            </w:r>
          </w:p>
        </w:tc>
        <w:tc>
          <w:tcPr>
            <w:tcW w:w="1890" w:type="dxa"/>
            <w:vAlign w:val="center"/>
          </w:tcPr>
          <w:p w14:paraId="1BB0DE56"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35,7 (22,1; 49,3)</w:t>
            </w:r>
          </w:p>
        </w:tc>
        <w:tc>
          <w:tcPr>
            <w:tcW w:w="1170" w:type="dxa"/>
            <w:vAlign w:val="center"/>
          </w:tcPr>
          <w:p w14:paraId="6B4E4230"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p &lt; 0,001</w:t>
            </w:r>
          </w:p>
        </w:tc>
      </w:tr>
      <w:tr w:rsidR="001B44E1" w:rsidRPr="006F34F9" w14:paraId="3E750B76" w14:textId="77777777" w:rsidTr="00180C9F">
        <w:trPr>
          <w:jc w:val="center"/>
        </w:trPr>
        <w:tc>
          <w:tcPr>
            <w:tcW w:w="1809" w:type="dxa"/>
            <w:vAlign w:val="center"/>
          </w:tcPr>
          <w:p w14:paraId="322B7F9F" w14:textId="77777777" w:rsidR="001B44E1" w:rsidRPr="006F34F9" w:rsidRDefault="001B44E1">
            <w:pPr>
              <w:pStyle w:val="table-body-9"/>
              <w:keepNext/>
              <w:rPr>
                <w:sz w:val="22"/>
                <w:szCs w:val="22"/>
                <w:lang w:val="sr-Latn-ME"/>
              </w:rPr>
            </w:pPr>
            <w:r w:rsidRPr="006F34F9">
              <w:rPr>
                <w:sz w:val="22"/>
                <w:szCs w:val="22"/>
                <w:lang w:val="sr-Latn-ME"/>
              </w:rPr>
              <w:t>Trajni klinički odgovor</w:t>
            </w:r>
            <w:r w:rsidRPr="006F34F9">
              <w:rPr>
                <w:sz w:val="22"/>
                <w:szCs w:val="22"/>
                <w:vertAlign w:val="superscript"/>
                <w:lang w:val="sr-Latn-ME"/>
              </w:rPr>
              <w:t>f</w:t>
            </w:r>
          </w:p>
        </w:tc>
        <w:tc>
          <w:tcPr>
            <w:tcW w:w="1134" w:type="dxa"/>
            <w:vAlign w:val="center"/>
          </w:tcPr>
          <w:p w14:paraId="49CBD805"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28,6%</w:t>
            </w:r>
          </w:p>
        </w:tc>
        <w:tc>
          <w:tcPr>
            <w:tcW w:w="1452" w:type="dxa"/>
            <w:vAlign w:val="center"/>
          </w:tcPr>
          <w:p w14:paraId="2C2B08D1"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64,2%</w:t>
            </w:r>
          </w:p>
        </w:tc>
        <w:tc>
          <w:tcPr>
            <w:tcW w:w="1720" w:type="dxa"/>
            <w:vAlign w:val="center"/>
          </w:tcPr>
          <w:p w14:paraId="09FDFAF8"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72,2%</w:t>
            </w:r>
          </w:p>
        </w:tc>
        <w:tc>
          <w:tcPr>
            <w:tcW w:w="1890" w:type="dxa"/>
            <w:vAlign w:val="center"/>
          </w:tcPr>
          <w:p w14:paraId="6F91A2AE"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36,1 (21.2; 50,9)</w:t>
            </w:r>
          </w:p>
        </w:tc>
        <w:tc>
          <w:tcPr>
            <w:tcW w:w="1170" w:type="dxa"/>
            <w:vAlign w:val="center"/>
          </w:tcPr>
          <w:p w14:paraId="411ADBF5"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p &lt; 0,001</w:t>
            </w:r>
          </w:p>
        </w:tc>
      </w:tr>
      <w:tr w:rsidR="001B44E1" w:rsidRPr="006F34F9" w14:paraId="4FFE20EE" w14:textId="77777777" w:rsidTr="00180C9F">
        <w:trPr>
          <w:jc w:val="center"/>
        </w:trPr>
        <w:tc>
          <w:tcPr>
            <w:tcW w:w="1809" w:type="dxa"/>
            <w:vAlign w:val="center"/>
          </w:tcPr>
          <w:p w14:paraId="2B459652" w14:textId="77777777" w:rsidR="001B44E1" w:rsidRPr="006F34F9" w:rsidRDefault="001B44E1">
            <w:pPr>
              <w:pStyle w:val="table-body-9"/>
              <w:keepNext/>
              <w:rPr>
                <w:sz w:val="22"/>
                <w:szCs w:val="22"/>
                <w:lang w:val="sr-Latn-ME"/>
              </w:rPr>
            </w:pPr>
            <w:r w:rsidRPr="006F34F9">
              <w:rPr>
                <w:sz w:val="22"/>
                <w:szCs w:val="22"/>
                <w:lang w:val="sr-Latn-ME"/>
              </w:rPr>
              <w:t>Trajna klinička remisija</w:t>
            </w:r>
            <w:r w:rsidRPr="006F34F9">
              <w:rPr>
                <w:rFonts w:eastAsia="Calibri"/>
                <w:sz w:val="22"/>
                <w:szCs w:val="22"/>
                <w:vertAlign w:val="superscript"/>
                <w:lang w:val="sr-Latn-ME"/>
              </w:rPr>
              <w:t>g</w:t>
            </w:r>
          </w:p>
        </w:tc>
        <w:tc>
          <w:tcPr>
            <w:tcW w:w="1134" w:type="dxa"/>
            <w:vAlign w:val="center"/>
          </w:tcPr>
          <w:p w14:paraId="27A48336"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5,4%</w:t>
            </w:r>
          </w:p>
        </w:tc>
        <w:tc>
          <w:tcPr>
            <w:tcW w:w="1452" w:type="dxa"/>
            <w:vAlign w:val="center"/>
          </w:tcPr>
          <w:p w14:paraId="6D4A63AA"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15,1%</w:t>
            </w:r>
          </w:p>
        </w:tc>
        <w:tc>
          <w:tcPr>
            <w:tcW w:w="1720" w:type="dxa"/>
            <w:vAlign w:val="center"/>
          </w:tcPr>
          <w:p w14:paraId="59DE61AC"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16,7%</w:t>
            </w:r>
          </w:p>
        </w:tc>
        <w:tc>
          <w:tcPr>
            <w:tcW w:w="1890" w:type="dxa"/>
            <w:vAlign w:val="center"/>
          </w:tcPr>
          <w:p w14:paraId="4355F97F"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9,7 (</w:t>
            </w:r>
            <w:r w:rsidRPr="006F34F9">
              <w:rPr>
                <w:rFonts w:ascii="Times New Roman" w:hAnsi="Times New Roman"/>
                <w:sz w:val="22"/>
                <w:szCs w:val="22"/>
                <w:lang w:val="sr-Latn-ME"/>
              </w:rPr>
              <w:noBreakHyphen/>
              <w:t>6,6; 25,7)</w:t>
            </w:r>
          </w:p>
        </w:tc>
        <w:tc>
          <w:tcPr>
            <w:tcW w:w="1170" w:type="dxa"/>
            <w:vAlign w:val="center"/>
          </w:tcPr>
          <w:p w14:paraId="54515A32"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p = 0,076</w:t>
            </w:r>
            <w:r w:rsidRPr="006F34F9">
              <w:rPr>
                <w:rFonts w:ascii="Times New Roman" w:hAnsi="Times New Roman"/>
                <w:sz w:val="22"/>
                <w:szCs w:val="22"/>
                <w:lang w:val="sr-Latn-ME"/>
              </w:rPr>
              <w:br/>
              <w:t>(NS)</w:t>
            </w:r>
          </w:p>
        </w:tc>
      </w:tr>
      <w:tr w:rsidR="001B44E1" w:rsidRPr="006F34F9" w14:paraId="37B2A15D" w14:textId="77777777" w:rsidTr="00180C9F">
        <w:trPr>
          <w:jc w:val="center"/>
        </w:trPr>
        <w:tc>
          <w:tcPr>
            <w:tcW w:w="1809" w:type="dxa"/>
            <w:tcBorders>
              <w:bottom w:val="single" w:sz="4" w:space="0" w:color="auto"/>
            </w:tcBorders>
            <w:vAlign w:val="center"/>
          </w:tcPr>
          <w:p w14:paraId="63423276" w14:textId="77777777" w:rsidR="001B44E1" w:rsidRPr="006F34F9" w:rsidRDefault="001B44E1">
            <w:pPr>
              <w:pStyle w:val="table-body-9"/>
              <w:keepNext/>
              <w:rPr>
                <w:sz w:val="22"/>
                <w:szCs w:val="22"/>
                <w:lang w:val="sr-Latn-ME"/>
              </w:rPr>
            </w:pPr>
            <w:r w:rsidRPr="006F34F9">
              <w:rPr>
                <w:sz w:val="22"/>
                <w:szCs w:val="22"/>
                <w:lang w:val="sr-Latn-ME"/>
              </w:rPr>
              <w:t>Remisija bez koritikosteroida</w:t>
            </w:r>
            <w:r w:rsidRPr="006F34F9">
              <w:rPr>
                <w:rFonts w:eastAsia="Calibri"/>
                <w:sz w:val="22"/>
                <w:szCs w:val="22"/>
                <w:vertAlign w:val="superscript"/>
                <w:lang w:val="sr-Latn-ME"/>
              </w:rPr>
              <w:t>h</w:t>
            </w:r>
          </w:p>
        </w:tc>
        <w:tc>
          <w:tcPr>
            <w:tcW w:w="1134" w:type="dxa"/>
            <w:tcBorders>
              <w:bottom w:val="single" w:sz="4" w:space="0" w:color="auto"/>
            </w:tcBorders>
            <w:vAlign w:val="center"/>
          </w:tcPr>
          <w:p w14:paraId="7D96B733" w14:textId="77777777" w:rsidR="001B44E1" w:rsidRPr="006F34F9" w:rsidRDefault="001B44E1" w:rsidP="0066419A">
            <w:pPr>
              <w:pStyle w:val="EUtablebody-9centered"/>
              <w:keepNext/>
              <w:keepLines/>
              <w:tabs>
                <w:tab w:val="left" w:pos="660"/>
                <w:tab w:val="center" w:pos="829"/>
              </w:tabs>
              <w:rPr>
                <w:rFonts w:ascii="Times New Roman" w:hAnsi="Times New Roman"/>
                <w:sz w:val="22"/>
                <w:szCs w:val="22"/>
                <w:lang w:val="sr-Latn-ME"/>
              </w:rPr>
            </w:pPr>
            <w:r w:rsidRPr="006F34F9">
              <w:rPr>
                <w:rFonts w:ascii="Times New Roman" w:hAnsi="Times New Roman"/>
                <w:sz w:val="22"/>
                <w:szCs w:val="22"/>
                <w:lang w:val="sr-Latn-ME"/>
              </w:rPr>
              <w:t>8,3%</w:t>
            </w:r>
          </w:p>
        </w:tc>
        <w:tc>
          <w:tcPr>
            <w:tcW w:w="1452" w:type="dxa"/>
            <w:tcBorders>
              <w:bottom w:val="single" w:sz="4" w:space="0" w:color="auto"/>
            </w:tcBorders>
            <w:vAlign w:val="center"/>
          </w:tcPr>
          <w:p w14:paraId="19FF13AB"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28,9%</w:t>
            </w:r>
          </w:p>
        </w:tc>
        <w:tc>
          <w:tcPr>
            <w:tcW w:w="1720" w:type="dxa"/>
            <w:tcBorders>
              <w:bottom w:val="single" w:sz="4" w:space="0" w:color="auto"/>
            </w:tcBorders>
            <w:vAlign w:val="center"/>
          </w:tcPr>
          <w:p w14:paraId="69A24F93"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28,6%</w:t>
            </w:r>
          </w:p>
        </w:tc>
        <w:tc>
          <w:tcPr>
            <w:tcW w:w="1890" w:type="dxa"/>
            <w:tcBorders>
              <w:bottom w:val="single" w:sz="4" w:space="0" w:color="auto"/>
            </w:tcBorders>
            <w:vAlign w:val="center"/>
          </w:tcPr>
          <w:p w14:paraId="12D3AD0C"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20.6 (</w:t>
            </w:r>
            <w:r w:rsidRPr="006F34F9">
              <w:rPr>
                <w:rFonts w:ascii="Times New Roman" w:hAnsi="Times New Roman"/>
                <w:sz w:val="22"/>
                <w:szCs w:val="22"/>
                <w:lang w:val="sr-Latn-ME"/>
              </w:rPr>
              <w:noBreakHyphen/>
              <w:t>4,5; 43,7)</w:t>
            </w:r>
          </w:p>
        </w:tc>
        <w:tc>
          <w:tcPr>
            <w:tcW w:w="1170" w:type="dxa"/>
            <w:tcBorders>
              <w:bottom w:val="single" w:sz="4" w:space="0" w:color="auto"/>
            </w:tcBorders>
            <w:vAlign w:val="center"/>
          </w:tcPr>
          <w:p w14:paraId="5DA25563" w14:textId="77777777" w:rsidR="001B44E1" w:rsidRPr="006F34F9" w:rsidRDefault="001B44E1" w:rsidP="0066419A">
            <w:pPr>
              <w:pStyle w:val="EUtablebody-9centered"/>
              <w:keepNext/>
              <w:keepLines/>
              <w:rPr>
                <w:rFonts w:ascii="Times New Roman" w:hAnsi="Times New Roman"/>
                <w:sz w:val="22"/>
                <w:szCs w:val="22"/>
                <w:lang w:val="sr-Latn-ME"/>
              </w:rPr>
            </w:pPr>
            <w:r w:rsidRPr="006F34F9">
              <w:rPr>
                <w:rFonts w:ascii="Times New Roman" w:hAnsi="Times New Roman"/>
                <w:sz w:val="22"/>
                <w:szCs w:val="22"/>
                <w:lang w:val="sr-Latn-ME"/>
              </w:rPr>
              <w:t>p = 0,067</w:t>
            </w:r>
            <w:r w:rsidRPr="006F34F9">
              <w:rPr>
                <w:rFonts w:ascii="Times New Roman" w:hAnsi="Times New Roman"/>
                <w:sz w:val="22"/>
                <w:szCs w:val="22"/>
                <w:lang w:val="sr-Latn-ME"/>
              </w:rPr>
              <w:br/>
              <w:t>(NZ)</w:t>
            </w:r>
          </w:p>
        </w:tc>
      </w:tr>
    </w:tbl>
    <w:p w14:paraId="5AE543ED" w14:textId="2DDF03D5" w:rsidR="001B44E1" w:rsidRPr="0066419A" w:rsidRDefault="001B44E1" w:rsidP="00E708C7">
      <w:pPr>
        <w:keepNext/>
        <w:keepLines/>
        <w:spacing w:before="40"/>
        <w:rPr>
          <w:sz w:val="20"/>
          <w:szCs w:val="20"/>
          <w:lang w:val="sr-Latn-ME"/>
        </w:rPr>
      </w:pPr>
      <w:r w:rsidRPr="0066419A">
        <w:rPr>
          <w:sz w:val="20"/>
          <w:szCs w:val="20"/>
          <w:vertAlign w:val="superscript"/>
          <w:lang w:val="sr-Latn-ME"/>
        </w:rPr>
        <w:t>a</w:t>
      </w:r>
      <w:r w:rsidRPr="0066419A">
        <w:rPr>
          <w:sz w:val="20"/>
          <w:szCs w:val="20"/>
          <w:lang w:val="sr-Latn-ME"/>
        </w:rPr>
        <w:t xml:space="preserve">Mjere ishoda </w:t>
      </w:r>
      <w:r w:rsidR="008062E2" w:rsidRPr="0066419A">
        <w:rPr>
          <w:sz w:val="20"/>
          <w:szCs w:val="20"/>
          <w:lang w:val="sr-Latn-ME"/>
        </w:rPr>
        <w:t>pre</w:t>
      </w:r>
      <w:r w:rsidRPr="0066419A">
        <w:rPr>
          <w:sz w:val="20"/>
          <w:szCs w:val="20"/>
          <w:lang w:val="sr-Latn-ME"/>
        </w:rPr>
        <w:t>dstavljene su redosljedom obavljanja testiranja u fiksnom slijedu za kontrolu greške tipa 1 od 5%</w:t>
      </w:r>
    </w:p>
    <w:p w14:paraId="286BBE74" w14:textId="043235AD" w:rsidR="001B44E1" w:rsidRPr="0066419A" w:rsidRDefault="001B44E1" w:rsidP="00E708C7">
      <w:pPr>
        <w:keepNext/>
        <w:keepLines/>
        <w:spacing w:before="40"/>
        <w:rPr>
          <w:sz w:val="20"/>
          <w:szCs w:val="20"/>
          <w:lang w:val="sr-Latn-ME"/>
        </w:rPr>
      </w:pPr>
      <w:r w:rsidRPr="0066419A">
        <w:rPr>
          <w:sz w:val="20"/>
          <w:szCs w:val="20"/>
          <w:vertAlign w:val="superscript"/>
          <w:lang w:val="sr-Latn-ME"/>
        </w:rPr>
        <w:t>b</w:t>
      </w:r>
      <w:r w:rsidRPr="0066419A">
        <w:rPr>
          <w:sz w:val="20"/>
          <w:szCs w:val="20"/>
          <w:lang w:val="sr-Latn-ME"/>
        </w:rPr>
        <w:t xml:space="preserve">Placebo </w:t>
      </w:r>
      <w:r w:rsidR="00387E13" w:rsidRPr="0066419A">
        <w:rPr>
          <w:sz w:val="20"/>
          <w:szCs w:val="20"/>
          <w:lang w:val="sr-Latn-ME"/>
        </w:rPr>
        <w:t>grupa</w:t>
      </w:r>
      <w:r w:rsidRPr="0066419A">
        <w:rPr>
          <w:sz w:val="20"/>
          <w:szCs w:val="20"/>
          <w:lang w:val="sr-Latn-ME"/>
        </w:rPr>
        <w:t xml:space="preserve"> uključuje ispitanike koji su primali intravenski vedolizumab u 0. i 2. </w:t>
      </w:r>
      <w:r w:rsidR="0067327C" w:rsidRPr="0066419A">
        <w:rPr>
          <w:sz w:val="20"/>
          <w:szCs w:val="20"/>
          <w:lang w:val="sr-Latn-ME"/>
        </w:rPr>
        <w:t>nedjelji</w:t>
      </w:r>
      <w:r w:rsidRPr="0066419A">
        <w:rPr>
          <w:sz w:val="20"/>
          <w:szCs w:val="20"/>
          <w:lang w:val="sr-Latn-ME"/>
        </w:rPr>
        <w:t xml:space="preserve">, </w:t>
      </w:r>
      <w:r w:rsidR="00387E13" w:rsidRPr="0066419A">
        <w:rPr>
          <w:sz w:val="20"/>
          <w:szCs w:val="20"/>
          <w:lang w:val="sr-Latn-ME"/>
        </w:rPr>
        <w:t xml:space="preserve">koji su </w:t>
      </w:r>
      <w:r w:rsidRPr="0066419A">
        <w:rPr>
          <w:sz w:val="20"/>
          <w:szCs w:val="20"/>
          <w:lang w:val="sr-Latn-ME"/>
        </w:rPr>
        <w:t xml:space="preserve">bili </w:t>
      </w:r>
      <w:r w:rsidR="008062E2" w:rsidRPr="0066419A">
        <w:rPr>
          <w:sz w:val="20"/>
          <w:szCs w:val="20"/>
          <w:lang w:val="sr-Latn-ME"/>
        </w:rPr>
        <w:t>randomizovani</w:t>
      </w:r>
      <w:r w:rsidRPr="0066419A">
        <w:rPr>
          <w:sz w:val="20"/>
          <w:szCs w:val="20"/>
          <w:lang w:val="sr-Latn-ME"/>
        </w:rPr>
        <w:t xml:space="preserve"> za primanje placeba od 6. do 52. </w:t>
      </w:r>
      <w:r w:rsidR="00B148F2" w:rsidRPr="0066419A">
        <w:rPr>
          <w:sz w:val="20"/>
          <w:szCs w:val="20"/>
          <w:lang w:val="sr-Latn-ME"/>
        </w:rPr>
        <w:t>nedjelje</w:t>
      </w:r>
      <w:r w:rsidRPr="0066419A">
        <w:rPr>
          <w:sz w:val="20"/>
          <w:szCs w:val="20"/>
          <w:lang w:val="sr-Latn-ME"/>
        </w:rPr>
        <w:t>.</w:t>
      </w:r>
    </w:p>
    <w:p w14:paraId="48763C6F" w14:textId="77777777" w:rsidR="001B44E1" w:rsidRPr="0066419A" w:rsidRDefault="001B44E1" w:rsidP="00E708C7">
      <w:pPr>
        <w:keepNext/>
        <w:keepLines/>
        <w:spacing w:before="40"/>
        <w:rPr>
          <w:sz w:val="20"/>
          <w:szCs w:val="20"/>
          <w:lang w:val="sr-Latn-ME"/>
        </w:rPr>
      </w:pPr>
      <w:r w:rsidRPr="0066419A">
        <w:rPr>
          <w:sz w:val="20"/>
          <w:szCs w:val="20"/>
          <w:vertAlign w:val="superscript"/>
          <w:lang w:val="sr-Latn-ME"/>
        </w:rPr>
        <w:t>c</w:t>
      </w:r>
      <w:r w:rsidRPr="0066419A">
        <w:rPr>
          <w:sz w:val="20"/>
          <w:szCs w:val="20"/>
          <w:lang w:val="sr-Latn-ME"/>
        </w:rPr>
        <w:t>Procjena razlike liječenja i p</w:t>
      </w:r>
      <w:r w:rsidRPr="0066419A">
        <w:rPr>
          <w:sz w:val="20"/>
          <w:szCs w:val="20"/>
          <w:lang w:val="sr-Latn-ME"/>
        </w:rPr>
        <w:noBreakHyphen/>
        <w:t>vrijednost za sve mjere ishoda temelji se na metodi Cochrane</w:t>
      </w:r>
      <w:r w:rsidRPr="0066419A">
        <w:rPr>
          <w:sz w:val="20"/>
          <w:szCs w:val="20"/>
          <w:lang w:val="sr-Latn-ME"/>
        </w:rPr>
        <w:noBreakHyphen/>
        <w:t>Mantel</w:t>
      </w:r>
      <w:r w:rsidRPr="0066419A">
        <w:rPr>
          <w:sz w:val="20"/>
          <w:szCs w:val="20"/>
          <w:lang w:val="sr-Latn-ME"/>
        </w:rPr>
        <w:noBreakHyphen/>
        <w:t xml:space="preserve">Haenszel </w:t>
      </w:r>
    </w:p>
    <w:p w14:paraId="7AF9556C" w14:textId="641EF2CE" w:rsidR="001B44E1" w:rsidRPr="0066419A" w:rsidRDefault="001B44E1" w:rsidP="00E708C7">
      <w:pPr>
        <w:keepNext/>
        <w:keepLines/>
        <w:ind w:left="86" w:hanging="86"/>
        <w:rPr>
          <w:sz w:val="20"/>
          <w:szCs w:val="20"/>
          <w:lang w:val="sr-Latn-ME"/>
        </w:rPr>
      </w:pPr>
      <w:r w:rsidRPr="0066419A">
        <w:rPr>
          <w:sz w:val="20"/>
          <w:szCs w:val="20"/>
          <w:vertAlign w:val="superscript"/>
          <w:lang w:val="sr-Latn-ME"/>
        </w:rPr>
        <w:t>d</w:t>
      </w:r>
      <w:r w:rsidRPr="0066419A">
        <w:rPr>
          <w:sz w:val="20"/>
          <w:szCs w:val="20"/>
          <w:lang w:val="sr-Latn-ME"/>
        </w:rPr>
        <w:t xml:space="preserve">Klinička remisija: Ukupni Mayo rezultat od ≤ 2 boda bez pojedinačnog podrezultata &gt; 1 bod u </w:t>
      </w:r>
      <w:r w:rsidR="0067327C" w:rsidRPr="0066419A">
        <w:rPr>
          <w:sz w:val="20"/>
          <w:szCs w:val="20"/>
          <w:lang w:val="sr-Latn-ME"/>
        </w:rPr>
        <w:t>nedjelji</w:t>
      </w:r>
      <w:r w:rsidRPr="0066419A">
        <w:rPr>
          <w:sz w:val="20"/>
          <w:szCs w:val="20"/>
          <w:lang w:val="sr-Latn-ME"/>
        </w:rPr>
        <w:t xml:space="preserve"> 52.</w:t>
      </w:r>
    </w:p>
    <w:p w14:paraId="4A4F0E0A" w14:textId="1541ED77" w:rsidR="001B44E1" w:rsidRPr="0066419A" w:rsidRDefault="001B44E1" w:rsidP="00E708C7">
      <w:pPr>
        <w:keepNext/>
        <w:tabs>
          <w:tab w:val="left" w:pos="1800"/>
        </w:tabs>
        <w:rPr>
          <w:sz w:val="20"/>
          <w:szCs w:val="20"/>
          <w:lang w:val="sr-Latn-ME"/>
        </w:rPr>
      </w:pPr>
      <w:r w:rsidRPr="0066419A">
        <w:rPr>
          <w:sz w:val="20"/>
          <w:szCs w:val="20"/>
          <w:vertAlign w:val="superscript"/>
          <w:lang w:val="sr-Latn-ME"/>
        </w:rPr>
        <w:t>e</w:t>
      </w:r>
      <w:r w:rsidR="00C15B4F" w:rsidRPr="0066419A">
        <w:rPr>
          <w:sz w:val="20"/>
          <w:szCs w:val="20"/>
          <w:lang w:val="sr-Latn-ME"/>
        </w:rPr>
        <w:t xml:space="preserve"> Zalje</w:t>
      </w:r>
      <w:r w:rsidR="00387E13" w:rsidRPr="0066419A">
        <w:rPr>
          <w:sz w:val="20"/>
          <w:szCs w:val="20"/>
          <w:lang w:val="sr-Latn-ME"/>
        </w:rPr>
        <w:t>če</w:t>
      </w:r>
      <w:r w:rsidR="00C15B4F" w:rsidRPr="0066419A">
        <w:rPr>
          <w:sz w:val="20"/>
          <w:szCs w:val="20"/>
          <w:lang w:val="sr-Latn-ME"/>
        </w:rPr>
        <w:t>nje</w:t>
      </w:r>
      <w:r w:rsidRPr="0066419A">
        <w:rPr>
          <w:sz w:val="20"/>
          <w:szCs w:val="20"/>
          <w:lang w:val="sr-Latn-ME"/>
        </w:rPr>
        <w:t xml:space="preserve"> sluznice: Mayo endoskopski podrezultat od ≤ 1 bod</w:t>
      </w:r>
    </w:p>
    <w:p w14:paraId="55DA6E92" w14:textId="7A7116F7" w:rsidR="001B44E1" w:rsidRPr="0066419A" w:rsidRDefault="001B44E1" w:rsidP="00A5182D">
      <w:pPr>
        <w:keepNext/>
        <w:spacing w:before="40"/>
        <w:ind w:left="230" w:hanging="230"/>
        <w:rPr>
          <w:rFonts w:eastAsia="Calibri"/>
          <w:sz w:val="20"/>
          <w:szCs w:val="20"/>
          <w:lang w:val="sr-Latn-ME"/>
        </w:rPr>
      </w:pPr>
      <w:r w:rsidRPr="0066419A">
        <w:rPr>
          <w:rFonts w:eastAsia="Calibri"/>
          <w:sz w:val="20"/>
          <w:szCs w:val="20"/>
          <w:vertAlign w:val="superscript"/>
          <w:lang w:val="sr-Latn-ME"/>
        </w:rPr>
        <w:t>f</w:t>
      </w:r>
      <w:r w:rsidRPr="0066419A">
        <w:rPr>
          <w:rFonts w:eastAsia="Calibri"/>
          <w:sz w:val="20"/>
          <w:szCs w:val="20"/>
          <w:lang w:val="sr-Latn-ME"/>
        </w:rPr>
        <w:t xml:space="preserve">Trajni klinički odgovor: Klinički odgovor u 6. i 52. </w:t>
      </w:r>
      <w:r w:rsidR="0067327C" w:rsidRPr="0066419A">
        <w:rPr>
          <w:rFonts w:eastAsia="Calibri"/>
          <w:sz w:val="20"/>
          <w:szCs w:val="20"/>
          <w:lang w:val="sr-Latn-ME"/>
        </w:rPr>
        <w:t>nedjelji</w:t>
      </w:r>
    </w:p>
    <w:p w14:paraId="37D0C82E" w14:textId="711B537C" w:rsidR="001B44E1" w:rsidRPr="0066419A" w:rsidRDefault="001B44E1" w:rsidP="000B42A8">
      <w:pPr>
        <w:keepNext/>
        <w:keepLines/>
        <w:spacing w:before="40"/>
        <w:ind w:left="230" w:hanging="230"/>
        <w:rPr>
          <w:rFonts w:eastAsia="Calibri"/>
          <w:sz w:val="20"/>
          <w:szCs w:val="20"/>
          <w:lang w:val="sr-Latn-ME"/>
        </w:rPr>
      </w:pPr>
      <w:r w:rsidRPr="0066419A">
        <w:rPr>
          <w:rFonts w:eastAsia="Calibri"/>
          <w:sz w:val="20"/>
          <w:szCs w:val="20"/>
          <w:vertAlign w:val="superscript"/>
          <w:lang w:val="sr-Latn-ME"/>
        </w:rPr>
        <w:t>g</w:t>
      </w:r>
      <w:r w:rsidRPr="0066419A">
        <w:rPr>
          <w:rFonts w:eastAsia="Calibri"/>
          <w:sz w:val="20"/>
          <w:szCs w:val="20"/>
          <w:lang w:val="sr-Latn-ME"/>
        </w:rPr>
        <w:t xml:space="preserve">Trajna klinička remisija: Klinička remisija u 6. i 52. </w:t>
      </w:r>
      <w:r w:rsidR="0067327C" w:rsidRPr="0066419A">
        <w:rPr>
          <w:rFonts w:eastAsia="Calibri"/>
          <w:sz w:val="20"/>
          <w:szCs w:val="20"/>
          <w:lang w:val="sr-Latn-ME"/>
        </w:rPr>
        <w:t>nedjelji</w:t>
      </w:r>
    </w:p>
    <w:p w14:paraId="5F9C7130" w14:textId="2E64C055" w:rsidR="001B44E1" w:rsidRPr="0066419A" w:rsidRDefault="001B44E1" w:rsidP="00180C9F">
      <w:pPr>
        <w:pStyle w:val="CCDSBodytext"/>
        <w:keepNext/>
        <w:spacing w:line="240" w:lineRule="auto"/>
        <w:jc w:val="both"/>
        <w:rPr>
          <w:rFonts w:eastAsia="Calibri"/>
          <w:sz w:val="20"/>
          <w:szCs w:val="20"/>
          <w:lang w:val="sr-Latn-ME"/>
        </w:rPr>
      </w:pPr>
      <w:r w:rsidRPr="0066419A">
        <w:rPr>
          <w:rFonts w:eastAsia="Calibri"/>
          <w:sz w:val="20"/>
          <w:szCs w:val="20"/>
          <w:vertAlign w:val="superscript"/>
          <w:lang w:val="sr-Latn-ME"/>
        </w:rPr>
        <w:t>h</w:t>
      </w:r>
      <w:r w:rsidRPr="0066419A">
        <w:rPr>
          <w:rFonts w:eastAsia="Calibri"/>
          <w:sz w:val="20"/>
          <w:szCs w:val="20"/>
          <w:lang w:val="sr-Latn-ME"/>
        </w:rPr>
        <w:t xml:space="preserve">Remisija bez kortikosteroida: </w:t>
      </w:r>
      <w:r w:rsidR="00B148F2" w:rsidRPr="0066419A">
        <w:rPr>
          <w:rFonts w:eastAsia="Calibri"/>
          <w:sz w:val="20"/>
          <w:szCs w:val="20"/>
          <w:lang w:val="sr-Latn-ME"/>
        </w:rPr>
        <w:t>pacijenti</w:t>
      </w:r>
      <w:r w:rsidRPr="0066419A">
        <w:rPr>
          <w:rFonts w:eastAsia="Calibri"/>
          <w:sz w:val="20"/>
          <w:szCs w:val="20"/>
          <w:lang w:val="sr-Latn-ME"/>
        </w:rPr>
        <w:t xml:space="preserve"> koji su uzimali oralne kortikosteroide na početku ispitivanja, ali su ih </w:t>
      </w:r>
      <w:r w:rsidR="008062E2" w:rsidRPr="0066419A">
        <w:rPr>
          <w:rFonts w:eastAsia="Calibri"/>
          <w:sz w:val="20"/>
          <w:szCs w:val="20"/>
          <w:lang w:val="sr-Latn-ME"/>
        </w:rPr>
        <w:t>p</w:t>
      </w:r>
      <w:r w:rsidR="00387E13" w:rsidRPr="0066419A">
        <w:rPr>
          <w:rFonts w:eastAsia="Calibri"/>
          <w:sz w:val="20"/>
          <w:szCs w:val="20"/>
          <w:lang w:val="sr-Latn-ME"/>
        </w:rPr>
        <w:t>r</w:t>
      </w:r>
      <w:r w:rsidR="008062E2" w:rsidRPr="0066419A">
        <w:rPr>
          <w:rFonts w:eastAsia="Calibri"/>
          <w:sz w:val="20"/>
          <w:szCs w:val="20"/>
          <w:lang w:val="sr-Latn-ME"/>
        </w:rPr>
        <w:t>e</w:t>
      </w:r>
      <w:r w:rsidRPr="0066419A">
        <w:rPr>
          <w:rFonts w:eastAsia="Calibri"/>
          <w:sz w:val="20"/>
          <w:szCs w:val="20"/>
          <w:lang w:val="sr-Latn-ME"/>
        </w:rPr>
        <w:t xml:space="preserve">stali uzimati, i bili su u kliničkoj remisiji u </w:t>
      </w:r>
      <w:r w:rsidR="0067327C" w:rsidRPr="0066419A">
        <w:rPr>
          <w:rFonts w:eastAsia="Calibri"/>
          <w:sz w:val="20"/>
          <w:szCs w:val="20"/>
          <w:lang w:val="sr-Latn-ME"/>
        </w:rPr>
        <w:t>nedjelji</w:t>
      </w:r>
      <w:r w:rsidRPr="0066419A">
        <w:rPr>
          <w:rFonts w:eastAsia="Calibri"/>
          <w:sz w:val="20"/>
          <w:szCs w:val="20"/>
          <w:lang w:val="sr-Latn-ME"/>
        </w:rPr>
        <w:t xml:space="preserve"> 52. Broj pacijenata koji su uzimali oralne kortikosteroide na početku ispitivanja je iznosio n = 24 za placebo, n = 45 za </w:t>
      </w:r>
      <w:r w:rsidR="008062E2" w:rsidRPr="0066419A">
        <w:rPr>
          <w:rFonts w:eastAsia="Calibri"/>
          <w:sz w:val="20"/>
          <w:szCs w:val="20"/>
          <w:lang w:val="sr-Latn-ME"/>
        </w:rPr>
        <w:t>subkutani</w:t>
      </w:r>
      <w:r w:rsidRPr="0066419A">
        <w:rPr>
          <w:rFonts w:eastAsia="Calibri"/>
          <w:sz w:val="20"/>
          <w:szCs w:val="20"/>
          <w:lang w:val="sr-Latn-ME"/>
        </w:rPr>
        <w:t xml:space="preserve"> vedolizumab i n = 21 za intravenski vedolizumab</w:t>
      </w:r>
    </w:p>
    <w:p w14:paraId="0FAF2E89" w14:textId="77777777" w:rsidR="001B44E1" w:rsidRPr="0066419A" w:rsidRDefault="001B44E1" w:rsidP="00180C9F">
      <w:pPr>
        <w:pStyle w:val="CCDSBodytext"/>
        <w:spacing w:line="240" w:lineRule="auto"/>
        <w:jc w:val="both"/>
        <w:rPr>
          <w:rFonts w:eastAsia="Calibri"/>
          <w:sz w:val="20"/>
          <w:szCs w:val="20"/>
          <w:lang w:val="sr-Latn-ME"/>
        </w:rPr>
      </w:pPr>
      <w:r w:rsidRPr="0066419A">
        <w:rPr>
          <w:rFonts w:eastAsia="Calibri"/>
          <w:sz w:val="20"/>
          <w:szCs w:val="20"/>
          <w:lang w:val="sr-Latn-ME"/>
        </w:rPr>
        <w:t>NZ = nije značajno (2</w:t>
      </w:r>
      <w:r w:rsidRPr="0066419A">
        <w:rPr>
          <w:rFonts w:eastAsia="Calibri"/>
          <w:sz w:val="20"/>
          <w:szCs w:val="20"/>
          <w:lang w:val="sr-Latn-ME"/>
        </w:rPr>
        <w:noBreakHyphen/>
        <w:t>strana p</w:t>
      </w:r>
      <w:r w:rsidRPr="0066419A">
        <w:rPr>
          <w:rFonts w:eastAsia="Calibri"/>
          <w:sz w:val="20"/>
          <w:szCs w:val="20"/>
          <w:lang w:val="sr-Latn-ME"/>
        </w:rPr>
        <w:noBreakHyphen/>
        <w:t>vrijednost &gt; 0,05)</w:t>
      </w:r>
    </w:p>
    <w:p w14:paraId="4E98E70E" w14:textId="77777777" w:rsidR="001B44E1" w:rsidRPr="006F34F9" w:rsidRDefault="001B44E1" w:rsidP="00E708C7">
      <w:pPr>
        <w:rPr>
          <w:szCs w:val="22"/>
          <w:lang w:val="sr-Latn-ME"/>
        </w:rPr>
      </w:pPr>
    </w:p>
    <w:p w14:paraId="5AE4E125" w14:textId="4A6DF23D" w:rsidR="001B44E1" w:rsidRPr="006F34F9" w:rsidRDefault="001B44E1" w:rsidP="00E708C7">
      <w:pPr>
        <w:rPr>
          <w:szCs w:val="22"/>
          <w:lang w:val="sr-Latn-ME"/>
        </w:rPr>
      </w:pPr>
      <w:r w:rsidRPr="006F34F9">
        <w:rPr>
          <w:szCs w:val="22"/>
          <w:lang w:val="sr-Latn-ME"/>
        </w:rPr>
        <w:t>Primarne i sekundarne mjere ishoda liječenja analizirane su u pod</w:t>
      </w:r>
      <w:r w:rsidR="00D43BC5" w:rsidRPr="006F34F9">
        <w:rPr>
          <w:szCs w:val="22"/>
          <w:lang w:val="sr-Latn-ME"/>
        </w:rPr>
        <w:t>grupama</w:t>
      </w:r>
      <w:r w:rsidRPr="006F34F9">
        <w:rPr>
          <w:szCs w:val="22"/>
          <w:lang w:val="sr-Latn-ME"/>
        </w:rPr>
        <w:t xml:space="preserve"> </w:t>
      </w:r>
      <w:r w:rsidR="00D43BC5" w:rsidRPr="006F34F9">
        <w:rPr>
          <w:szCs w:val="22"/>
          <w:lang w:val="sr-Latn-ME"/>
        </w:rPr>
        <w:t>pacijenata</w:t>
      </w:r>
      <w:r w:rsidRPr="006F34F9">
        <w:rPr>
          <w:szCs w:val="22"/>
          <w:lang w:val="sr-Latn-ME"/>
        </w:rPr>
        <w:t xml:space="preserve"> koji su imali neuspjelu </w:t>
      </w:r>
      <w:r w:rsidR="008062E2" w:rsidRPr="006F34F9">
        <w:rPr>
          <w:szCs w:val="22"/>
          <w:lang w:val="sr-Latn-ME"/>
        </w:rPr>
        <w:t>pre</w:t>
      </w:r>
      <w:r w:rsidRPr="006F34F9">
        <w:rPr>
          <w:szCs w:val="22"/>
          <w:lang w:val="sr-Latn-ME"/>
        </w:rPr>
        <w:t xml:space="preserve">thodnu terapiju antagonistima TNFα (37%; n = 80) i </w:t>
      </w:r>
      <w:r w:rsidR="00D43BC5" w:rsidRPr="006F34F9">
        <w:rPr>
          <w:szCs w:val="22"/>
          <w:lang w:val="sr-Latn-ME"/>
        </w:rPr>
        <w:t>pacijenata</w:t>
      </w:r>
      <w:r w:rsidRPr="006F34F9">
        <w:rPr>
          <w:szCs w:val="22"/>
          <w:lang w:val="sr-Latn-ME"/>
        </w:rPr>
        <w:t xml:space="preserve"> koji </w:t>
      </w:r>
      <w:r w:rsidR="00B148F2" w:rsidRPr="006F34F9">
        <w:rPr>
          <w:szCs w:val="22"/>
          <w:lang w:val="sr-Latn-ME"/>
        </w:rPr>
        <w:t>prethodno</w:t>
      </w:r>
      <w:r w:rsidRPr="006F34F9">
        <w:rPr>
          <w:szCs w:val="22"/>
          <w:lang w:val="sr-Latn-ME"/>
        </w:rPr>
        <w:t xml:space="preserve"> ni</w:t>
      </w:r>
      <w:r w:rsidR="00356F7F" w:rsidRPr="006F34F9">
        <w:rPr>
          <w:szCs w:val="22"/>
          <w:lang w:val="sr-Latn-ME"/>
        </w:rPr>
        <w:t>je</w:t>
      </w:r>
      <w:r w:rsidRPr="006F34F9">
        <w:rPr>
          <w:szCs w:val="22"/>
          <w:lang w:val="sr-Latn-ME"/>
        </w:rPr>
        <w:t xml:space="preserve">su liječeni antagonistima TNFα (63%; n = 136). Rezultati za </w:t>
      </w:r>
      <w:r w:rsidR="00C15B4F" w:rsidRPr="006F34F9">
        <w:rPr>
          <w:szCs w:val="22"/>
          <w:lang w:val="sr-Latn-ME"/>
        </w:rPr>
        <w:t>pacijente</w:t>
      </w:r>
      <w:r w:rsidRPr="006F34F9">
        <w:rPr>
          <w:szCs w:val="22"/>
          <w:lang w:val="sr-Latn-ME"/>
        </w:rPr>
        <w:t xml:space="preserve"> iz ispitivanja liječene placebom i su</w:t>
      </w:r>
      <w:r w:rsidR="00D43BC5" w:rsidRPr="006F34F9">
        <w:rPr>
          <w:szCs w:val="22"/>
          <w:lang w:val="sr-Latn-ME"/>
        </w:rPr>
        <w:t>b</w:t>
      </w:r>
      <w:r w:rsidRPr="006F34F9">
        <w:rPr>
          <w:szCs w:val="22"/>
          <w:lang w:val="sr-Latn-ME"/>
        </w:rPr>
        <w:t xml:space="preserve">kutanim vedolizumabom u ovim </w:t>
      </w:r>
      <w:r w:rsidR="00D43BC5" w:rsidRPr="006F34F9">
        <w:rPr>
          <w:szCs w:val="22"/>
          <w:lang w:val="sr-Latn-ME"/>
        </w:rPr>
        <w:t>podgrupama</w:t>
      </w:r>
      <w:r w:rsidRPr="006F34F9">
        <w:rPr>
          <w:szCs w:val="22"/>
          <w:lang w:val="sr-Latn-ME"/>
        </w:rPr>
        <w:t xml:space="preserve"> prikazani su u </w:t>
      </w:r>
      <w:r w:rsidR="00356F7F" w:rsidRPr="006F34F9">
        <w:rPr>
          <w:szCs w:val="22"/>
          <w:lang w:val="sr-Latn-ME"/>
        </w:rPr>
        <w:t>T</w:t>
      </w:r>
      <w:r w:rsidRPr="006F34F9">
        <w:rPr>
          <w:szCs w:val="22"/>
          <w:lang w:val="sr-Latn-ME"/>
        </w:rPr>
        <w:t>ab</w:t>
      </w:r>
      <w:r w:rsidR="00C15B4F" w:rsidRPr="006F34F9">
        <w:rPr>
          <w:szCs w:val="22"/>
          <w:lang w:val="sr-Latn-ME"/>
        </w:rPr>
        <w:t xml:space="preserve">eli </w:t>
      </w:r>
      <w:r w:rsidRPr="006F34F9">
        <w:rPr>
          <w:szCs w:val="22"/>
          <w:lang w:val="sr-Latn-ME"/>
        </w:rPr>
        <w:t>5.</w:t>
      </w:r>
    </w:p>
    <w:p w14:paraId="199E3936" w14:textId="77777777" w:rsidR="001B44E1" w:rsidRPr="006F34F9" w:rsidRDefault="001B44E1" w:rsidP="00E708C7">
      <w:pPr>
        <w:rPr>
          <w:szCs w:val="22"/>
          <w:u w:val="single"/>
          <w:lang w:val="sr-Latn-ME"/>
        </w:rPr>
      </w:pPr>
    </w:p>
    <w:p w14:paraId="66058E41" w14:textId="0B9D97DA" w:rsidR="001B44E1" w:rsidRPr="006F34F9" w:rsidRDefault="0067327C" w:rsidP="00E708C7">
      <w:pPr>
        <w:keepNext/>
        <w:rPr>
          <w:b/>
          <w:szCs w:val="22"/>
          <w:lang w:val="sr-Latn-ME"/>
        </w:rPr>
      </w:pPr>
      <w:r w:rsidRPr="006F34F9">
        <w:rPr>
          <w:b/>
          <w:szCs w:val="22"/>
          <w:lang w:val="sr-Latn-ME"/>
        </w:rPr>
        <w:t>Tabela</w:t>
      </w:r>
      <w:r w:rsidR="001B44E1" w:rsidRPr="006F34F9">
        <w:rPr>
          <w:b/>
          <w:szCs w:val="22"/>
          <w:lang w:val="sr-Latn-ME"/>
        </w:rPr>
        <w:t xml:space="preserve"> 5. VISIBLE 1 rezultati ispitivanja u </w:t>
      </w:r>
      <w:r w:rsidR="00C15B4F" w:rsidRPr="006F34F9">
        <w:rPr>
          <w:b/>
          <w:szCs w:val="22"/>
          <w:lang w:val="sr-Latn-ME"/>
        </w:rPr>
        <w:t xml:space="preserve">52. </w:t>
      </w:r>
      <w:r w:rsidRPr="006F34F9">
        <w:rPr>
          <w:b/>
          <w:szCs w:val="22"/>
          <w:lang w:val="sr-Latn-ME"/>
        </w:rPr>
        <w:t>nedjelji</w:t>
      </w:r>
      <w:r w:rsidR="00C15B4F" w:rsidRPr="006F34F9">
        <w:rPr>
          <w:b/>
          <w:szCs w:val="22"/>
          <w:lang w:val="sr-Latn-ME"/>
        </w:rPr>
        <w:t xml:space="preserve"> </w:t>
      </w:r>
      <w:r w:rsidR="001B44E1" w:rsidRPr="006F34F9">
        <w:rPr>
          <w:b/>
          <w:szCs w:val="22"/>
          <w:lang w:val="sr-Latn-ME"/>
        </w:rPr>
        <w:t xml:space="preserve">analizirani </w:t>
      </w:r>
      <w:r w:rsidR="008062E2" w:rsidRPr="006F34F9">
        <w:rPr>
          <w:b/>
          <w:szCs w:val="22"/>
          <w:lang w:val="sr-Latn-ME"/>
        </w:rPr>
        <w:t>pre</w:t>
      </w:r>
      <w:r w:rsidR="001B44E1" w:rsidRPr="006F34F9">
        <w:rPr>
          <w:b/>
          <w:szCs w:val="22"/>
          <w:lang w:val="sr-Latn-ME"/>
        </w:rPr>
        <w:t xml:space="preserve">ma odgovoru na </w:t>
      </w:r>
      <w:r w:rsidR="008062E2" w:rsidRPr="006F34F9">
        <w:rPr>
          <w:b/>
          <w:szCs w:val="22"/>
          <w:lang w:val="sr-Latn-ME"/>
        </w:rPr>
        <w:t>pre</w:t>
      </w:r>
      <w:r w:rsidR="001B44E1" w:rsidRPr="006F34F9">
        <w:rPr>
          <w:b/>
          <w:szCs w:val="22"/>
          <w:lang w:val="sr-Latn-ME"/>
        </w:rPr>
        <w:t>thodno liječenje antagonistima TNFα</w:t>
      </w:r>
    </w:p>
    <w:tbl>
      <w:tblPr>
        <w:tblW w:w="9041" w:type="dxa"/>
        <w:tblBorders>
          <w:bottom w:val="single" w:sz="4" w:space="0" w:color="auto"/>
        </w:tblBorders>
        <w:tblLayout w:type="fixed"/>
        <w:tblLook w:val="04A0" w:firstRow="1" w:lastRow="0" w:firstColumn="1" w:lastColumn="0" w:noHBand="0" w:noVBand="1"/>
      </w:tblPr>
      <w:tblGrid>
        <w:gridCol w:w="4928"/>
        <w:gridCol w:w="1559"/>
        <w:gridCol w:w="2554"/>
      </w:tblGrid>
      <w:tr w:rsidR="001B44E1" w:rsidRPr="006F34F9" w14:paraId="437AB28B" w14:textId="77777777" w:rsidTr="001B44E1">
        <w:tc>
          <w:tcPr>
            <w:tcW w:w="4928" w:type="dxa"/>
            <w:tcBorders>
              <w:top w:val="single" w:sz="4" w:space="0" w:color="auto"/>
              <w:bottom w:val="nil"/>
            </w:tcBorders>
          </w:tcPr>
          <w:p w14:paraId="7E2F31F2" w14:textId="77777777" w:rsidR="001B44E1" w:rsidRPr="006F34F9" w:rsidRDefault="001B44E1" w:rsidP="00E708C7">
            <w:pPr>
              <w:rPr>
                <w:szCs w:val="22"/>
                <w:lang w:val="sr-Latn-ME"/>
              </w:rPr>
            </w:pPr>
          </w:p>
        </w:tc>
        <w:tc>
          <w:tcPr>
            <w:tcW w:w="4113" w:type="dxa"/>
            <w:gridSpan w:val="2"/>
            <w:tcBorders>
              <w:top w:val="single" w:sz="4" w:space="0" w:color="auto"/>
              <w:bottom w:val="nil"/>
            </w:tcBorders>
          </w:tcPr>
          <w:p w14:paraId="739C050D" w14:textId="61C16D7E" w:rsidR="001B44E1" w:rsidRPr="006F34F9" w:rsidRDefault="001B44E1" w:rsidP="00A5182D">
            <w:pPr>
              <w:rPr>
                <w:szCs w:val="22"/>
                <w:lang w:val="sr-Latn-ME"/>
              </w:rPr>
            </w:pPr>
            <w:r w:rsidRPr="006F34F9">
              <w:rPr>
                <w:szCs w:val="22"/>
                <w:lang w:val="sr-Latn-ME"/>
              </w:rPr>
              <w:t>Liječenje jednom svak</w:t>
            </w:r>
            <w:r w:rsidR="00C15B4F" w:rsidRPr="006F34F9">
              <w:rPr>
                <w:szCs w:val="22"/>
                <w:lang w:val="sr-Latn-ME"/>
              </w:rPr>
              <w:t>e</w:t>
            </w:r>
            <w:r w:rsidRPr="006F34F9">
              <w:rPr>
                <w:szCs w:val="22"/>
                <w:lang w:val="sr-Latn-ME"/>
              </w:rPr>
              <w:t xml:space="preserve"> 2 </w:t>
            </w:r>
            <w:r w:rsidR="00C15B4F" w:rsidRPr="006F34F9">
              <w:rPr>
                <w:szCs w:val="22"/>
                <w:lang w:val="sr-Latn-ME"/>
              </w:rPr>
              <w:t>nedjelje</w:t>
            </w:r>
          </w:p>
        </w:tc>
      </w:tr>
      <w:tr w:rsidR="001B44E1" w:rsidRPr="006F34F9" w14:paraId="4A0BC0C8" w14:textId="77777777" w:rsidTr="001B44E1">
        <w:tc>
          <w:tcPr>
            <w:tcW w:w="4928" w:type="dxa"/>
            <w:tcBorders>
              <w:bottom w:val="single" w:sz="4" w:space="0" w:color="auto"/>
            </w:tcBorders>
          </w:tcPr>
          <w:p w14:paraId="55204AD9" w14:textId="77777777" w:rsidR="001B44E1" w:rsidRPr="006F34F9" w:rsidRDefault="001B44E1" w:rsidP="00E708C7">
            <w:pPr>
              <w:rPr>
                <w:szCs w:val="22"/>
                <w:lang w:val="sr-Latn-ME"/>
              </w:rPr>
            </w:pPr>
          </w:p>
        </w:tc>
        <w:tc>
          <w:tcPr>
            <w:tcW w:w="1559" w:type="dxa"/>
            <w:tcBorders>
              <w:bottom w:val="single" w:sz="4" w:space="0" w:color="auto"/>
            </w:tcBorders>
          </w:tcPr>
          <w:p w14:paraId="52E44431" w14:textId="77777777" w:rsidR="001B44E1" w:rsidRPr="006F34F9" w:rsidRDefault="001B44E1" w:rsidP="00E708C7">
            <w:pPr>
              <w:rPr>
                <w:szCs w:val="22"/>
                <w:lang w:val="sr-Latn-ME"/>
              </w:rPr>
            </w:pPr>
            <w:r w:rsidRPr="006F34F9">
              <w:rPr>
                <w:szCs w:val="22"/>
                <w:lang w:val="sr-Latn-ME"/>
              </w:rPr>
              <w:t>Placebo</w:t>
            </w:r>
          </w:p>
        </w:tc>
        <w:tc>
          <w:tcPr>
            <w:tcW w:w="2551" w:type="dxa"/>
            <w:tcBorders>
              <w:bottom w:val="single" w:sz="4" w:space="0" w:color="auto"/>
            </w:tcBorders>
          </w:tcPr>
          <w:p w14:paraId="1A18F215" w14:textId="77777777" w:rsidR="001B44E1" w:rsidRPr="006F34F9" w:rsidRDefault="001B44E1" w:rsidP="00E708C7">
            <w:pPr>
              <w:rPr>
                <w:szCs w:val="22"/>
                <w:lang w:val="sr-Latn-ME"/>
              </w:rPr>
            </w:pPr>
            <w:r w:rsidRPr="006F34F9">
              <w:rPr>
                <w:szCs w:val="22"/>
                <w:lang w:val="sr-Latn-ME"/>
              </w:rPr>
              <w:t>Vedolizumab s.c. 108 mg</w:t>
            </w:r>
          </w:p>
        </w:tc>
      </w:tr>
      <w:tr w:rsidR="001B44E1" w:rsidRPr="006F34F9" w14:paraId="7AD4604C" w14:textId="77777777" w:rsidTr="001B44E1">
        <w:tc>
          <w:tcPr>
            <w:tcW w:w="4928" w:type="dxa"/>
            <w:tcBorders>
              <w:top w:val="single" w:sz="4" w:space="0" w:color="auto"/>
            </w:tcBorders>
          </w:tcPr>
          <w:p w14:paraId="3FEF987D" w14:textId="303ECCBE" w:rsidR="001B44E1" w:rsidRPr="006F34F9" w:rsidRDefault="001B44E1" w:rsidP="00E708C7">
            <w:pPr>
              <w:spacing w:before="40" w:after="40"/>
              <w:rPr>
                <w:b/>
                <w:szCs w:val="22"/>
                <w:lang w:val="sr-Latn-ME"/>
              </w:rPr>
            </w:pPr>
            <w:r w:rsidRPr="006F34F9">
              <w:rPr>
                <w:b/>
                <w:szCs w:val="22"/>
                <w:lang w:val="sr-Latn-ME"/>
              </w:rPr>
              <w:t>Neuspje</w:t>
            </w:r>
            <w:r w:rsidR="00356F7F" w:rsidRPr="006F34F9">
              <w:rPr>
                <w:b/>
                <w:szCs w:val="22"/>
                <w:lang w:val="sr-Latn-ME"/>
              </w:rPr>
              <w:t xml:space="preserve">šno </w:t>
            </w:r>
            <w:r w:rsidR="008062E2" w:rsidRPr="006F34F9">
              <w:rPr>
                <w:b/>
                <w:szCs w:val="22"/>
                <w:lang w:val="sr-Latn-ME"/>
              </w:rPr>
              <w:t>pre</w:t>
            </w:r>
            <w:r w:rsidRPr="006F34F9">
              <w:rPr>
                <w:b/>
                <w:szCs w:val="22"/>
                <w:lang w:val="sr-Latn-ME"/>
              </w:rPr>
              <w:t>thodno liječenj</w:t>
            </w:r>
            <w:r w:rsidR="00356F7F" w:rsidRPr="006F34F9">
              <w:rPr>
                <w:b/>
                <w:szCs w:val="22"/>
                <w:lang w:val="sr-Latn-ME"/>
              </w:rPr>
              <w:t>e</w:t>
            </w:r>
            <w:r w:rsidRPr="006F34F9">
              <w:rPr>
                <w:b/>
                <w:szCs w:val="22"/>
                <w:lang w:val="sr-Latn-ME"/>
              </w:rPr>
              <w:t xml:space="preserve"> antagonistima TNFα </w:t>
            </w:r>
          </w:p>
        </w:tc>
        <w:tc>
          <w:tcPr>
            <w:tcW w:w="1559" w:type="dxa"/>
            <w:tcBorders>
              <w:top w:val="single" w:sz="4" w:space="0" w:color="auto"/>
            </w:tcBorders>
          </w:tcPr>
          <w:p w14:paraId="65B9D976" w14:textId="77777777" w:rsidR="001B44E1" w:rsidRPr="006F34F9" w:rsidRDefault="001B44E1" w:rsidP="00E708C7">
            <w:pPr>
              <w:spacing w:before="40" w:after="40"/>
              <w:rPr>
                <w:szCs w:val="22"/>
                <w:lang w:val="sr-Latn-ME"/>
              </w:rPr>
            </w:pPr>
            <w:r w:rsidRPr="006F34F9">
              <w:rPr>
                <w:szCs w:val="22"/>
                <w:lang w:val="sr-Latn-ME"/>
              </w:rPr>
              <w:t>n = 19</w:t>
            </w:r>
          </w:p>
        </w:tc>
        <w:tc>
          <w:tcPr>
            <w:tcW w:w="2551" w:type="dxa"/>
            <w:tcBorders>
              <w:top w:val="single" w:sz="4" w:space="0" w:color="auto"/>
            </w:tcBorders>
          </w:tcPr>
          <w:p w14:paraId="25D86CD8" w14:textId="77777777" w:rsidR="001B44E1" w:rsidRPr="006F34F9" w:rsidRDefault="001B44E1" w:rsidP="00E708C7">
            <w:pPr>
              <w:spacing w:before="40" w:after="40"/>
              <w:rPr>
                <w:szCs w:val="22"/>
                <w:lang w:val="sr-Latn-ME"/>
              </w:rPr>
            </w:pPr>
            <w:r w:rsidRPr="006F34F9">
              <w:rPr>
                <w:szCs w:val="22"/>
                <w:lang w:val="sr-Latn-ME"/>
              </w:rPr>
              <w:t>n = 39</w:t>
            </w:r>
          </w:p>
        </w:tc>
      </w:tr>
      <w:tr w:rsidR="001B44E1" w:rsidRPr="006F34F9" w14:paraId="0078D6B7" w14:textId="77777777" w:rsidTr="001B44E1">
        <w:tc>
          <w:tcPr>
            <w:tcW w:w="4928" w:type="dxa"/>
          </w:tcPr>
          <w:p w14:paraId="407F4EE7" w14:textId="77777777" w:rsidR="001B44E1" w:rsidRPr="006F34F9" w:rsidRDefault="001B44E1" w:rsidP="00E708C7">
            <w:pPr>
              <w:spacing w:before="40" w:after="40"/>
              <w:ind w:left="360"/>
              <w:rPr>
                <w:rFonts w:eastAsia="SimSun"/>
                <w:szCs w:val="22"/>
                <w:lang w:val="sr-Latn-ME"/>
              </w:rPr>
            </w:pPr>
            <w:r w:rsidRPr="006F34F9">
              <w:rPr>
                <w:rFonts w:eastAsia="SimSun"/>
                <w:szCs w:val="22"/>
                <w:lang w:val="sr-Latn-ME"/>
              </w:rPr>
              <w:t>Klinička remisija</w:t>
            </w:r>
          </w:p>
        </w:tc>
        <w:tc>
          <w:tcPr>
            <w:tcW w:w="1559" w:type="dxa"/>
          </w:tcPr>
          <w:p w14:paraId="6F02C12B" w14:textId="77777777" w:rsidR="001B44E1" w:rsidRPr="006F34F9" w:rsidRDefault="001B44E1" w:rsidP="00E708C7">
            <w:pPr>
              <w:spacing w:before="40" w:after="40"/>
              <w:rPr>
                <w:szCs w:val="22"/>
                <w:lang w:val="sr-Latn-ME"/>
              </w:rPr>
            </w:pPr>
            <w:r w:rsidRPr="006F34F9">
              <w:rPr>
                <w:szCs w:val="22"/>
                <w:lang w:val="sr-Latn-ME"/>
              </w:rPr>
              <w:t>5,3%</w:t>
            </w:r>
          </w:p>
        </w:tc>
        <w:tc>
          <w:tcPr>
            <w:tcW w:w="2551" w:type="dxa"/>
          </w:tcPr>
          <w:p w14:paraId="57B972E0" w14:textId="77777777" w:rsidR="001B44E1" w:rsidRPr="006F34F9" w:rsidRDefault="001B44E1" w:rsidP="00E708C7">
            <w:pPr>
              <w:spacing w:before="40" w:after="40"/>
              <w:rPr>
                <w:szCs w:val="22"/>
                <w:lang w:val="sr-Latn-ME"/>
              </w:rPr>
            </w:pPr>
            <w:r w:rsidRPr="006F34F9">
              <w:rPr>
                <w:szCs w:val="22"/>
                <w:lang w:val="sr-Latn-ME"/>
              </w:rPr>
              <w:t>33,3%</w:t>
            </w:r>
          </w:p>
        </w:tc>
      </w:tr>
      <w:tr w:rsidR="001B44E1" w:rsidRPr="006F34F9" w14:paraId="116C2132" w14:textId="77777777" w:rsidTr="001B44E1">
        <w:tc>
          <w:tcPr>
            <w:tcW w:w="4928" w:type="dxa"/>
          </w:tcPr>
          <w:p w14:paraId="36D1EE11" w14:textId="478CB43A" w:rsidR="001B44E1" w:rsidRPr="006F34F9" w:rsidRDefault="001B44E1" w:rsidP="00E708C7">
            <w:pPr>
              <w:spacing w:before="40" w:after="40"/>
              <w:ind w:left="360"/>
              <w:rPr>
                <w:rFonts w:eastAsia="SimSun"/>
                <w:szCs w:val="22"/>
                <w:lang w:val="sr-Latn-ME"/>
              </w:rPr>
            </w:pPr>
            <w:r w:rsidRPr="006F34F9">
              <w:rPr>
                <w:szCs w:val="22"/>
                <w:lang w:val="sr-Latn-ME"/>
              </w:rPr>
              <w:t>Zacjeljivanje sluznice</w:t>
            </w:r>
          </w:p>
        </w:tc>
        <w:tc>
          <w:tcPr>
            <w:tcW w:w="1559" w:type="dxa"/>
          </w:tcPr>
          <w:p w14:paraId="2EA6D5E0" w14:textId="77777777" w:rsidR="001B44E1" w:rsidRPr="006F34F9" w:rsidRDefault="001B44E1" w:rsidP="00E708C7">
            <w:pPr>
              <w:spacing w:before="40" w:after="40"/>
              <w:rPr>
                <w:szCs w:val="22"/>
                <w:lang w:val="sr-Latn-ME"/>
              </w:rPr>
            </w:pPr>
            <w:r w:rsidRPr="006F34F9">
              <w:rPr>
                <w:szCs w:val="22"/>
                <w:lang w:val="sr-Latn-ME"/>
              </w:rPr>
              <w:t>5,3%</w:t>
            </w:r>
          </w:p>
        </w:tc>
        <w:tc>
          <w:tcPr>
            <w:tcW w:w="2551" w:type="dxa"/>
          </w:tcPr>
          <w:p w14:paraId="5167AD31" w14:textId="77777777" w:rsidR="001B44E1" w:rsidRPr="006F34F9" w:rsidRDefault="001B44E1" w:rsidP="00E708C7">
            <w:pPr>
              <w:spacing w:before="40" w:after="40"/>
              <w:rPr>
                <w:szCs w:val="22"/>
                <w:lang w:val="sr-Latn-ME"/>
              </w:rPr>
            </w:pPr>
            <w:r w:rsidRPr="006F34F9">
              <w:rPr>
                <w:szCs w:val="22"/>
                <w:lang w:val="sr-Latn-ME"/>
              </w:rPr>
              <w:t>46,2%</w:t>
            </w:r>
          </w:p>
        </w:tc>
      </w:tr>
      <w:tr w:rsidR="001B44E1" w:rsidRPr="006F34F9" w14:paraId="2373F466" w14:textId="77777777" w:rsidTr="001B44E1">
        <w:tc>
          <w:tcPr>
            <w:tcW w:w="4928" w:type="dxa"/>
          </w:tcPr>
          <w:p w14:paraId="7C424052" w14:textId="77777777" w:rsidR="001B44E1" w:rsidRPr="006F34F9" w:rsidRDefault="001B44E1" w:rsidP="00E708C7">
            <w:pPr>
              <w:spacing w:before="40" w:after="40"/>
              <w:ind w:left="360"/>
              <w:rPr>
                <w:rFonts w:eastAsia="SimSun"/>
                <w:szCs w:val="22"/>
                <w:lang w:val="sr-Latn-ME"/>
              </w:rPr>
            </w:pPr>
            <w:r w:rsidRPr="006F34F9">
              <w:rPr>
                <w:szCs w:val="22"/>
                <w:lang w:val="sr-Latn-ME"/>
              </w:rPr>
              <w:t>Trajni klinički odgovor</w:t>
            </w:r>
          </w:p>
        </w:tc>
        <w:tc>
          <w:tcPr>
            <w:tcW w:w="1559" w:type="dxa"/>
          </w:tcPr>
          <w:p w14:paraId="14AA7CBB" w14:textId="77777777" w:rsidR="001B44E1" w:rsidRPr="006F34F9" w:rsidRDefault="001B44E1" w:rsidP="00E708C7">
            <w:pPr>
              <w:spacing w:before="40" w:after="40"/>
              <w:rPr>
                <w:szCs w:val="22"/>
                <w:lang w:val="sr-Latn-ME"/>
              </w:rPr>
            </w:pPr>
            <w:r w:rsidRPr="006F34F9">
              <w:rPr>
                <w:szCs w:val="22"/>
                <w:lang w:val="sr-Latn-ME"/>
              </w:rPr>
              <w:t>15,8%</w:t>
            </w:r>
          </w:p>
        </w:tc>
        <w:tc>
          <w:tcPr>
            <w:tcW w:w="2551" w:type="dxa"/>
          </w:tcPr>
          <w:p w14:paraId="6B7FDDFC" w14:textId="77777777" w:rsidR="001B44E1" w:rsidRPr="006F34F9" w:rsidRDefault="001B44E1" w:rsidP="00E708C7">
            <w:pPr>
              <w:spacing w:before="40" w:after="40"/>
              <w:rPr>
                <w:szCs w:val="22"/>
                <w:lang w:val="sr-Latn-ME"/>
              </w:rPr>
            </w:pPr>
            <w:r w:rsidRPr="006F34F9">
              <w:rPr>
                <w:szCs w:val="22"/>
                <w:lang w:val="sr-Latn-ME"/>
              </w:rPr>
              <w:t>66,7%</w:t>
            </w:r>
          </w:p>
        </w:tc>
      </w:tr>
      <w:tr w:rsidR="001B44E1" w:rsidRPr="006F34F9" w14:paraId="579B2CEE" w14:textId="77777777" w:rsidTr="001B44E1">
        <w:tc>
          <w:tcPr>
            <w:tcW w:w="4928" w:type="dxa"/>
          </w:tcPr>
          <w:p w14:paraId="3273BD9B" w14:textId="77777777" w:rsidR="001B44E1" w:rsidRPr="006F34F9" w:rsidRDefault="001B44E1" w:rsidP="00E708C7">
            <w:pPr>
              <w:spacing w:before="40" w:after="40"/>
              <w:ind w:left="360"/>
              <w:rPr>
                <w:rFonts w:eastAsia="SimSun"/>
                <w:szCs w:val="22"/>
                <w:lang w:val="sr-Latn-ME"/>
              </w:rPr>
            </w:pPr>
            <w:r w:rsidRPr="006F34F9">
              <w:rPr>
                <w:szCs w:val="22"/>
                <w:lang w:val="sr-Latn-ME"/>
              </w:rPr>
              <w:t>Trajna klinička remisija</w:t>
            </w:r>
          </w:p>
        </w:tc>
        <w:tc>
          <w:tcPr>
            <w:tcW w:w="1559" w:type="dxa"/>
          </w:tcPr>
          <w:p w14:paraId="1D3DA0E7" w14:textId="77777777" w:rsidR="001B44E1" w:rsidRPr="006F34F9" w:rsidRDefault="001B44E1" w:rsidP="00E708C7">
            <w:pPr>
              <w:spacing w:before="40" w:after="40"/>
              <w:rPr>
                <w:szCs w:val="22"/>
                <w:lang w:val="sr-Latn-ME"/>
              </w:rPr>
            </w:pPr>
            <w:r w:rsidRPr="006F34F9">
              <w:rPr>
                <w:szCs w:val="22"/>
                <w:lang w:val="sr-Latn-ME"/>
              </w:rPr>
              <w:t>0%</w:t>
            </w:r>
          </w:p>
        </w:tc>
        <w:tc>
          <w:tcPr>
            <w:tcW w:w="2551" w:type="dxa"/>
          </w:tcPr>
          <w:p w14:paraId="60527D3B" w14:textId="77777777" w:rsidR="001B44E1" w:rsidRPr="006F34F9" w:rsidRDefault="001B44E1" w:rsidP="00E708C7">
            <w:pPr>
              <w:spacing w:before="40" w:after="40"/>
              <w:rPr>
                <w:szCs w:val="22"/>
                <w:lang w:val="sr-Latn-ME"/>
              </w:rPr>
            </w:pPr>
            <w:r w:rsidRPr="006F34F9">
              <w:rPr>
                <w:szCs w:val="22"/>
                <w:lang w:val="sr-Latn-ME"/>
              </w:rPr>
              <w:t>2,6%</w:t>
            </w:r>
          </w:p>
        </w:tc>
      </w:tr>
      <w:tr w:rsidR="001B44E1" w:rsidRPr="006F34F9" w14:paraId="7BBE2677" w14:textId="77777777" w:rsidTr="001B44E1">
        <w:tc>
          <w:tcPr>
            <w:tcW w:w="4928" w:type="dxa"/>
          </w:tcPr>
          <w:p w14:paraId="771780E5" w14:textId="212392B1" w:rsidR="001B44E1" w:rsidRPr="006F34F9" w:rsidRDefault="001B44E1" w:rsidP="00E708C7">
            <w:pPr>
              <w:spacing w:before="40" w:after="40"/>
              <w:ind w:left="360"/>
              <w:rPr>
                <w:rFonts w:eastAsia="SimSun"/>
                <w:szCs w:val="22"/>
                <w:lang w:val="sr-Latn-ME"/>
              </w:rPr>
            </w:pPr>
            <w:r w:rsidRPr="006F34F9">
              <w:rPr>
                <w:szCs w:val="22"/>
                <w:lang w:val="sr-Latn-ME"/>
              </w:rPr>
              <w:t xml:space="preserve">Remisija bez </w:t>
            </w:r>
            <w:r w:rsidR="00C15B4F" w:rsidRPr="006F34F9">
              <w:rPr>
                <w:szCs w:val="22"/>
                <w:lang w:val="sr-Latn-ME"/>
              </w:rPr>
              <w:t>kortikosteroida</w:t>
            </w:r>
          </w:p>
        </w:tc>
        <w:tc>
          <w:tcPr>
            <w:tcW w:w="1559" w:type="dxa"/>
          </w:tcPr>
          <w:p w14:paraId="5BB8DA9C" w14:textId="77777777" w:rsidR="001B44E1" w:rsidRPr="006F34F9" w:rsidRDefault="001B44E1" w:rsidP="00E708C7">
            <w:pPr>
              <w:spacing w:before="40" w:after="40"/>
              <w:rPr>
                <w:szCs w:val="22"/>
                <w:lang w:val="sr-Latn-ME"/>
              </w:rPr>
            </w:pPr>
            <w:r w:rsidRPr="006F34F9">
              <w:rPr>
                <w:szCs w:val="22"/>
                <w:lang w:val="sr-Latn-ME"/>
              </w:rPr>
              <w:t>8,3%</w:t>
            </w:r>
          </w:p>
        </w:tc>
        <w:tc>
          <w:tcPr>
            <w:tcW w:w="2551" w:type="dxa"/>
          </w:tcPr>
          <w:p w14:paraId="5DA7719B" w14:textId="77777777" w:rsidR="001B44E1" w:rsidRPr="006F34F9" w:rsidRDefault="001B44E1" w:rsidP="00E708C7">
            <w:pPr>
              <w:spacing w:before="40" w:after="40"/>
              <w:rPr>
                <w:szCs w:val="22"/>
                <w:lang w:val="sr-Latn-ME"/>
              </w:rPr>
            </w:pPr>
            <w:r w:rsidRPr="006F34F9">
              <w:rPr>
                <w:szCs w:val="22"/>
                <w:lang w:val="sr-Latn-ME"/>
              </w:rPr>
              <w:t>27,3%</w:t>
            </w:r>
          </w:p>
        </w:tc>
      </w:tr>
      <w:tr w:rsidR="001B44E1" w:rsidRPr="006F34F9" w14:paraId="3285CDD0" w14:textId="77777777" w:rsidTr="001B44E1">
        <w:tc>
          <w:tcPr>
            <w:tcW w:w="4928" w:type="dxa"/>
          </w:tcPr>
          <w:p w14:paraId="48D6974B" w14:textId="77777777" w:rsidR="001B44E1" w:rsidRPr="006F34F9" w:rsidRDefault="001B44E1" w:rsidP="00E708C7">
            <w:pPr>
              <w:spacing w:before="40" w:after="40"/>
              <w:rPr>
                <w:szCs w:val="22"/>
                <w:lang w:val="sr-Latn-ME"/>
              </w:rPr>
            </w:pPr>
          </w:p>
        </w:tc>
        <w:tc>
          <w:tcPr>
            <w:tcW w:w="1559" w:type="dxa"/>
          </w:tcPr>
          <w:p w14:paraId="6B770005" w14:textId="77777777" w:rsidR="001B44E1" w:rsidRPr="006F34F9" w:rsidRDefault="001B44E1" w:rsidP="00E708C7">
            <w:pPr>
              <w:spacing w:before="40" w:after="40"/>
              <w:rPr>
                <w:szCs w:val="22"/>
                <w:lang w:val="sr-Latn-ME"/>
              </w:rPr>
            </w:pPr>
          </w:p>
        </w:tc>
        <w:tc>
          <w:tcPr>
            <w:tcW w:w="2551" w:type="dxa"/>
          </w:tcPr>
          <w:p w14:paraId="4F48AF9C" w14:textId="77777777" w:rsidR="001B44E1" w:rsidRPr="006F34F9" w:rsidRDefault="001B44E1" w:rsidP="00E708C7">
            <w:pPr>
              <w:spacing w:before="40" w:after="40"/>
              <w:rPr>
                <w:szCs w:val="22"/>
                <w:lang w:val="sr-Latn-ME"/>
              </w:rPr>
            </w:pPr>
          </w:p>
        </w:tc>
      </w:tr>
      <w:tr w:rsidR="001B44E1" w:rsidRPr="006F34F9" w14:paraId="09A42920" w14:textId="77777777" w:rsidTr="001B44E1">
        <w:tc>
          <w:tcPr>
            <w:tcW w:w="4928" w:type="dxa"/>
          </w:tcPr>
          <w:p w14:paraId="52356BBE" w14:textId="012A9460" w:rsidR="001B44E1" w:rsidRPr="006F34F9" w:rsidRDefault="001B44E1" w:rsidP="00E708C7">
            <w:pPr>
              <w:spacing w:before="40" w:after="40"/>
              <w:rPr>
                <w:b/>
                <w:szCs w:val="22"/>
                <w:lang w:val="sr-Latn-ME"/>
              </w:rPr>
            </w:pPr>
            <w:r w:rsidRPr="006F34F9">
              <w:rPr>
                <w:b/>
                <w:szCs w:val="22"/>
                <w:lang w:val="sr-Latn-ME"/>
              </w:rPr>
              <w:t xml:space="preserve">Bez </w:t>
            </w:r>
            <w:r w:rsidR="008062E2" w:rsidRPr="006F34F9">
              <w:rPr>
                <w:b/>
                <w:szCs w:val="22"/>
                <w:lang w:val="sr-Latn-ME"/>
              </w:rPr>
              <w:t>pre</w:t>
            </w:r>
            <w:r w:rsidRPr="006F34F9">
              <w:rPr>
                <w:b/>
                <w:szCs w:val="22"/>
                <w:lang w:val="sr-Latn-ME"/>
              </w:rPr>
              <w:t>thodnog liječenja antagonistima TNFα</w:t>
            </w:r>
          </w:p>
        </w:tc>
        <w:tc>
          <w:tcPr>
            <w:tcW w:w="1559" w:type="dxa"/>
          </w:tcPr>
          <w:p w14:paraId="6673474A" w14:textId="77777777" w:rsidR="001B44E1" w:rsidRPr="006F34F9" w:rsidRDefault="001B44E1" w:rsidP="00E708C7">
            <w:pPr>
              <w:spacing w:before="40" w:after="40"/>
              <w:rPr>
                <w:szCs w:val="22"/>
                <w:lang w:val="sr-Latn-ME"/>
              </w:rPr>
            </w:pPr>
            <w:r w:rsidRPr="006F34F9">
              <w:rPr>
                <w:szCs w:val="22"/>
                <w:lang w:val="sr-Latn-ME"/>
              </w:rPr>
              <w:t>n = 37</w:t>
            </w:r>
          </w:p>
        </w:tc>
        <w:tc>
          <w:tcPr>
            <w:tcW w:w="2551" w:type="dxa"/>
          </w:tcPr>
          <w:p w14:paraId="6F82D7F8" w14:textId="77777777" w:rsidR="001B44E1" w:rsidRPr="006F34F9" w:rsidRDefault="001B44E1" w:rsidP="00E708C7">
            <w:pPr>
              <w:spacing w:before="40" w:after="40"/>
              <w:rPr>
                <w:szCs w:val="22"/>
                <w:lang w:val="sr-Latn-ME"/>
              </w:rPr>
            </w:pPr>
            <w:r w:rsidRPr="006F34F9">
              <w:rPr>
                <w:szCs w:val="22"/>
                <w:lang w:val="sr-Latn-ME"/>
              </w:rPr>
              <w:t>n = 67</w:t>
            </w:r>
          </w:p>
        </w:tc>
      </w:tr>
      <w:tr w:rsidR="001B44E1" w:rsidRPr="006F34F9" w14:paraId="4DE832F2" w14:textId="77777777" w:rsidTr="001B44E1">
        <w:tc>
          <w:tcPr>
            <w:tcW w:w="4928" w:type="dxa"/>
          </w:tcPr>
          <w:p w14:paraId="79CA76FB" w14:textId="77777777" w:rsidR="001B44E1" w:rsidRPr="006F34F9" w:rsidRDefault="001B44E1" w:rsidP="00E708C7">
            <w:pPr>
              <w:spacing w:before="40" w:after="40"/>
              <w:ind w:left="360"/>
              <w:rPr>
                <w:rFonts w:eastAsia="SimSun"/>
                <w:szCs w:val="22"/>
                <w:lang w:val="sr-Latn-ME"/>
              </w:rPr>
            </w:pPr>
            <w:r w:rsidRPr="006F34F9">
              <w:rPr>
                <w:rFonts w:eastAsia="SimSun"/>
                <w:szCs w:val="22"/>
                <w:lang w:val="sr-Latn-ME"/>
              </w:rPr>
              <w:t>Klinička remisija</w:t>
            </w:r>
          </w:p>
        </w:tc>
        <w:tc>
          <w:tcPr>
            <w:tcW w:w="1559" w:type="dxa"/>
          </w:tcPr>
          <w:p w14:paraId="67436A86" w14:textId="77777777" w:rsidR="001B44E1" w:rsidRPr="006F34F9" w:rsidRDefault="001B44E1" w:rsidP="00E708C7">
            <w:pPr>
              <w:spacing w:before="40" w:after="40"/>
              <w:rPr>
                <w:szCs w:val="22"/>
                <w:lang w:val="sr-Latn-ME"/>
              </w:rPr>
            </w:pPr>
            <w:r w:rsidRPr="006F34F9">
              <w:rPr>
                <w:szCs w:val="22"/>
                <w:lang w:val="sr-Latn-ME"/>
              </w:rPr>
              <w:t>18,9%</w:t>
            </w:r>
          </w:p>
        </w:tc>
        <w:tc>
          <w:tcPr>
            <w:tcW w:w="2551" w:type="dxa"/>
          </w:tcPr>
          <w:p w14:paraId="205A93E3" w14:textId="77777777" w:rsidR="001B44E1" w:rsidRPr="006F34F9" w:rsidRDefault="001B44E1" w:rsidP="00E708C7">
            <w:pPr>
              <w:spacing w:before="40" w:after="40"/>
              <w:rPr>
                <w:szCs w:val="22"/>
                <w:lang w:val="sr-Latn-ME"/>
              </w:rPr>
            </w:pPr>
            <w:r w:rsidRPr="006F34F9">
              <w:rPr>
                <w:szCs w:val="22"/>
                <w:lang w:val="sr-Latn-ME"/>
              </w:rPr>
              <w:t>53,7%</w:t>
            </w:r>
          </w:p>
        </w:tc>
      </w:tr>
      <w:tr w:rsidR="001B44E1" w:rsidRPr="006F34F9" w14:paraId="77A927F8" w14:textId="77777777" w:rsidTr="001B44E1">
        <w:tc>
          <w:tcPr>
            <w:tcW w:w="4928" w:type="dxa"/>
          </w:tcPr>
          <w:p w14:paraId="5FF752B1" w14:textId="305714ED" w:rsidR="001B44E1" w:rsidRPr="006F34F9" w:rsidRDefault="001B44E1" w:rsidP="00E708C7">
            <w:pPr>
              <w:spacing w:before="40" w:after="40"/>
              <w:ind w:left="360"/>
              <w:rPr>
                <w:rFonts w:eastAsia="SimSun"/>
                <w:szCs w:val="22"/>
                <w:lang w:val="sr-Latn-ME"/>
              </w:rPr>
            </w:pPr>
            <w:r w:rsidRPr="006F34F9">
              <w:rPr>
                <w:szCs w:val="22"/>
                <w:lang w:val="sr-Latn-ME"/>
              </w:rPr>
              <w:lastRenderedPageBreak/>
              <w:t>Zacjelj</w:t>
            </w:r>
            <w:r w:rsidR="00C15B4F" w:rsidRPr="006F34F9">
              <w:rPr>
                <w:szCs w:val="22"/>
                <w:lang w:val="sr-Latn-ME"/>
              </w:rPr>
              <w:t>e</w:t>
            </w:r>
            <w:r w:rsidRPr="006F34F9">
              <w:rPr>
                <w:szCs w:val="22"/>
                <w:lang w:val="sr-Latn-ME"/>
              </w:rPr>
              <w:t>nje sluznice</w:t>
            </w:r>
          </w:p>
        </w:tc>
        <w:tc>
          <w:tcPr>
            <w:tcW w:w="1559" w:type="dxa"/>
          </w:tcPr>
          <w:p w14:paraId="2E2C35E8" w14:textId="77777777" w:rsidR="001B44E1" w:rsidRPr="006F34F9" w:rsidRDefault="001B44E1" w:rsidP="00E708C7">
            <w:pPr>
              <w:spacing w:before="40" w:after="40"/>
              <w:rPr>
                <w:szCs w:val="22"/>
                <w:lang w:val="sr-Latn-ME"/>
              </w:rPr>
            </w:pPr>
            <w:r w:rsidRPr="006F34F9">
              <w:rPr>
                <w:szCs w:val="22"/>
                <w:lang w:val="sr-Latn-ME"/>
              </w:rPr>
              <w:t>29.7%</w:t>
            </w:r>
          </w:p>
        </w:tc>
        <w:tc>
          <w:tcPr>
            <w:tcW w:w="2551" w:type="dxa"/>
          </w:tcPr>
          <w:p w14:paraId="711CC471" w14:textId="77777777" w:rsidR="001B44E1" w:rsidRPr="006F34F9" w:rsidRDefault="001B44E1" w:rsidP="00E708C7">
            <w:pPr>
              <w:spacing w:before="40" w:after="40"/>
              <w:rPr>
                <w:szCs w:val="22"/>
                <w:lang w:val="sr-Latn-ME"/>
              </w:rPr>
            </w:pPr>
            <w:r w:rsidRPr="006F34F9">
              <w:rPr>
                <w:szCs w:val="22"/>
                <w:lang w:val="sr-Latn-ME"/>
              </w:rPr>
              <w:t>62,7%</w:t>
            </w:r>
          </w:p>
        </w:tc>
      </w:tr>
      <w:tr w:rsidR="001B44E1" w:rsidRPr="006F34F9" w14:paraId="15AD484F" w14:textId="77777777" w:rsidTr="001B44E1">
        <w:tc>
          <w:tcPr>
            <w:tcW w:w="4928" w:type="dxa"/>
          </w:tcPr>
          <w:p w14:paraId="2F6F5E4A" w14:textId="77777777" w:rsidR="001B44E1" w:rsidRPr="006F34F9" w:rsidRDefault="001B44E1" w:rsidP="00E708C7">
            <w:pPr>
              <w:spacing w:before="40" w:after="40"/>
              <w:ind w:left="360"/>
              <w:rPr>
                <w:rFonts w:eastAsia="SimSun"/>
                <w:szCs w:val="22"/>
                <w:lang w:val="sr-Latn-ME"/>
              </w:rPr>
            </w:pPr>
            <w:r w:rsidRPr="006F34F9">
              <w:rPr>
                <w:szCs w:val="22"/>
                <w:lang w:val="sr-Latn-ME"/>
              </w:rPr>
              <w:t>Trajni klinički odgovor</w:t>
            </w:r>
          </w:p>
        </w:tc>
        <w:tc>
          <w:tcPr>
            <w:tcW w:w="1559" w:type="dxa"/>
          </w:tcPr>
          <w:p w14:paraId="5E8106D6" w14:textId="77777777" w:rsidR="001B44E1" w:rsidRPr="006F34F9" w:rsidRDefault="001B44E1" w:rsidP="00E708C7">
            <w:pPr>
              <w:spacing w:before="40" w:after="40"/>
              <w:rPr>
                <w:szCs w:val="22"/>
                <w:lang w:val="sr-Latn-ME"/>
              </w:rPr>
            </w:pPr>
            <w:r w:rsidRPr="006F34F9">
              <w:rPr>
                <w:szCs w:val="22"/>
                <w:lang w:val="sr-Latn-ME"/>
              </w:rPr>
              <w:t>35,1%</w:t>
            </w:r>
          </w:p>
        </w:tc>
        <w:tc>
          <w:tcPr>
            <w:tcW w:w="2551" w:type="dxa"/>
          </w:tcPr>
          <w:p w14:paraId="16F0244C" w14:textId="77777777" w:rsidR="001B44E1" w:rsidRPr="006F34F9" w:rsidRDefault="001B44E1" w:rsidP="00E708C7">
            <w:pPr>
              <w:spacing w:before="40" w:after="40"/>
              <w:rPr>
                <w:szCs w:val="22"/>
                <w:lang w:val="sr-Latn-ME"/>
              </w:rPr>
            </w:pPr>
            <w:r w:rsidRPr="006F34F9">
              <w:rPr>
                <w:szCs w:val="22"/>
                <w:lang w:val="sr-Latn-ME"/>
              </w:rPr>
              <w:t>62,7%</w:t>
            </w:r>
          </w:p>
        </w:tc>
      </w:tr>
      <w:tr w:rsidR="001B44E1" w:rsidRPr="006F34F9" w14:paraId="15D26F92" w14:textId="77777777" w:rsidTr="001B44E1">
        <w:tc>
          <w:tcPr>
            <w:tcW w:w="4928" w:type="dxa"/>
          </w:tcPr>
          <w:p w14:paraId="33BBCA3A" w14:textId="77777777" w:rsidR="001B44E1" w:rsidRPr="006F34F9" w:rsidRDefault="001B44E1" w:rsidP="00E708C7">
            <w:pPr>
              <w:spacing w:before="40" w:after="40"/>
              <w:ind w:left="360"/>
              <w:rPr>
                <w:rFonts w:eastAsia="SimSun"/>
                <w:szCs w:val="22"/>
                <w:lang w:val="sr-Latn-ME"/>
              </w:rPr>
            </w:pPr>
            <w:r w:rsidRPr="006F34F9">
              <w:rPr>
                <w:szCs w:val="22"/>
                <w:lang w:val="sr-Latn-ME"/>
              </w:rPr>
              <w:t>Trajna klinička remisija</w:t>
            </w:r>
          </w:p>
        </w:tc>
        <w:tc>
          <w:tcPr>
            <w:tcW w:w="1559" w:type="dxa"/>
          </w:tcPr>
          <w:p w14:paraId="4649F081" w14:textId="77777777" w:rsidR="001B44E1" w:rsidRPr="006F34F9" w:rsidRDefault="001B44E1" w:rsidP="00E708C7">
            <w:pPr>
              <w:spacing w:before="40" w:after="40"/>
              <w:rPr>
                <w:szCs w:val="22"/>
                <w:lang w:val="sr-Latn-ME"/>
              </w:rPr>
            </w:pPr>
            <w:r w:rsidRPr="006F34F9">
              <w:rPr>
                <w:szCs w:val="22"/>
                <w:lang w:val="sr-Latn-ME"/>
              </w:rPr>
              <w:t>8,1%</w:t>
            </w:r>
          </w:p>
        </w:tc>
        <w:tc>
          <w:tcPr>
            <w:tcW w:w="2551" w:type="dxa"/>
          </w:tcPr>
          <w:p w14:paraId="1D9C721C" w14:textId="77777777" w:rsidR="001B44E1" w:rsidRPr="006F34F9" w:rsidRDefault="001B44E1" w:rsidP="00E708C7">
            <w:pPr>
              <w:spacing w:before="40" w:after="40"/>
              <w:rPr>
                <w:szCs w:val="22"/>
                <w:lang w:val="sr-Latn-ME"/>
              </w:rPr>
            </w:pPr>
            <w:r w:rsidRPr="006F34F9">
              <w:rPr>
                <w:szCs w:val="22"/>
                <w:lang w:val="sr-Latn-ME"/>
              </w:rPr>
              <w:t>22,4%</w:t>
            </w:r>
          </w:p>
        </w:tc>
      </w:tr>
      <w:tr w:rsidR="001B44E1" w:rsidRPr="006F34F9" w14:paraId="6E798269" w14:textId="77777777" w:rsidTr="001B44E1">
        <w:tc>
          <w:tcPr>
            <w:tcW w:w="4928" w:type="dxa"/>
            <w:tcBorders>
              <w:bottom w:val="single" w:sz="4" w:space="0" w:color="auto"/>
            </w:tcBorders>
          </w:tcPr>
          <w:p w14:paraId="450EEDE2" w14:textId="77777777" w:rsidR="001B44E1" w:rsidRPr="006F34F9" w:rsidRDefault="001B44E1" w:rsidP="00E708C7">
            <w:pPr>
              <w:spacing w:before="40" w:after="40"/>
              <w:ind w:left="360"/>
              <w:rPr>
                <w:rFonts w:eastAsia="SimSun"/>
                <w:szCs w:val="22"/>
                <w:lang w:val="sr-Latn-ME"/>
              </w:rPr>
            </w:pPr>
            <w:r w:rsidRPr="006F34F9">
              <w:rPr>
                <w:szCs w:val="22"/>
                <w:lang w:val="sr-Latn-ME"/>
              </w:rPr>
              <w:t>Remisija bez kortikosteroida</w:t>
            </w:r>
          </w:p>
        </w:tc>
        <w:tc>
          <w:tcPr>
            <w:tcW w:w="1559" w:type="dxa"/>
            <w:tcBorders>
              <w:bottom w:val="single" w:sz="4" w:space="0" w:color="auto"/>
            </w:tcBorders>
          </w:tcPr>
          <w:p w14:paraId="68C8D9A1" w14:textId="77777777" w:rsidR="001B44E1" w:rsidRPr="006F34F9" w:rsidRDefault="001B44E1" w:rsidP="00E708C7">
            <w:pPr>
              <w:spacing w:before="40" w:after="40"/>
              <w:rPr>
                <w:szCs w:val="22"/>
                <w:lang w:val="sr-Latn-ME"/>
              </w:rPr>
            </w:pPr>
            <w:r w:rsidRPr="006F34F9">
              <w:rPr>
                <w:szCs w:val="22"/>
                <w:lang w:val="sr-Latn-ME"/>
              </w:rPr>
              <w:t>8,3%</w:t>
            </w:r>
          </w:p>
        </w:tc>
        <w:tc>
          <w:tcPr>
            <w:tcW w:w="2551" w:type="dxa"/>
            <w:tcBorders>
              <w:bottom w:val="single" w:sz="4" w:space="0" w:color="auto"/>
            </w:tcBorders>
          </w:tcPr>
          <w:p w14:paraId="7C51F038" w14:textId="77777777" w:rsidR="001B44E1" w:rsidRPr="006F34F9" w:rsidRDefault="001B44E1" w:rsidP="00E708C7">
            <w:pPr>
              <w:spacing w:before="40" w:after="40"/>
              <w:rPr>
                <w:szCs w:val="22"/>
                <w:lang w:val="sr-Latn-ME"/>
              </w:rPr>
            </w:pPr>
            <w:r w:rsidRPr="006F34F9">
              <w:rPr>
                <w:szCs w:val="22"/>
                <w:lang w:val="sr-Latn-ME"/>
              </w:rPr>
              <w:t>30.4%</w:t>
            </w:r>
          </w:p>
        </w:tc>
      </w:tr>
    </w:tbl>
    <w:p w14:paraId="468CEFE7" w14:textId="7441711C" w:rsidR="001B44E1" w:rsidRPr="0066419A" w:rsidRDefault="001B44E1" w:rsidP="00E708C7">
      <w:pPr>
        <w:rPr>
          <w:sz w:val="20"/>
          <w:szCs w:val="20"/>
          <w:lang w:val="sr-Latn-ME"/>
        </w:rPr>
      </w:pPr>
      <w:r w:rsidRPr="0066419A">
        <w:rPr>
          <w:sz w:val="20"/>
          <w:szCs w:val="20"/>
          <w:vertAlign w:val="superscript"/>
          <w:lang w:val="sr-Latn-ME"/>
        </w:rPr>
        <w:t>a</w:t>
      </w:r>
      <w:r w:rsidRPr="0066419A">
        <w:rPr>
          <w:sz w:val="20"/>
          <w:szCs w:val="20"/>
          <w:lang w:val="sr-Latn-ME"/>
        </w:rPr>
        <w:t xml:space="preserve"> Broj </w:t>
      </w:r>
      <w:r w:rsidR="00D43BC5" w:rsidRPr="0066419A">
        <w:rPr>
          <w:sz w:val="20"/>
          <w:szCs w:val="20"/>
          <w:lang w:val="sr-Latn-ME"/>
        </w:rPr>
        <w:t>pacijenata</w:t>
      </w:r>
      <w:r w:rsidRPr="0066419A">
        <w:rPr>
          <w:sz w:val="20"/>
          <w:szCs w:val="20"/>
          <w:lang w:val="sr-Latn-ME"/>
        </w:rPr>
        <w:t xml:space="preserve"> s neuspjehom u </w:t>
      </w:r>
      <w:r w:rsidR="00B148F2" w:rsidRPr="0066419A">
        <w:rPr>
          <w:sz w:val="20"/>
          <w:szCs w:val="20"/>
          <w:lang w:val="sr-Latn-ME"/>
        </w:rPr>
        <w:t>prethodno</w:t>
      </w:r>
      <w:r w:rsidRPr="0066419A">
        <w:rPr>
          <w:sz w:val="20"/>
          <w:szCs w:val="20"/>
          <w:lang w:val="sr-Latn-ME"/>
        </w:rPr>
        <w:t>m liječenju antagonistima TNFα koji koriste oralne kortikosteroide na početku ispitivanja iznosio je n = 12 za placebo i n = 22 za su</w:t>
      </w:r>
      <w:r w:rsidR="00356F7F" w:rsidRPr="0066419A">
        <w:rPr>
          <w:sz w:val="20"/>
          <w:szCs w:val="20"/>
          <w:lang w:val="sr-Latn-ME"/>
        </w:rPr>
        <w:t>b</w:t>
      </w:r>
      <w:r w:rsidRPr="0066419A">
        <w:rPr>
          <w:sz w:val="20"/>
          <w:szCs w:val="20"/>
          <w:lang w:val="sr-Latn-ME"/>
        </w:rPr>
        <w:t>kutani vedolizumab</w:t>
      </w:r>
    </w:p>
    <w:p w14:paraId="27DC5134" w14:textId="0D9D2215" w:rsidR="001B44E1" w:rsidRPr="0066419A" w:rsidRDefault="001B44E1" w:rsidP="00E708C7">
      <w:pPr>
        <w:rPr>
          <w:sz w:val="20"/>
          <w:szCs w:val="20"/>
          <w:lang w:val="sr-Latn-ME"/>
        </w:rPr>
      </w:pPr>
      <w:r w:rsidRPr="0066419A">
        <w:rPr>
          <w:sz w:val="20"/>
          <w:szCs w:val="20"/>
          <w:vertAlign w:val="superscript"/>
          <w:lang w:val="sr-Latn-ME"/>
        </w:rPr>
        <w:t>b</w:t>
      </w:r>
      <w:r w:rsidRPr="0066419A">
        <w:rPr>
          <w:sz w:val="20"/>
          <w:szCs w:val="20"/>
          <w:lang w:val="sr-Latn-ME"/>
        </w:rPr>
        <w:t xml:space="preserve"> Broj </w:t>
      </w:r>
      <w:r w:rsidR="00D43BC5" w:rsidRPr="0066419A">
        <w:rPr>
          <w:sz w:val="20"/>
          <w:szCs w:val="20"/>
          <w:lang w:val="sr-Latn-ME"/>
        </w:rPr>
        <w:t>pacijenata</w:t>
      </w:r>
      <w:r w:rsidRPr="0066419A">
        <w:rPr>
          <w:sz w:val="20"/>
          <w:szCs w:val="20"/>
          <w:lang w:val="sr-Latn-ME"/>
        </w:rPr>
        <w:t xml:space="preserve"> koji </w:t>
      </w:r>
      <w:r w:rsidR="00B148F2" w:rsidRPr="0066419A">
        <w:rPr>
          <w:sz w:val="20"/>
          <w:szCs w:val="20"/>
          <w:lang w:val="sr-Latn-ME"/>
        </w:rPr>
        <w:t>prethodno</w:t>
      </w:r>
      <w:r w:rsidRPr="0066419A">
        <w:rPr>
          <w:sz w:val="20"/>
          <w:szCs w:val="20"/>
          <w:lang w:val="sr-Latn-ME"/>
        </w:rPr>
        <w:t xml:space="preserve"> ni</w:t>
      </w:r>
      <w:r w:rsidR="00356F7F" w:rsidRPr="0066419A">
        <w:rPr>
          <w:sz w:val="20"/>
          <w:szCs w:val="20"/>
          <w:lang w:val="sr-Latn-ME"/>
        </w:rPr>
        <w:t>je</w:t>
      </w:r>
      <w:r w:rsidRPr="0066419A">
        <w:rPr>
          <w:sz w:val="20"/>
          <w:szCs w:val="20"/>
          <w:lang w:val="sr-Latn-ME"/>
        </w:rPr>
        <w:t>su liječeni antagonistima TNFα i koji koriste oralne kortikosteroide na početku ispitivanja iznosio je n = 12 za placebo i n = 23 za su</w:t>
      </w:r>
      <w:r w:rsidR="00356F7F" w:rsidRPr="0066419A">
        <w:rPr>
          <w:sz w:val="20"/>
          <w:szCs w:val="20"/>
          <w:lang w:val="sr-Latn-ME"/>
        </w:rPr>
        <w:t>b</w:t>
      </w:r>
      <w:r w:rsidRPr="0066419A">
        <w:rPr>
          <w:sz w:val="20"/>
          <w:szCs w:val="20"/>
          <w:lang w:val="sr-Latn-ME"/>
        </w:rPr>
        <w:t>kutani vedolizumab</w:t>
      </w:r>
    </w:p>
    <w:bookmarkEnd w:id="4"/>
    <w:p w14:paraId="4A23FB07" w14:textId="77777777" w:rsidR="001B44E1" w:rsidRPr="006F34F9" w:rsidRDefault="001B44E1" w:rsidP="00E708C7">
      <w:pPr>
        <w:rPr>
          <w:szCs w:val="22"/>
          <w:lang w:val="sr-Latn-ME"/>
        </w:rPr>
      </w:pPr>
    </w:p>
    <w:p w14:paraId="61620BCA" w14:textId="1D7E4F2E" w:rsidR="001B44E1" w:rsidRPr="006F34F9" w:rsidRDefault="001B44E1" w:rsidP="00E708C7">
      <w:pPr>
        <w:rPr>
          <w:szCs w:val="22"/>
          <w:u w:val="single"/>
          <w:lang w:val="sr-Latn-ME"/>
        </w:rPr>
      </w:pPr>
      <w:bookmarkStart w:id="6" w:name="_Hlk33191028"/>
      <w:r w:rsidRPr="006F34F9">
        <w:rPr>
          <w:szCs w:val="22"/>
          <w:lang w:val="sr-Latn-ME"/>
        </w:rPr>
        <w:t xml:space="preserve">Kvalitet života povezan sa zdravljem (engl. </w:t>
      </w:r>
      <w:r w:rsidRPr="006F34F9">
        <w:rPr>
          <w:i/>
          <w:szCs w:val="22"/>
          <w:lang w:val="sr-Latn-ME"/>
        </w:rPr>
        <w:t>Health related quality of life</w:t>
      </w:r>
      <w:r w:rsidRPr="006F34F9">
        <w:rPr>
          <w:szCs w:val="22"/>
          <w:lang w:val="sr-Latn-ME"/>
        </w:rPr>
        <w:t xml:space="preserve">, HRQOL) procijenjen je Upitnikom o </w:t>
      </w:r>
      <w:r w:rsidR="008062E2" w:rsidRPr="006F34F9">
        <w:rPr>
          <w:szCs w:val="22"/>
          <w:lang w:val="sr-Latn-ME"/>
        </w:rPr>
        <w:t>zapaljensko</w:t>
      </w:r>
      <w:r w:rsidR="00356F7F" w:rsidRPr="006F34F9">
        <w:rPr>
          <w:szCs w:val="22"/>
          <w:lang w:val="sr-Latn-ME"/>
        </w:rPr>
        <w:t>m</w:t>
      </w:r>
      <w:r w:rsidRPr="006F34F9">
        <w:rPr>
          <w:szCs w:val="22"/>
          <w:lang w:val="sr-Latn-ME"/>
        </w:rPr>
        <w:t xml:space="preserve"> </w:t>
      </w:r>
      <w:r w:rsidR="00356F7F" w:rsidRPr="006F34F9">
        <w:rPr>
          <w:szCs w:val="22"/>
          <w:lang w:val="sr-Latn-ME"/>
        </w:rPr>
        <w:t xml:space="preserve">oboljenju </w:t>
      </w:r>
      <w:r w:rsidRPr="006F34F9">
        <w:rPr>
          <w:szCs w:val="22"/>
          <w:lang w:val="sr-Latn-ME"/>
        </w:rPr>
        <w:t xml:space="preserve">crijeva (engl. </w:t>
      </w:r>
      <w:r w:rsidRPr="006F34F9">
        <w:rPr>
          <w:i/>
          <w:szCs w:val="22"/>
          <w:lang w:val="sr-Latn-ME"/>
        </w:rPr>
        <w:t>Inflammatory Bowel Disease Questionnaire</w:t>
      </w:r>
      <w:r w:rsidRPr="006F34F9">
        <w:rPr>
          <w:szCs w:val="22"/>
          <w:lang w:val="sr-Latn-ME"/>
        </w:rPr>
        <w:t xml:space="preserve">, IBDQ), instrumentom specifičnim za bolest, </w:t>
      </w:r>
      <w:r w:rsidR="00C15B4F" w:rsidRPr="006F34F9">
        <w:rPr>
          <w:szCs w:val="22"/>
          <w:lang w:val="sr-Latn-ME"/>
        </w:rPr>
        <w:t>kao i</w:t>
      </w:r>
      <w:r w:rsidRPr="006F34F9">
        <w:rPr>
          <w:szCs w:val="22"/>
          <w:lang w:val="sr-Latn-ME"/>
        </w:rPr>
        <w:t xml:space="preserve"> upitnikom EuroQol</w:t>
      </w:r>
      <w:r w:rsidRPr="006F34F9">
        <w:rPr>
          <w:szCs w:val="22"/>
          <w:lang w:val="sr-Latn-ME"/>
        </w:rPr>
        <w:noBreakHyphen/>
        <w:t>5 Dimension (EQ</w:t>
      </w:r>
      <w:r w:rsidRPr="006F34F9">
        <w:rPr>
          <w:szCs w:val="22"/>
          <w:lang w:val="sr-Latn-ME"/>
        </w:rPr>
        <w:noBreakHyphen/>
        <w:t>5D, uključujući EQ 5D VAS), koji je op</w:t>
      </w:r>
      <w:r w:rsidR="00C15B4F" w:rsidRPr="006F34F9">
        <w:rPr>
          <w:szCs w:val="22"/>
          <w:lang w:val="sr-Latn-ME"/>
        </w:rPr>
        <w:t>šti</w:t>
      </w:r>
      <w:r w:rsidRPr="006F34F9">
        <w:rPr>
          <w:szCs w:val="22"/>
          <w:lang w:val="sr-Latn-ME"/>
        </w:rPr>
        <w:t xml:space="preserve"> instrument. Radna produktivnost procijenjena je pomoću Upitnika za radnu produktivnost i smanjenje aktivnosti (engl. </w:t>
      </w:r>
      <w:r w:rsidRPr="006F34F9">
        <w:rPr>
          <w:i/>
          <w:szCs w:val="22"/>
          <w:lang w:val="sr-Latn-ME"/>
        </w:rPr>
        <w:t>work productivity and activity impairment questionnaire</w:t>
      </w:r>
      <w:r w:rsidRPr="006F34F9">
        <w:rPr>
          <w:szCs w:val="22"/>
          <w:lang w:val="sr-Latn-ME"/>
        </w:rPr>
        <w:t>, WPAI</w:t>
      </w:r>
      <w:r w:rsidRPr="006F34F9">
        <w:rPr>
          <w:szCs w:val="22"/>
          <w:lang w:val="sr-Latn-ME"/>
        </w:rPr>
        <w:noBreakHyphen/>
        <w:t xml:space="preserve">UC). </w:t>
      </w:r>
      <w:r w:rsidR="00C15B4F" w:rsidRPr="006F34F9">
        <w:rPr>
          <w:szCs w:val="22"/>
          <w:lang w:val="sr-Latn-ME"/>
        </w:rPr>
        <w:t>Pacijenti</w:t>
      </w:r>
      <w:r w:rsidRPr="006F34F9">
        <w:rPr>
          <w:szCs w:val="22"/>
          <w:lang w:val="sr-Latn-ME"/>
        </w:rPr>
        <w:t xml:space="preserve"> liječeni </w:t>
      </w:r>
      <w:r w:rsidR="008062E2" w:rsidRPr="006F34F9">
        <w:rPr>
          <w:szCs w:val="22"/>
          <w:lang w:val="sr-Latn-ME"/>
        </w:rPr>
        <w:t>subkutanim</w:t>
      </w:r>
      <w:r w:rsidRPr="006F34F9">
        <w:rPr>
          <w:szCs w:val="22"/>
          <w:lang w:val="sr-Latn-ME"/>
        </w:rPr>
        <w:t xml:space="preserve"> vedolizumabom zadržali su </w:t>
      </w:r>
      <w:r w:rsidR="00F42764" w:rsidRPr="006F34F9">
        <w:rPr>
          <w:szCs w:val="22"/>
          <w:lang w:val="sr-Latn-ME"/>
        </w:rPr>
        <w:t>poboljšanje u</w:t>
      </w:r>
      <w:r w:rsidRPr="006F34F9">
        <w:rPr>
          <w:szCs w:val="22"/>
          <w:lang w:val="sr-Latn-ME"/>
        </w:rPr>
        <w:t xml:space="preserve"> IBDQ, EQ</w:t>
      </w:r>
      <w:r w:rsidRPr="006F34F9">
        <w:rPr>
          <w:szCs w:val="22"/>
          <w:lang w:val="sr-Latn-ME"/>
        </w:rPr>
        <w:noBreakHyphen/>
        <w:t>5D i WPAI</w:t>
      </w:r>
      <w:r w:rsidRPr="006F34F9">
        <w:rPr>
          <w:szCs w:val="22"/>
          <w:lang w:val="sr-Latn-ME"/>
        </w:rPr>
        <w:noBreakHyphen/>
        <w:t>UC</w:t>
      </w:r>
      <w:r w:rsidR="00F42764" w:rsidRPr="006F34F9">
        <w:rPr>
          <w:szCs w:val="22"/>
          <w:lang w:val="sr-Latn-ME"/>
        </w:rPr>
        <w:t>, skorovima</w:t>
      </w:r>
      <w:r w:rsidRPr="006F34F9">
        <w:rPr>
          <w:szCs w:val="22"/>
          <w:lang w:val="sr-Latn-ME"/>
        </w:rPr>
        <w:t xml:space="preserve"> u 52. </w:t>
      </w:r>
      <w:r w:rsidR="0067327C" w:rsidRPr="006F34F9">
        <w:rPr>
          <w:szCs w:val="22"/>
          <w:lang w:val="sr-Latn-ME"/>
        </w:rPr>
        <w:t>nedjelji</w:t>
      </w:r>
      <w:r w:rsidRPr="006F34F9">
        <w:rPr>
          <w:szCs w:val="22"/>
          <w:lang w:val="sr-Latn-ME"/>
        </w:rPr>
        <w:t xml:space="preserve"> u većoj mjeri nego </w:t>
      </w:r>
      <w:r w:rsidR="00C15B4F" w:rsidRPr="006F34F9">
        <w:rPr>
          <w:szCs w:val="22"/>
          <w:lang w:val="sr-Latn-ME"/>
        </w:rPr>
        <w:t>pacijenti</w:t>
      </w:r>
      <w:r w:rsidRPr="006F34F9">
        <w:rPr>
          <w:szCs w:val="22"/>
          <w:lang w:val="sr-Latn-ME"/>
        </w:rPr>
        <w:t xml:space="preserve"> koji su primali placebo.</w:t>
      </w:r>
    </w:p>
    <w:bookmarkEnd w:id="6"/>
    <w:p w14:paraId="096B32D5" w14:textId="77777777" w:rsidR="001B44E1" w:rsidRPr="006F34F9" w:rsidRDefault="001B44E1" w:rsidP="00E708C7">
      <w:pPr>
        <w:rPr>
          <w:szCs w:val="22"/>
          <w:lang w:val="sr-Latn-ME"/>
        </w:rPr>
      </w:pPr>
    </w:p>
    <w:p w14:paraId="7089BED0" w14:textId="47D2D912" w:rsidR="001B44E1" w:rsidRPr="006F34F9" w:rsidRDefault="00C15B4F" w:rsidP="00E708C7">
      <w:pPr>
        <w:rPr>
          <w:szCs w:val="22"/>
          <w:lang w:val="sr-Latn-ME"/>
        </w:rPr>
      </w:pPr>
      <w:bookmarkStart w:id="7" w:name="_Hlk33191317"/>
      <w:r w:rsidRPr="006F34F9">
        <w:rPr>
          <w:szCs w:val="22"/>
          <w:lang w:val="sr-Latn-ME"/>
        </w:rPr>
        <w:t>Pacijenti</w:t>
      </w:r>
      <w:r w:rsidR="001B44E1" w:rsidRPr="006F34F9">
        <w:rPr>
          <w:szCs w:val="22"/>
          <w:lang w:val="sr-Latn-ME"/>
        </w:rPr>
        <w:t xml:space="preserve"> koji su dovršili ispitivanje VISIBLE 1 mogli su se uključiti u otvoreni nastavak ispitivanja za procjenu dugoročne </w:t>
      </w:r>
      <w:r w:rsidR="00A008F5" w:rsidRPr="006F34F9">
        <w:rPr>
          <w:szCs w:val="22"/>
          <w:lang w:val="sr-Latn-ME"/>
        </w:rPr>
        <w:t>bezbjednosti</w:t>
      </w:r>
      <w:r w:rsidR="001B44E1" w:rsidRPr="006F34F9">
        <w:rPr>
          <w:szCs w:val="22"/>
          <w:lang w:val="sr-Latn-ME"/>
        </w:rPr>
        <w:t xml:space="preserve"> i </w:t>
      </w:r>
      <w:r w:rsidR="00B148F2" w:rsidRPr="006F34F9">
        <w:rPr>
          <w:szCs w:val="22"/>
          <w:lang w:val="sr-Latn-ME"/>
        </w:rPr>
        <w:t>efikasnosti</w:t>
      </w:r>
      <w:r w:rsidR="001B44E1" w:rsidRPr="006F34F9">
        <w:rPr>
          <w:szCs w:val="22"/>
          <w:lang w:val="sr-Latn-ME"/>
        </w:rPr>
        <w:t xml:space="preserve"> liječenja </w:t>
      </w:r>
      <w:r w:rsidR="008062E2" w:rsidRPr="006F34F9">
        <w:rPr>
          <w:szCs w:val="22"/>
          <w:lang w:val="sr-Latn-ME"/>
        </w:rPr>
        <w:t>subkutanim</w:t>
      </w:r>
      <w:r w:rsidR="001B44E1" w:rsidRPr="006F34F9">
        <w:rPr>
          <w:szCs w:val="22"/>
          <w:lang w:val="sr-Latn-ME"/>
        </w:rPr>
        <w:t xml:space="preserve"> vedolizumabom u </w:t>
      </w:r>
      <w:r w:rsidR="00D43BC5" w:rsidRPr="006F34F9">
        <w:rPr>
          <w:szCs w:val="22"/>
          <w:lang w:val="sr-Latn-ME"/>
        </w:rPr>
        <w:t>pacijenata</w:t>
      </w:r>
      <w:r w:rsidR="001B44E1" w:rsidRPr="006F34F9">
        <w:rPr>
          <w:szCs w:val="22"/>
          <w:lang w:val="sr-Latn-ME"/>
        </w:rPr>
        <w:t xml:space="preserve"> s ulceroznim kolitisom ili Crohnovom bolešću, koje je u </w:t>
      </w:r>
      <w:r w:rsidR="008062E2" w:rsidRPr="006F34F9">
        <w:rPr>
          <w:szCs w:val="22"/>
          <w:lang w:val="sr-Latn-ME"/>
        </w:rPr>
        <w:t>toku</w:t>
      </w:r>
      <w:r w:rsidR="001B44E1" w:rsidRPr="006F34F9">
        <w:rPr>
          <w:szCs w:val="22"/>
          <w:lang w:val="sr-Latn-ME"/>
        </w:rPr>
        <w:t xml:space="preserve">. </w:t>
      </w:r>
    </w:p>
    <w:bookmarkEnd w:id="7"/>
    <w:p w14:paraId="6F6A1C8F" w14:textId="77777777" w:rsidR="001B44E1" w:rsidRPr="006F34F9" w:rsidRDefault="001B44E1" w:rsidP="00A5182D">
      <w:pPr>
        <w:rPr>
          <w:szCs w:val="22"/>
          <w:lang w:val="sr-Latn-ME"/>
        </w:rPr>
      </w:pPr>
    </w:p>
    <w:p w14:paraId="54D68279" w14:textId="462B7392" w:rsidR="001B44E1" w:rsidRPr="006F34F9" w:rsidRDefault="00C15B4F" w:rsidP="000B42A8">
      <w:pPr>
        <w:rPr>
          <w:szCs w:val="22"/>
          <w:lang w:val="sr-Latn-ME"/>
        </w:rPr>
      </w:pPr>
      <w:r w:rsidRPr="006F34F9">
        <w:rPr>
          <w:szCs w:val="22"/>
          <w:lang w:val="sr-Latn-ME"/>
        </w:rPr>
        <w:t xml:space="preserve">Pacijenti </w:t>
      </w:r>
      <w:r w:rsidR="001B44E1" w:rsidRPr="006F34F9">
        <w:rPr>
          <w:szCs w:val="22"/>
          <w:lang w:val="sr-Latn-ME"/>
        </w:rPr>
        <w:t>u ispitivanju VISIBLE 1 koji ni</w:t>
      </w:r>
      <w:r w:rsidR="00621FB8" w:rsidRPr="006F34F9">
        <w:rPr>
          <w:szCs w:val="22"/>
          <w:lang w:val="sr-Latn-ME"/>
        </w:rPr>
        <w:t>je</w:t>
      </w:r>
      <w:r w:rsidR="001B44E1" w:rsidRPr="006F34F9">
        <w:rPr>
          <w:szCs w:val="22"/>
          <w:lang w:val="sr-Latn-ME"/>
        </w:rPr>
        <w:t xml:space="preserve">su ostvarili klinički odgovor u 6. </w:t>
      </w:r>
      <w:r w:rsidR="0067327C" w:rsidRPr="006F34F9">
        <w:rPr>
          <w:szCs w:val="22"/>
          <w:lang w:val="sr-Latn-ME"/>
        </w:rPr>
        <w:t>nedjelji</w:t>
      </w:r>
      <w:r w:rsidR="001B44E1" w:rsidRPr="006F34F9">
        <w:rPr>
          <w:szCs w:val="22"/>
          <w:lang w:val="sr-Latn-ME"/>
        </w:rPr>
        <w:t xml:space="preserve"> primili su treću dozu vedolizumaba 300 mg intravenskom infuzijom u 6. </w:t>
      </w:r>
      <w:r w:rsidR="0067327C" w:rsidRPr="006F34F9">
        <w:rPr>
          <w:szCs w:val="22"/>
          <w:lang w:val="sr-Latn-ME"/>
        </w:rPr>
        <w:t>nedjelji</w:t>
      </w:r>
      <w:r w:rsidR="001B44E1" w:rsidRPr="006F34F9">
        <w:rPr>
          <w:szCs w:val="22"/>
          <w:lang w:val="sr-Latn-ME"/>
        </w:rPr>
        <w:t xml:space="preserve">. Od </w:t>
      </w:r>
      <w:r w:rsidR="00D43BC5" w:rsidRPr="006F34F9">
        <w:rPr>
          <w:szCs w:val="22"/>
          <w:lang w:val="sr-Latn-ME"/>
        </w:rPr>
        <w:t>pacijenata</w:t>
      </w:r>
      <w:r w:rsidR="001B44E1" w:rsidRPr="006F34F9">
        <w:rPr>
          <w:szCs w:val="22"/>
          <w:lang w:val="sr-Latn-ME"/>
        </w:rPr>
        <w:t xml:space="preserve"> koji su primili treću dozu vedolizumaba 300 mg intravenskom infuzijom u 6. </w:t>
      </w:r>
      <w:r w:rsidR="0067327C" w:rsidRPr="006F34F9">
        <w:rPr>
          <w:szCs w:val="22"/>
          <w:lang w:val="sr-Latn-ME"/>
        </w:rPr>
        <w:t>nedjelji</w:t>
      </w:r>
      <w:r w:rsidR="001B44E1" w:rsidRPr="006F34F9">
        <w:rPr>
          <w:szCs w:val="22"/>
          <w:lang w:val="sr-Latn-ME"/>
        </w:rPr>
        <w:t xml:space="preserve">, 79,7% (114/143) postiglo je klinički odgovor u </w:t>
      </w:r>
      <w:r w:rsidR="0067327C" w:rsidRPr="006F34F9">
        <w:rPr>
          <w:szCs w:val="22"/>
          <w:lang w:val="sr-Latn-ME"/>
        </w:rPr>
        <w:t>nedjelji</w:t>
      </w:r>
      <w:r w:rsidR="001B44E1" w:rsidRPr="006F34F9">
        <w:rPr>
          <w:szCs w:val="22"/>
          <w:lang w:val="sr-Latn-ME"/>
        </w:rPr>
        <w:t xml:space="preserve"> 14. </w:t>
      </w:r>
      <w:r w:rsidRPr="006F34F9">
        <w:rPr>
          <w:szCs w:val="22"/>
          <w:lang w:val="sr-Latn-ME"/>
        </w:rPr>
        <w:t xml:space="preserve">Pacijenti </w:t>
      </w:r>
      <w:r w:rsidR="001B44E1" w:rsidRPr="006F34F9">
        <w:rPr>
          <w:szCs w:val="22"/>
          <w:lang w:val="sr-Latn-ME"/>
        </w:rPr>
        <w:t xml:space="preserve">koji su postigli klinički odgovor u 14. </w:t>
      </w:r>
      <w:r w:rsidR="0067327C" w:rsidRPr="006F34F9">
        <w:rPr>
          <w:szCs w:val="22"/>
          <w:lang w:val="sr-Latn-ME"/>
        </w:rPr>
        <w:t>nedjelji</w:t>
      </w:r>
      <w:r w:rsidR="001B44E1" w:rsidRPr="006F34F9">
        <w:rPr>
          <w:szCs w:val="22"/>
          <w:lang w:val="sr-Latn-ME"/>
        </w:rPr>
        <w:t xml:space="preserve"> bili su podobni za uključenje u otvoreni nastavak ispitivanja i primanje </w:t>
      </w:r>
      <w:r w:rsidR="008062E2" w:rsidRPr="006F34F9">
        <w:rPr>
          <w:szCs w:val="22"/>
          <w:lang w:val="sr-Latn-ME"/>
        </w:rPr>
        <w:t>subkutanog</w:t>
      </w:r>
      <w:r w:rsidR="001B44E1" w:rsidRPr="006F34F9">
        <w:rPr>
          <w:szCs w:val="22"/>
          <w:lang w:val="sr-Latn-ME"/>
        </w:rPr>
        <w:t xml:space="preserve"> vedolizumaba od 108 mg svak</w:t>
      </w:r>
      <w:r w:rsidR="00621FB8" w:rsidRPr="006F34F9">
        <w:rPr>
          <w:szCs w:val="22"/>
          <w:lang w:val="sr-Latn-ME"/>
        </w:rPr>
        <w:t>e</w:t>
      </w:r>
      <w:r w:rsidR="001B44E1" w:rsidRPr="006F34F9">
        <w:rPr>
          <w:szCs w:val="22"/>
          <w:lang w:val="sr-Latn-ME"/>
        </w:rPr>
        <w:t xml:space="preserve"> 2 </w:t>
      </w:r>
      <w:r w:rsidR="00B148F2" w:rsidRPr="006F34F9">
        <w:rPr>
          <w:szCs w:val="22"/>
          <w:lang w:val="sr-Latn-ME"/>
        </w:rPr>
        <w:t>nedjelje</w:t>
      </w:r>
      <w:r w:rsidR="001B44E1" w:rsidRPr="006F34F9">
        <w:rPr>
          <w:szCs w:val="22"/>
          <w:lang w:val="sr-Latn-ME"/>
        </w:rPr>
        <w:t xml:space="preserve">. Kliničku remisiju procijenjenu </w:t>
      </w:r>
      <w:r w:rsidR="008062E2" w:rsidRPr="006F34F9">
        <w:rPr>
          <w:szCs w:val="22"/>
          <w:lang w:val="sr-Latn-ME"/>
        </w:rPr>
        <w:t>pre</w:t>
      </w:r>
      <w:r w:rsidR="001B44E1" w:rsidRPr="006F34F9">
        <w:rPr>
          <w:szCs w:val="22"/>
          <w:lang w:val="sr-Latn-ME"/>
        </w:rPr>
        <w:t xml:space="preserve">ma </w:t>
      </w:r>
      <w:r w:rsidR="00C349BF" w:rsidRPr="006F34F9">
        <w:rPr>
          <w:szCs w:val="22"/>
          <w:lang w:val="sr-Latn-ME"/>
        </w:rPr>
        <w:t>parcijalnom</w:t>
      </w:r>
      <w:r w:rsidR="001B44E1" w:rsidRPr="006F34F9">
        <w:rPr>
          <w:szCs w:val="22"/>
          <w:lang w:val="sr-Latn-ME"/>
        </w:rPr>
        <w:t xml:space="preserve"> Mayo </w:t>
      </w:r>
      <w:r w:rsidR="00C349BF" w:rsidRPr="006F34F9">
        <w:rPr>
          <w:szCs w:val="22"/>
          <w:lang w:val="sr-Latn-ME"/>
        </w:rPr>
        <w:t xml:space="preserve">skoru </w:t>
      </w:r>
      <w:r w:rsidR="001B44E1" w:rsidRPr="006F34F9">
        <w:rPr>
          <w:szCs w:val="22"/>
          <w:lang w:val="sr-Latn-ME"/>
        </w:rPr>
        <w:t>(standardiz</w:t>
      </w:r>
      <w:r w:rsidR="00621FB8" w:rsidRPr="006F34F9">
        <w:rPr>
          <w:szCs w:val="22"/>
          <w:lang w:val="sr-Latn-ME"/>
        </w:rPr>
        <w:t>ovana</w:t>
      </w:r>
      <w:r w:rsidR="001B44E1" w:rsidRPr="006F34F9">
        <w:rPr>
          <w:szCs w:val="22"/>
          <w:lang w:val="sr-Latn-ME"/>
        </w:rPr>
        <w:t xml:space="preserve"> ocjena koja uključuje 3 od 4 bodovane </w:t>
      </w:r>
      <w:r w:rsidR="00C349BF" w:rsidRPr="006F34F9">
        <w:rPr>
          <w:szCs w:val="22"/>
          <w:lang w:val="sr-Latn-ME"/>
        </w:rPr>
        <w:t xml:space="preserve">podskale </w:t>
      </w:r>
      <w:r w:rsidR="001B44E1" w:rsidRPr="006F34F9">
        <w:rPr>
          <w:szCs w:val="22"/>
          <w:lang w:val="sr-Latn-ME"/>
        </w:rPr>
        <w:t xml:space="preserve">ukupnog Mayo </w:t>
      </w:r>
      <w:r w:rsidR="00C349BF" w:rsidRPr="006F34F9">
        <w:rPr>
          <w:szCs w:val="22"/>
          <w:lang w:val="sr-Latn-ME"/>
        </w:rPr>
        <w:t>skora</w:t>
      </w:r>
      <w:r w:rsidR="001B44E1" w:rsidRPr="006F34F9">
        <w:rPr>
          <w:szCs w:val="22"/>
          <w:lang w:val="sr-Latn-ME"/>
        </w:rPr>
        <w:t xml:space="preserve">: učestalost stolice, rektalno krvarenje i </w:t>
      </w:r>
      <w:r w:rsidR="008062E2" w:rsidRPr="006F34F9">
        <w:rPr>
          <w:szCs w:val="22"/>
          <w:lang w:val="sr-Latn-ME"/>
        </w:rPr>
        <w:t>opšta</w:t>
      </w:r>
      <w:r w:rsidR="001B44E1" w:rsidRPr="006F34F9">
        <w:rPr>
          <w:szCs w:val="22"/>
          <w:lang w:val="sr-Latn-ME"/>
        </w:rPr>
        <w:t xml:space="preserve"> procjena </w:t>
      </w:r>
      <w:r w:rsidR="008062E2" w:rsidRPr="006F34F9">
        <w:rPr>
          <w:szCs w:val="22"/>
          <w:lang w:val="sr-Latn-ME"/>
        </w:rPr>
        <w:t>ljekara</w:t>
      </w:r>
      <w:r w:rsidR="001B44E1" w:rsidRPr="006F34F9">
        <w:rPr>
          <w:szCs w:val="22"/>
          <w:lang w:val="sr-Latn-ME"/>
        </w:rPr>
        <w:t xml:space="preserve">) postiglo je 39,2% (40/102) ovih </w:t>
      </w:r>
      <w:r w:rsidR="00D43BC5" w:rsidRPr="006F34F9">
        <w:rPr>
          <w:szCs w:val="22"/>
          <w:lang w:val="sr-Latn-ME"/>
        </w:rPr>
        <w:t>pacijenata</w:t>
      </w:r>
      <w:r w:rsidR="001B44E1" w:rsidRPr="006F34F9">
        <w:rPr>
          <w:szCs w:val="22"/>
          <w:lang w:val="sr-Latn-ME"/>
        </w:rPr>
        <w:t xml:space="preserve"> u 40. </w:t>
      </w:r>
      <w:r w:rsidR="008062E2" w:rsidRPr="006F34F9">
        <w:rPr>
          <w:szCs w:val="22"/>
          <w:lang w:val="sr-Latn-ME"/>
        </w:rPr>
        <w:t>nedjelji</w:t>
      </w:r>
      <w:r w:rsidR="001B44E1" w:rsidRPr="006F34F9">
        <w:rPr>
          <w:szCs w:val="22"/>
          <w:lang w:val="sr-Latn-ME"/>
        </w:rPr>
        <w:t xml:space="preserve"> nakon </w:t>
      </w:r>
      <w:r w:rsidR="008062E2" w:rsidRPr="006F34F9">
        <w:rPr>
          <w:szCs w:val="22"/>
          <w:lang w:val="sr-Latn-ME"/>
        </w:rPr>
        <w:t>pre</w:t>
      </w:r>
      <w:r w:rsidR="001B44E1" w:rsidRPr="006F34F9">
        <w:rPr>
          <w:szCs w:val="22"/>
          <w:lang w:val="sr-Latn-ME"/>
        </w:rPr>
        <w:t xml:space="preserve">laska na </w:t>
      </w:r>
      <w:r w:rsidR="008062E2" w:rsidRPr="006F34F9">
        <w:rPr>
          <w:szCs w:val="22"/>
          <w:lang w:val="sr-Latn-ME"/>
        </w:rPr>
        <w:t>subkutani</w:t>
      </w:r>
      <w:r w:rsidR="001B44E1" w:rsidRPr="006F34F9">
        <w:rPr>
          <w:szCs w:val="22"/>
          <w:lang w:val="sr-Latn-ME"/>
        </w:rPr>
        <w:t xml:space="preserve"> vedolizumab u otvorenom nastavku ispitivanja. </w:t>
      </w:r>
    </w:p>
    <w:p w14:paraId="445844C8" w14:textId="77777777" w:rsidR="001B44E1" w:rsidRPr="006F34F9" w:rsidRDefault="001B44E1">
      <w:pPr>
        <w:rPr>
          <w:szCs w:val="22"/>
          <w:lang w:val="sr-Latn-ME"/>
        </w:rPr>
      </w:pPr>
    </w:p>
    <w:p w14:paraId="09538AEB" w14:textId="1D4137A5" w:rsidR="001B44E1" w:rsidRPr="006F34F9" w:rsidRDefault="00C15B4F">
      <w:pPr>
        <w:rPr>
          <w:szCs w:val="22"/>
          <w:lang w:val="sr-Latn-ME"/>
        </w:rPr>
      </w:pPr>
      <w:r w:rsidRPr="006F34F9">
        <w:rPr>
          <w:szCs w:val="22"/>
          <w:lang w:val="sr-Latn-ME"/>
        </w:rPr>
        <w:t xml:space="preserve">Pacijenti </w:t>
      </w:r>
      <w:r w:rsidR="008062E2" w:rsidRPr="006F34F9">
        <w:rPr>
          <w:szCs w:val="22"/>
          <w:lang w:val="sr-Latn-ME"/>
        </w:rPr>
        <w:t>randomizovani</w:t>
      </w:r>
      <w:r w:rsidR="001B44E1" w:rsidRPr="006F34F9">
        <w:rPr>
          <w:szCs w:val="22"/>
          <w:lang w:val="sr-Latn-ME"/>
        </w:rPr>
        <w:t xml:space="preserve"> u </w:t>
      </w:r>
      <w:r w:rsidR="00621FB8" w:rsidRPr="006F34F9">
        <w:rPr>
          <w:szCs w:val="22"/>
          <w:lang w:val="sr-Latn-ME"/>
        </w:rPr>
        <w:t>grupi</w:t>
      </w:r>
      <w:r w:rsidR="001B44E1" w:rsidRPr="006F34F9">
        <w:rPr>
          <w:szCs w:val="22"/>
          <w:lang w:val="sr-Latn-ME"/>
        </w:rPr>
        <w:t xml:space="preserve"> za liječenje intravenskim vedolizumabom u ispitivanju VISIBLE 1 primali su vedolizumab 300 mg intravenski u 0., 2. i 6. </w:t>
      </w:r>
      <w:r w:rsidR="0067327C" w:rsidRPr="006F34F9">
        <w:rPr>
          <w:szCs w:val="22"/>
          <w:lang w:val="sr-Latn-ME"/>
        </w:rPr>
        <w:t>nedjelji</w:t>
      </w:r>
      <w:r w:rsidR="001B44E1" w:rsidRPr="006F34F9">
        <w:rPr>
          <w:szCs w:val="22"/>
          <w:lang w:val="sr-Latn-ME"/>
        </w:rPr>
        <w:t>, te svakih 8 </w:t>
      </w:r>
      <w:r w:rsidRPr="006F34F9">
        <w:rPr>
          <w:szCs w:val="22"/>
          <w:lang w:val="sr-Latn-ME"/>
        </w:rPr>
        <w:t>nedjelja</w:t>
      </w:r>
      <w:r w:rsidR="001B44E1" w:rsidRPr="006F34F9">
        <w:rPr>
          <w:szCs w:val="22"/>
          <w:lang w:val="sr-Latn-ME"/>
        </w:rPr>
        <w:t xml:space="preserve"> nakon toga, do 52. </w:t>
      </w:r>
      <w:r w:rsidRPr="006F34F9">
        <w:rPr>
          <w:szCs w:val="22"/>
          <w:lang w:val="sr-Latn-ME"/>
        </w:rPr>
        <w:t>nedjelje</w:t>
      </w:r>
      <w:r w:rsidR="001B44E1" w:rsidRPr="006F34F9">
        <w:rPr>
          <w:szCs w:val="22"/>
          <w:lang w:val="sr-Latn-ME"/>
        </w:rPr>
        <w:t xml:space="preserve">. U 52. </w:t>
      </w:r>
      <w:r w:rsidR="0067327C" w:rsidRPr="006F34F9">
        <w:rPr>
          <w:szCs w:val="22"/>
          <w:lang w:val="sr-Latn-ME"/>
        </w:rPr>
        <w:t>nedjelji</w:t>
      </w:r>
      <w:r w:rsidR="001B44E1" w:rsidRPr="006F34F9">
        <w:rPr>
          <w:szCs w:val="22"/>
          <w:lang w:val="sr-Latn-ME"/>
        </w:rPr>
        <w:t xml:space="preserve"> ovi su </w:t>
      </w:r>
      <w:r w:rsidRPr="006F34F9">
        <w:rPr>
          <w:szCs w:val="22"/>
          <w:lang w:val="sr-Latn-ME"/>
        </w:rPr>
        <w:t>pacijenti</w:t>
      </w:r>
      <w:r w:rsidR="001B44E1" w:rsidRPr="006F34F9">
        <w:rPr>
          <w:szCs w:val="22"/>
          <w:lang w:val="sr-Latn-ME"/>
        </w:rPr>
        <w:t xml:space="preserve"> ušli u otvoreni nastavak ispitivanja i primali 108 mg </w:t>
      </w:r>
      <w:r w:rsidR="008062E2" w:rsidRPr="006F34F9">
        <w:rPr>
          <w:szCs w:val="22"/>
          <w:lang w:val="sr-Latn-ME"/>
        </w:rPr>
        <w:t>subkutanog</w:t>
      </w:r>
      <w:r w:rsidR="001B44E1" w:rsidRPr="006F34F9">
        <w:rPr>
          <w:szCs w:val="22"/>
          <w:lang w:val="sr-Latn-ME"/>
        </w:rPr>
        <w:t xml:space="preserve"> vedolizumaba svak</w:t>
      </w:r>
      <w:r w:rsidRPr="006F34F9">
        <w:rPr>
          <w:szCs w:val="22"/>
          <w:lang w:val="sr-Latn-ME"/>
        </w:rPr>
        <w:t>e</w:t>
      </w:r>
      <w:r w:rsidR="001B44E1" w:rsidRPr="006F34F9">
        <w:rPr>
          <w:szCs w:val="22"/>
          <w:lang w:val="sr-Latn-ME"/>
        </w:rPr>
        <w:t xml:space="preserve"> 2 </w:t>
      </w:r>
      <w:r w:rsidRPr="006F34F9">
        <w:rPr>
          <w:szCs w:val="22"/>
          <w:lang w:val="sr-Latn-ME"/>
        </w:rPr>
        <w:t>nedjelje</w:t>
      </w:r>
      <w:r w:rsidR="001B44E1" w:rsidRPr="006F34F9">
        <w:rPr>
          <w:szCs w:val="22"/>
          <w:lang w:val="sr-Latn-ME"/>
        </w:rPr>
        <w:t xml:space="preserve">. Klinička remisija procijenjena </w:t>
      </w:r>
      <w:r w:rsidR="00C349BF" w:rsidRPr="006F34F9">
        <w:rPr>
          <w:szCs w:val="22"/>
          <w:lang w:val="sr-Latn-ME"/>
        </w:rPr>
        <w:t xml:space="preserve">parcijalnim </w:t>
      </w:r>
      <w:r w:rsidR="001B44E1" w:rsidRPr="006F34F9">
        <w:rPr>
          <w:szCs w:val="22"/>
          <w:lang w:val="sr-Latn-ME"/>
        </w:rPr>
        <w:t xml:space="preserve">Mayo </w:t>
      </w:r>
      <w:r w:rsidR="00C349BF" w:rsidRPr="006F34F9">
        <w:rPr>
          <w:szCs w:val="22"/>
          <w:lang w:val="sr-Latn-ME"/>
        </w:rPr>
        <w:t xml:space="preserve">skorom </w:t>
      </w:r>
      <w:r w:rsidR="0001324E" w:rsidRPr="006F34F9">
        <w:rPr>
          <w:szCs w:val="22"/>
          <w:lang w:val="sr-Latn-ME"/>
        </w:rPr>
        <w:t xml:space="preserve">održala </w:t>
      </w:r>
      <w:r w:rsidR="001B44E1" w:rsidRPr="006F34F9">
        <w:rPr>
          <w:szCs w:val="22"/>
          <w:lang w:val="sr-Latn-ME"/>
        </w:rPr>
        <w:t xml:space="preserve">se u oko 77% </w:t>
      </w:r>
      <w:r w:rsidR="00D43BC5" w:rsidRPr="006F34F9">
        <w:rPr>
          <w:szCs w:val="22"/>
          <w:lang w:val="sr-Latn-ME"/>
        </w:rPr>
        <w:t>pacijenata</w:t>
      </w:r>
      <w:r w:rsidR="001B44E1" w:rsidRPr="006F34F9">
        <w:rPr>
          <w:szCs w:val="22"/>
          <w:lang w:val="sr-Latn-ME"/>
        </w:rPr>
        <w:t xml:space="preserve"> 24 </w:t>
      </w:r>
      <w:r w:rsidRPr="006F34F9">
        <w:rPr>
          <w:szCs w:val="22"/>
          <w:lang w:val="sr-Latn-ME"/>
        </w:rPr>
        <w:t>nedjelj</w:t>
      </w:r>
      <w:r w:rsidR="00C9511D" w:rsidRPr="006F34F9">
        <w:rPr>
          <w:szCs w:val="22"/>
          <w:lang w:val="sr-Latn-ME"/>
        </w:rPr>
        <w:t>e</w:t>
      </w:r>
      <w:r w:rsidR="001B44E1" w:rsidRPr="006F34F9">
        <w:rPr>
          <w:szCs w:val="22"/>
          <w:lang w:val="sr-Latn-ME"/>
        </w:rPr>
        <w:t xml:space="preserve"> nakon </w:t>
      </w:r>
      <w:r w:rsidR="008062E2" w:rsidRPr="006F34F9">
        <w:rPr>
          <w:szCs w:val="22"/>
          <w:lang w:val="sr-Latn-ME"/>
        </w:rPr>
        <w:t>pre</w:t>
      </w:r>
      <w:r w:rsidR="001B44E1" w:rsidRPr="006F34F9">
        <w:rPr>
          <w:szCs w:val="22"/>
          <w:lang w:val="sr-Latn-ME"/>
        </w:rPr>
        <w:t xml:space="preserve">laska na </w:t>
      </w:r>
      <w:r w:rsidR="008062E2" w:rsidRPr="006F34F9">
        <w:rPr>
          <w:szCs w:val="22"/>
          <w:lang w:val="sr-Latn-ME"/>
        </w:rPr>
        <w:t>subkutani</w:t>
      </w:r>
      <w:r w:rsidR="001B44E1" w:rsidRPr="006F34F9">
        <w:rPr>
          <w:szCs w:val="22"/>
          <w:lang w:val="sr-Latn-ME"/>
        </w:rPr>
        <w:t xml:space="preserve"> vedolizumab u otvorenom nastavku ispitivanja.</w:t>
      </w:r>
    </w:p>
    <w:p w14:paraId="24F90425" w14:textId="77777777" w:rsidR="001B44E1" w:rsidRPr="006F34F9" w:rsidRDefault="001B44E1" w:rsidP="00180C9F">
      <w:pPr>
        <w:pStyle w:val="Header"/>
        <w:rPr>
          <w:bCs/>
          <w:szCs w:val="22"/>
          <w:lang w:val="sr-Latn-ME"/>
        </w:rPr>
      </w:pPr>
    </w:p>
    <w:p w14:paraId="5CCBFF9F" w14:textId="1DC6B1E2" w:rsidR="001B44E1" w:rsidRPr="006F34F9" w:rsidRDefault="001B44E1" w:rsidP="00180C9F">
      <w:pPr>
        <w:pStyle w:val="Header"/>
        <w:rPr>
          <w:bCs/>
          <w:i/>
          <w:iCs/>
          <w:szCs w:val="22"/>
          <w:u w:val="single"/>
          <w:lang w:val="sr-Latn-ME"/>
        </w:rPr>
      </w:pPr>
      <w:r w:rsidRPr="006F34F9">
        <w:rPr>
          <w:bCs/>
          <w:i/>
          <w:iCs/>
          <w:szCs w:val="22"/>
          <w:u w:val="single"/>
          <w:lang w:val="sr-Latn-ME"/>
        </w:rPr>
        <w:t>Kronova bolest</w:t>
      </w:r>
      <w:r w:rsidR="00550B37" w:rsidRPr="006F34F9">
        <w:rPr>
          <w:bCs/>
          <w:i/>
          <w:iCs/>
          <w:szCs w:val="22"/>
          <w:u w:val="single"/>
          <w:lang w:val="sr-Latn-ME"/>
        </w:rPr>
        <w:t xml:space="preserve"> – vedolizumab za intravensku </w:t>
      </w:r>
      <w:r w:rsidR="008062E2" w:rsidRPr="006F34F9">
        <w:rPr>
          <w:bCs/>
          <w:i/>
          <w:iCs/>
          <w:szCs w:val="22"/>
          <w:u w:val="single"/>
          <w:lang w:val="sr-Latn-ME"/>
        </w:rPr>
        <w:t>primjenu</w:t>
      </w:r>
    </w:p>
    <w:p w14:paraId="191A5600" w14:textId="77777777" w:rsidR="001B44E1" w:rsidRPr="006F34F9" w:rsidRDefault="001B44E1" w:rsidP="00180C9F">
      <w:pPr>
        <w:pStyle w:val="Header"/>
        <w:rPr>
          <w:bCs/>
          <w:szCs w:val="22"/>
          <w:lang w:val="sr-Latn-ME"/>
        </w:rPr>
      </w:pPr>
    </w:p>
    <w:p w14:paraId="2261EC4F" w14:textId="6A006C3C" w:rsidR="001B44E1" w:rsidRPr="006F34F9" w:rsidRDefault="001B44E1" w:rsidP="00180C9F">
      <w:pPr>
        <w:pStyle w:val="Header"/>
        <w:rPr>
          <w:bCs/>
          <w:szCs w:val="22"/>
          <w:lang w:val="sr-Latn-ME"/>
        </w:rPr>
      </w:pPr>
      <w:r w:rsidRPr="006F34F9">
        <w:rPr>
          <w:bCs/>
          <w:szCs w:val="22"/>
          <w:lang w:val="sr-Latn-ME"/>
        </w:rPr>
        <w:t xml:space="preserve">Efikasnost i </w:t>
      </w:r>
      <w:r w:rsidR="008062E2" w:rsidRPr="006F34F9">
        <w:rPr>
          <w:bCs/>
          <w:szCs w:val="22"/>
          <w:lang w:val="sr-Latn-ME"/>
        </w:rPr>
        <w:t>bezbjednost</w:t>
      </w:r>
      <w:r w:rsidRPr="006F34F9">
        <w:rPr>
          <w:bCs/>
          <w:szCs w:val="22"/>
          <w:lang w:val="sr-Latn-ME"/>
        </w:rPr>
        <w:t xml:space="preserve"> vedolizumaba u </w:t>
      </w:r>
      <w:r w:rsidR="003D1FD7" w:rsidRPr="006F34F9">
        <w:rPr>
          <w:bCs/>
          <w:szCs w:val="22"/>
          <w:lang w:val="sr-Latn-ME"/>
        </w:rPr>
        <w:t>liječenju</w:t>
      </w:r>
      <w:r w:rsidRPr="006F34F9">
        <w:rPr>
          <w:bCs/>
          <w:szCs w:val="22"/>
          <w:lang w:val="sr-Latn-ME"/>
        </w:rPr>
        <w:t xml:space="preserve"> odraslih pacijenata sa </w:t>
      </w:r>
      <w:r w:rsidR="008062E2" w:rsidRPr="006F34F9">
        <w:rPr>
          <w:bCs/>
          <w:szCs w:val="22"/>
          <w:lang w:val="sr-Latn-ME"/>
        </w:rPr>
        <w:t>umjereno</w:t>
      </w:r>
      <w:r w:rsidRPr="006F34F9">
        <w:rPr>
          <w:bCs/>
          <w:szCs w:val="22"/>
          <w:lang w:val="sr-Latn-ME"/>
        </w:rPr>
        <w:t xml:space="preserve"> do izrazito aktivnom</w:t>
      </w:r>
      <w:r w:rsidR="000017ED" w:rsidRPr="006F34F9">
        <w:rPr>
          <w:bCs/>
          <w:szCs w:val="22"/>
          <w:lang w:val="sr-Latn-ME"/>
        </w:rPr>
        <w:t xml:space="preserve"> </w:t>
      </w:r>
      <w:r w:rsidRPr="006F34F9">
        <w:rPr>
          <w:bCs/>
          <w:szCs w:val="22"/>
          <w:lang w:val="sr-Latn-ME"/>
        </w:rPr>
        <w:t xml:space="preserve"> Kronovom bolešću (indeks aktivnosti Kronove bolesti [CDAI] </w:t>
      </w:r>
      <w:r w:rsidR="00925A18" w:rsidRPr="006F34F9">
        <w:rPr>
          <w:bCs/>
          <w:szCs w:val="22"/>
          <w:lang w:val="sr-Latn-ME"/>
        </w:rPr>
        <w:t xml:space="preserve">od </w:t>
      </w:r>
      <w:r w:rsidRPr="006F34F9">
        <w:rPr>
          <w:bCs/>
          <w:szCs w:val="22"/>
          <w:lang w:val="sr-Latn-ME"/>
        </w:rPr>
        <w:t xml:space="preserve">220 do 450) ispitane su u dva ispitivanja (GEMINI </w:t>
      </w:r>
      <w:r w:rsidR="00A22425" w:rsidRPr="006F34F9">
        <w:rPr>
          <w:bCs/>
          <w:szCs w:val="22"/>
          <w:lang w:val="sr-Latn-ME"/>
        </w:rPr>
        <w:t>2</w:t>
      </w:r>
      <w:r w:rsidRPr="006F34F9">
        <w:rPr>
          <w:bCs/>
          <w:szCs w:val="22"/>
          <w:lang w:val="sr-Latn-ME"/>
        </w:rPr>
        <w:t xml:space="preserve"> i </w:t>
      </w:r>
      <w:r w:rsidR="00A22425" w:rsidRPr="006F34F9">
        <w:rPr>
          <w:bCs/>
          <w:szCs w:val="22"/>
          <w:lang w:val="sr-Latn-ME"/>
        </w:rPr>
        <w:t>3</w:t>
      </w:r>
      <w:r w:rsidRPr="006F34F9">
        <w:rPr>
          <w:bCs/>
          <w:szCs w:val="22"/>
          <w:lang w:val="sr-Latn-ME"/>
        </w:rPr>
        <w:t>). Uključeni pacijenti ni</w:t>
      </w:r>
      <w:r w:rsidR="00925A18" w:rsidRPr="006F34F9">
        <w:rPr>
          <w:bCs/>
          <w:szCs w:val="22"/>
          <w:lang w:val="sr-Latn-ME"/>
        </w:rPr>
        <w:t>je</w:t>
      </w:r>
      <w:r w:rsidRPr="006F34F9">
        <w:rPr>
          <w:bCs/>
          <w:szCs w:val="22"/>
          <w:lang w:val="sr-Latn-ME"/>
        </w:rPr>
        <w:t>su odgovorili na barem jednu standardnu terapiju, uključujući kortikosteroide, imunomodulatore i/ili antagoniste TNFα (uključujući i pacijente bez odgovora na primarno l</w:t>
      </w:r>
      <w:r w:rsidR="00925A18" w:rsidRPr="006F34F9">
        <w:rPr>
          <w:bCs/>
          <w:szCs w:val="22"/>
          <w:lang w:val="sr-Latn-ME"/>
        </w:rPr>
        <w:t>ij</w:t>
      </w:r>
      <w:r w:rsidRPr="006F34F9">
        <w:rPr>
          <w:bCs/>
          <w:szCs w:val="22"/>
          <w:lang w:val="sr-Latn-ME"/>
        </w:rPr>
        <w:t xml:space="preserve">ečenje). Bile su </w:t>
      </w:r>
      <w:r w:rsidR="00F62C15" w:rsidRPr="006F34F9">
        <w:rPr>
          <w:bCs/>
          <w:szCs w:val="22"/>
          <w:lang w:val="sr-Latn-ME"/>
        </w:rPr>
        <w:t xml:space="preserve">dozvoljene </w:t>
      </w:r>
      <w:r w:rsidRPr="006F34F9">
        <w:rPr>
          <w:bCs/>
          <w:szCs w:val="22"/>
          <w:lang w:val="sr-Latn-ME"/>
        </w:rPr>
        <w:t>istovremene stabilne doze oralnih kortikosteroida, imunomodulatora i antibiotika.</w:t>
      </w:r>
    </w:p>
    <w:p w14:paraId="21B34FEB" w14:textId="77777777" w:rsidR="001B44E1" w:rsidRPr="006F34F9" w:rsidRDefault="001B44E1" w:rsidP="00180C9F">
      <w:pPr>
        <w:pStyle w:val="Header"/>
        <w:rPr>
          <w:bCs/>
          <w:szCs w:val="22"/>
          <w:lang w:val="sr-Latn-ME"/>
        </w:rPr>
      </w:pPr>
    </w:p>
    <w:p w14:paraId="770DAD34" w14:textId="07B7A554" w:rsidR="001B44E1" w:rsidRPr="006F34F9" w:rsidRDefault="001B44E1" w:rsidP="00180C9F">
      <w:pPr>
        <w:pStyle w:val="Header"/>
        <w:rPr>
          <w:bCs/>
          <w:szCs w:val="22"/>
          <w:lang w:val="sr-Latn-ME"/>
        </w:rPr>
      </w:pPr>
      <w:r w:rsidRPr="006F34F9">
        <w:rPr>
          <w:bCs/>
          <w:szCs w:val="22"/>
          <w:lang w:val="sr-Latn-ME"/>
        </w:rPr>
        <w:t xml:space="preserve">Ispitivanje GEMINI </w:t>
      </w:r>
      <w:r w:rsidR="00A22425" w:rsidRPr="006F34F9">
        <w:rPr>
          <w:bCs/>
          <w:szCs w:val="22"/>
          <w:lang w:val="sr-Latn-ME"/>
        </w:rPr>
        <w:t>2</w:t>
      </w:r>
      <w:r w:rsidRPr="006F34F9">
        <w:rPr>
          <w:bCs/>
          <w:szCs w:val="22"/>
          <w:lang w:val="sr-Latn-ME"/>
        </w:rPr>
        <w:t xml:space="preserve"> bilo je randomizovano, dvostruko sl</w:t>
      </w:r>
      <w:r w:rsidR="008062E2" w:rsidRPr="006F34F9">
        <w:rPr>
          <w:bCs/>
          <w:szCs w:val="22"/>
          <w:lang w:val="sr-Latn-ME"/>
        </w:rPr>
        <w:t>ij</w:t>
      </w:r>
      <w:r w:rsidRPr="006F34F9">
        <w:rPr>
          <w:bCs/>
          <w:szCs w:val="22"/>
          <w:lang w:val="sr-Latn-ME"/>
        </w:rPr>
        <w:t>epo, placebom kontrolisano ispitivanje u</w:t>
      </w:r>
      <w:r w:rsidR="000017ED" w:rsidRPr="006F34F9">
        <w:rPr>
          <w:bCs/>
          <w:szCs w:val="22"/>
          <w:lang w:val="sr-Latn-ME"/>
        </w:rPr>
        <w:t xml:space="preserve"> </w:t>
      </w:r>
      <w:r w:rsidRPr="006F34F9">
        <w:rPr>
          <w:bCs/>
          <w:szCs w:val="22"/>
          <w:lang w:val="sr-Latn-ME"/>
        </w:rPr>
        <w:t xml:space="preserve"> cilju proc</w:t>
      </w:r>
      <w:r w:rsidR="00C15B4F" w:rsidRPr="006F34F9">
        <w:rPr>
          <w:bCs/>
          <w:szCs w:val="22"/>
          <w:lang w:val="sr-Latn-ME"/>
        </w:rPr>
        <w:t>j</w:t>
      </w:r>
      <w:r w:rsidRPr="006F34F9">
        <w:rPr>
          <w:bCs/>
          <w:szCs w:val="22"/>
          <w:lang w:val="sr-Latn-ME"/>
        </w:rPr>
        <w:t xml:space="preserve">ene rezultata efikasnosti u 6. i 52. </w:t>
      </w:r>
      <w:r w:rsidR="0069571E" w:rsidRPr="006F34F9">
        <w:rPr>
          <w:bCs/>
          <w:szCs w:val="22"/>
          <w:lang w:val="sr-Latn-ME"/>
        </w:rPr>
        <w:t>nedjelji</w:t>
      </w:r>
      <w:r w:rsidRPr="006F34F9">
        <w:rPr>
          <w:bCs/>
          <w:szCs w:val="22"/>
          <w:lang w:val="sr-Latn-ME"/>
        </w:rPr>
        <w:t>. Pacijenti (n</w:t>
      </w:r>
      <w:r w:rsidR="00A075EC">
        <w:rPr>
          <w:bCs/>
          <w:szCs w:val="22"/>
          <w:lang w:val="sr-Latn-ME"/>
        </w:rPr>
        <w:t xml:space="preserve"> </w:t>
      </w:r>
      <w:r w:rsidRPr="006F34F9">
        <w:rPr>
          <w:bCs/>
          <w:szCs w:val="22"/>
          <w:lang w:val="sr-Latn-ME"/>
        </w:rPr>
        <w:t>=</w:t>
      </w:r>
      <w:r w:rsidR="00A075EC">
        <w:rPr>
          <w:bCs/>
          <w:szCs w:val="22"/>
          <w:lang w:val="sr-Latn-ME"/>
        </w:rPr>
        <w:t xml:space="preserve"> </w:t>
      </w:r>
      <w:r w:rsidRPr="006F34F9">
        <w:rPr>
          <w:bCs/>
          <w:szCs w:val="22"/>
          <w:lang w:val="sr-Latn-ME"/>
        </w:rPr>
        <w:t xml:space="preserve">368) su dvostruko </w:t>
      </w:r>
      <w:r w:rsidR="008062E2" w:rsidRPr="006F34F9">
        <w:rPr>
          <w:bCs/>
          <w:szCs w:val="22"/>
          <w:lang w:val="sr-Latn-ME"/>
        </w:rPr>
        <w:t>slijepo</w:t>
      </w:r>
      <w:r w:rsidRPr="006F34F9">
        <w:rPr>
          <w:bCs/>
          <w:szCs w:val="22"/>
          <w:lang w:val="sr-Latn-ME"/>
        </w:rPr>
        <w:t xml:space="preserve"> randomizovani (3:2) za primanje dv</w:t>
      </w:r>
      <w:r w:rsidR="00C15B4F" w:rsidRPr="006F34F9">
        <w:rPr>
          <w:bCs/>
          <w:szCs w:val="22"/>
          <w:lang w:val="sr-Latn-ME"/>
        </w:rPr>
        <w:t>ij</w:t>
      </w:r>
      <w:r w:rsidRPr="006F34F9">
        <w:rPr>
          <w:bCs/>
          <w:szCs w:val="22"/>
          <w:lang w:val="sr-Latn-ME"/>
        </w:rPr>
        <w:t xml:space="preserve">e doze vedolizumaba 300 mg ili placeba u nultoj i drugoj </w:t>
      </w:r>
      <w:r w:rsidR="0069571E" w:rsidRPr="006F34F9">
        <w:rPr>
          <w:bCs/>
          <w:szCs w:val="22"/>
          <w:lang w:val="sr-Latn-ME"/>
        </w:rPr>
        <w:t>nedjelji</w:t>
      </w:r>
      <w:r w:rsidRPr="006F34F9">
        <w:rPr>
          <w:bCs/>
          <w:szCs w:val="22"/>
          <w:lang w:val="sr-Latn-ME"/>
        </w:rPr>
        <w:t xml:space="preserve">. Dva </w:t>
      </w:r>
      <w:r w:rsidRPr="006F34F9">
        <w:rPr>
          <w:szCs w:val="22"/>
          <w:lang w:val="sr-Latn-ME"/>
        </w:rPr>
        <w:t>primarna parametra efikasnosti</w:t>
      </w:r>
      <w:r w:rsidRPr="006F34F9">
        <w:rPr>
          <w:bCs/>
          <w:szCs w:val="22"/>
          <w:lang w:val="sr-Latn-ME"/>
        </w:rPr>
        <w:t xml:space="preserve"> bila su u</w:t>
      </w:r>
      <w:r w:rsidR="0069571E" w:rsidRPr="006F34F9">
        <w:rPr>
          <w:bCs/>
          <w:szCs w:val="22"/>
          <w:lang w:val="sr-Latn-ME"/>
        </w:rPr>
        <w:t>d</w:t>
      </w:r>
      <w:r w:rsidR="00925A18" w:rsidRPr="006F34F9">
        <w:rPr>
          <w:bCs/>
          <w:szCs w:val="22"/>
          <w:lang w:val="sr-Latn-ME"/>
        </w:rPr>
        <w:t>i</w:t>
      </w:r>
      <w:r w:rsidR="0069571E" w:rsidRPr="006F34F9">
        <w:rPr>
          <w:bCs/>
          <w:szCs w:val="22"/>
          <w:lang w:val="sr-Latn-ME"/>
        </w:rPr>
        <w:t>o</w:t>
      </w:r>
      <w:r w:rsidRPr="006F34F9">
        <w:rPr>
          <w:bCs/>
          <w:szCs w:val="22"/>
          <w:lang w:val="sr-Latn-ME"/>
        </w:rPr>
        <w:t xml:space="preserve"> pacijenata u kliničkoj remisiji (definisan kao rezultat CDAI ≤</w:t>
      </w:r>
      <w:r w:rsidR="00A075EC">
        <w:rPr>
          <w:bCs/>
          <w:szCs w:val="22"/>
          <w:lang w:val="sr-Latn-ME"/>
        </w:rPr>
        <w:t xml:space="preserve"> </w:t>
      </w:r>
      <w:r w:rsidRPr="006F34F9">
        <w:rPr>
          <w:bCs/>
          <w:szCs w:val="22"/>
          <w:lang w:val="sr-Latn-ME"/>
        </w:rPr>
        <w:t xml:space="preserve">150 bodova) u 6. </w:t>
      </w:r>
      <w:r w:rsidR="0069571E" w:rsidRPr="006F34F9">
        <w:rPr>
          <w:bCs/>
          <w:szCs w:val="22"/>
          <w:lang w:val="sr-Latn-ME"/>
        </w:rPr>
        <w:t>nedjelji</w:t>
      </w:r>
      <w:r w:rsidRPr="006F34F9">
        <w:rPr>
          <w:bCs/>
          <w:szCs w:val="22"/>
          <w:lang w:val="sr-Latn-ME"/>
        </w:rPr>
        <w:t xml:space="preserve"> i u</w:t>
      </w:r>
      <w:r w:rsidR="0069571E" w:rsidRPr="006F34F9">
        <w:rPr>
          <w:bCs/>
          <w:szCs w:val="22"/>
          <w:lang w:val="sr-Latn-ME"/>
        </w:rPr>
        <w:t>d</w:t>
      </w:r>
      <w:r w:rsidR="00925A18" w:rsidRPr="006F34F9">
        <w:rPr>
          <w:bCs/>
          <w:szCs w:val="22"/>
          <w:lang w:val="sr-Latn-ME"/>
        </w:rPr>
        <w:t>i</w:t>
      </w:r>
      <w:r w:rsidR="0069571E" w:rsidRPr="006F34F9">
        <w:rPr>
          <w:bCs/>
          <w:szCs w:val="22"/>
          <w:lang w:val="sr-Latn-ME"/>
        </w:rPr>
        <w:t>o</w:t>
      </w:r>
      <w:r w:rsidRPr="006F34F9">
        <w:rPr>
          <w:bCs/>
          <w:szCs w:val="22"/>
          <w:lang w:val="sr-Latn-ME"/>
        </w:rPr>
        <w:t xml:space="preserve"> pacijenata sa pojačanim kliničkim odgovorom (definisan kao </w:t>
      </w:r>
      <w:r w:rsidRPr="006F34F9">
        <w:rPr>
          <w:bCs/>
          <w:szCs w:val="22"/>
          <w:lang w:val="sr-Latn-ME"/>
        </w:rPr>
        <w:lastRenderedPageBreak/>
        <w:t>smanjenje od ≥</w:t>
      </w:r>
      <w:r w:rsidR="00A075EC">
        <w:rPr>
          <w:bCs/>
          <w:szCs w:val="22"/>
          <w:lang w:val="sr-Latn-ME"/>
        </w:rPr>
        <w:t xml:space="preserve"> </w:t>
      </w:r>
      <w:r w:rsidRPr="006F34F9">
        <w:rPr>
          <w:bCs/>
          <w:szCs w:val="22"/>
          <w:lang w:val="sr-Latn-ME"/>
        </w:rPr>
        <w:t>100 bodova na rezultatu CDAI u odnosu na vr</w:t>
      </w:r>
      <w:r w:rsidR="00925A18" w:rsidRPr="006F34F9">
        <w:rPr>
          <w:bCs/>
          <w:szCs w:val="22"/>
          <w:lang w:val="sr-Latn-ME"/>
        </w:rPr>
        <w:t>ij</w:t>
      </w:r>
      <w:r w:rsidRPr="006F34F9">
        <w:rPr>
          <w:bCs/>
          <w:szCs w:val="22"/>
          <w:lang w:val="sr-Latn-ME"/>
        </w:rPr>
        <w:t xml:space="preserve">ednosti </w:t>
      </w:r>
      <w:r w:rsidR="008062E2" w:rsidRPr="006F34F9">
        <w:rPr>
          <w:bCs/>
          <w:szCs w:val="22"/>
          <w:lang w:val="sr-Latn-ME"/>
        </w:rPr>
        <w:t>prije</w:t>
      </w:r>
      <w:r w:rsidRPr="006F34F9">
        <w:rPr>
          <w:bCs/>
          <w:szCs w:val="22"/>
          <w:lang w:val="sr-Latn-ME"/>
        </w:rPr>
        <w:t xml:space="preserve"> početka ispitivanja) u 6. </w:t>
      </w:r>
      <w:r w:rsidR="0069571E" w:rsidRPr="006F34F9">
        <w:rPr>
          <w:bCs/>
          <w:szCs w:val="22"/>
          <w:lang w:val="sr-Latn-ME"/>
        </w:rPr>
        <w:t>nedjelji</w:t>
      </w:r>
      <w:r w:rsidRPr="006F34F9">
        <w:rPr>
          <w:bCs/>
          <w:szCs w:val="22"/>
          <w:lang w:val="sr-Latn-ME"/>
        </w:rPr>
        <w:t xml:space="preserve"> (</w:t>
      </w:r>
      <w:r w:rsidR="0067327C" w:rsidRPr="006F34F9">
        <w:rPr>
          <w:bCs/>
          <w:szCs w:val="22"/>
          <w:lang w:val="sr-Latn-ME"/>
        </w:rPr>
        <w:t>vidjeti</w:t>
      </w:r>
      <w:r w:rsidRPr="006F34F9">
        <w:rPr>
          <w:bCs/>
          <w:szCs w:val="22"/>
          <w:lang w:val="sr-Latn-ME"/>
        </w:rPr>
        <w:t xml:space="preserve"> </w:t>
      </w:r>
      <w:r w:rsidR="00925A18" w:rsidRPr="006F34F9">
        <w:rPr>
          <w:bCs/>
          <w:szCs w:val="22"/>
          <w:lang w:val="sr-Latn-ME"/>
        </w:rPr>
        <w:t>T</w:t>
      </w:r>
      <w:r w:rsidR="0067327C" w:rsidRPr="006F34F9">
        <w:rPr>
          <w:bCs/>
          <w:szCs w:val="22"/>
          <w:lang w:val="sr-Latn-ME"/>
        </w:rPr>
        <w:t>abelu</w:t>
      </w:r>
      <w:r w:rsidRPr="006F34F9">
        <w:rPr>
          <w:bCs/>
          <w:szCs w:val="22"/>
          <w:lang w:val="sr-Latn-ME"/>
        </w:rPr>
        <w:t xml:space="preserve"> 4).</w:t>
      </w:r>
    </w:p>
    <w:p w14:paraId="62BAA4FE" w14:textId="77777777" w:rsidR="001B44E1" w:rsidRPr="006F34F9" w:rsidRDefault="001B44E1" w:rsidP="00180C9F">
      <w:pPr>
        <w:pStyle w:val="Header"/>
        <w:rPr>
          <w:bCs/>
          <w:szCs w:val="22"/>
          <w:lang w:val="sr-Latn-ME"/>
        </w:rPr>
      </w:pPr>
    </w:p>
    <w:p w14:paraId="2D587CEA" w14:textId="5C848871" w:rsidR="001B44E1" w:rsidRPr="006F34F9" w:rsidRDefault="001B44E1" w:rsidP="00180C9F">
      <w:pPr>
        <w:pStyle w:val="Header"/>
        <w:rPr>
          <w:bCs/>
          <w:szCs w:val="22"/>
          <w:lang w:val="sr-Latn-ME"/>
        </w:rPr>
      </w:pPr>
      <w:r w:rsidRPr="006F34F9">
        <w:rPr>
          <w:bCs/>
          <w:szCs w:val="22"/>
          <w:lang w:val="sr-Latn-ME"/>
        </w:rPr>
        <w:t xml:space="preserve">U ispitivanju GEMINI </w:t>
      </w:r>
      <w:r w:rsidR="00A22425" w:rsidRPr="006F34F9">
        <w:rPr>
          <w:bCs/>
          <w:szCs w:val="22"/>
          <w:lang w:val="sr-Latn-ME"/>
        </w:rPr>
        <w:t>2</w:t>
      </w:r>
      <w:r w:rsidRPr="006F34F9">
        <w:rPr>
          <w:bCs/>
          <w:szCs w:val="22"/>
          <w:lang w:val="sr-Latn-ME"/>
        </w:rPr>
        <w:t xml:space="preserve"> dv</w:t>
      </w:r>
      <w:r w:rsidR="008062E2" w:rsidRPr="006F34F9">
        <w:rPr>
          <w:bCs/>
          <w:szCs w:val="22"/>
          <w:lang w:val="sr-Latn-ME"/>
        </w:rPr>
        <w:t>ij</w:t>
      </w:r>
      <w:r w:rsidRPr="006F34F9">
        <w:rPr>
          <w:bCs/>
          <w:szCs w:val="22"/>
          <w:lang w:val="sr-Latn-ME"/>
        </w:rPr>
        <w:t xml:space="preserve">e kohorte pacijenata primile su vedolizumab u nultoj i drugoj </w:t>
      </w:r>
      <w:r w:rsidR="0069571E" w:rsidRPr="006F34F9">
        <w:rPr>
          <w:bCs/>
          <w:szCs w:val="22"/>
          <w:lang w:val="sr-Latn-ME"/>
        </w:rPr>
        <w:t>nedjelji</w:t>
      </w:r>
      <w:r w:rsidRPr="006F34F9">
        <w:rPr>
          <w:bCs/>
          <w:szCs w:val="22"/>
          <w:lang w:val="sr-Latn-ME"/>
        </w:rPr>
        <w:t>: u</w:t>
      </w:r>
      <w:r w:rsidR="000017ED" w:rsidRPr="006F34F9">
        <w:rPr>
          <w:bCs/>
          <w:szCs w:val="22"/>
          <w:lang w:val="sr-Latn-ME"/>
        </w:rPr>
        <w:t xml:space="preserve"> </w:t>
      </w:r>
      <w:r w:rsidRPr="006F34F9">
        <w:rPr>
          <w:bCs/>
          <w:szCs w:val="22"/>
          <w:lang w:val="sr-Latn-ME"/>
        </w:rPr>
        <w:t xml:space="preserve"> kohorti 1 pacijenti su dvostruko </w:t>
      </w:r>
      <w:r w:rsidR="008062E2" w:rsidRPr="006F34F9">
        <w:rPr>
          <w:bCs/>
          <w:szCs w:val="22"/>
          <w:lang w:val="sr-Latn-ME"/>
        </w:rPr>
        <w:t>slijepo</w:t>
      </w:r>
      <w:r w:rsidRPr="006F34F9">
        <w:rPr>
          <w:bCs/>
          <w:szCs w:val="22"/>
          <w:lang w:val="sr-Latn-ME"/>
        </w:rPr>
        <w:t xml:space="preserve"> randomizovani za primanje bilo vedolizumaba 300 mg ili placeba, a pacijenti iz kohorte 2 su primali vedolizumab 300 mg u ispitivanju </w:t>
      </w:r>
      <w:r w:rsidR="008062E2" w:rsidRPr="006F34F9">
        <w:rPr>
          <w:bCs/>
          <w:szCs w:val="22"/>
          <w:lang w:val="sr-Latn-ME"/>
        </w:rPr>
        <w:t>otvorenog</w:t>
      </w:r>
      <w:r w:rsidRPr="006F34F9">
        <w:rPr>
          <w:bCs/>
          <w:szCs w:val="22"/>
          <w:lang w:val="sr-Latn-ME"/>
        </w:rPr>
        <w:t xml:space="preserve"> tipa. Za proc</w:t>
      </w:r>
      <w:r w:rsidR="00925A18" w:rsidRPr="006F34F9">
        <w:rPr>
          <w:bCs/>
          <w:szCs w:val="22"/>
          <w:lang w:val="sr-Latn-ME"/>
        </w:rPr>
        <w:t>j</w:t>
      </w:r>
      <w:r w:rsidRPr="006F34F9">
        <w:rPr>
          <w:bCs/>
          <w:szCs w:val="22"/>
          <w:lang w:val="sr-Latn-ME"/>
        </w:rPr>
        <w:t xml:space="preserve">enu </w:t>
      </w:r>
      <w:r w:rsidR="008062E2" w:rsidRPr="006F34F9">
        <w:rPr>
          <w:bCs/>
          <w:szCs w:val="22"/>
          <w:lang w:val="sr-Latn-ME"/>
        </w:rPr>
        <w:t>efikasnosti</w:t>
      </w:r>
      <w:r w:rsidRPr="006F34F9">
        <w:rPr>
          <w:bCs/>
          <w:szCs w:val="22"/>
          <w:lang w:val="sr-Latn-ME"/>
        </w:rPr>
        <w:t xml:space="preserve"> u 52. </w:t>
      </w:r>
      <w:r w:rsidR="0069571E" w:rsidRPr="006F34F9">
        <w:rPr>
          <w:bCs/>
          <w:szCs w:val="22"/>
          <w:lang w:val="sr-Latn-ME"/>
        </w:rPr>
        <w:t>nedjelji</w:t>
      </w:r>
      <w:r w:rsidRPr="006F34F9">
        <w:rPr>
          <w:bCs/>
          <w:szCs w:val="22"/>
          <w:lang w:val="sr-Latn-ME"/>
        </w:rPr>
        <w:t>, 461 pacijent iz kohorte 1 i 2 koji su l</w:t>
      </w:r>
      <w:r w:rsidR="008062E2" w:rsidRPr="006F34F9">
        <w:rPr>
          <w:bCs/>
          <w:szCs w:val="22"/>
          <w:lang w:val="sr-Latn-ME"/>
        </w:rPr>
        <w:t>ij</w:t>
      </w:r>
      <w:r w:rsidRPr="006F34F9">
        <w:rPr>
          <w:bCs/>
          <w:szCs w:val="22"/>
          <w:lang w:val="sr-Latn-ME"/>
        </w:rPr>
        <w:t xml:space="preserve">ečeni vedolizumabom i koji su postigli klinički odgovor u 6. </w:t>
      </w:r>
      <w:r w:rsidR="0069571E" w:rsidRPr="006F34F9">
        <w:rPr>
          <w:bCs/>
          <w:szCs w:val="22"/>
          <w:lang w:val="sr-Latn-ME"/>
        </w:rPr>
        <w:t>nedjelji</w:t>
      </w:r>
      <w:r w:rsidRPr="006F34F9">
        <w:rPr>
          <w:bCs/>
          <w:szCs w:val="22"/>
          <w:lang w:val="sr-Latn-ME"/>
        </w:rPr>
        <w:t xml:space="preserve"> (definisan kao smanjenje od ≥70 bodova u rezultatu CDAI u odnosu na vr</w:t>
      </w:r>
      <w:r w:rsidR="00AF4D60" w:rsidRPr="006F34F9">
        <w:rPr>
          <w:bCs/>
          <w:szCs w:val="22"/>
          <w:lang w:val="sr-Latn-ME"/>
        </w:rPr>
        <w:t>ij</w:t>
      </w:r>
      <w:r w:rsidRPr="006F34F9">
        <w:rPr>
          <w:bCs/>
          <w:szCs w:val="22"/>
          <w:lang w:val="sr-Latn-ME"/>
        </w:rPr>
        <w:t xml:space="preserve">ednosti </w:t>
      </w:r>
      <w:r w:rsidR="008062E2" w:rsidRPr="006F34F9">
        <w:rPr>
          <w:bCs/>
          <w:szCs w:val="22"/>
          <w:lang w:val="sr-Latn-ME"/>
        </w:rPr>
        <w:t>prije</w:t>
      </w:r>
      <w:r w:rsidRPr="006F34F9">
        <w:rPr>
          <w:bCs/>
          <w:szCs w:val="22"/>
          <w:lang w:val="sr-Latn-ME"/>
        </w:rPr>
        <w:t xml:space="preserve"> početka ispitivanja) dvostruko </w:t>
      </w:r>
      <w:r w:rsidR="008062E2" w:rsidRPr="006F34F9">
        <w:rPr>
          <w:bCs/>
          <w:szCs w:val="22"/>
          <w:lang w:val="sr-Latn-ME"/>
        </w:rPr>
        <w:t>slijepo</w:t>
      </w:r>
      <w:r w:rsidRPr="006F34F9">
        <w:rPr>
          <w:bCs/>
          <w:szCs w:val="22"/>
          <w:lang w:val="sr-Latn-ME"/>
        </w:rPr>
        <w:t xml:space="preserve"> su randomizovani (1:1:1) u jedan od sl</w:t>
      </w:r>
      <w:r w:rsidR="00AF4D60" w:rsidRPr="006F34F9">
        <w:rPr>
          <w:bCs/>
          <w:szCs w:val="22"/>
          <w:lang w:val="sr-Latn-ME"/>
        </w:rPr>
        <w:t>j</w:t>
      </w:r>
      <w:r w:rsidRPr="006F34F9">
        <w:rPr>
          <w:bCs/>
          <w:szCs w:val="22"/>
          <w:lang w:val="sr-Latn-ME"/>
        </w:rPr>
        <w:t xml:space="preserve">edećih režima počevši od 6. </w:t>
      </w:r>
      <w:r w:rsidR="00A22425" w:rsidRPr="006F34F9">
        <w:rPr>
          <w:bCs/>
          <w:szCs w:val="22"/>
          <w:lang w:val="sr-Latn-ME"/>
        </w:rPr>
        <w:t>nedjelje</w:t>
      </w:r>
      <w:r w:rsidRPr="006F34F9">
        <w:rPr>
          <w:bCs/>
          <w:szCs w:val="22"/>
          <w:lang w:val="sr-Latn-ME"/>
        </w:rPr>
        <w:t xml:space="preserve">: vedolizumab 300 mg svake osme </w:t>
      </w:r>
      <w:r w:rsidR="00A22425" w:rsidRPr="006F34F9">
        <w:rPr>
          <w:bCs/>
          <w:szCs w:val="22"/>
          <w:lang w:val="sr-Latn-ME"/>
        </w:rPr>
        <w:t>nedjelje</w:t>
      </w:r>
      <w:r w:rsidRPr="006F34F9">
        <w:rPr>
          <w:bCs/>
          <w:szCs w:val="22"/>
          <w:lang w:val="sr-Latn-ME"/>
        </w:rPr>
        <w:t xml:space="preserve">, vedolizumab 300 mg svake četvrte </w:t>
      </w:r>
      <w:r w:rsidR="00A22425" w:rsidRPr="006F34F9">
        <w:rPr>
          <w:bCs/>
          <w:szCs w:val="22"/>
          <w:lang w:val="sr-Latn-ME"/>
        </w:rPr>
        <w:t>nedjelje</w:t>
      </w:r>
      <w:r w:rsidRPr="006F34F9">
        <w:rPr>
          <w:bCs/>
          <w:szCs w:val="22"/>
          <w:lang w:val="sr-Latn-ME"/>
        </w:rPr>
        <w:t xml:space="preserve"> ili placebo svake četvrte </w:t>
      </w:r>
      <w:r w:rsidR="00A22425" w:rsidRPr="006F34F9">
        <w:rPr>
          <w:bCs/>
          <w:szCs w:val="22"/>
          <w:lang w:val="sr-Latn-ME"/>
        </w:rPr>
        <w:t>nedjelje</w:t>
      </w:r>
      <w:r w:rsidRPr="006F34F9">
        <w:rPr>
          <w:bCs/>
          <w:szCs w:val="22"/>
          <w:lang w:val="sr-Latn-ME"/>
        </w:rPr>
        <w:t xml:space="preserve">. Od pacijenata koji su uzimali kortikosteroide i u 6. </w:t>
      </w:r>
      <w:r w:rsidR="0069571E" w:rsidRPr="006F34F9">
        <w:rPr>
          <w:bCs/>
          <w:szCs w:val="22"/>
          <w:lang w:val="sr-Latn-ME"/>
        </w:rPr>
        <w:t>nedjelji</w:t>
      </w:r>
      <w:r w:rsidRPr="006F34F9">
        <w:rPr>
          <w:bCs/>
          <w:szCs w:val="22"/>
          <w:lang w:val="sr-Latn-ME"/>
        </w:rPr>
        <w:t xml:space="preserve"> su pokazivali klinički odgovor tražilo se da počnu da smanjuju dozu kortikosteroida. </w:t>
      </w:r>
      <w:r w:rsidRPr="006F34F9">
        <w:rPr>
          <w:szCs w:val="22"/>
          <w:lang w:val="sr-Latn-ME"/>
        </w:rPr>
        <w:t>Primarni parametar efikasnosti</w:t>
      </w:r>
      <w:r w:rsidRPr="006F34F9">
        <w:rPr>
          <w:bCs/>
          <w:szCs w:val="22"/>
          <w:lang w:val="sr-Latn-ME"/>
        </w:rPr>
        <w:t xml:space="preserve"> bio je odnos pacijenata u kliničkoj remisiji u 52. </w:t>
      </w:r>
      <w:r w:rsidR="0069571E" w:rsidRPr="006F34F9">
        <w:rPr>
          <w:bCs/>
          <w:szCs w:val="22"/>
          <w:lang w:val="sr-Latn-ME"/>
        </w:rPr>
        <w:t>nedjelji</w:t>
      </w:r>
      <w:r w:rsidRPr="006F34F9">
        <w:rPr>
          <w:bCs/>
          <w:szCs w:val="22"/>
          <w:lang w:val="sr-Latn-ME"/>
        </w:rPr>
        <w:t xml:space="preserve"> (</w:t>
      </w:r>
      <w:r w:rsidR="0067327C" w:rsidRPr="006F34F9">
        <w:rPr>
          <w:bCs/>
          <w:szCs w:val="22"/>
          <w:lang w:val="sr-Latn-ME"/>
        </w:rPr>
        <w:t>vidjeti</w:t>
      </w:r>
      <w:r w:rsidRPr="006F34F9">
        <w:rPr>
          <w:bCs/>
          <w:szCs w:val="22"/>
          <w:lang w:val="sr-Latn-ME"/>
        </w:rPr>
        <w:t xml:space="preserve"> </w:t>
      </w:r>
      <w:r w:rsidR="00AF4D60" w:rsidRPr="006F34F9">
        <w:rPr>
          <w:bCs/>
          <w:szCs w:val="22"/>
          <w:lang w:val="sr-Latn-ME"/>
        </w:rPr>
        <w:t>T</w:t>
      </w:r>
      <w:r w:rsidRPr="006F34F9">
        <w:rPr>
          <w:bCs/>
          <w:szCs w:val="22"/>
          <w:lang w:val="sr-Latn-ME"/>
        </w:rPr>
        <w:t xml:space="preserve">abelu </w:t>
      </w:r>
      <w:r w:rsidR="00AF4D60" w:rsidRPr="006F34F9">
        <w:rPr>
          <w:bCs/>
          <w:szCs w:val="22"/>
          <w:lang w:val="sr-Latn-ME"/>
        </w:rPr>
        <w:t>7</w:t>
      </w:r>
      <w:r w:rsidRPr="006F34F9">
        <w:rPr>
          <w:bCs/>
          <w:szCs w:val="22"/>
          <w:lang w:val="sr-Latn-ME"/>
        </w:rPr>
        <w:t>).</w:t>
      </w:r>
    </w:p>
    <w:p w14:paraId="36BCF247" w14:textId="77777777" w:rsidR="001B44E1" w:rsidRPr="006F34F9" w:rsidRDefault="001B44E1" w:rsidP="00180C9F">
      <w:pPr>
        <w:pStyle w:val="Header"/>
        <w:rPr>
          <w:bCs/>
          <w:szCs w:val="22"/>
          <w:lang w:val="sr-Latn-ME"/>
        </w:rPr>
      </w:pPr>
    </w:p>
    <w:p w14:paraId="09A75C65" w14:textId="2BDBCF9D" w:rsidR="001B44E1" w:rsidRPr="006F34F9" w:rsidRDefault="001B44E1">
      <w:pPr>
        <w:pStyle w:val="Header"/>
        <w:tabs>
          <w:tab w:val="left" w:pos="284"/>
        </w:tabs>
        <w:rPr>
          <w:bCs/>
          <w:szCs w:val="22"/>
          <w:lang w:val="sr-Latn-ME"/>
        </w:rPr>
      </w:pPr>
      <w:r w:rsidRPr="006F34F9">
        <w:rPr>
          <w:bCs/>
          <w:szCs w:val="22"/>
          <w:lang w:val="sr-Latn-ME"/>
        </w:rPr>
        <w:t xml:space="preserve">Ispitivanje GEMINI </w:t>
      </w:r>
      <w:r w:rsidR="00A22425" w:rsidRPr="006F34F9">
        <w:rPr>
          <w:bCs/>
          <w:szCs w:val="22"/>
          <w:lang w:val="sr-Latn-ME"/>
        </w:rPr>
        <w:t>3</w:t>
      </w:r>
      <w:r w:rsidRPr="006F34F9">
        <w:rPr>
          <w:bCs/>
          <w:szCs w:val="22"/>
          <w:lang w:val="sr-Latn-ME"/>
        </w:rPr>
        <w:t xml:space="preserve"> bilo je drugo randomizovano, dvostruko </w:t>
      </w:r>
      <w:r w:rsidR="008062E2" w:rsidRPr="006F34F9">
        <w:rPr>
          <w:bCs/>
          <w:szCs w:val="22"/>
          <w:lang w:val="sr-Latn-ME"/>
        </w:rPr>
        <w:t>slijepo</w:t>
      </w:r>
      <w:r w:rsidRPr="006F34F9">
        <w:rPr>
          <w:bCs/>
          <w:szCs w:val="22"/>
          <w:lang w:val="sr-Latn-ME"/>
        </w:rPr>
        <w:t xml:space="preserve">, placebom kontrolisano kliničko ispitivanje za </w:t>
      </w:r>
      <w:r w:rsidR="00AF4D60" w:rsidRPr="006F34F9">
        <w:rPr>
          <w:bCs/>
          <w:szCs w:val="22"/>
          <w:lang w:val="sr-Latn-ME"/>
        </w:rPr>
        <w:t>pr</w:t>
      </w:r>
      <w:r w:rsidR="00A22425" w:rsidRPr="006F34F9">
        <w:rPr>
          <w:bCs/>
          <w:szCs w:val="22"/>
          <w:lang w:val="sr-Latn-ME"/>
        </w:rPr>
        <w:t>ocjenu</w:t>
      </w:r>
      <w:r w:rsidRPr="006F34F9">
        <w:rPr>
          <w:bCs/>
          <w:szCs w:val="22"/>
          <w:lang w:val="sr-Latn-ME"/>
        </w:rPr>
        <w:t xml:space="preserve"> efikasnosti u 6. i 10. </w:t>
      </w:r>
      <w:r w:rsidR="0069571E" w:rsidRPr="006F34F9">
        <w:rPr>
          <w:bCs/>
          <w:szCs w:val="22"/>
          <w:lang w:val="sr-Latn-ME"/>
        </w:rPr>
        <w:t>nedjelji</w:t>
      </w:r>
      <w:r w:rsidRPr="006F34F9">
        <w:rPr>
          <w:bCs/>
          <w:szCs w:val="22"/>
          <w:lang w:val="sr-Latn-ME"/>
        </w:rPr>
        <w:t xml:space="preserve"> u podgrupi pacijenata koji su definisani kao oni koji ni</w:t>
      </w:r>
      <w:r w:rsidR="00AF4D60" w:rsidRPr="006F34F9">
        <w:rPr>
          <w:bCs/>
          <w:szCs w:val="22"/>
          <w:lang w:val="sr-Latn-ME"/>
        </w:rPr>
        <w:t>je</w:t>
      </w:r>
      <w:r w:rsidRPr="006F34F9">
        <w:rPr>
          <w:bCs/>
          <w:szCs w:val="22"/>
          <w:lang w:val="sr-Latn-ME"/>
        </w:rPr>
        <w:t>su odgovorili na barem jedno standardno l</w:t>
      </w:r>
      <w:r w:rsidR="00A22425" w:rsidRPr="006F34F9">
        <w:rPr>
          <w:bCs/>
          <w:szCs w:val="22"/>
          <w:lang w:val="sr-Latn-ME"/>
        </w:rPr>
        <w:t>ij</w:t>
      </w:r>
      <w:r w:rsidRPr="006F34F9">
        <w:rPr>
          <w:bCs/>
          <w:szCs w:val="22"/>
          <w:lang w:val="sr-Latn-ME"/>
        </w:rPr>
        <w:t>ečenje i na l</w:t>
      </w:r>
      <w:r w:rsidR="00A22425" w:rsidRPr="006F34F9">
        <w:rPr>
          <w:bCs/>
          <w:szCs w:val="22"/>
          <w:lang w:val="sr-Latn-ME"/>
        </w:rPr>
        <w:t>ij</w:t>
      </w:r>
      <w:r w:rsidRPr="006F34F9">
        <w:rPr>
          <w:bCs/>
          <w:szCs w:val="22"/>
          <w:lang w:val="sr-Latn-ME"/>
        </w:rPr>
        <w:t>ečenje antagonistima TNFα (uključujući pacijente koji ni</w:t>
      </w:r>
      <w:r w:rsidR="00AF4D60" w:rsidRPr="006F34F9">
        <w:rPr>
          <w:bCs/>
          <w:szCs w:val="22"/>
          <w:lang w:val="sr-Latn-ME"/>
        </w:rPr>
        <w:t>je</w:t>
      </w:r>
      <w:r w:rsidRPr="006F34F9">
        <w:rPr>
          <w:bCs/>
          <w:szCs w:val="22"/>
          <w:lang w:val="sr-Latn-ME"/>
        </w:rPr>
        <w:t>su primarno reagovali na l</w:t>
      </w:r>
      <w:r w:rsidR="00AF4D60" w:rsidRPr="006F34F9">
        <w:rPr>
          <w:bCs/>
          <w:szCs w:val="22"/>
          <w:lang w:val="sr-Latn-ME"/>
        </w:rPr>
        <w:t>ij</w:t>
      </w:r>
      <w:r w:rsidRPr="006F34F9">
        <w:rPr>
          <w:bCs/>
          <w:szCs w:val="22"/>
          <w:lang w:val="sr-Latn-ME"/>
        </w:rPr>
        <w:t xml:space="preserve">ečenje) kao i u ukupnoj populaciji koja je takođe uključivala </w:t>
      </w:r>
      <w:r w:rsidR="00B148F2" w:rsidRPr="006F34F9">
        <w:rPr>
          <w:bCs/>
          <w:szCs w:val="22"/>
          <w:lang w:val="sr-Latn-ME"/>
        </w:rPr>
        <w:t>pacijente</w:t>
      </w:r>
      <w:r w:rsidRPr="006F34F9">
        <w:rPr>
          <w:bCs/>
          <w:szCs w:val="22"/>
          <w:lang w:val="sr-Latn-ME"/>
        </w:rPr>
        <w:t xml:space="preserve"> koji ni</w:t>
      </w:r>
      <w:r w:rsidR="00AF4D60" w:rsidRPr="006F34F9">
        <w:rPr>
          <w:bCs/>
          <w:szCs w:val="22"/>
          <w:lang w:val="sr-Latn-ME"/>
        </w:rPr>
        <w:t>je</w:t>
      </w:r>
      <w:r w:rsidRPr="006F34F9">
        <w:rPr>
          <w:bCs/>
          <w:szCs w:val="22"/>
          <w:lang w:val="sr-Latn-ME"/>
        </w:rPr>
        <w:t xml:space="preserve">su odgovorili na barem jednu standardnu terapiju i </w:t>
      </w:r>
      <w:r w:rsidR="008062E2" w:rsidRPr="006F34F9">
        <w:rPr>
          <w:bCs/>
          <w:szCs w:val="22"/>
          <w:lang w:val="sr-Latn-ME"/>
        </w:rPr>
        <w:t>prije</w:t>
      </w:r>
      <w:r w:rsidRPr="006F34F9">
        <w:rPr>
          <w:bCs/>
          <w:szCs w:val="22"/>
          <w:lang w:val="sr-Latn-ME"/>
        </w:rPr>
        <w:t xml:space="preserve"> ni</w:t>
      </w:r>
      <w:r w:rsidR="00AF4D60" w:rsidRPr="006F34F9">
        <w:rPr>
          <w:bCs/>
          <w:szCs w:val="22"/>
          <w:lang w:val="sr-Latn-ME"/>
        </w:rPr>
        <w:t>je</w:t>
      </w:r>
      <w:r w:rsidRPr="006F34F9">
        <w:rPr>
          <w:bCs/>
          <w:szCs w:val="22"/>
          <w:lang w:val="sr-Latn-ME"/>
        </w:rPr>
        <w:t>su primali terapiju antagonistima TNFα. Pacijenti (n</w:t>
      </w:r>
      <w:r w:rsidR="00707218">
        <w:rPr>
          <w:bCs/>
          <w:szCs w:val="22"/>
          <w:lang w:val="sr-Latn-ME"/>
        </w:rPr>
        <w:t xml:space="preserve"> </w:t>
      </w:r>
      <w:r w:rsidRPr="006F34F9">
        <w:rPr>
          <w:bCs/>
          <w:szCs w:val="22"/>
          <w:lang w:val="sr-Latn-ME"/>
        </w:rPr>
        <w:t>=</w:t>
      </w:r>
      <w:r w:rsidR="00707218">
        <w:rPr>
          <w:bCs/>
          <w:szCs w:val="22"/>
          <w:lang w:val="sr-Latn-ME"/>
        </w:rPr>
        <w:t xml:space="preserve"> </w:t>
      </w:r>
      <w:r w:rsidRPr="006F34F9">
        <w:rPr>
          <w:bCs/>
          <w:szCs w:val="22"/>
          <w:lang w:val="sr-Latn-ME"/>
        </w:rPr>
        <w:t xml:space="preserve">416), među kojima približno 75% njih nije odgovorilo na terapiju antagonistima TNFα, su dvostruko </w:t>
      </w:r>
      <w:r w:rsidR="0069571E" w:rsidRPr="006F34F9">
        <w:rPr>
          <w:bCs/>
          <w:szCs w:val="22"/>
          <w:lang w:val="sr-Latn-ME"/>
        </w:rPr>
        <w:t>slijepo</w:t>
      </w:r>
      <w:r w:rsidRPr="006F34F9">
        <w:rPr>
          <w:bCs/>
          <w:szCs w:val="22"/>
          <w:lang w:val="sr-Latn-ME"/>
        </w:rPr>
        <w:t xml:space="preserve"> randomizovani (1:1) za primanje ili vedolizumaba 300 mg ili placeba u nultoj, drugoj i šestoj </w:t>
      </w:r>
      <w:r w:rsidR="0069571E" w:rsidRPr="006F34F9">
        <w:rPr>
          <w:bCs/>
          <w:szCs w:val="22"/>
          <w:lang w:val="sr-Latn-ME"/>
        </w:rPr>
        <w:t>nedjelji</w:t>
      </w:r>
      <w:r w:rsidRPr="006F34F9">
        <w:rPr>
          <w:bCs/>
          <w:szCs w:val="22"/>
          <w:lang w:val="sr-Latn-ME"/>
        </w:rPr>
        <w:t xml:space="preserve">. Primarni </w:t>
      </w:r>
      <w:r w:rsidRPr="006F34F9">
        <w:rPr>
          <w:szCs w:val="22"/>
          <w:lang w:val="sr-Latn-ME"/>
        </w:rPr>
        <w:t>parametar efikasnosti</w:t>
      </w:r>
      <w:r w:rsidRPr="006F34F9">
        <w:rPr>
          <w:bCs/>
          <w:szCs w:val="22"/>
          <w:lang w:val="sr-Latn-ME"/>
        </w:rPr>
        <w:t xml:space="preserve"> bio je </w:t>
      </w:r>
      <w:r w:rsidR="00B148F2" w:rsidRPr="006F34F9">
        <w:rPr>
          <w:bCs/>
          <w:szCs w:val="22"/>
          <w:lang w:val="sr-Latn-ME"/>
        </w:rPr>
        <w:t>ud</w:t>
      </w:r>
      <w:r w:rsidR="00AF4D60" w:rsidRPr="006F34F9">
        <w:rPr>
          <w:bCs/>
          <w:szCs w:val="22"/>
          <w:lang w:val="sr-Latn-ME"/>
        </w:rPr>
        <w:t>i</w:t>
      </w:r>
      <w:r w:rsidR="00B148F2" w:rsidRPr="006F34F9">
        <w:rPr>
          <w:bCs/>
          <w:szCs w:val="22"/>
          <w:lang w:val="sr-Latn-ME"/>
        </w:rPr>
        <w:t>o</w:t>
      </w:r>
      <w:r w:rsidRPr="006F34F9">
        <w:rPr>
          <w:bCs/>
          <w:szCs w:val="22"/>
          <w:lang w:val="sr-Latn-ME"/>
        </w:rPr>
        <w:t xml:space="preserve"> pacijenata u kliničkoj remisiji u 6. </w:t>
      </w:r>
      <w:r w:rsidR="0069571E" w:rsidRPr="006F34F9">
        <w:rPr>
          <w:bCs/>
          <w:szCs w:val="22"/>
          <w:lang w:val="sr-Latn-ME"/>
        </w:rPr>
        <w:t>nedjelji</w:t>
      </w:r>
      <w:r w:rsidRPr="006F34F9">
        <w:rPr>
          <w:bCs/>
          <w:szCs w:val="22"/>
          <w:lang w:val="sr-Latn-ME"/>
        </w:rPr>
        <w:t xml:space="preserve"> u subpopulaciji pacijenata koji ni</w:t>
      </w:r>
      <w:r w:rsidR="00AF4D60" w:rsidRPr="006F34F9">
        <w:rPr>
          <w:bCs/>
          <w:szCs w:val="22"/>
          <w:lang w:val="sr-Latn-ME"/>
        </w:rPr>
        <w:t>je</w:t>
      </w:r>
      <w:r w:rsidRPr="006F34F9">
        <w:rPr>
          <w:bCs/>
          <w:szCs w:val="22"/>
          <w:lang w:val="sr-Latn-ME"/>
        </w:rPr>
        <w:t>su reagovali na antagonist</w:t>
      </w:r>
      <w:r w:rsidR="001E1510" w:rsidRPr="006F34F9">
        <w:rPr>
          <w:bCs/>
          <w:szCs w:val="22"/>
          <w:lang w:val="sr-Latn-ME"/>
        </w:rPr>
        <w:t>u</w:t>
      </w:r>
      <w:r w:rsidRPr="006F34F9">
        <w:rPr>
          <w:bCs/>
          <w:szCs w:val="22"/>
          <w:lang w:val="sr-Latn-ME"/>
        </w:rPr>
        <w:t xml:space="preserve"> TNFα. Kao što je navedeno u </w:t>
      </w:r>
      <w:r w:rsidR="001E1510" w:rsidRPr="006F34F9">
        <w:rPr>
          <w:bCs/>
          <w:szCs w:val="22"/>
          <w:lang w:val="sr-Latn-ME"/>
        </w:rPr>
        <w:t>T</w:t>
      </w:r>
      <w:r w:rsidRPr="006F34F9">
        <w:rPr>
          <w:bCs/>
          <w:szCs w:val="22"/>
          <w:lang w:val="sr-Latn-ME"/>
        </w:rPr>
        <w:t>abeli 4, iako primarni ishod nije ostvaren, eksplorativne analize pokazuju da su uočeni klinički značajni rezultati.</w:t>
      </w:r>
    </w:p>
    <w:p w14:paraId="749056EB" w14:textId="77777777" w:rsidR="001B44E1" w:rsidRPr="006F34F9" w:rsidRDefault="001B44E1">
      <w:pPr>
        <w:pStyle w:val="Header"/>
        <w:tabs>
          <w:tab w:val="left" w:pos="284"/>
        </w:tabs>
        <w:rPr>
          <w:bCs/>
          <w:szCs w:val="22"/>
          <w:lang w:val="sr-Latn-ME"/>
        </w:rPr>
      </w:pPr>
    </w:p>
    <w:tbl>
      <w:tblPr>
        <w:tblW w:w="0" w:type="auto"/>
        <w:tblInd w:w="-142" w:type="dxa"/>
        <w:tblLayout w:type="fixed"/>
        <w:tblLook w:val="04A0" w:firstRow="1" w:lastRow="0" w:firstColumn="1" w:lastColumn="0" w:noHBand="0" w:noVBand="1"/>
      </w:tblPr>
      <w:tblGrid>
        <w:gridCol w:w="3119"/>
        <w:gridCol w:w="283"/>
        <w:gridCol w:w="284"/>
        <w:gridCol w:w="142"/>
        <w:gridCol w:w="1984"/>
        <w:gridCol w:w="142"/>
        <w:gridCol w:w="1885"/>
      </w:tblGrid>
      <w:tr w:rsidR="001B44E1" w:rsidRPr="006F34F9" w14:paraId="6337D36C" w14:textId="77777777" w:rsidTr="00180C9F">
        <w:trPr>
          <w:trHeight w:val="274"/>
        </w:trPr>
        <w:tc>
          <w:tcPr>
            <w:tcW w:w="7839" w:type="dxa"/>
            <w:gridSpan w:val="7"/>
            <w:tcBorders>
              <w:top w:val="nil"/>
              <w:left w:val="nil"/>
              <w:bottom w:val="single" w:sz="4" w:space="0" w:color="auto"/>
              <w:right w:val="nil"/>
            </w:tcBorders>
            <w:hideMark/>
          </w:tcPr>
          <w:p w14:paraId="60637978" w14:textId="18FDCD0F" w:rsidR="001B44E1" w:rsidRPr="006F34F9" w:rsidRDefault="001B44E1">
            <w:pPr>
              <w:pStyle w:val="Header"/>
              <w:spacing w:before="80" w:after="80"/>
              <w:rPr>
                <w:bCs/>
                <w:szCs w:val="22"/>
                <w:lang w:val="sr-Latn-ME"/>
              </w:rPr>
            </w:pPr>
            <w:r w:rsidRPr="006F34F9">
              <w:rPr>
                <w:b/>
                <w:bCs/>
                <w:szCs w:val="22"/>
                <w:lang w:val="sr-Latn-ME"/>
              </w:rPr>
              <w:t xml:space="preserve">Tabela </w:t>
            </w:r>
            <w:r w:rsidR="00550B37" w:rsidRPr="006F34F9">
              <w:rPr>
                <w:b/>
                <w:bCs/>
                <w:szCs w:val="22"/>
                <w:lang w:val="sr-Latn-ME"/>
              </w:rPr>
              <w:t>6</w:t>
            </w:r>
            <w:r w:rsidRPr="006F34F9">
              <w:rPr>
                <w:b/>
                <w:bCs/>
                <w:szCs w:val="22"/>
                <w:lang w:val="sr-Latn-ME"/>
              </w:rPr>
              <w:t xml:space="preserve">. Rezultati efikasnosti u ispitivanjima GEMINI </w:t>
            </w:r>
            <w:r w:rsidR="00A22425" w:rsidRPr="006F34F9">
              <w:rPr>
                <w:b/>
                <w:bCs/>
                <w:szCs w:val="22"/>
                <w:lang w:val="sr-Latn-ME"/>
              </w:rPr>
              <w:t>2</w:t>
            </w:r>
            <w:r w:rsidRPr="006F34F9">
              <w:rPr>
                <w:b/>
                <w:bCs/>
                <w:szCs w:val="22"/>
                <w:lang w:val="sr-Latn-ME"/>
              </w:rPr>
              <w:t xml:space="preserve"> i </w:t>
            </w:r>
            <w:r w:rsidR="00A22425" w:rsidRPr="006F34F9">
              <w:rPr>
                <w:b/>
                <w:bCs/>
                <w:szCs w:val="22"/>
                <w:lang w:val="sr-Latn-ME"/>
              </w:rPr>
              <w:t>3</w:t>
            </w:r>
            <w:r w:rsidRPr="006F34F9">
              <w:rPr>
                <w:b/>
                <w:bCs/>
                <w:szCs w:val="22"/>
                <w:lang w:val="sr-Latn-ME"/>
              </w:rPr>
              <w:t xml:space="preserve"> u 6. i 10. </w:t>
            </w:r>
            <w:r w:rsidR="0069571E" w:rsidRPr="006F34F9">
              <w:rPr>
                <w:b/>
                <w:bCs/>
                <w:szCs w:val="22"/>
                <w:lang w:val="sr-Latn-ME"/>
              </w:rPr>
              <w:t>nedjelji</w:t>
            </w:r>
            <w:r w:rsidRPr="006F34F9">
              <w:rPr>
                <w:b/>
                <w:bCs/>
                <w:szCs w:val="22"/>
                <w:lang w:val="sr-Latn-ME"/>
              </w:rPr>
              <w:t xml:space="preserve"> </w:t>
            </w:r>
          </w:p>
        </w:tc>
      </w:tr>
      <w:tr w:rsidR="001B44E1" w:rsidRPr="006F34F9" w14:paraId="5553A86E" w14:textId="77777777" w:rsidTr="00180C9F">
        <w:trPr>
          <w:trHeight w:val="274"/>
        </w:trPr>
        <w:tc>
          <w:tcPr>
            <w:tcW w:w="3828" w:type="dxa"/>
            <w:gridSpan w:val="4"/>
            <w:tcBorders>
              <w:top w:val="single" w:sz="4" w:space="0" w:color="auto"/>
              <w:left w:val="nil"/>
              <w:bottom w:val="single" w:sz="4" w:space="0" w:color="auto"/>
              <w:right w:val="nil"/>
            </w:tcBorders>
            <w:hideMark/>
          </w:tcPr>
          <w:p w14:paraId="6FB6C679" w14:textId="77777777" w:rsidR="001B44E1" w:rsidRPr="006F34F9" w:rsidRDefault="001B44E1" w:rsidP="00E708C7">
            <w:pPr>
              <w:pStyle w:val="Header"/>
              <w:spacing w:before="80" w:after="80"/>
              <w:rPr>
                <w:bCs/>
                <w:szCs w:val="22"/>
                <w:lang w:val="sr-Latn-ME"/>
              </w:rPr>
            </w:pPr>
            <w:r w:rsidRPr="006F34F9">
              <w:rPr>
                <w:bCs/>
                <w:szCs w:val="22"/>
                <w:lang w:val="sr-Latn-ME"/>
              </w:rPr>
              <w:t xml:space="preserve">Ishod </w:t>
            </w:r>
          </w:p>
          <w:p w14:paraId="51E913E8" w14:textId="77777777" w:rsidR="001B44E1" w:rsidRPr="006F34F9" w:rsidRDefault="001B44E1" w:rsidP="00E708C7">
            <w:pPr>
              <w:pStyle w:val="Header"/>
              <w:spacing w:before="80" w:after="80"/>
              <w:rPr>
                <w:bCs/>
                <w:szCs w:val="22"/>
                <w:lang w:val="sr-Latn-ME"/>
              </w:rPr>
            </w:pPr>
            <w:r w:rsidRPr="006F34F9">
              <w:rPr>
                <w:bCs/>
                <w:szCs w:val="22"/>
                <w:lang w:val="sr-Latn-ME"/>
              </w:rPr>
              <w:t xml:space="preserve">ispitivanja </w:t>
            </w:r>
          </w:p>
        </w:tc>
        <w:tc>
          <w:tcPr>
            <w:tcW w:w="2126" w:type="dxa"/>
            <w:gridSpan w:val="2"/>
            <w:tcBorders>
              <w:top w:val="single" w:sz="4" w:space="0" w:color="auto"/>
              <w:left w:val="nil"/>
              <w:bottom w:val="single" w:sz="4" w:space="0" w:color="auto"/>
              <w:right w:val="nil"/>
            </w:tcBorders>
            <w:hideMark/>
          </w:tcPr>
          <w:p w14:paraId="75AD802C" w14:textId="77777777" w:rsidR="001B44E1" w:rsidRPr="006F34F9" w:rsidRDefault="001B44E1" w:rsidP="00E708C7">
            <w:pPr>
              <w:pStyle w:val="Header"/>
              <w:spacing w:before="80" w:after="80"/>
              <w:rPr>
                <w:bCs/>
                <w:szCs w:val="22"/>
                <w:lang w:val="sr-Latn-ME"/>
              </w:rPr>
            </w:pPr>
            <w:r w:rsidRPr="006F34F9">
              <w:rPr>
                <w:b/>
                <w:bCs/>
                <w:szCs w:val="22"/>
                <w:lang w:val="sr-Latn-ME"/>
              </w:rPr>
              <w:t xml:space="preserve">Placebo </w:t>
            </w:r>
          </w:p>
        </w:tc>
        <w:tc>
          <w:tcPr>
            <w:tcW w:w="1885" w:type="dxa"/>
            <w:tcBorders>
              <w:top w:val="single" w:sz="4" w:space="0" w:color="auto"/>
              <w:left w:val="nil"/>
              <w:bottom w:val="single" w:sz="4" w:space="0" w:color="auto"/>
              <w:right w:val="nil"/>
            </w:tcBorders>
            <w:hideMark/>
          </w:tcPr>
          <w:p w14:paraId="1C1B1079" w14:textId="2CB9CD37" w:rsidR="001B44E1" w:rsidRPr="006F34F9" w:rsidRDefault="001B44E1" w:rsidP="00E708C7">
            <w:pPr>
              <w:pStyle w:val="Header"/>
              <w:spacing w:before="80" w:after="80"/>
              <w:rPr>
                <w:bCs/>
                <w:szCs w:val="22"/>
                <w:lang w:val="sr-Latn-ME"/>
              </w:rPr>
            </w:pPr>
            <w:r w:rsidRPr="006F34F9">
              <w:rPr>
                <w:b/>
                <w:bCs/>
                <w:szCs w:val="22"/>
                <w:lang w:val="sr-Latn-ME"/>
              </w:rPr>
              <w:t xml:space="preserve">Vedolizumab </w:t>
            </w:r>
            <w:r w:rsidR="00707218">
              <w:rPr>
                <w:b/>
                <w:bCs/>
                <w:szCs w:val="22"/>
                <w:lang w:val="sr-Latn-ME"/>
              </w:rPr>
              <w:t>i.v.</w:t>
            </w:r>
          </w:p>
        </w:tc>
      </w:tr>
      <w:tr w:rsidR="001B44E1" w:rsidRPr="006F34F9" w14:paraId="6975EFA7" w14:textId="77777777" w:rsidTr="00180C9F">
        <w:trPr>
          <w:trHeight w:val="147"/>
        </w:trPr>
        <w:tc>
          <w:tcPr>
            <w:tcW w:w="7839" w:type="dxa"/>
            <w:gridSpan w:val="7"/>
            <w:tcBorders>
              <w:top w:val="single" w:sz="4" w:space="0" w:color="auto"/>
              <w:left w:val="nil"/>
              <w:bottom w:val="nil"/>
              <w:right w:val="nil"/>
            </w:tcBorders>
            <w:hideMark/>
          </w:tcPr>
          <w:p w14:paraId="05715FD4" w14:textId="762A9DD2" w:rsidR="001B44E1" w:rsidRPr="006F34F9" w:rsidRDefault="001B44E1" w:rsidP="00E708C7">
            <w:pPr>
              <w:pStyle w:val="Header"/>
              <w:spacing w:before="80" w:after="80"/>
              <w:rPr>
                <w:bCs/>
                <w:szCs w:val="22"/>
                <w:lang w:val="sr-Latn-ME"/>
              </w:rPr>
            </w:pPr>
            <w:r w:rsidRPr="006F34F9">
              <w:rPr>
                <w:b/>
                <w:bCs/>
                <w:szCs w:val="22"/>
                <w:lang w:val="sr-Latn-ME"/>
              </w:rPr>
              <w:t xml:space="preserve">Ispitivanje GEMINI </w:t>
            </w:r>
            <w:r w:rsidR="00A22425" w:rsidRPr="006F34F9">
              <w:rPr>
                <w:b/>
                <w:bCs/>
                <w:szCs w:val="22"/>
                <w:lang w:val="sr-Latn-ME"/>
              </w:rPr>
              <w:t>2</w:t>
            </w:r>
            <w:r w:rsidRPr="006F34F9">
              <w:rPr>
                <w:b/>
                <w:bCs/>
                <w:szCs w:val="22"/>
                <w:lang w:val="sr-Latn-ME"/>
              </w:rPr>
              <w:t xml:space="preserve"> </w:t>
            </w:r>
          </w:p>
        </w:tc>
      </w:tr>
      <w:tr w:rsidR="001B44E1" w:rsidRPr="006F34F9" w14:paraId="47AFAE14" w14:textId="77777777" w:rsidTr="00180C9F">
        <w:trPr>
          <w:trHeight w:val="145"/>
        </w:trPr>
        <w:tc>
          <w:tcPr>
            <w:tcW w:w="7839" w:type="dxa"/>
            <w:gridSpan w:val="7"/>
            <w:tcBorders>
              <w:top w:val="nil"/>
              <w:left w:val="nil"/>
              <w:bottom w:val="nil"/>
              <w:right w:val="nil"/>
            </w:tcBorders>
            <w:hideMark/>
          </w:tcPr>
          <w:p w14:paraId="6C77B6E0" w14:textId="2A855F16" w:rsidR="001B44E1" w:rsidRPr="006F34F9" w:rsidRDefault="001B44E1" w:rsidP="00E708C7">
            <w:pPr>
              <w:pStyle w:val="Header"/>
              <w:spacing w:before="80" w:after="80"/>
              <w:rPr>
                <w:bCs/>
                <w:szCs w:val="22"/>
                <w:lang w:val="sr-Latn-ME"/>
              </w:rPr>
            </w:pPr>
            <w:r w:rsidRPr="006F34F9">
              <w:rPr>
                <w:bCs/>
                <w:szCs w:val="22"/>
                <w:lang w:val="sr-Latn-ME"/>
              </w:rPr>
              <w:t xml:space="preserve">Klinička remisija, 6. </w:t>
            </w:r>
            <w:r w:rsidR="008062E2" w:rsidRPr="006F34F9">
              <w:rPr>
                <w:bCs/>
                <w:szCs w:val="22"/>
                <w:lang w:val="sr-Latn-ME"/>
              </w:rPr>
              <w:t>nedjelja</w:t>
            </w:r>
            <w:r w:rsidRPr="006F34F9">
              <w:rPr>
                <w:bCs/>
                <w:szCs w:val="22"/>
                <w:lang w:val="sr-Latn-ME"/>
              </w:rPr>
              <w:t xml:space="preserve"> </w:t>
            </w:r>
          </w:p>
        </w:tc>
      </w:tr>
      <w:tr w:rsidR="001B44E1" w:rsidRPr="006F34F9" w14:paraId="71A2AF59" w14:textId="77777777" w:rsidTr="00180C9F">
        <w:trPr>
          <w:trHeight w:val="154"/>
        </w:trPr>
        <w:tc>
          <w:tcPr>
            <w:tcW w:w="3686" w:type="dxa"/>
            <w:gridSpan w:val="3"/>
            <w:tcBorders>
              <w:top w:val="nil"/>
              <w:left w:val="nil"/>
              <w:bottom w:val="nil"/>
              <w:right w:val="nil"/>
            </w:tcBorders>
            <w:hideMark/>
          </w:tcPr>
          <w:p w14:paraId="39B6151A" w14:textId="77777777" w:rsidR="001B44E1" w:rsidRPr="006F34F9" w:rsidRDefault="001B44E1" w:rsidP="00E708C7">
            <w:pPr>
              <w:pStyle w:val="Header"/>
              <w:spacing w:before="80" w:after="80"/>
              <w:rPr>
                <w:bCs/>
                <w:szCs w:val="22"/>
                <w:lang w:val="sr-Latn-ME"/>
              </w:rPr>
            </w:pPr>
            <w:r w:rsidRPr="006F34F9">
              <w:rPr>
                <w:bCs/>
                <w:szCs w:val="22"/>
                <w:lang w:val="sr-Latn-ME"/>
              </w:rPr>
              <w:t xml:space="preserve">Ukupno </w:t>
            </w:r>
          </w:p>
        </w:tc>
        <w:tc>
          <w:tcPr>
            <w:tcW w:w="2268" w:type="dxa"/>
            <w:gridSpan w:val="3"/>
            <w:tcBorders>
              <w:top w:val="nil"/>
              <w:left w:val="nil"/>
              <w:bottom w:val="nil"/>
              <w:right w:val="nil"/>
            </w:tcBorders>
            <w:hideMark/>
          </w:tcPr>
          <w:p w14:paraId="19544623" w14:textId="77777777" w:rsidR="001B44E1" w:rsidRPr="006F34F9" w:rsidRDefault="001B44E1" w:rsidP="00E708C7">
            <w:pPr>
              <w:pStyle w:val="Header"/>
              <w:spacing w:before="80" w:after="80"/>
              <w:rPr>
                <w:bCs/>
                <w:szCs w:val="22"/>
                <w:lang w:val="sr-Latn-ME"/>
              </w:rPr>
            </w:pPr>
            <w:r w:rsidRPr="006F34F9">
              <w:rPr>
                <w:bCs/>
                <w:szCs w:val="22"/>
                <w:lang w:val="sr-Latn-ME"/>
              </w:rPr>
              <w:t xml:space="preserve">7% (n = 148) </w:t>
            </w:r>
          </w:p>
        </w:tc>
        <w:tc>
          <w:tcPr>
            <w:tcW w:w="1885" w:type="dxa"/>
            <w:tcBorders>
              <w:top w:val="nil"/>
              <w:left w:val="nil"/>
              <w:bottom w:val="nil"/>
              <w:right w:val="nil"/>
            </w:tcBorders>
            <w:hideMark/>
          </w:tcPr>
          <w:p w14:paraId="51136F53" w14:textId="77777777" w:rsidR="001B44E1" w:rsidRPr="006F34F9" w:rsidRDefault="001B44E1" w:rsidP="00E708C7">
            <w:pPr>
              <w:pStyle w:val="Header"/>
              <w:spacing w:before="80" w:after="80"/>
              <w:rPr>
                <w:bCs/>
                <w:szCs w:val="22"/>
                <w:lang w:val="sr-Latn-ME"/>
              </w:rPr>
            </w:pPr>
            <w:r w:rsidRPr="006F34F9">
              <w:rPr>
                <w:bCs/>
                <w:szCs w:val="22"/>
                <w:lang w:val="sr-Latn-ME"/>
              </w:rPr>
              <w:t xml:space="preserve">15%* (n = 220) </w:t>
            </w:r>
          </w:p>
        </w:tc>
      </w:tr>
      <w:tr w:rsidR="001B44E1" w:rsidRPr="006F34F9" w14:paraId="7C002C6E" w14:textId="77777777" w:rsidTr="00180C9F">
        <w:trPr>
          <w:trHeight w:val="271"/>
        </w:trPr>
        <w:tc>
          <w:tcPr>
            <w:tcW w:w="3686" w:type="dxa"/>
            <w:gridSpan w:val="3"/>
            <w:tcBorders>
              <w:top w:val="nil"/>
              <w:left w:val="nil"/>
              <w:bottom w:val="nil"/>
              <w:right w:val="nil"/>
            </w:tcBorders>
            <w:hideMark/>
          </w:tcPr>
          <w:p w14:paraId="092DCE44" w14:textId="7C6F5B85" w:rsidR="001B44E1" w:rsidRPr="006F34F9" w:rsidRDefault="008062E2" w:rsidP="00E708C7">
            <w:pPr>
              <w:pStyle w:val="Header"/>
              <w:spacing w:before="80" w:after="80"/>
              <w:rPr>
                <w:bCs/>
                <w:szCs w:val="22"/>
                <w:lang w:val="sr-Latn-ME"/>
              </w:rPr>
            </w:pPr>
            <w:r w:rsidRPr="006F34F9">
              <w:rPr>
                <w:bCs/>
                <w:szCs w:val="22"/>
                <w:lang w:val="sr-Latn-ME"/>
              </w:rPr>
              <w:t>Neuspjeh</w:t>
            </w:r>
            <w:r w:rsidR="001B44E1" w:rsidRPr="006F34F9">
              <w:rPr>
                <w:bCs/>
                <w:szCs w:val="22"/>
                <w:lang w:val="sr-Latn-ME"/>
              </w:rPr>
              <w:t xml:space="preserve"> </w:t>
            </w:r>
            <w:r w:rsidR="003D1FD7" w:rsidRPr="006F34F9">
              <w:rPr>
                <w:bCs/>
                <w:szCs w:val="22"/>
                <w:lang w:val="sr-Latn-ME"/>
              </w:rPr>
              <w:t>liječenja</w:t>
            </w:r>
            <w:r w:rsidR="001B44E1" w:rsidRPr="006F34F9">
              <w:rPr>
                <w:bCs/>
                <w:szCs w:val="22"/>
                <w:lang w:val="sr-Latn-ME"/>
              </w:rPr>
              <w:t xml:space="preserve"> antagonistom </w:t>
            </w:r>
          </w:p>
          <w:p w14:paraId="3D4EAD97" w14:textId="77777777" w:rsidR="001B44E1" w:rsidRPr="006F34F9" w:rsidRDefault="001B44E1" w:rsidP="00E708C7">
            <w:pPr>
              <w:pStyle w:val="Header"/>
              <w:spacing w:before="80" w:after="80"/>
              <w:rPr>
                <w:bCs/>
                <w:szCs w:val="22"/>
                <w:lang w:val="sr-Latn-ME"/>
              </w:rPr>
            </w:pPr>
            <w:r w:rsidRPr="006F34F9">
              <w:rPr>
                <w:bCs/>
                <w:szCs w:val="22"/>
                <w:lang w:val="sr-Latn-ME"/>
              </w:rPr>
              <w:t xml:space="preserve">(antagonistima) TNFα </w:t>
            </w:r>
          </w:p>
        </w:tc>
        <w:tc>
          <w:tcPr>
            <w:tcW w:w="2268" w:type="dxa"/>
            <w:gridSpan w:val="3"/>
            <w:tcBorders>
              <w:top w:val="nil"/>
              <w:left w:val="nil"/>
              <w:bottom w:val="nil"/>
              <w:right w:val="nil"/>
            </w:tcBorders>
            <w:hideMark/>
          </w:tcPr>
          <w:p w14:paraId="0E665E1D" w14:textId="77777777" w:rsidR="001B44E1" w:rsidRPr="006F34F9" w:rsidRDefault="001B44E1" w:rsidP="00E708C7">
            <w:pPr>
              <w:pStyle w:val="Header"/>
              <w:spacing w:before="80" w:after="80"/>
              <w:rPr>
                <w:bCs/>
                <w:szCs w:val="22"/>
                <w:lang w:val="sr-Latn-ME"/>
              </w:rPr>
            </w:pPr>
            <w:r w:rsidRPr="006F34F9">
              <w:rPr>
                <w:bCs/>
                <w:szCs w:val="22"/>
                <w:lang w:val="sr-Latn-ME"/>
              </w:rPr>
              <w:t xml:space="preserve">4% (n = 70) </w:t>
            </w:r>
          </w:p>
        </w:tc>
        <w:tc>
          <w:tcPr>
            <w:tcW w:w="1885" w:type="dxa"/>
            <w:tcBorders>
              <w:top w:val="nil"/>
              <w:left w:val="nil"/>
              <w:bottom w:val="nil"/>
              <w:right w:val="nil"/>
            </w:tcBorders>
            <w:hideMark/>
          </w:tcPr>
          <w:p w14:paraId="0835335D" w14:textId="77777777" w:rsidR="001B44E1" w:rsidRPr="006F34F9" w:rsidRDefault="001B44E1" w:rsidP="00E708C7">
            <w:pPr>
              <w:pStyle w:val="Header"/>
              <w:spacing w:before="80" w:after="80"/>
              <w:rPr>
                <w:bCs/>
                <w:szCs w:val="22"/>
                <w:lang w:val="sr-Latn-ME"/>
              </w:rPr>
            </w:pPr>
            <w:r w:rsidRPr="006F34F9">
              <w:rPr>
                <w:bCs/>
                <w:szCs w:val="22"/>
                <w:lang w:val="sr-Latn-ME"/>
              </w:rPr>
              <w:t xml:space="preserve">11% (n = 105) </w:t>
            </w:r>
          </w:p>
        </w:tc>
      </w:tr>
      <w:tr w:rsidR="001B44E1" w:rsidRPr="006F34F9" w14:paraId="3BF82D86" w14:textId="77777777" w:rsidTr="00180C9F">
        <w:trPr>
          <w:trHeight w:val="271"/>
        </w:trPr>
        <w:tc>
          <w:tcPr>
            <w:tcW w:w="3686" w:type="dxa"/>
            <w:gridSpan w:val="3"/>
            <w:tcBorders>
              <w:top w:val="nil"/>
              <w:left w:val="nil"/>
              <w:bottom w:val="nil"/>
              <w:right w:val="nil"/>
            </w:tcBorders>
            <w:hideMark/>
          </w:tcPr>
          <w:p w14:paraId="2DB57A43" w14:textId="3E03935F" w:rsidR="001B44E1" w:rsidRPr="006F34F9" w:rsidRDefault="001B44E1" w:rsidP="00E708C7">
            <w:pPr>
              <w:pStyle w:val="Header"/>
              <w:spacing w:before="80" w:after="80"/>
              <w:rPr>
                <w:bCs/>
                <w:szCs w:val="22"/>
                <w:lang w:val="sr-Latn-ME"/>
              </w:rPr>
            </w:pPr>
            <w:r w:rsidRPr="006F34F9">
              <w:rPr>
                <w:bCs/>
                <w:szCs w:val="22"/>
                <w:lang w:val="sr-Latn-ME"/>
              </w:rPr>
              <w:t xml:space="preserve">Bez </w:t>
            </w:r>
            <w:r w:rsidR="00B148F2" w:rsidRPr="006F34F9">
              <w:rPr>
                <w:bCs/>
                <w:szCs w:val="22"/>
                <w:lang w:val="sr-Latn-ME"/>
              </w:rPr>
              <w:t>prethodno</w:t>
            </w:r>
            <w:r w:rsidRPr="006F34F9">
              <w:rPr>
                <w:bCs/>
                <w:szCs w:val="22"/>
                <w:lang w:val="sr-Latn-ME"/>
              </w:rPr>
              <w:t xml:space="preserve">g </w:t>
            </w:r>
            <w:r w:rsidR="003D1FD7" w:rsidRPr="006F34F9">
              <w:rPr>
                <w:bCs/>
                <w:szCs w:val="22"/>
                <w:lang w:val="sr-Latn-ME"/>
              </w:rPr>
              <w:t>liječenja</w:t>
            </w:r>
            <w:r w:rsidRPr="006F34F9">
              <w:rPr>
                <w:bCs/>
                <w:szCs w:val="22"/>
                <w:lang w:val="sr-Latn-ME"/>
              </w:rPr>
              <w:t xml:space="preserve"> </w:t>
            </w:r>
          </w:p>
          <w:p w14:paraId="26203163" w14:textId="77777777" w:rsidR="001B44E1" w:rsidRPr="006F34F9" w:rsidRDefault="001B44E1" w:rsidP="00E708C7">
            <w:pPr>
              <w:pStyle w:val="Header"/>
              <w:spacing w:before="80" w:after="80"/>
              <w:rPr>
                <w:bCs/>
                <w:szCs w:val="22"/>
                <w:lang w:val="sr-Latn-ME"/>
              </w:rPr>
            </w:pPr>
            <w:r w:rsidRPr="006F34F9">
              <w:rPr>
                <w:bCs/>
                <w:szCs w:val="22"/>
                <w:lang w:val="sr-Latn-ME"/>
              </w:rPr>
              <w:t xml:space="preserve">TNFα antagonistom (antagonistima) </w:t>
            </w:r>
          </w:p>
        </w:tc>
        <w:tc>
          <w:tcPr>
            <w:tcW w:w="2268" w:type="dxa"/>
            <w:gridSpan w:val="3"/>
            <w:tcBorders>
              <w:top w:val="nil"/>
              <w:left w:val="nil"/>
              <w:bottom w:val="nil"/>
              <w:right w:val="nil"/>
            </w:tcBorders>
            <w:hideMark/>
          </w:tcPr>
          <w:p w14:paraId="3C135CA9" w14:textId="77777777" w:rsidR="001B44E1" w:rsidRPr="006F34F9" w:rsidRDefault="001B44E1" w:rsidP="00E708C7">
            <w:pPr>
              <w:pStyle w:val="Header"/>
              <w:spacing w:before="80" w:after="80"/>
              <w:rPr>
                <w:bCs/>
                <w:szCs w:val="22"/>
                <w:lang w:val="sr-Latn-ME"/>
              </w:rPr>
            </w:pPr>
            <w:r w:rsidRPr="006F34F9">
              <w:rPr>
                <w:bCs/>
                <w:szCs w:val="22"/>
                <w:lang w:val="sr-Latn-ME"/>
              </w:rPr>
              <w:t xml:space="preserve">9% (n = 76) </w:t>
            </w:r>
          </w:p>
        </w:tc>
        <w:tc>
          <w:tcPr>
            <w:tcW w:w="1885" w:type="dxa"/>
            <w:tcBorders>
              <w:top w:val="nil"/>
              <w:left w:val="nil"/>
              <w:bottom w:val="nil"/>
              <w:right w:val="nil"/>
            </w:tcBorders>
            <w:hideMark/>
          </w:tcPr>
          <w:p w14:paraId="4DD693FD" w14:textId="77777777" w:rsidR="001B44E1" w:rsidRPr="006F34F9" w:rsidRDefault="001B44E1" w:rsidP="00E708C7">
            <w:pPr>
              <w:pStyle w:val="Header"/>
              <w:spacing w:before="80" w:after="80"/>
              <w:rPr>
                <w:bCs/>
                <w:szCs w:val="22"/>
                <w:lang w:val="sr-Latn-ME"/>
              </w:rPr>
            </w:pPr>
            <w:r w:rsidRPr="006F34F9">
              <w:rPr>
                <w:bCs/>
                <w:szCs w:val="22"/>
                <w:lang w:val="sr-Latn-ME"/>
              </w:rPr>
              <w:t xml:space="preserve">17% (n = 109) </w:t>
            </w:r>
          </w:p>
        </w:tc>
      </w:tr>
      <w:tr w:rsidR="001B44E1" w:rsidRPr="006F34F9" w14:paraId="38AB2B94" w14:textId="77777777" w:rsidTr="00180C9F">
        <w:trPr>
          <w:trHeight w:val="145"/>
        </w:trPr>
        <w:tc>
          <w:tcPr>
            <w:tcW w:w="7839" w:type="dxa"/>
            <w:gridSpan w:val="7"/>
            <w:tcBorders>
              <w:top w:val="nil"/>
              <w:left w:val="nil"/>
              <w:bottom w:val="nil"/>
              <w:right w:val="nil"/>
            </w:tcBorders>
            <w:hideMark/>
          </w:tcPr>
          <w:p w14:paraId="3AF734A3" w14:textId="0D52085C" w:rsidR="001B44E1" w:rsidRPr="006F34F9" w:rsidRDefault="001B44E1" w:rsidP="00E708C7">
            <w:pPr>
              <w:pStyle w:val="Header"/>
              <w:spacing w:before="80" w:after="80"/>
              <w:rPr>
                <w:bCs/>
                <w:szCs w:val="22"/>
                <w:lang w:val="sr-Latn-ME"/>
              </w:rPr>
            </w:pPr>
            <w:r w:rsidRPr="006F34F9">
              <w:rPr>
                <w:bCs/>
                <w:szCs w:val="22"/>
                <w:lang w:val="sr-Latn-ME"/>
              </w:rPr>
              <w:t xml:space="preserve">Pojačani klinički odgovor, 6. </w:t>
            </w:r>
            <w:r w:rsidR="008062E2" w:rsidRPr="006F34F9">
              <w:rPr>
                <w:bCs/>
                <w:szCs w:val="22"/>
                <w:lang w:val="sr-Latn-ME"/>
              </w:rPr>
              <w:t>nedjelja</w:t>
            </w:r>
            <w:r w:rsidRPr="006F34F9">
              <w:rPr>
                <w:bCs/>
                <w:szCs w:val="22"/>
                <w:lang w:val="sr-Latn-ME"/>
              </w:rPr>
              <w:t xml:space="preserve"> </w:t>
            </w:r>
          </w:p>
        </w:tc>
      </w:tr>
      <w:tr w:rsidR="001B44E1" w:rsidRPr="006F34F9" w14:paraId="298AFAB6" w14:textId="77777777" w:rsidTr="00180C9F">
        <w:trPr>
          <w:trHeight w:val="154"/>
        </w:trPr>
        <w:tc>
          <w:tcPr>
            <w:tcW w:w="3686" w:type="dxa"/>
            <w:gridSpan w:val="3"/>
            <w:tcBorders>
              <w:top w:val="nil"/>
              <w:left w:val="nil"/>
              <w:bottom w:val="nil"/>
              <w:right w:val="nil"/>
            </w:tcBorders>
            <w:hideMark/>
          </w:tcPr>
          <w:p w14:paraId="19B3A8DB" w14:textId="4D79C78F" w:rsidR="001B44E1" w:rsidRPr="009F10BD" w:rsidRDefault="001B44E1" w:rsidP="0066419A">
            <w:pPr>
              <w:pStyle w:val="Default"/>
              <w:tabs>
                <w:tab w:val="center" w:pos="4536"/>
                <w:tab w:val="right" w:pos="9072"/>
              </w:tabs>
              <w:autoSpaceDE/>
              <w:autoSpaceDN/>
              <w:adjustRightInd/>
              <w:spacing w:before="80" w:after="80"/>
              <w:jc w:val="both"/>
              <w:rPr>
                <w:bCs/>
                <w:szCs w:val="22"/>
                <w:lang w:val="sr-Latn-ME"/>
              </w:rPr>
            </w:pPr>
            <w:r w:rsidRPr="006F34F9">
              <w:rPr>
                <w:bCs/>
                <w:szCs w:val="22"/>
                <w:lang w:val="sr-Latn-ME"/>
              </w:rPr>
              <w:t>Ukupno</w:t>
            </w:r>
          </w:p>
        </w:tc>
        <w:tc>
          <w:tcPr>
            <w:tcW w:w="2268" w:type="dxa"/>
            <w:gridSpan w:val="3"/>
            <w:tcBorders>
              <w:top w:val="nil"/>
              <w:left w:val="nil"/>
              <w:bottom w:val="nil"/>
              <w:right w:val="nil"/>
            </w:tcBorders>
            <w:hideMark/>
          </w:tcPr>
          <w:p w14:paraId="1C61961A" w14:textId="77777777" w:rsidR="001B44E1" w:rsidRPr="006F34F9" w:rsidRDefault="001B44E1" w:rsidP="00E708C7">
            <w:pPr>
              <w:pStyle w:val="Header"/>
              <w:spacing w:before="80" w:after="80"/>
              <w:rPr>
                <w:bCs/>
                <w:szCs w:val="22"/>
                <w:lang w:val="sr-Latn-ME"/>
              </w:rPr>
            </w:pPr>
            <w:r w:rsidRPr="006F34F9">
              <w:rPr>
                <w:bCs/>
                <w:szCs w:val="22"/>
                <w:lang w:val="sr-Latn-ME"/>
              </w:rPr>
              <w:t xml:space="preserve">26% (n = 148) </w:t>
            </w:r>
          </w:p>
        </w:tc>
        <w:tc>
          <w:tcPr>
            <w:tcW w:w="1885" w:type="dxa"/>
            <w:tcBorders>
              <w:top w:val="nil"/>
              <w:left w:val="nil"/>
              <w:bottom w:val="nil"/>
              <w:right w:val="nil"/>
            </w:tcBorders>
            <w:hideMark/>
          </w:tcPr>
          <w:p w14:paraId="66C8344A" w14:textId="77777777" w:rsidR="001B44E1" w:rsidRPr="006F34F9" w:rsidRDefault="001B44E1" w:rsidP="00E708C7">
            <w:pPr>
              <w:pStyle w:val="Header"/>
              <w:spacing w:before="80" w:after="80"/>
              <w:rPr>
                <w:bCs/>
                <w:szCs w:val="22"/>
                <w:lang w:val="sr-Latn-ME"/>
              </w:rPr>
            </w:pPr>
            <w:r w:rsidRPr="006F34F9">
              <w:rPr>
                <w:bCs/>
                <w:szCs w:val="22"/>
                <w:lang w:val="sr-Latn-ME"/>
              </w:rPr>
              <w:t xml:space="preserve">31%† (n = 220) </w:t>
            </w:r>
          </w:p>
        </w:tc>
      </w:tr>
      <w:tr w:rsidR="001B44E1" w:rsidRPr="006F34F9" w14:paraId="385F41D7" w14:textId="77777777" w:rsidTr="00180C9F">
        <w:trPr>
          <w:trHeight w:val="272"/>
        </w:trPr>
        <w:tc>
          <w:tcPr>
            <w:tcW w:w="3686" w:type="dxa"/>
            <w:gridSpan w:val="3"/>
            <w:tcBorders>
              <w:top w:val="nil"/>
              <w:left w:val="nil"/>
              <w:bottom w:val="nil"/>
              <w:right w:val="nil"/>
            </w:tcBorders>
            <w:hideMark/>
          </w:tcPr>
          <w:p w14:paraId="53C0ED4F" w14:textId="7EDACEE0" w:rsidR="001B44E1" w:rsidRPr="006F34F9" w:rsidRDefault="008062E2" w:rsidP="00E708C7">
            <w:pPr>
              <w:pStyle w:val="Header"/>
              <w:spacing w:before="80" w:after="80"/>
              <w:rPr>
                <w:bCs/>
                <w:szCs w:val="22"/>
                <w:lang w:val="sr-Latn-ME"/>
              </w:rPr>
            </w:pPr>
            <w:r w:rsidRPr="006F34F9">
              <w:rPr>
                <w:bCs/>
                <w:szCs w:val="22"/>
                <w:lang w:val="sr-Latn-ME"/>
              </w:rPr>
              <w:t>Neuspjeh</w:t>
            </w:r>
            <w:r w:rsidR="001B44E1" w:rsidRPr="006F34F9">
              <w:rPr>
                <w:bCs/>
                <w:szCs w:val="22"/>
                <w:lang w:val="sr-Latn-ME"/>
              </w:rPr>
              <w:t xml:space="preserve"> </w:t>
            </w:r>
            <w:r w:rsidR="003D1FD7" w:rsidRPr="006F34F9">
              <w:rPr>
                <w:bCs/>
                <w:szCs w:val="22"/>
                <w:lang w:val="sr-Latn-ME"/>
              </w:rPr>
              <w:t>liječenja</w:t>
            </w:r>
            <w:r w:rsidR="001B44E1" w:rsidRPr="006F34F9">
              <w:rPr>
                <w:bCs/>
                <w:szCs w:val="22"/>
                <w:lang w:val="sr-Latn-ME"/>
              </w:rPr>
              <w:t xml:space="preserve"> antagonistom </w:t>
            </w:r>
          </w:p>
          <w:p w14:paraId="2B5CDDB2" w14:textId="77777777" w:rsidR="001B44E1" w:rsidRPr="006F34F9" w:rsidRDefault="001B44E1" w:rsidP="00E708C7">
            <w:pPr>
              <w:pStyle w:val="Header"/>
              <w:spacing w:before="80" w:after="80"/>
              <w:rPr>
                <w:bCs/>
                <w:szCs w:val="22"/>
                <w:lang w:val="sr-Latn-ME"/>
              </w:rPr>
            </w:pPr>
            <w:r w:rsidRPr="006F34F9">
              <w:rPr>
                <w:bCs/>
                <w:szCs w:val="22"/>
                <w:lang w:val="sr-Latn-ME"/>
              </w:rPr>
              <w:t>(antagonistima) TNFα</w:t>
            </w:r>
          </w:p>
        </w:tc>
        <w:tc>
          <w:tcPr>
            <w:tcW w:w="2268" w:type="dxa"/>
            <w:gridSpan w:val="3"/>
            <w:tcBorders>
              <w:top w:val="nil"/>
              <w:left w:val="nil"/>
              <w:bottom w:val="nil"/>
              <w:right w:val="nil"/>
            </w:tcBorders>
            <w:hideMark/>
          </w:tcPr>
          <w:p w14:paraId="24B1C205" w14:textId="77777777" w:rsidR="001B44E1" w:rsidRPr="006F34F9" w:rsidRDefault="001B44E1" w:rsidP="00E708C7">
            <w:pPr>
              <w:pStyle w:val="Header"/>
              <w:spacing w:before="80" w:after="80"/>
              <w:rPr>
                <w:bCs/>
                <w:szCs w:val="22"/>
                <w:lang w:val="sr-Latn-ME"/>
              </w:rPr>
            </w:pPr>
            <w:r w:rsidRPr="006F34F9">
              <w:rPr>
                <w:bCs/>
                <w:szCs w:val="22"/>
                <w:lang w:val="sr-Latn-ME"/>
              </w:rPr>
              <w:t xml:space="preserve">23% (n = 70) </w:t>
            </w:r>
          </w:p>
        </w:tc>
        <w:tc>
          <w:tcPr>
            <w:tcW w:w="1885" w:type="dxa"/>
            <w:tcBorders>
              <w:top w:val="nil"/>
              <w:left w:val="nil"/>
              <w:bottom w:val="nil"/>
              <w:right w:val="nil"/>
            </w:tcBorders>
            <w:hideMark/>
          </w:tcPr>
          <w:p w14:paraId="526CF0D0" w14:textId="77777777" w:rsidR="001B44E1" w:rsidRPr="006F34F9" w:rsidRDefault="001B44E1" w:rsidP="00E708C7">
            <w:pPr>
              <w:pStyle w:val="Header"/>
              <w:spacing w:before="80" w:after="80"/>
              <w:rPr>
                <w:bCs/>
                <w:szCs w:val="22"/>
                <w:lang w:val="sr-Latn-ME"/>
              </w:rPr>
            </w:pPr>
            <w:r w:rsidRPr="006F34F9">
              <w:rPr>
                <w:bCs/>
                <w:szCs w:val="22"/>
                <w:lang w:val="sr-Latn-ME"/>
              </w:rPr>
              <w:t xml:space="preserve">24% (n = 105) </w:t>
            </w:r>
          </w:p>
        </w:tc>
      </w:tr>
      <w:tr w:rsidR="001B44E1" w:rsidRPr="006F34F9" w14:paraId="5E096BD4" w14:textId="77777777" w:rsidTr="00180C9F">
        <w:trPr>
          <w:trHeight w:val="271"/>
        </w:trPr>
        <w:tc>
          <w:tcPr>
            <w:tcW w:w="3686" w:type="dxa"/>
            <w:gridSpan w:val="3"/>
            <w:tcBorders>
              <w:top w:val="nil"/>
              <w:left w:val="nil"/>
              <w:bottom w:val="nil"/>
              <w:right w:val="nil"/>
            </w:tcBorders>
            <w:hideMark/>
          </w:tcPr>
          <w:p w14:paraId="396DAC9F" w14:textId="7AEF52D6" w:rsidR="001B44E1" w:rsidRPr="006F34F9" w:rsidRDefault="001B44E1" w:rsidP="00E708C7">
            <w:pPr>
              <w:pStyle w:val="Header"/>
              <w:spacing w:before="80" w:after="80"/>
              <w:rPr>
                <w:bCs/>
                <w:szCs w:val="22"/>
                <w:lang w:val="sr-Latn-ME"/>
              </w:rPr>
            </w:pPr>
            <w:r w:rsidRPr="006F34F9">
              <w:rPr>
                <w:bCs/>
                <w:szCs w:val="22"/>
                <w:lang w:val="sr-Latn-ME"/>
              </w:rPr>
              <w:t xml:space="preserve">Bez </w:t>
            </w:r>
            <w:r w:rsidR="00B148F2" w:rsidRPr="006F34F9">
              <w:rPr>
                <w:bCs/>
                <w:szCs w:val="22"/>
                <w:lang w:val="sr-Latn-ME"/>
              </w:rPr>
              <w:t>prethodno</w:t>
            </w:r>
            <w:r w:rsidRPr="006F34F9">
              <w:rPr>
                <w:bCs/>
                <w:szCs w:val="22"/>
                <w:lang w:val="sr-Latn-ME"/>
              </w:rPr>
              <w:t xml:space="preserve">g </w:t>
            </w:r>
            <w:r w:rsidR="003D1FD7" w:rsidRPr="006F34F9">
              <w:rPr>
                <w:bCs/>
                <w:szCs w:val="22"/>
                <w:lang w:val="sr-Latn-ME"/>
              </w:rPr>
              <w:t>liječenja</w:t>
            </w:r>
            <w:r w:rsidRPr="006F34F9">
              <w:rPr>
                <w:bCs/>
                <w:szCs w:val="22"/>
                <w:lang w:val="sr-Latn-ME"/>
              </w:rPr>
              <w:t xml:space="preserve"> </w:t>
            </w:r>
          </w:p>
          <w:p w14:paraId="3F842F98" w14:textId="77777777" w:rsidR="001B44E1" w:rsidRPr="006F34F9" w:rsidRDefault="001B44E1" w:rsidP="00E708C7">
            <w:pPr>
              <w:pStyle w:val="Header"/>
              <w:spacing w:before="80" w:after="80"/>
              <w:rPr>
                <w:bCs/>
                <w:szCs w:val="22"/>
                <w:lang w:val="sr-Latn-ME"/>
              </w:rPr>
            </w:pPr>
            <w:r w:rsidRPr="006F34F9">
              <w:rPr>
                <w:bCs/>
                <w:szCs w:val="22"/>
                <w:lang w:val="sr-Latn-ME"/>
              </w:rPr>
              <w:t xml:space="preserve">TNFα antagonistom (antagonistima) </w:t>
            </w:r>
          </w:p>
        </w:tc>
        <w:tc>
          <w:tcPr>
            <w:tcW w:w="2268" w:type="dxa"/>
            <w:gridSpan w:val="3"/>
            <w:tcBorders>
              <w:top w:val="nil"/>
              <w:left w:val="nil"/>
              <w:bottom w:val="nil"/>
              <w:right w:val="nil"/>
            </w:tcBorders>
            <w:hideMark/>
          </w:tcPr>
          <w:p w14:paraId="4D22C045" w14:textId="77777777" w:rsidR="001B44E1" w:rsidRPr="006F34F9" w:rsidRDefault="001B44E1" w:rsidP="00E708C7">
            <w:pPr>
              <w:pStyle w:val="Header"/>
              <w:spacing w:before="80" w:after="80"/>
              <w:rPr>
                <w:bCs/>
                <w:szCs w:val="22"/>
                <w:lang w:val="sr-Latn-ME"/>
              </w:rPr>
            </w:pPr>
            <w:r w:rsidRPr="006F34F9">
              <w:rPr>
                <w:bCs/>
                <w:szCs w:val="22"/>
                <w:lang w:val="sr-Latn-ME"/>
              </w:rPr>
              <w:t xml:space="preserve">30% (n = 76) </w:t>
            </w:r>
          </w:p>
        </w:tc>
        <w:tc>
          <w:tcPr>
            <w:tcW w:w="1885" w:type="dxa"/>
            <w:tcBorders>
              <w:top w:val="nil"/>
              <w:left w:val="nil"/>
              <w:bottom w:val="nil"/>
              <w:right w:val="nil"/>
            </w:tcBorders>
            <w:hideMark/>
          </w:tcPr>
          <w:p w14:paraId="4937000A" w14:textId="77777777" w:rsidR="001B44E1" w:rsidRPr="006F34F9" w:rsidRDefault="001B44E1" w:rsidP="00E708C7">
            <w:pPr>
              <w:pStyle w:val="Header"/>
              <w:spacing w:before="80" w:after="80"/>
              <w:rPr>
                <w:bCs/>
                <w:szCs w:val="22"/>
                <w:lang w:val="sr-Latn-ME"/>
              </w:rPr>
            </w:pPr>
            <w:r w:rsidRPr="006F34F9">
              <w:rPr>
                <w:bCs/>
                <w:szCs w:val="22"/>
                <w:lang w:val="sr-Latn-ME"/>
              </w:rPr>
              <w:t xml:space="preserve">42% (n = 109) </w:t>
            </w:r>
          </w:p>
        </w:tc>
      </w:tr>
      <w:tr w:rsidR="001B44E1" w:rsidRPr="006F34F9" w14:paraId="39E47917" w14:textId="77777777" w:rsidTr="00180C9F">
        <w:trPr>
          <w:gridAfter w:val="6"/>
          <w:wAfter w:w="4720" w:type="dxa"/>
          <w:trHeight w:val="524"/>
        </w:trPr>
        <w:tc>
          <w:tcPr>
            <w:tcW w:w="3119" w:type="dxa"/>
            <w:tcBorders>
              <w:top w:val="nil"/>
              <w:left w:val="nil"/>
              <w:bottom w:val="nil"/>
              <w:right w:val="nil"/>
            </w:tcBorders>
            <w:hideMark/>
          </w:tcPr>
          <w:p w14:paraId="2A7A88F2" w14:textId="53E99F86" w:rsidR="001B44E1" w:rsidRPr="006F34F9" w:rsidRDefault="0067327C" w:rsidP="00180C9F">
            <w:pPr>
              <w:pStyle w:val="Header"/>
              <w:spacing w:before="80" w:after="80"/>
              <w:jc w:val="left"/>
              <w:rPr>
                <w:bCs/>
                <w:szCs w:val="22"/>
                <w:lang w:val="sr-Latn-ME"/>
              </w:rPr>
            </w:pPr>
            <w:r w:rsidRPr="006F34F9">
              <w:rPr>
                <w:bCs/>
                <w:szCs w:val="22"/>
                <w:lang w:val="sr-Latn-ME"/>
              </w:rPr>
              <w:t>Promjena</w:t>
            </w:r>
            <w:r w:rsidR="001B44E1" w:rsidRPr="006F34F9">
              <w:rPr>
                <w:bCs/>
                <w:szCs w:val="22"/>
                <w:lang w:val="sr-Latn-ME"/>
              </w:rPr>
              <w:t xml:space="preserve"> nivoa serumskog C- reaktivnog proteina u odnosu na </w:t>
            </w:r>
            <w:r w:rsidR="001B44E1" w:rsidRPr="006F34F9">
              <w:rPr>
                <w:bCs/>
                <w:szCs w:val="22"/>
                <w:lang w:val="sr-Latn-ME"/>
              </w:rPr>
              <w:lastRenderedPageBreak/>
              <w:t>vr</w:t>
            </w:r>
            <w:r w:rsidR="001E1510" w:rsidRPr="006F34F9">
              <w:rPr>
                <w:bCs/>
                <w:szCs w:val="22"/>
                <w:lang w:val="sr-Latn-ME"/>
              </w:rPr>
              <w:t>ij</w:t>
            </w:r>
            <w:r w:rsidR="001B44E1" w:rsidRPr="006F34F9">
              <w:rPr>
                <w:bCs/>
                <w:szCs w:val="22"/>
                <w:lang w:val="sr-Latn-ME"/>
              </w:rPr>
              <w:t xml:space="preserve">ednosti </w:t>
            </w:r>
            <w:r w:rsidR="008062E2" w:rsidRPr="006F34F9">
              <w:rPr>
                <w:bCs/>
                <w:szCs w:val="22"/>
                <w:lang w:val="sr-Latn-ME"/>
              </w:rPr>
              <w:t>prije</w:t>
            </w:r>
            <w:r w:rsidR="001B44E1" w:rsidRPr="006F34F9">
              <w:rPr>
                <w:bCs/>
                <w:szCs w:val="22"/>
                <w:lang w:val="sr-Latn-ME"/>
              </w:rPr>
              <w:t xml:space="preserve"> ispitivanja do 6. </w:t>
            </w:r>
            <w:r w:rsidR="00A22425" w:rsidRPr="006F34F9">
              <w:rPr>
                <w:bCs/>
                <w:szCs w:val="22"/>
                <w:lang w:val="sr-Latn-ME"/>
              </w:rPr>
              <w:t>nedjelje</w:t>
            </w:r>
            <w:r w:rsidR="001B44E1" w:rsidRPr="006F34F9">
              <w:rPr>
                <w:bCs/>
                <w:szCs w:val="22"/>
                <w:lang w:val="sr-Latn-ME"/>
              </w:rPr>
              <w:t>, medijan</w:t>
            </w:r>
            <w:r w:rsidR="00A22425" w:rsidRPr="006F34F9">
              <w:rPr>
                <w:bCs/>
                <w:szCs w:val="22"/>
                <w:lang w:val="sr-Latn-ME"/>
              </w:rPr>
              <w:t>a</w:t>
            </w:r>
            <w:r w:rsidR="001B44E1" w:rsidRPr="006F34F9">
              <w:rPr>
                <w:bCs/>
                <w:szCs w:val="22"/>
                <w:lang w:val="sr-Latn-ME"/>
              </w:rPr>
              <w:t xml:space="preserve"> (mikrograma/m</w:t>
            </w:r>
            <w:r w:rsidR="00707218">
              <w:rPr>
                <w:bCs/>
                <w:szCs w:val="22"/>
                <w:lang w:val="sr-Latn-ME"/>
              </w:rPr>
              <w:t>l</w:t>
            </w:r>
            <w:r w:rsidR="001B44E1" w:rsidRPr="006F34F9">
              <w:rPr>
                <w:bCs/>
                <w:szCs w:val="22"/>
                <w:lang w:val="sr-Latn-ME"/>
              </w:rPr>
              <w:t xml:space="preserve">) </w:t>
            </w:r>
          </w:p>
        </w:tc>
      </w:tr>
      <w:tr w:rsidR="001B44E1" w:rsidRPr="006F34F9" w14:paraId="2627FAE8" w14:textId="77777777" w:rsidTr="00180C9F">
        <w:trPr>
          <w:trHeight w:val="154"/>
        </w:trPr>
        <w:tc>
          <w:tcPr>
            <w:tcW w:w="3402" w:type="dxa"/>
            <w:gridSpan w:val="2"/>
            <w:tcBorders>
              <w:top w:val="nil"/>
              <w:left w:val="nil"/>
              <w:bottom w:val="nil"/>
              <w:right w:val="nil"/>
            </w:tcBorders>
            <w:hideMark/>
          </w:tcPr>
          <w:p w14:paraId="0D0644A5" w14:textId="77777777" w:rsidR="001B44E1" w:rsidRPr="006F34F9" w:rsidRDefault="001B44E1" w:rsidP="00E708C7">
            <w:pPr>
              <w:pStyle w:val="Header"/>
              <w:spacing w:before="80" w:after="80"/>
              <w:rPr>
                <w:bCs/>
                <w:szCs w:val="22"/>
                <w:lang w:val="sr-Latn-ME"/>
              </w:rPr>
            </w:pPr>
            <w:r w:rsidRPr="006F34F9">
              <w:rPr>
                <w:bCs/>
                <w:szCs w:val="22"/>
                <w:lang w:val="sr-Latn-ME"/>
              </w:rPr>
              <w:lastRenderedPageBreak/>
              <w:t>Ukupno</w:t>
            </w:r>
            <w:r w:rsidRPr="0066419A">
              <w:rPr>
                <w:bCs/>
                <w:szCs w:val="22"/>
                <w:vertAlign w:val="superscript"/>
                <w:lang w:val="sr-Latn-ME"/>
              </w:rPr>
              <w:t>‡</w:t>
            </w:r>
            <w:r w:rsidRPr="006F34F9">
              <w:rPr>
                <w:bCs/>
                <w:szCs w:val="22"/>
                <w:lang w:val="sr-Latn-ME"/>
              </w:rPr>
              <w:t xml:space="preserve"> </w:t>
            </w:r>
          </w:p>
        </w:tc>
        <w:tc>
          <w:tcPr>
            <w:tcW w:w="2410" w:type="dxa"/>
            <w:gridSpan w:val="3"/>
            <w:tcBorders>
              <w:top w:val="nil"/>
              <w:left w:val="nil"/>
              <w:bottom w:val="nil"/>
              <w:right w:val="nil"/>
            </w:tcBorders>
            <w:hideMark/>
          </w:tcPr>
          <w:p w14:paraId="448426E3" w14:textId="77777777" w:rsidR="001B44E1" w:rsidRPr="006F34F9" w:rsidRDefault="001B44E1" w:rsidP="00E708C7">
            <w:pPr>
              <w:pStyle w:val="Header"/>
              <w:spacing w:before="80" w:after="80"/>
              <w:rPr>
                <w:bCs/>
                <w:szCs w:val="22"/>
                <w:lang w:val="sr-Latn-ME"/>
              </w:rPr>
            </w:pPr>
            <w:r w:rsidRPr="006F34F9">
              <w:rPr>
                <w:bCs/>
                <w:szCs w:val="22"/>
                <w:lang w:val="sr-Latn-ME"/>
              </w:rPr>
              <w:t xml:space="preserve">-0.5 (n = 147) </w:t>
            </w:r>
          </w:p>
        </w:tc>
        <w:tc>
          <w:tcPr>
            <w:tcW w:w="2027" w:type="dxa"/>
            <w:gridSpan w:val="2"/>
            <w:tcBorders>
              <w:top w:val="nil"/>
              <w:left w:val="nil"/>
              <w:bottom w:val="nil"/>
              <w:right w:val="nil"/>
            </w:tcBorders>
            <w:hideMark/>
          </w:tcPr>
          <w:p w14:paraId="1CD4AE1B" w14:textId="77777777" w:rsidR="001B44E1" w:rsidRPr="006F34F9" w:rsidRDefault="001B44E1" w:rsidP="00E708C7">
            <w:pPr>
              <w:pStyle w:val="Header"/>
              <w:spacing w:before="80" w:after="80"/>
              <w:rPr>
                <w:bCs/>
                <w:szCs w:val="22"/>
                <w:lang w:val="sr-Latn-ME"/>
              </w:rPr>
            </w:pPr>
            <w:r w:rsidRPr="006F34F9">
              <w:rPr>
                <w:bCs/>
                <w:szCs w:val="22"/>
                <w:lang w:val="sr-Latn-ME"/>
              </w:rPr>
              <w:t xml:space="preserve">-0.9 (n = 220) </w:t>
            </w:r>
          </w:p>
        </w:tc>
      </w:tr>
      <w:tr w:rsidR="001B44E1" w:rsidRPr="006F34F9" w14:paraId="08630DFE" w14:textId="77777777" w:rsidTr="00180C9F">
        <w:trPr>
          <w:trHeight w:val="147"/>
        </w:trPr>
        <w:tc>
          <w:tcPr>
            <w:tcW w:w="7839" w:type="dxa"/>
            <w:gridSpan w:val="7"/>
            <w:tcBorders>
              <w:top w:val="nil"/>
              <w:left w:val="nil"/>
              <w:bottom w:val="nil"/>
              <w:right w:val="nil"/>
            </w:tcBorders>
            <w:hideMark/>
          </w:tcPr>
          <w:p w14:paraId="66D1597D" w14:textId="14AA4FA8" w:rsidR="001B44E1" w:rsidRPr="006F34F9" w:rsidRDefault="001B44E1" w:rsidP="00E708C7">
            <w:pPr>
              <w:pStyle w:val="Header"/>
              <w:spacing w:before="80" w:after="80"/>
              <w:rPr>
                <w:bCs/>
                <w:szCs w:val="22"/>
                <w:lang w:val="sr-Latn-ME"/>
              </w:rPr>
            </w:pPr>
            <w:r w:rsidRPr="006F34F9">
              <w:rPr>
                <w:b/>
                <w:bCs/>
                <w:szCs w:val="22"/>
                <w:lang w:val="sr-Latn-ME"/>
              </w:rPr>
              <w:t xml:space="preserve">Ispitivanje GEMINI </w:t>
            </w:r>
            <w:r w:rsidR="00A22425" w:rsidRPr="006F34F9">
              <w:rPr>
                <w:b/>
                <w:bCs/>
                <w:szCs w:val="22"/>
                <w:lang w:val="sr-Latn-ME"/>
              </w:rPr>
              <w:t>3</w:t>
            </w:r>
            <w:r w:rsidRPr="006F34F9">
              <w:rPr>
                <w:b/>
                <w:bCs/>
                <w:szCs w:val="22"/>
                <w:lang w:val="sr-Latn-ME"/>
              </w:rPr>
              <w:t xml:space="preserve"> </w:t>
            </w:r>
          </w:p>
        </w:tc>
      </w:tr>
      <w:tr w:rsidR="001B44E1" w:rsidRPr="006F34F9" w14:paraId="716306F8" w14:textId="77777777" w:rsidTr="00180C9F">
        <w:trPr>
          <w:trHeight w:val="145"/>
        </w:trPr>
        <w:tc>
          <w:tcPr>
            <w:tcW w:w="7839" w:type="dxa"/>
            <w:gridSpan w:val="7"/>
            <w:tcBorders>
              <w:top w:val="nil"/>
              <w:left w:val="nil"/>
              <w:bottom w:val="nil"/>
              <w:right w:val="nil"/>
            </w:tcBorders>
            <w:hideMark/>
          </w:tcPr>
          <w:p w14:paraId="5B1C8D3B" w14:textId="61556867" w:rsidR="001B44E1" w:rsidRPr="006F34F9" w:rsidRDefault="001B44E1" w:rsidP="00E708C7">
            <w:pPr>
              <w:pStyle w:val="Header"/>
              <w:spacing w:before="80" w:after="80"/>
              <w:rPr>
                <w:bCs/>
                <w:szCs w:val="22"/>
                <w:lang w:val="sr-Latn-ME"/>
              </w:rPr>
            </w:pPr>
            <w:r w:rsidRPr="006F34F9">
              <w:rPr>
                <w:bCs/>
                <w:szCs w:val="22"/>
                <w:lang w:val="sr-Latn-ME"/>
              </w:rPr>
              <w:t xml:space="preserve">Klinička remisija, 6. </w:t>
            </w:r>
            <w:r w:rsidR="008062E2" w:rsidRPr="006F34F9">
              <w:rPr>
                <w:bCs/>
                <w:szCs w:val="22"/>
                <w:lang w:val="sr-Latn-ME"/>
              </w:rPr>
              <w:t>nedjelja</w:t>
            </w:r>
            <w:r w:rsidRPr="006F34F9">
              <w:rPr>
                <w:bCs/>
                <w:szCs w:val="22"/>
                <w:lang w:val="sr-Latn-ME"/>
              </w:rPr>
              <w:t xml:space="preserve"> </w:t>
            </w:r>
          </w:p>
        </w:tc>
      </w:tr>
      <w:tr w:rsidR="001B44E1" w:rsidRPr="006F34F9" w14:paraId="53033BEF" w14:textId="77777777" w:rsidTr="00180C9F">
        <w:trPr>
          <w:trHeight w:val="154"/>
        </w:trPr>
        <w:tc>
          <w:tcPr>
            <w:tcW w:w="3402" w:type="dxa"/>
            <w:gridSpan w:val="2"/>
            <w:tcBorders>
              <w:top w:val="nil"/>
              <w:left w:val="nil"/>
              <w:bottom w:val="nil"/>
              <w:right w:val="nil"/>
            </w:tcBorders>
            <w:hideMark/>
          </w:tcPr>
          <w:p w14:paraId="7F0F3F91" w14:textId="77777777" w:rsidR="001B44E1" w:rsidRPr="006F34F9" w:rsidRDefault="001B44E1" w:rsidP="00E708C7">
            <w:pPr>
              <w:pStyle w:val="Header"/>
              <w:spacing w:before="80" w:after="80"/>
              <w:rPr>
                <w:bCs/>
                <w:szCs w:val="22"/>
                <w:lang w:val="sr-Latn-ME"/>
              </w:rPr>
            </w:pPr>
            <w:r w:rsidRPr="006F34F9">
              <w:rPr>
                <w:bCs/>
                <w:szCs w:val="22"/>
                <w:lang w:val="sr-Latn-ME"/>
              </w:rPr>
              <w:t>Ukupno</w:t>
            </w:r>
            <w:r w:rsidRPr="0066419A">
              <w:rPr>
                <w:bCs/>
                <w:szCs w:val="22"/>
                <w:vertAlign w:val="superscript"/>
                <w:lang w:val="sr-Latn-ME"/>
              </w:rPr>
              <w:t xml:space="preserve">‡ </w:t>
            </w:r>
          </w:p>
        </w:tc>
        <w:tc>
          <w:tcPr>
            <w:tcW w:w="2410" w:type="dxa"/>
            <w:gridSpan w:val="3"/>
            <w:tcBorders>
              <w:top w:val="nil"/>
              <w:left w:val="nil"/>
              <w:bottom w:val="nil"/>
              <w:right w:val="nil"/>
            </w:tcBorders>
            <w:hideMark/>
          </w:tcPr>
          <w:p w14:paraId="0706980A" w14:textId="77777777" w:rsidR="001B44E1" w:rsidRPr="006F34F9" w:rsidRDefault="001B44E1" w:rsidP="00E708C7">
            <w:pPr>
              <w:pStyle w:val="Header"/>
              <w:spacing w:before="80" w:after="80"/>
              <w:rPr>
                <w:bCs/>
                <w:szCs w:val="22"/>
                <w:lang w:val="sr-Latn-ME"/>
              </w:rPr>
            </w:pPr>
            <w:r w:rsidRPr="006F34F9">
              <w:rPr>
                <w:bCs/>
                <w:szCs w:val="22"/>
                <w:lang w:val="sr-Latn-ME"/>
              </w:rPr>
              <w:t xml:space="preserve">12% (n = 207) </w:t>
            </w:r>
          </w:p>
        </w:tc>
        <w:tc>
          <w:tcPr>
            <w:tcW w:w="2027" w:type="dxa"/>
            <w:gridSpan w:val="2"/>
            <w:tcBorders>
              <w:top w:val="nil"/>
              <w:left w:val="nil"/>
              <w:bottom w:val="nil"/>
              <w:right w:val="nil"/>
            </w:tcBorders>
            <w:hideMark/>
          </w:tcPr>
          <w:p w14:paraId="23035C93" w14:textId="77777777" w:rsidR="001B44E1" w:rsidRPr="006F34F9" w:rsidRDefault="001B44E1" w:rsidP="00E708C7">
            <w:pPr>
              <w:pStyle w:val="Header"/>
              <w:spacing w:before="80" w:after="80"/>
              <w:rPr>
                <w:bCs/>
                <w:szCs w:val="22"/>
                <w:lang w:val="sr-Latn-ME"/>
              </w:rPr>
            </w:pPr>
            <w:r w:rsidRPr="006F34F9">
              <w:rPr>
                <w:bCs/>
                <w:szCs w:val="22"/>
                <w:lang w:val="sr-Latn-ME"/>
              </w:rPr>
              <w:t xml:space="preserve">19% (n = 209) </w:t>
            </w:r>
          </w:p>
        </w:tc>
      </w:tr>
      <w:tr w:rsidR="001B44E1" w:rsidRPr="006F34F9" w14:paraId="0E01A005" w14:textId="77777777" w:rsidTr="00180C9F">
        <w:trPr>
          <w:trHeight w:val="280"/>
        </w:trPr>
        <w:tc>
          <w:tcPr>
            <w:tcW w:w="3402" w:type="dxa"/>
            <w:gridSpan w:val="2"/>
            <w:tcBorders>
              <w:top w:val="nil"/>
              <w:left w:val="nil"/>
              <w:bottom w:val="nil"/>
              <w:right w:val="nil"/>
            </w:tcBorders>
            <w:hideMark/>
          </w:tcPr>
          <w:p w14:paraId="3E1F1312" w14:textId="11CDB33F" w:rsidR="001B44E1" w:rsidRPr="006F34F9" w:rsidRDefault="008062E2" w:rsidP="00E708C7">
            <w:pPr>
              <w:pStyle w:val="Header"/>
              <w:spacing w:before="80" w:after="80"/>
              <w:rPr>
                <w:bCs/>
                <w:szCs w:val="22"/>
                <w:lang w:val="sr-Latn-ME"/>
              </w:rPr>
            </w:pPr>
            <w:r w:rsidRPr="006F34F9">
              <w:rPr>
                <w:bCs/>
                <w:szCs w:val="22"/>
                <w:lang w:val="sr-Latn-ME"/>
              </w:rPr>
              <w:t>Neuspjeh</w:t>
            </w:r>
            <w:r w:rsidR="001B44E1" w:rsidRPr="006F34F9">
              <w:rPr>
                <w:bCs/>
                <w:szCs w:val="22"/>
                <w:lang w:val="sr-Latn-ME"/>
              </w:rPr>
              <w:t xml:space="preserve"> </w:t>
            </w:r>
            <w:r w:rsidR="003D1FD7" w:rsidRPr="006F34F9">
              <w:rPr>
                <w:bCs/>
                <w:szCs w:val="22"/>
                <w:lang w:val="sr-Latn-ME"/>
              </w:rPr>
              <w:t>liječenja</w:t>
            </w:r>
            <w:r w:rsidR="001B44E1" w:rsidRPr="006F34F9">
              <w:rPr>
                <w:bCs/>
                <w:szCs w:val="22"/>
                <w:lang w:val="sr-Latn-ME"/>
              </w:rPr>
              <w:t xml:space="preserve"> antagonistom </w:t>
            </w:r>
          </w:p>
          <w:p w14:paraId="492B6BCF" w14:textId="157CD8AA" w:rsidR="001B44E1" w:rsidRPr="006F34F9" w:rsidRDefault="001B44E1" w:rsidP="00E708C7">
            <w:pPr>
              <w:pStyle w:val="Header"/>
              <w:spacing w:before="80" w:after="80"/>
              <w:rPr>
                <w:bCs/>
                <w:szCs w:val="22"/>
                <w:lang w:val="sr-Latn-ME"/>
              </w:rPr>
            </w:pPr>
            <w:r w:rsidRPr="006F34F9">
              <w:rPr>
                <w:bCs/>
                <w:szCs w:val="22"/>
                <w:lang w:val="sr-Latn-ME"/>
              </w:rPr>
              <w:t>(antagonistima) TNFα</w:t>
            </w:r>
            <w:r w:rsidR="009F10BD" w:rsidRPr="0066419A">
              <w:rPr>
                <w:bCs/>
                <w:szCs w:val="22"/>
                <w:vertAlign w:val="superscript"/>
                <w:lang w:val="sr-Latn-ME"/>
              </w:rPr>
              <w:t>¶</w:t>
            </w:r>
          </w:p>
        </w:tc>
        <w:tc>
          <w:tcPr>
            <w:tcW w:w="2410" w:type="dxa"/>
            <w:gridSpan w:val="3"/>
            <w:tcBorders>
              <w:top w:val="nil"/>
              <w:left w:val="nil"/>
              <w:bottom w:val="nil"/>
              <w:right w:val="nil"/>
            </w:tcBorders>
            <w:hideMark/>
          </w:tcPr>
          <w:p w14:paraId="21D3CEF9" w14:textId="77777777" w:rsidR="001B44E1" w:rsidRPr="006F34F9" w:rsidRDefault="001B44E1" w:rsidP="00E708C7">
            <w:pPr>
              <w:pStyle w:val="Header"/>
              <w:spacing w:before="80" w:after="80"/>
              <w:rPr>
                <w:bCs/>
                <w:szCs w:val="22"/>
                <w:lang w:val="sr-Latn-ME"/>
              </w:rPr>
            </w:pPr>
            <w:r w:rsidRPr="006F34F9">
              <w:rPr>
                <w:bCs/>
                <w:szCs w:val="22"/>
                <w:lang w:val="sr-Latn-ME"/>
              </w:rPr>
              <w:t xml:space="preserve">12% (n = 157) </w:t>
            </w:r>
          </w:p>
        </w:tc>
        <w:tc>
          <w:tcPr>
            <w:tcW w:w="2027" w:type="dxa"/>
            <w:gridSpan w:val="2"/>
            <w:tcBorders>
              <w:top w:val="nil"/>
              <w:left w:val="nil"/>
              <w:bottom w:val="nil"/>
              <w:right w:val="nil"/>
            </w:tcBorders>
            <w:hideMark/>
          </w:tcPr>
          <w:p w14:paraId="55B7FA13" w14:textId="77777777" w:rsidR="001B44E1" w:rsidRPr="006F34F9" w:rsidRDefault="001B44E1" w:rsidP="00E708C7">
            <w:pPr>
              <w:pStyle w:val="Header"/>
              <w:spacing w:before="80" w:after="80"/>
              <w:rPr>
                <w:bCs/>
                <w:szCs w:val="22"/>
                <w:lang w:val="sr-Latn-ME"/>
              </w:rPr>
            </w:pPr>
            <w:r w:rsidRPr="006F34F9">
              <w:rPr>
                <w:bCs/>
                <w:szCs w:val="22"/>
                <w:lang w:val="sr-Latn-ME"/>
              </w:rPr>
              <w:t xml:space="preserve">15%§ (n = 158) </w:t>
            </w:r>
          </w:p>
        </w:tc>
      </w:tr>
      <w:tr w:rsidR="001B44E1" w:rsidRPr="006F34F9" w14:paraId="5F6F3A13" w14:textId="77777777" w:rsidTr="00180C9F">
        <w:trPr>
          <w:trHeight w:val="271"/>
        </w:trPr>
        <w:tc>
          <w:tcPr>
            <w:tcW w:w="3402" w:type="dxa"/>
            <w:gridSpan w:val="2"/>
            <w:tcBorders>
              <w:top w:val="nil"/>
              <w:left w:val="nil"/>
              <w:bottom w:val="nil"/>
              <w:right w:val="nil"/>
            </w:tcBorders>
            <w:hideMark/>
          </w:tcPr>
          <w:p w14:paraId="6F648F9E" w14:textId="0FD7F575" w:rsidR="001B44E1" w:rsidRPr="006F34F9" w:rsidRDefault="001B44E1" w:rsidP="00E708C7">
            <w:pPr>
              <w:pStyle w:val="Header"/>
              <w:spacing w:before="80" w:after="80"/>
              <w:rPr>
                <w:bCs/>
                <w:szCs w:val="22"/>
                <w:lang w:val="sr-Latn-ME"/>
              </w:rPr>
            </w:pPr>
            <w:r w:rsidRPr="006F34F9">
              <w:rPr>
                <w:bCs/>
                <w:szCs w:val="22"/>
                <w:lang w:val="sr-Latn-ME"/>
              </w:rPr>
              <w:t xml:space="preserve">Bez </w:t>
            </w:r>
            <w:r w:rsidR="00B148F2" w:rsidRPr="006F34F9">
              <w:rPr>
                <w:bCs/>
                <w:szCs w:val="22"/>
                <w:lang w:val="sr-Latn-ME"/>
              </w:rPr>
              <w:t>prethodno</w:t>
            </w:r>
            <w:r w:rsidRPr="006F34F9">
              <w:rPr>
                <w:bCs/>
                <w:szCs w:val="22"/>
                <w:lang w:val="sr-Latn-ME"/>
              </w:rPr>
              <w:t xml:space="preserve">g </w:t>
            </w:r>
            <w:r w:rsidR="003D1FD7" w:rsidRPr="006F34F9">
              <w:rPr>
                <w:bCs/>
                <w:szCs w:val="22"/>
                <w:lang w:val="sr-Latn-ME"/>
              </w:rPr>
              <w:t>liječenja</w:t>
            </w:r>
            <w:r w:rsidRPr="006F34F9">
              <w:rPr>
                <w:bCs/>
                <w:szCs w:val="22"/>
                <w:lang w:val="sr-Latn-ME"/>
              </w:rPr>
              <w:t xml:space="preserve"> TNFα antagonistom (antagonistima) </w:t>
            </w:r>
          </w:p>
        </w:tc>
        <w:tc>
          <w:tcPr>
            <w:tcW w:w="2410" w:type="dxa"/>
            <w:gridSpan w:val="3"/>
            <w:tcBorders>
              <w:top w:val="nil"/>
              <w:left w:val="nil"/>
              <w:bottom w:val="nil"/>
              <w:right w:val="nil"/>
            </w:tcBorders>
            <w:hideMark/>
          </w:tcPr>
          <w:p w14:paraId="7FE69C40" w14:textId="77777777" w:rsidR="001B44E1" w:rsidRPr="006F34F9" w:rsidRDefault="001B44E1" w:rsidP="00E708C7">
            <w:pPr>
              <w:pStyle w:val="Header"/>
              <w:spacing w:before="80" w:after="80"/>
              <w:rPr>
                <w:bCs/>
                <w:szCs w:val="22"/>
                <w:lang w:val="sr-Latn-ME"/>
              </w:rPr>
            </w:pPr>
            <w:r w:rsidRPr="006F34F9">
              <w:rPr>
                <w:bCs/>
                <w:szCs w:val="22"/>
                <w:lang w:val="sr-Latn-ME"/>
              </w:rPr>
              <w:t xml:space="preserve">12% (n = 50) </w:t>
            </w:r>
          </w:p>
        </w:tc>
        <w:tc>
          <w:tcPr>
            <w:tcW w:w="2027" w:type="dxa"/>
            <w:gridSpan w:val="2"/>
            <w:tcBorders>
              <w:top w:val="nil"/>
              <w:left w:val="nil"/>
              <w:bottom w:val="nil"/>
              <w:right w:val="nil"/>
            </w:tcBorders>
            <w:hideMark/>
          </w:tcPr>
          <w:p w14:paraId="4D054D31" w14:textId="77777777" w:rsidR="001B44E1" w:rsidRPr="006F34F9" w:rsidRDefault="001B44E1" w:rsidP="00E708C7">
            <w:pPr>
              <w:pStyle w:val="Header"/>
              <w:spacing w:before="80" w:after="80"/>
              <w:rPr>
                <w:bCs/>
                <w:szCs w:val="22"/>
                <w:lang w:val="sr-Latn-ME"/>
              </w:rPr>
            </w:pPr>
            <w:r w:rsidRPr="006F34F9">
              <w:rPr>
                <w:bCs/>
                <w:szCs w:val="22"/>
                <w:lang w:val="sr-Latn-ME"/>
              </w:rPr>
              <w:t xml:space="preserve">31% (n = 51) </w:t>
            </w:r>
          </w:p>
        </w:tc>
      </w:tr>
      <w:tr w:rsidR="001B44E1" w:rsidRPr="006F34F9" w14:paraId="179D511E" w14:textId="77777777" w:rsidTr="00180C9F">
        <w:trPr>
          <w:trHeight w:val="145"/>
        </w:trPr>
        <w:tc>
          <w:tcPr>
            <w:tcW w:w="7839" w:type="dxa"/>
            <w:gridSpan w:val="7"/>
            <w:tcBorders>
              <w:top w:val="nil"/>
              <w:left w:val="nil"/>
              <w:bottom w:val="nil"/>
              <w:right w:val="nil"/>
            </w:tcBorders>
            <w:hideMark/>
          </w:tcPr>
          <w:p w14:paraId="4913CC9C" w14:textId="3D0654BD" w:rsidR="001B44E1" w:rsidRPr="006F34F9" w:rsidRDefault="001B44E1" w:rsidP="00E708C7">
            <w:pPr>
              <w:pStyle w:val="Header"/>
              <w:spacing w:before="80" w:after="80"/>
              <w:rPr>
                <w:bCs/>
                <w:szCs w:val="22"/>
                <w:lang w:val="sr-Latn-ME"/>
              </w:rPr>
            </w:pPr>
            <w:r w:rsidRPr="006F34F9">
              <w:rPr>
                <w:bCs/>
                <w:szCs w:val="22"/>
                <w:lang w:val="sr-Latn-ME"/>
              </w:rPr>
              <w:t xml:space="preserve">Klinička remisija, 10. </w:t>
            </w:r>
            <w:r w:rsidR="008062E2" w:rsidRPr="006F34F9">
              <w:rPr>
                <w:bCs/>
                <w:szCs w:val="22"/>
                <w:lang w:val="sr-Latn-ME"/>
              </w:rPr>
              <w:t>nedjelja</w:t>
            </w:r>
            <w:r w:rsidRPr="006F34F9">
              <w:rPr>
                <w:bCs/>
                <w:szCs w:val="22"/>
                <w:lang w:val="sr-Latn-ME"/>
              </w:rPr>
              <w:t xml:space="preserve"> </w:t>
            </w:r>
          </w:p>
        </w:tc>
      </w:tr>
      <w:tr w:rsidR="001B44E1" w:rsidRPr="006F34F9" w14:paraId="323A1215" w14:textId="77777777" w:rsidTr="00180C9F">
        <w:trPr>
          <w:trHeight w:val="145"/>
        </w:trPr>
        <w:tc>
          <w:tcPr>
            <w:tcW w:w="3402" w:type="dxa"/>
            <w:gridSpan w:val="2"/>
            <w:tcBorders>
              <w:top w:val="nil"/>
              <w:left w:val="nil"/>
              <w:bottom w:val="nil"/>
              <w:right w:val="nil"/>
            </w:tcBorders>
            <w:hideMark/>
          </w:tcPr>
          <w:p w14:paraId="093DBA94" w14:textId="77777777" w:rsidR="001B44E1" w:rsidRPr="006F34F9" w:rsidRDefault="001B44E1" w:rsidP="00E708C7">
            <w:pPr>
              <w:pStyle w:val="Header"/>
              <w:spacing w:before="80" w:after="80"/>
              <w:rPr>
                <w:bCs/>
                <w:szCs w:val="22"/>
                <w:lang w:val="sr-Latn-ME"/>
              </w:rPr>
            </w:pPr>
            <w:r w:rsidRPr="006F34F9">
              <w:rPr>
                <w:bCs/>
                <w:szCs w:val="22"/>
                <w:lang w:val="sr-Latn-ME"/>
              </w:rPr>
              <w:t xml:space="preserve">Ukupno </w:t>
            </w:r>
          </w:p>
        </w:tc>
        <w:tc>
          <w:tcPr>
            <w:tcW w:w="2410" w:type="dxa"/>
            <w:gridSpan w:val="3"/>
            <w:tcBorders>
              <w:top w:val="nil"/>
              <w:left w:val="nil"/>
              <w:bottom w:val="nil"/>
              <w:right w:val="nil"/>
            </w:tcBorders>
            <w:hideMark/>
          </w:tcPr>
          <w:p w14:paraId="202B689B" w14:textId="77777777" w:rsidR="001B44E1" w:rsidRPr="006F34F9" w:rsidRDefault="001B44E1" w:rsidP="00E708C7">
            <w:pPr>
              <w:pStyle w:val="Header"/>
              <w:spacing w:before="80" w:after="80"/>
              <w:rPr>
                <w:bCs/>
                <w:szCs w:val="22"/>
                <w:lang w:val="sr-Latn-ME"/>
              </w:rPr>
            </w:pPr>
            <w:r w:rsidRPr="006F34F9">
              <w:rPr>
                <w:bCs/>
                <w:szCs w:val="22"/>
                <w:lang w:val="sr-Latn-ME"/>
              </w:rPr>
              <w:t xml:space="preserve">13% (n = 207) </w:t>
            </w:r>
          </w:p>
        </w:tc>
        <w:tc>
          <w:tcPr>
            <w:tcW w:w="2027" w:type="dxa"/>
            <w:gridSpan w:val="2"/>
            <w:tcBorders>
              <w:top w:val="nil"/>
              <w:left w:val="nil"/>
              <w:bottom w:val="nil"/>
              <w:right w:val="nil"/>
            </w:tcBorders>
            <w:hideMark/>
          </w:tcPr>
          <w:p w14:paraId="3C58B58F" w14:textId="77777777" w:rsidR="001B44E1" w:rsidRPr="006F34F9" w:rsidRDefault="001B44E1" w:rsidP="00E708C7">
            <w:pPr>
              <w:pStyle w:val="Header"/>
              <w:spacing w:before="80" w:after="80"/>
              <w:rPr>
                <w:bCs/>
                <w:szCs w:val="22"/>
                <w:lang w:val="sr-Latn-ME"/>
              </w:rPr>
            </w:pPr>
            <w:r w:rsidRPr="006F34F9">
              <w:rPr>
                <w:bCs/>
                <w:szCs w:val="22"/>
                <w:lang w:val="sr-Latn-ME"/>
              </w:rPr>
              <w:t xml:space="preserve">29% (n = 209) </w:t>
            </w:r>
          </w:p>
        </w:tc>
      </w:tr>
      <w:tr w:rsidR="001B44E1" w:rsidRPr="006F34F9" w14:paraId="3EA5424D" w14:textId="77777777" w:rsidTr="00180C9F">
        <w:trPr>
          <w:trHeight w:val="279"/>
        </w:trPr>
        <w:tc>
          <w:tcPr>
            <w:tcW w:w="3402" w:type="dxa"/>
            <w:gridSpan w:val="2"/>
            <w:tcBorders>
              <w:top w:val="nil"/>
              <w:left w:val="nil"/>
              <w:bottom w:val="nil"/>
              <w:right w:val="nil"/>
            </w:tcBorders>
            <w:hideMark/>
          </w:tcPr>
          <w:p w14:paraId="78D46F04" w14:textId="714DF927" w:rsidR="001B44E1" w:rsidRPr="006F34F9" w:rsidRDefault="008062E2" w:rsidP="00E708C7">
            <w:pPr>
              <w:pStyle w:val="Header"/>
              <w:spacing w:before="80" w:after="80"/>
              <w:rPr>
                <w:bCs/>
                <w:szCs w:val="22"/>
                <w:lang w:val="sr-Latn-ME"/>
              </w:rPr>
            </w:pPr>
            <w:r w:rsidRPr="006F34F9">
              <w:rPr>
                <w:bCs/>
                <w:szCs w:val="22"/>
                <w:lang w:val="sr-Latn-ME"/>
              </w:rPr>
              <w:t>Neuspjeh</w:t>
            </w:r>
            <w:r w:rsidR="001B44E1" w:rsidRPr="006F34F9">
              <w:rPr>
                <w:bCs/>
                <w:szCs w:val="22"/>
                <w:lang w:val="sr-Latn-ME"/>
              </w:rPr>
              <w:t xml:space="preserve"> </w:t>
            </w:r>
            <w:r w:rsidR="003D1FD7" w:rsidRPr="006F34F9">
              <w:rPr>
                <w:bCs/>
                <w:szCs w:val="22"/>
                <w:lang w:val="sr-Latn-ME"/>
              </w:rPr>
              <w:t>liječenja</w:t>
            </w:r>
            <w:r w:rsidR="001B44E1" w:rsidRPr="006F34F9">
              <w:rPr>
                <w:bCs/>
                <w:szCs w:val="22"/>
                <w:lang w:val="sr-Latn-ME"/>
              </w:rPr>
              <w:t xml:space="preserve"> antagonistom </w:t>
            </w:r>
          </w:p>
          <w:p w14:paraId="08B3DFEC" w14:textId="669F573B" w:rsidR="001B44E1" w:rsidRPr="009F10BD" w:rsidRDefault="001B44E1" w:rsidP="0066419A">
            <w:pPr>
              <w:pStyle w:val="Default"/>
              <w:tabs>
                <w:tab w:val="center" w:pos="4536"/>
                <w:tab w:val="right" w:pos="9072"/>
              </w:tabs>
              <w:autoSpaceDE/>
              <w:autoSpaceDN/>
              <w:adjustRightInd/>
              <w:spacing w:before="80" w:after="80"/>
              <w:jc w:val="both"/>
              <w:rPr>
                <w:bCs/>
                <w:szCs w:val="22"/>
                <w:lang w:val="sr-Latn-ME"/>
              </w:rPr>
            </w:pPr>
            <w:r w:rsidRPr="006F34F9">
              <w:rPr>
                <w:bCs/>
                <w:szCs w:val="22"/>
                <w:lang w:val="sr-Latn-ME"/>
              </w:rPr>
              <w:t>(antagonistima) TNFα</w:t>
            </w:r>
            <w:r w:rsidR="009F10BD" w:rsidRPr="0066419A">
              <w:rPr>
                <w:vertAlign w:val="superscript"/>
              </w:rPr>
              <w:t xml:space="preserve">¶,‡ </w:t>
            </w:r>
          </w:p>
        </w:tc>
        <w:tc>
          <w:tcPr>
            <w:tcW w:w="2410" w:type="dxa"/>
            <w:gridSpan w:val="3"/>
            <w:tcBorders>
              <w:top w:val="nil"/>
              <w:left w:val="nil"/>
              <w:bottom w:val="nil"/>
              <w:right w:val="nil"/>
            </w:tcBorders>
            <w:hideMark/>
          </w:tcPr>
          <w:p w14:paraId="77A210C3" w14:textId="77777777" w:rsidR="001B44E1" w:rsidRPr="006F34F9" w:rsidRDefault="001B44E1" w:rsidP="00E708C7">
            <w:pPr>
              <w:pStyle w:val="Header"/>
              <w:spacing w:before="80" w:after="80"/>
              <w:rPr>
                <w:bCs/>
                <w:szCs w:val="22"/>
                <w:lang w:val="sr-Latn-ME"/>
              </w:rPr>
            </w:pPr>
            <w:r w:rsidRPr="006F34F9">
              <w:rPr>
                <w:bCs/>
                <w:szCs w:val="22"/>
                <w:lang w:val="sr-Latn-ME"/>
              </w:rPr>
              <w:t xml:space="preserve">12% (n = 157) </w:t>
            </w:r>
          </w:p>
        </w:tc>
        <w:tc>
          <w:tcPr>
            <w:tcW w:w="2027" w:type="dxa"/>
            <w:gridSpan w:val="2"/>
            <w:tcBorders>
              <w:top w:val="nil"/>
              <w:left w:val="nil"/>
              <w:bottom w:val="nil"/>
              <w:right w:val="nil"/>
            </w:tcBorders>
            <w:hideMark/>
          </w:tcPr>
          <w:p w14:paraId="1F69F33E" w14:textId="77777777" w:rsidR="001B44E1" w:rsidRPr="006F34F9" w:rsidRDefault="001B44E1" w:rsidP="00E708C7">
            <w:pPr>
              <w:pStyle w:val="Header"/>
              <w:spacing w:before="80" w:after="80"/>
              <w:rPr>
                <w:bCs/>
                <w:szCs w:val="22"/>
                <w:lang w:val="sr-Latn-ME"/>
              </w:rPr>
            </w:pPr>
            <w:r w:rsidRPr="006F34F9">
              <w:rPr>
                <w:bCs/>
                <w:szCs w:val="22"/>
                <w:lang w:val="sr-Latn-ME"/>
              </w:rPr>
              <w:t xml:space="preserve">27% (n = 158) </w:t>
            </w:r>
          </w:p>
        </w:tc>
      </w:tr>
      <w:tr w:rsidR="001B44E1" w:rsidRPr="006F34F9" w14:paraId="75665A6A" w14:textId="77777777" w:rsidTr="00180C9F">
        <w:trPr>
          <w:trHeight w:val="271"/>
        </w:trPr>
        <w:tc>
          <w:tcPr>
            <w:tcW w:w="3402" w:type="dxa"/>
            <w:gridSpan w:val="2"/>
            <w:tcBorders>
              <w:top w:val="nil"/>
              <w:left w:val="nil"/>
              <w:bottom w:val="nil"/>
              <w:right w:val="nil"/>
            </w:tcBorders>
            <w:hideMark/>
          </w:tcPr>
          <w:p w14:paraId="64ED6753" w14:textId="1FCA3F0D" w:rsidR="001B44E1" w:rsidRPr="006F34F9" w:rsidRDefault="001B44E1" w:rsidP="00E708C7">
            <w:pPr>
              <w:pStyle w:val="Header"/>
              <w:spacing w:before="80" w:after="80"/>
              <w:rPr>
                <w:bCs/>
                <w:szCs w:val="22"/>
                <w:lang w:val="sr-Latn-ME"/>
              </w:rPr>
            </w:pPr>
            <w:r w:rsidRPr="006F34F9">
              <w:rPr>
                <w:bCs/>
                <w:szCs w:val="22"/>
                <w:lang w:val="sr-Latn-ME"/>
              </w:rPr>
              <w:t xml:space="preserve">Bez </w:t>
            </w:r>
            <w:r w:rsidR="00B148F2" w:rsidRPr="006F34F9">
              <w:rPr>
                <w:bCs/>
                <w:szCs w:val="22"/>
                <w:lang w:val="sr-Latn-ME"/>
              </w:rPr>
              <w:t>prethodno</w:t>
            </w:r>
            <w:r w:rsidRPr="006F34F9">
              <w:rPr>
                <w:bCs/>
                <w:szCs w:val="22"/>
                <w:lang w:val="sr-Latn-ME"/>
              </w:rPr>
              <w:t xml:space="preserve">g </w:t>
            </w:r>
            <w:r w:rsidR="003D1FD7" w:rsidRPr="006F34F9">
              <w:rPr>
                <w:bCs/>
                <w:szCs w:val="22"/>
                <w:lang w:val="sr-Latn-ME"/>
              </w:rPr>
              <w:t>liječenja</w:t>
            </w:r>
            <w:r w:rsidRPr="006F34F9">
              <w:rPr>
                <w:bCs/>
                <w:szCs w:val="22"/>
                <w:lang w:val="sr-Latn-ME"/>
              </w:rPr>
              <w:t xml:space="preserve"> TNFα antagonistom (antagonistima) </w:t>
            </w:r>
          </w:p>
        </w:tc>
        <w:tc>
          <w:tcPr>
            <w:tcW w:w="2410" w:type="dxa"/>
            <w:gridSpan w:val="3"/>
            <w:tcBorders>
              <w:top w:val="nil"/>
              <w:left w:val="nil"/>
              <w:bottom w:val="nil"/>
              <w:right w:val="nil"/>
            </w:tcBorders>
            <w:hideMark/>
          </w:tcPr>
          <w:p w14:paraId="02A1D5D0" w14:textId="77777777" w:rsidR="001B44E1" w:rsidRPr="006F34F9" w:rsidRDefault="001B44E1" w:rsidP="00E708C7">
            <w:pPr>
              <w:pStyle w:val="Header"/>
              <w:spacing w:before="80" w:after="80"/>
              <w:rPr>
                <w:bCs/>
                <w:szCs w:val="22"/>
                <w:lang w:val="sr-Latn-ME"/>
              </w:rPr>
            </w:pPr>
            <w:r w:rsidRPr="006F34F9">
              <w:rPr>
                <w:bCs/>
                <w:szCs w:val="22"/>
                <w:lang w:val="sr-Latn-ME"/>
              </w:rPr>
              <w:t xml:space="preserve">16% (n = 50) </w:t>
            </w:r>
          </w:p>
        </w:tc>
        <w:tc>
          <w:tcPr>
            <w:tcW w:w="2027" w:type="dxa"/>
            <w:gridSpan w:val="2"/>
            <w:tcBorders>
              <w:top w:val="nil"/>
              <w:left w:val="nil"/>
              <w:bottom w:val="nil"/>
              <w:right w:val="nil"/>
            </w:tcBorders>
            <w:hideMark/>
          </w:tcPr>
          <w:p w14:paraId="15944D4E" w14:textId="77777777" w:rsidR="001B44E1" w:rsidRPr="006F34F9" w:rsidRDefault="001B44E1" w:rsidP="00E708C7">
            <w:pPr>
              <w:pStyle w:val="Header"/>
              <w:spacing w:before="80" w:after="80"/>
              <w:rPr>
                <w:bCs/>
                <w:szCs w:val="22"/>
                <w:lang w:val="sr-Latn-ME"/>
              </w:rPr>
            </w:pPr>
            <w:r w:rsidRPr="006F34F9">
              <w:rPr>
                <w:bCs/>
                <w:szCs w:val="22"/>
                <w:lang w:val="sr-Latn-ME"/>
              </w:rPr>
              <w:t xml:space="preserve">35% (n = 51) </w:t>
            </w:r>
          </w:p>
        </w:tc>
      </w:tr>
      <w:tr w:rsidR="001B44E1" w:rsidRPr="006F34F9" w14:paraId="1F8E380F" w14:textId="77777777" w:rsidTr="00180C9F">
        <w:trPr>
          <w:trHeight w:val="154"/>
        </w:trPr>
        <w:tc>
          <w:tcPr>
            <w:tcW w:w="7839" w:type="dxa"/>
            <w:gridSpan w:val="7"/>
            <w:tcBorders>
              <w:top w:val="nil"/>
              <w:left w:val="nil"/>
              <w:bottom w:val="nil"/>
              <w:right w:val="nil"/>
            </w:tcBorders>
            <w:hideMark/>
          </w:tcPr>
          <w:p w14:paraId="72A7845F" w14:textId="77777777" w:rsidR="001B44E1" w:rsidRPr="006F34F9" w:rsidRDefault="001B44E1" w:rsidP="00E708C7">
            <w:pPr>
              <w:pStyle w:val="Header"/>
              <w:spacing w:before="80" w:after="80"/>
              <w:rPr>
                <w:bCs/>
                <w:szCs w:val="22"/>
                <w:lang w:val="sr-Latn-ME"/>
              </w:rPr>
            </w:pPr>
            <w:r w:rsidRPr="006F34F9">
              <w:rPr>
                <w:bCs/>
                <w:szCs w:val="22"/>
                <w:lang w:val="sr-Latn-ME"/>
              </w:rPr>
              <w:t>Održana klinička remisija</w:t>
            </w:r>
            <w:r w:rsidRPr="0066419A">
              <w:rPr>
                <w:bCs/>
                <w:szCs w:val="22"/>
                <w:vertAlign w:val="superscript"/>
                <w:lang w:val="sr-Latn-ME"/>
              </w:rPr>
              <w:t xml:space="preserve">#¶ </w:t>
            </w:r>
          </w:p>
        </w:tc>
      </w:tr>
      <w:tr w:rsidR="001B44E1" w:rsidRPr="006F34F9" w14:paraId="40427777" w14:textId="77777777" w:rsidTr="00180C9F">
        <w:trPr>
          <w:trHeight w:val="145"/>
        </w:trPr>
        <w:tc>
          <w:tcPr>
            <w:tcW w:w="3402" w:type="dxa"/>
            <w:gridSpan w:val="2"/>
            <w:tcBorders>
              <w:top w:val="nil"/>
              <w:left w:val="nil"/>
              <w:bottom w:val="nil"/>
              <w:right w:val="nil"/>
            </w:tcBorders>
            <w:hideMark/>
          </w:tcPr>
          <w:p w14:paraId="2E09618E" w14:textId="77777777" w:rsidR="001B44E1" w:rsidRPr="006F34F9" w:rsidRDefault="001B44E1" w:rsidP="00E708C7">
            <w:pPr>
              <w:pStyle w:val="Header"/>
              <w:spacing w:before="80" w:after="80"/>
              <w:rPr>
                <w:bCs/>
                <w:szCs w:val="22"/>
                <w:lang w:val="sr-Latn-ME"/>
              </w:rPr>
            </w:pPr>
            <w:r w:rsidRPr="006F34F9">
              <w:rPr>
                <w:bCs/>
                <w:szCs w:val="22"/>
                <w:lang w:val="sr-Latn-ME"/>
              </w:rPr>
              <w:t xml:space="preserve">Ukupno </w:t>
            </w:r>
          </w:p>
        </w:tc>
        <w:tc>
          <w:tcPr>
            <w:tcW w:w="2410" w:type="dxa"/>
            <w:gridSpan w:val="3"/>
            <w:tcBorders>
              <w:top w:val="nil"/>
              <w:left w:val="nil"/>
              <w:bottom w:val="nil"/>
              <w:right w:val="nil"/>
            </w:tcBorders>
            <w:hideMark/>
          </w:tcPr>
          <w:p w14:paraId="38F050B7" w14:textId="77777777" w:rsidR="001B44E1" w:rsidRPr="006F34F9" w:rsidRDefault="001B44E1" w:rsidP="00E708C7">
            <w:pPr>
              <w:pStyle w:val="Header"/>
              <w:spacing w:before="80" w:after="80"/>
              <w:rPr>
                <w:bCs/>
                <w:szCs w:val="22"/>
                <w:lang w:val="sr-Latn-ME"/>
              </w:rPr>
            </w:pPr>
            <w:r w:rsidRPr="006F34F9">
              <w:rPr>
                <w:bCs/>
                <w:szCs w:val="22"/>
                <w:lang w:val="sr-Latn-ME"/>
              </w:rPr>
              <w:t xml:space="preserve">8% (n = 207) </w:t>
            </w:r>
          </w:p>
        </w:tc>
        <w:tc>
          <w:tcPr>
            <w:tcW w:w="2027" w:type="dxa"/>
            <w:gridSpan w:val="2"/>
            <w:tcBorders>
              <w:top w:val="nil"/>
              <w:left w:val="nil"/>
              <w:bottom w:val="nil"/>
              <w:right w:val="nil"/>
            </w:tcBorders>
            <w:hideMark/>
          </w:tcPr>
          <w:p w14:paraId="765544EF" w14:textId="77777777" w:rsidR="001B44E1" w:rsidRPr="006F34F9" w:rsidRDefault="001B44E1" w:rsidP="00E708C7">
            <w:pPr>
              <w:pStyle w:val="Header"/>
              <w:spacing w:before="80" w:after="80"/>
              <w:rPr>
                <w:bCs/>
                <w:szCs w:val="22"/>
                <w:lang w:val="sr-Latn-ME"/>
              </w:rPr>
            </w:pPr>
            <w:r w:rsidRPr="006F34F9">
              <w:rPr>
                <w:bCs/>
                <w:szCs w:val="22"/>
                <w:lang w:val="sr-Latn-ME"/>
              </w:rPr>
              <w:t xml:space="preserve">15% (n = 209) </w:t>
            </w:r>
          </w:p>
        </w:tc>
      </w:tr>
      <w:tr w:rsidR="001B44E1" w:rsidRPr="006F34F9" w14:paraId="4358A128" w14:textId="77777777" w:rsidTr="00180C9F">
        <w:trPr>
          <w:trHeight w:val="279"/>
        </w:trPr>
        <w:tc>
          <w:tcPr>
            <w:tcW w:w="3402" w:type="dxa"/>
            <w:gridSpan w:val="2"/>
            <w:tcBorders>
              <w:top w:val="nil"/>
              <w:left w:val="nil"/>
              <w:bottom w:val="nil"/>
              <w:right w:val="nil"/>
            </w:tcBorders>
            <w:hideMark/>
          </w:tcPr>
          <w:p w14:paraId="50EDE6C6" w14:textId="1D0E4358" w:rsidR="001B44E1" w:rsidRPr="006F34F9" w:rsidRDefault="008062E2" w:rsidP="00E708C7">
            <w:pPr>
              <w:pStyle w:val="Header"/>
              <w:spacing w:before="80" w:after="80"/>
              <w:rPr>
                <w:bCs/>
                <w:szCs w:val="22"/>
                <w:lang w:val="sr-Latn-ME"/>
              </w:rPr>
            </w:pPr>
            <w:r w:rsidRPr="006F34F9">
              <w:rPr>
                <w:bCs/>
                <w:szCs w:val="22"/>
                <w:lang w:val="sr-Latn-ME"/>
              </w:rPr>
              <w:t>Neuspjeh</w:t>
            </w:r>
            <w:r w:rsidR="001B44E1" w:rsidRPr="006F34F9">
              <w:rPr>
                <w:bCs/>
                <w:szCs w:val="22"/>
                <w:lang w:val="sr-Latn-ME"/>
              </w:rPr>
              <w:t xml:space="preserve"> </w:t>
            </w:r>
            <w:r w:rsidR="003D1FD7" w:rsidRPr="006F34F9">
              <w:rPr>
                <w:bCs/>
                <w:szCs w:val="22"/>
                <w:lang w:val="sr-Latn-ME"/>
              </w:rPr>
              <w:t>liječenja</w:t>
            </w:r>
            <w:r w:rsidR="001B44E1" w:rsidRPr="006F34F9">
              <w:rPr>
                <w:bCs/>
                <w:szCs w:val="22"/>
                <w:lang w:val="sr-Latn-ME"/>
              </w:rPr>
              <w:t xml:space="preserve"> antagonistom </w:t>
            </w:r>
          </w:p>
          <w:p w14:paraId="51BB0BE7" w14:textId="50416BE3" w:rsidR="001B44E1" w:rsidRPr="009F10BD" w:rsidRDefault="001B44E1" w:rsidP="0066419A">
            <w:pPr>
              <w:pStyle w:val="Default"/>
              <w:tabs>
                <w:tab w:val="center" w:pos="4536"/>
                <w:tab w:val="right" w:pos="9072"/>
              </w:tabs>
              <w:autoSpaceDE/>
              <w:autoSpaceDN/>
              <w:adjustRightInd/>
              <w:spacing w:before="80" w:after="80"/>
              <w:jc w:val="both"/>
              <w:rPr>
                <w:bCs/>
                <w:szCs w:val="22"/>
                <w:lang w:val="sr-Latn-ME"/>
              </w:rPr>
            </w:pPr>
            <w:r w:rsidRPr="006F34F9">
              <w:rPr>
                <w:bCs/>
                <w:szCs w:val="22"/>
                <w:lang w:val="sr-Latn-ME"/>
              </w:rPr>
              <w:t>(antagonistima) TNFα</w:t>
            </w:r>
            <w:r w:rsidR="009F10BD" w:rsidRPr="0066419A">
              <w:rPr>
                <w:vertAlign w:val="superscript"/>
              </w:rPr>
              <w:t xml:space="preserve">¶,‡ </w:t>
            </w:r>
          </w:p>
        </w:tc>
        <w:tc>
          <w:tcPr>
            <w:tcW w:w="2410" w:type="dxa"/>
            <w:gridSpan w:val="3"/>
            <w:tcBorders>
              <w:top w:val="nil"/>
              <w:left w:val="nil"/>
              <w:bottom w:val="nil"/>
              <w:right w:val="nil"/>
            </w:tcBorders>
            <w:hideMark/>
          </w:tcPr>
          <w:p w14:paraId="0FC46BD2" w14:textId="77777777" w:rsidR="001B44E1" w:rsidRPr="006F34F9" w:rsidRDefault="001B44E1" w:rsidP="00E708C7">
            <w:pPr>
              <w:pStyle w:val="Header"/>
              <w:spacing w:before="80" w:after="80"/>
              <w:rPr>
                <w:bCs/>
                <w:szCs w:val="22"/>
                <w:lang w:val="sr-Latn-ME"/>
              </w:rPr>
            </w:pPr>
            <w:r w:rsidRPr="006F34F9">
              <w:rPr>
                <w:bCs/>
                <w:szCs w:val="22"/>
                <w:lang w:val="sr-Latn-ME"/>
              </w:rPr>
              <w:t xml:space="preserve">8% (n = 157) </w:t>
            </w:r>
          </w:p>
        </w:tc>
        <w:tc>
          <w:tcPr>
            <w:tcW w:w="2027" w:type="dxa"/>
            <w:gridSpan w:val="2"/>
            <w:tcBorders>
              <w:top w:val="nil"/>
              <w:left w:val="nil"/>
              <w:bottom w:val="nil"/>
              <w:right w:val="nil"/>
            </w:tcBorders>
            <w:hideMark/>
          </w:tcPr>
          <w:p w14:paraId="7D691507" w14:textId="77777777" w:rsidR="001B44E1" w:rsidRPr="006F34F9" w:rsidRDefault="001B44E1" w:rsidP="00E708C7">
            <w:pPr>
              <w:pStyle w:val="Header"/>
              <w:spacing w:before="80" w:after="80"/>
              <w:rPr>
                <w:bCs/>
                <w:szCs w:val="22"/>
                <w:lang w:val="sr-Latn-ME"/>
              </w:rPr>
            </w:pPr>
            <w:r w:rsidRPr="006F34F9">
              <w:rPr>
                <w:bCs/>
                <w:szCs w:val="22"/>
                <w:lang w:val="sr-Latn-ME"/>
              </w:rPr>
              <w:t xml:space="preserve">12% (n = 158) </w:t>
            </w:r>
          </w:p>
        </w:tc>
      </w:tr>
      <w:tr w:rsidR="001B44E1" w:rsidRPr="006F34F9" w14:paraId="72C0FAD7" w14:textId="77777777" w:rsidTr="00180C9F">
        <w:trPr>
          <w:trHeight w:val="271"/>
        </w:trPr>
        <w:tc>
          <w:tcPr>
            <w:tcW w:w="3402" w:type="dxa"/>
            <w:gridSpan w:val="2"/>
            <w:tcBorders>
              <w:top w:val="nil"/>
              <w:left w:val="nil"/>
              <w:bottom w:val="nil"/>
              <w:right w:val="nil"/>
            </w:tcBorders>
            <w:hideMark/>
          </w:tcPr>
          <w:p w14:paraId="3A2B5FDC" w14:textId="687DBFF7" w:rsidR="001B44E1" w:rsidRPr="006F34F9" w:rsidRDefault="001B44E1" w:rsidP="00E708C7">
            <w:pPr>
              <w:pStyle w:val="Header"/>
              <w:spacing w:before="80" w:after="80"/>
              <w:rPr>
                <w:bCs/>
                <w:szCs w:val="22"/>
                <w:lang w:val="sr-Latn-ME"/>
              </w:rPr>
            </w:pPr>
            <w:r w:rsidRPr="006F34F9">
              <w:rPr>
                <w:bCs/>
                <w:szCs w:val="22"/>
                <w:lang w:val="sr-Latn-ME"/>
              </w:rPr>
              <w:t xml:space="preserve">Bez </w:t>
            </w:r>
            <w:r w:rsidR="00B148F2" w:rsidRPr="006F34F9">
              <w:rPr>
                <w:bCs/>
                <w:szCs w:val="22"/>
                <w:lang w:val="sr-Latn-ME"/>
              </w:rPr>
              <w:t>prethodno</w:t>
            </w:r>
            <w:r w:rsidRPr="006F34F9">
              <w:rPr>
                <w:bCs/>
                <w:szCs w:val="22"/>
                <w:lang w:val="sr-Latn-ME"/>
              </w:rPr>
              <w:t xml:space="preserve">g </w:t>
            </w:r>
            <w:r w:rsidR="003D1FD7" w:rsidRPr="006F34F9">
              <w:rPr>
                <w:bCs/>
                <w:szCs w:val="22"/>
                <w:lang w:val="sr-Latn-ME"/>
              </w:rPr>
              <w:t>liječenja</w:t>
            </w:r>
            <w:r w:rsidRPr="006F34F9">
              <w:rPr>
                <w:bCs/>
                <w:szCs w:val="22"/>
                <w:lang w:val="sr-Latn-ME"/>
              </w:rPr>
              <w:t xml:space="preserve"> TNFα Antagonistom (antagonistima) </w:t>
            </w:r>
          </w:p>
        </w:tc>
        <w:tc>
          <w:tcPr>
            <w:tcW w:w="2410" w:type="dxa"/>
            <w:gridSpan w:val="3"/>
            <w:tcBorders>
              <w:top w:val="nil"/>
              <w:left w:val="nil"/>
              <w:bottom w:val="nil"/>
              <w:right w:val="nil"/>
            </w:tcBorders>
            <w:hideMark/>
          </w:tcPr>
          <w:p w14:paraId="2D095D14" w14:textId="77777777" w:rsidR="001B44E1" w:rsidRPr="006F34F9" w:rsidRDefault="001B44E1" w:rsidP="00E708C7">
            <w:pPr>
              <w:pStyle w:val="Header"/>
              <w:spacing w:before="80" w:after="80"/>
              <w:rPr>
                <w:bCs/>
                <w:szCs w:val="22"/>
                <w:lang w:val="sr-Latn-ME"/>
              </w:rPr>
            </w:pPr>
            <w:r w:rsidRPr="006F34F9">
              <w:rPr>
                <w:bCs/>
                <w:szCs w:val="22"/>
                <w:lang w:val="sr-Latn-ME"/>
              </w:rPr>
              <w:t xml:space="preserve">8% (n = 50) </w:t>
            </w:r>
          </w:p>
        </w:tc>
        <w:tc>
          <w:tcPr>
            <w:tcW w:w="2027" w:type="dxa"/>
            <w:gridSpan w:val="2"/>
            <w:tcBorders>
              <w:top w:val="nil"/>
              <w:left w:val="nil"/>
              <w:bottom w:val="nil"/>
              <w:right w:val="nil"/>
            </w:tcBorders>
            <w:hideMark/>
          </w:tcPr>
          <w:p w14:paraId="5B44A028" w14:textId="77777777" w:rsidR="001B44E1" w:rsidRPr="006F34F9" w:rsidRDefault="001B44E1" w:rsidP="00E708C7">
            <w:pPr>
              <w:pStyle w:val="Header"/>
              <w:spacing w:before="80" w:after="80"/>
              <w:rPr>
                <w:bCs/>
                <w:szCs w:val="22"/>
                <w:lang w:val="sr-Latn-ME"/>
              </w:rPr>
            </w:pPr>
            <w:r w:rsidRPr="006F34F9">
              <w:rPr>
                <w:bCs/>
                <w:szCs w:val="22"/>
                <w:lang w:val="sr-Latn-ME"/>
              </w:rPr>
              <w:t xml:space="preserve">26% (n = 51) </w:t>
            </w:r>
          </w:p>
        </w:tc>
      </w:tr>
      <w:tr w:rsidR="001B44E1" w:rsidRPr="006F34F9" w14:paraId="47AA58EE" w14:textId="77777777" w:rsidTr="00180C9F">
        <w:trPr>
          <w:trHeight w:val="145"/>
        </w:trPr>
        <w:tc>
          <w:tcPr>
            <w:tcW w:w="7839" w:type="dxa"/>
            <w:gridSpan w:val="7"/>
            <w:tcBorders>
              <w:top w:val="nil"/>
              <w:left w:val="nil"/>
              <w:bottom w:val="single" w:sz="4" w:space="0" w:color="auto"/>
              <w:right w:val="nil"/>
            </w:tcBorders>
            <w:hideMark/>
          </w:tcPr>
          <w:p w14:paraId="706401EA" w14:textId="56C159DF" w:rsidR="001B44E1" w:rsidRPr="006F34F9" w:rsidRDefault="001B44E1" w:rsidP="00E708C7">
            <w:pPr>
              <w:pStyle w:val="Header"/>
              <w:spacing w:before="80" w:after="80"/>
              <w:rPr>
                <w:bCs/>
                <w:szCs w:val="22"/>
                <w:lang w:val="sr-Latn-ME"/>
              </w:rPr>
            </w:pPr>
            <w:r w:rsidRPr="006F34F9">
              <w:rPr>
                <w:bCs/>
                <w:szCs w:val="22"/>
                <w:lang w:val="sr-Latn-ME"/>
              </w:rPr>
              <w:t xml:space="preserve">Pojačani klinički odgovor, 6. </w:t>
            </w:r>
            <w:r w:rsidR="008062E2" w:rsidRPr="006F34F9">
              <w:rPr>
                <w:bCs/>
                <w:szCs w:val="22"/>
                <w:lang w:val="sr-Latn-ME"/>
              </w:rPr>
              <w:t>nedjelja</w:t>
            </w:r>
            <w:r w:rsidRPr="006F34F9">
              <w:rPr>
                <w:bCs/>
                <w:szCs w:val="22"/>
                <w:lang w:val="sr-Latn-ME"/>
              </w:rPr>
              <w:t xml:space="preserve"> </w:t>
            </w:r>
          </w:p>
        </w:tc>
      </w:tr>
      <w:tr w:rsidR="001B44E1" w:rsidRPr="006F34F9" w14:paraId="4F7325EF" w14:textId="77777777" w:rsidTr="00180C9F">
        <w:trPr>
          <w:trHeight w:val="145"/>
        </w:trPr>
        <w:tc>
          <w:tcPr>
            <w:tcW w:w="3402" w:type="dxa"/>
            <w:gridSpan w:val="2"/>
            <w:tcBorders>
              <w:top w:val="single" w:sz="4" w:space="0" w:color="auto"/>
              <w:left w:val="nil"/>
              <w:bottom w:val="nil"/>
              <w:right w:val="nil"/>
            </w:tcBorders>
            <w:hideMark/>
          </w:tcPr>
          <w:p w14:paraId="6D228417" w14:textId="77777777" w:rsidR="001B44E1" w:rsidRPr="006F34F9" w:rsidRDefault="001B44E1" w:rsidP="00E708C7">
            <w:pPr>
              <w:pStyle w:val="Header"/>
              <w:spacing w:before="80" w:after="80"/>
              <w:rPr>
                <w:bCs/>
                <w:szCs w:val="22"/>
                <w:lang w:val="sr-Latn-ME"/>
              </w:rPr>
            </w:pPr>
            <w:r w:rsidRPr="006F34F9">
              <w:rPr>
                <w:bCs/>
                <w:szCs w:val="22"/>
                <w:lang w:val="sr-Latn-ME"/>
              </w:rPr>
              <w:t xml:space="preserve">Ukupno^ </w:t>
            </w:r>
          </w:p>
        </w:tc>
        <w:tc>
          <w:tcPr>
            <w:tcW w:w="2410" w:type="dxa"/>
            <w:gridSpan w:val="3"/>
            <w:tcBorders>
              <w:top w:val="single" w:sz="4" w:space="0" w:color="auto"/>
              <w:left w:val="nil"/>
              <w:bottom w:val="nil"/>
              <w:right w:val="nil"/>
            </w:tcBorders>
            <w:hideMark/>
          </w:tcPr>
          <w:p w14:paraId="60325A31" w14:textId="77777777" w:rsidR="001B44E1" w:rsidRPr="006F34F9" w:rsidRDefault="001B44E1" w:rsidP="00E708C7">
            <w:pPr>
              <w:pStyle w:val="Header"/>
              <w:spacing w:before="80" w:after="80"/>
              <w:rPr>
                <w:bCs/>
                <w:szCs w:val="22"/>
                <w:lang w:val="sr-Latn-ME"/>
              </w:rPr>
            </w:pPr>
            <w:r w:rsidRPr="006F34F9">
              <w:rPr>
                <w:bCs/>
                <w:szCs w:val="22"/>
                <w:lang w:val="sr-Latn-ME"/>
              </w:rPr>
              <w:t xml:space="preserve">23% (n = 207) </w:t>
            </w:r>
          </w:p>
        </w:tc>
        <w:tc>
          <w:tcPr>
            <w:tcW w:w="2027" w:type="dxa"/>
            <w:gridSpan w:val="2"/>
            <w:tcBorders>
              <w:top w:val="single" w:sz="4" w:space="0" w:color="auto"/>
              <w:left w:val="nil"/>
              <w:bottom w:val="nil"/>
              <w:right w:val="nil"/>
            </w:tcBorders>
            <w:hideMark/>
          </w:tcPr>
          <w:p w14:paraId="06BB031D" w14:textId="77777777" w:rsidR="001B44E1" w:rsidRPr="006F34F9" w:rsidRDefault="001B44E1" w:rsidP="00E708C7">
            <w:pPr>
              <w:pStyle w:val="Header"/>
              <w:spacing w:before="80" w:after="80"/>
              <w:rPr>
                <w:bCs/>
                <w:szCs w:val="22"/>
                <w:lang w:val="sr-Latn-ME"/>
              </w:rPr>
            </w:pPr>
            <w:r w:rsidRPr="006F34F9">
              <w:rPr>
                <w:bCs/>
                <w:szCs w:val="22"/>
                <w:lang w:val="sr-Latn-ME"/>
              </w:rPr>
              <w:t xml:space="preserve">39% (n = 209) </w:t>
            </w:r>
          </w:p>
        </w:tc>
      </w:tr>
      <w:tr w:rsidR="001B44E1" w:rsidRPr="006F34F9" w14:paraId="0F47C423" w14:textId="77777777" w:rsidTr="00180C9F">
        <w:trPr>
          <w:trHeight w:val="271"/>
        </w:trPr>
        <w:tc>
          <w:tcPr>
            <w:tcW w:w="3402" w:type="dxa"/>
            <w:gridSpan w:val="2"/>
            <w:tcBorders>
              <w:top w:val="nil"/>
              <w:left w:val="nil"/>
              <w:bottom w:val="nil"/>
              <w:right w:val="nil"/>
            </w:tcBorders>
            <w:hideMark/>
          </w:tcPr>
          <w:p w14:paraId="0F8316B9" w14:textId="599E41A6" w:rsidR="001B44E1" w:rsidRPr="006F34F9" w:rsidRDefault="008062E2" w:rsidP="00E708C7">
            <w:pPr>
              <w:pStyle w:val="Header"/>
              <w:spacing w:before="80" w:after="80"/>
              <w:rPr>
                <w:bCs/>
                <w:szCs w:val="22"/>
                <w:lang w:val="sr-Latn-ME"/>
              </w:rPr>
            </w:pPr>
            <w:r w:rsidRPr="006F34F9">
              <w:rPr>
                <w:bCs/>
                <w:szCs w:val="22"/>
                <w:lang w:val="sr-Latn-ME"/>
              </w:rPr>
              <w:t>Neuspjeh</w:t>
            </w:r>
            <w:r w:rsidR="001B44E1" w:rsidRPr="006F34F9">
              <w:rPr>
                <w:bCs/>
                <w:szCs w:val="22"/>
                <w:lang w:val="sr-Latn-ME"/>
              </w:rPr>
              <w:t xml:space="preserve"> </w:t>
            </w:r>
            <w:r w:rsidR="003D1FD7" w:rsidRPr="006F34F9">
              <w:rPr>
                <w:bCs/>
                <w:szCs w:val="22"/>
                <w:lang w:val="sr-Latn-ME"/>
              </w:rPr>
              <w:t>liječenja</w:t>
            </w:r>
            <w:r w:rsidR="001B44E1" w:rsidRPr="006F34F9">
              <w:rPr>
                <w:bCs/>
                <w:szCs w:val="22"/>
                <w:lang w:val="sr-Latn-ME"/>
              </w:rPr>
              <w:t xml:space="preserve"> antagonistom </w:t>
            </w:r>
          </w:p>
          <w:p w14:paraId="330B62F7" w14:textId="72560324" w:rsidR="001B44E1" w:rsidRPr="009F10BD" w:rsidRDefault="001B44E1" w:rsidP="0066419A">
            <w:pPr>
              <w:pStyle w:val="Default"/>
              <w:tabs>
                <w:tab w:val="center" w:pos="4536"/>
                <w:tab w:val="right" w:pos="9072"/>
              </w:tabs>
              <w:autoSpaceDE/>
              <w:autoSpaceDN/>
              <w:adjustRightInd/>
              <w:spacing w:before="80" w:after="80"/>
              <w:jc w:val="both"/>
              <w:rPr>
                <w:bCs/>
                <w:szCs w:val="22"/>
                <w:lang w:val="sr-Latn-ME"/>
              </w:rPr>
            </w:pPr>
            <w:r w:rsidRPr="006F34F9">
              <w:rPr>
                <w:bCs/>
                <w:szCs w:val="22"/>
                <w:lang w:val="sr-Latn-ME"/>
              </w:rPr>
              <w:t>(antagonistima) TNFα</w:t>
            </w:r>
            <w:r w:rsidR="009F10BD" w:rsidRPr="0066419A">
              <w:rPr>
                <w:vertAlign w:val="superscript"/>
              </w:rPr>
              <w:t>‡</w:t>
            </w:r>
            <w:r w:rsidR="009F10BD">
              <w:t xml:space="preserve"> </w:t>
            </w:r>
          </w:p>
        </w:tc>
        <w:tc>
          <w:tcPr>
            <w:tcW w:w="2410" w:type="dxa"/>
            <w:gridSpan w:val="3"/>
            <w:tcBorders>
              <w:top w:val="nil"/>
              <w:left w:val="nil"/>
              <w:bottom w:val="nil"/>
              <w:right w:val="nil"/>
            </w:tcBorders>
            <w:hideMark/>
          </w:tcPr>
          <w:p w14:paraId="56E07A91" w14:textId="77777777" w:rsidR="001B44E1" w:rsidRPr="006F34F9" w:rsidRDefault="001B44E1" w:rsidP="00E708C7">
            <w:pPr>
              <w:pStyle w:val="Header"/>
              <w:spacing w:before="80" w:after="80"/>
              <w:rPr>
                <w:bCs/>
                <w:szCs w:val="22"/>
                <w:lang w:val="sr-Latn-ME"/>
              </w:rPr>
            </w:pPr>
            <w:r w:rsidRPr="006F34F9">
              <w:rPr>
                <w:bCs/>
                <w:szCs w:val="22"/>
                <w:lang w:val="sr-Latn-ME"/>
              </w:rPr>
              <w:t xml:space="preserve">22% (n = 157) </w:t>
            </w:r>
          </w:p>
        </w:tc>
        <w:tc>
          <w:tcPr>
            <w:tcW w:w="2027" w:type="dxa"/>
            <w:gridSpan w:val="2"/>
            <w:tcBorders>
              <w:top w:val="nil"/>
              <w:left w:val="nil"/>
              <w:bottom w:val="nil"/>
              <w:right w:val="nil"/>
            </w:tcBorders>
            <w:hideMark/>
          </w:tcPr>
          <w:p w14:paraId="7CCAE889" w14:textId="77777777" w:rsidR="001B44E1" w:rsidRPr="006F34F9" w:rsidRDefault="001B44E1" w:rsidP="00E708C7">
            <w:pPr>
              <w:pStyle w:val="Header"/>
              <w:spacing w:before="80" w:after="80"/>
              <w:rPr>
                <w:bCs/>
                <w:szCs w:val="22"/>
                <w:lang w:val="sr-Latn-ME"/>
              </w:rPr>
            </w:pPr>
            <w:r w:rsidRPr="006F34F9">
              <w:rPr>
                <w:bCs/>
                <w:szCs w:val="22"/>
                <w:lang w:val="sr-Latn-ME"/>
              </w:rPr>
              <w:t xml:space="preserve">39% (n = 158) </w:t>
            </w:r>
          </w:p>
        </w:tc>
      </w:tr>
      <w:tr w:rsidR="001B44E1" w:rsidRPr="006F34F9" w14:paraId="3E49ABE3" w14:textId="77777777" w:rsidTr="00180C9F">
        <w:trPr>
          <w:trHeight w:val="271"/>
        </w:trPr>
        <w:tc>
          <w:tcPr>
            <w:tcW w:w="3402" w:type="dxa"/>
            <w:gridSpan w:val="2"/>
            <w:tcBorders>
              <w:top w:val="nil"/>
              <w:left w:val="nil"/>
              <w:bottom w:val="nil"/>
              <w:right w:val="nil"/>
            </w:tcBorders>
            <w:hideMark/>
          </w:tcPr>
          <w:p w14:paraId="4F3C29A3" w14:textId="49553E77" w:rsidR="001B44E1" w:rsidRPr="006F34F9" w:rsidRDefault="001B44E1" w:rsidP="00E708C7">
            <w:pPr>
              <w:pStyle w:val="Header"/>
              <w:spacing w:before="80" w:after="80"/>
              <w:rPr>
                <w:bCs/>
                <w:szCs w:val="22"/>
                <w:lang w:val="sr-Latn-ME"/>
              </w:rPr>
            </w:pPr>
            <w:r w:rsidRPr="006F34F9">
              <w:rPr>
                <w:bCs/>
                <w:szCs w:val="22"/>
                <w:lang w:val="sr-Latn-ME"/>
              </w:rPr>
              <w:t xml:space="preserve">Bez </w:t>
            </w:r>
            <w:r w:rsidR="00B148F2" w:rsidRPr="006F34F9">
              <w:rPr>
                <w:bCs/>
                <w:szCs w:val="22"/>
                <w:lang w:val="sr-Latn-ME"/>
              </w:rPr>
              <w:t>prethodno</w:t>
            </w:r>
            <w:r w:rsidRPr="006F34F9">
              <w:rPr>
                <w:bCs/>
                <w:szCs w:val="22"/>
                <w:lang w:val="sr-Latn-ME"/>
              </w:rPr>
              <w:t xml:space="preserve">g </w:t>
            </w:r>
            <w:r w:rsidR="003D1FD7" w:rsidRPr="006F34F9">
              <w:rPr>
                <w:bCs/>
                <w:szCs w:val="22"/>
                <w:lang w:val="sr-Latn-ME"/>
              </w:rPr>
              <w:t>liječenja</w:t>
            </w:r>
            <w:r w:rsidRPr="006F34F9">
              <w:rPr>
                <w:bCs/>
                <w:szCs w:val="22"/>
                <w:lang w:val="sr-Latn-ME"/>
              </w:rPr>
              <w:t xml:space="preserve"> TNFα antagonistom (antagonistima) ^ </w:t>
            </w:r>
          </w:p>
        </w:tc>
        <w:tc>
          <w:tcPr>
            <w:tcW w:w="2410" w:type="dxa"/>
            <w:gridSpan w:val="3"/>
            <w:tcBorders>
              <w:top w:val="nil"/>
              <w:left w:val="nil"/>
              <w:bottom w:val="nil"/>
              <w:right w:val="nil"/>
            </w:tcBorders>
            <w:hideMark/>
          </w:tcPr>
          <w:p w14:paraId="52163186" w14:textId="77777777" w:rsidR="001B44E1" w:rsidRPr="006F34F9" w:rsidRDefault="001B44E1" w:rsidP="00E708C7">
            <w:pPr>
              <w:pStyle w:val="Header"/>
              <w:spacing w:before="80" w:after="80"/>
              <w:rPr>
                <w:bCs/>
                <w:szCs w:val="22"/>
                <w:lang w:val="sr-Latn-ME"/>
              </w:rPr>
            </w:pPr>
            <w:r w:rsidRPr="006F34F9">
              <w:rPr>
                <w:bCs/>
                <w:szCs w:val="22"/>
                <w:lang w:val="sr-Latn-ME"/>
              </w:rPr>
              <w:t xml:space="preserve">24% (n = 50) </w:t>
            </w:r>
          </w:p>
        </w:tc>
        <w:tc>
          <w:tcPr>
            <w:tcW w:w="2027" w:type="dxa"/>
            <w:gridSpan w:val="2"/>
            <w:tcBorders>
              <w:top w:val="nil"/>
              <w:left w:val="nil"/>
              <w:bottom w:val="nil"/>
              <w:right w:val="nil"/>
            </w:tcBorders>
            <w:hideMark/>
          </w:tcPr>
          <w:p w14:paraId="3876BD51" w14:textId="77777777" w:rsidR="001B44E1" w:rsidRPr="006F34F9" w:rsidRDefault="001B44E1" w:rsidP="00E708C7">
            <w:pPr>
              <w:pStyle w:val="Header"/>
              <w:spacing w:before="80" w:after="80"/>
              <w:rPr>
                <w:bCs/>
                <w:szCs w:val="22"/>
                <w:lang w:val="sr-Latn-ME"/>
              </w:rPr>
            </w:pPr>
            <w:r w:rsidRPr="006F34F9">
              <w:rPr>
                <w:bCs/>
                <w:szCs w:val="22"/>
                <w:lang w:val="sr-Latn-ME"/>
              </w:rPr>
              <w:t xml:space="preserve">39% (n = 51) </w:t>
            </w:r>
          </w:p>
        </w:tc>
      </w:tr>
      <w:tr w:rsidR="001B44E1" w:rsidRPr="006F34F9" w14:paraId="6B810806" w14:textId="77777777" w:rsidTr="00180C9F">
        <w:trPr>
          <w:trHeight w:val="601"/>
        </w:trPr>
        <w:tc>
          <w:tcPr>
            <w:tcW w:w="7839" w:type="dxa"/>
            <w:gridSpan w:val="7"/>
            <w:tcBorders>
              <w:top w:val="nil"/>
              <w:left w:val="nil"/>
              <w:bottom w:val="nil"/>
              <w:right w:val="nil"/>
            </w:tcBorders>
            <w:hideMark/>
          </w:tcPr>
          <w:p w14:paraId="2B53E6AD" w14:textId="5995A4EF" w:rsidR="001B44E1" w:rsidRPr="0066419A" w:rsidRDefault="001B44E1" w:rsidP="00E708C7">
            <w:pPr>
              <w:pStyle w:val="Header"/>
              <w:spacing w:before="80" w:after="80"/>
              <w:rPr>
                <w:bCs/>
                <w:sz w:val="20"/>
                <w:szCs w:val="20"/>
                <w:lang w:val="sr-Latn-ME"/>
              </w:rPr>
            </w:pPr>
            <w:r w:rsidRPr="0066419A">
              <w:rPr>
                <w:bCs/>
                <w:sz w:val="20"/>
                <w:szCs w:val="20"/>
                <w:lang w:val="sr-Latn-ME"/>
              </w:rPr>
              <w:t>*p</w:t>
            </w:r>
            <w:r w:rsidR="00707218">
              <w:rPr>
                <w:bCs/>
                <w:sz w:val="20"/>
                <w:szCs w:val="20"/>
                <w:lang w:val="sr-Latn-ME"/>
              </w:rPr>
              <w:t xml:space="preserve"> </w:t>
            </w:r>
            <w:r w:rsidRPr="0066419A">
              <w:rPr>
                <w:bCs/>
                <w:sz w:val="20"/>
                <w:szCs w:val="20"/>
                <w:lang w:val="sr-Latn-ME"/>
              </w:rPr>
              <w:t>&lt;</w:t>
            </w:r>
            <w:r w:rsidR="00707218">
              <w:rPr>
                <w:bCs/>
                <w:sz w:val="20"/>
                <w:szCs w:val="20"/>
                <w:lang w:val="sr-Latn-ME"/>
              </w:rPr>
              <w:t xml:space="preserve"> </w:t>
            </w:r>
            <w:r w:rsidRPr="0066419A">
              <w:rPr>
                <w:bCs/>
                <w:sz w:val="20"/>
                <w:szCs w:val="20"/>
                <w:lang w:val="sr-Latn-ME"/>
              </w:rPr>
              <w:t xml:space="preserve">0,05 </w:t>
            </w:r>
          </w:p>
          <w:p w14:paraId="4CC55210" w14:textId="77777777" w:rsidR="001B44E1" w:rsidRPr="0066419A" w:rsidRDefault="001B44E1" w:rsidP="00E708C7">
            <w:pPr>
              <w:pStyle w:val="Header"/>
              <w:spacing w:before="80" w:after="80"/>
              <w:rPr>
                <w:bCs/>
                <w:sz w:val="20"/>
                <w:szCs w:val="20"/>
                <w:lang w:val="sr-Latn-ME"/>
              </w:rPr>
            </w:pPr>
            <w:r w:rsidRPr="0066419A">
              <w:rPr>
                <w:bCs/>
                <w:sz w:val="20"/>
                <w:szCs w:val="20"/>
                <w:lang w:val="sr-Latn-ME"/>
              </w:rPr>
              <w:t xml:space="preserve">†nije statistički značajno </w:t>
            </w:r>
          </w:p>
          <w:p w14:paraId="48EA1A23" w14:textId="4587205F" w:rsidR="001B44E1" w:rsidRPr="0066419A" w:rsidRDefault="001B44E1" w:rsidP="00E708C7">
            <w:pPr>
              <w:pStyle w:val="Header"/>
              <w:spacing w:before="80" w:after="80"/>
              <w:rPr>
                <w:bCs/>
                <w:sz w:val="20"/>
                <w:szCs w:val="20"/>
                <w:lang w:val="sr-Latn-ME"/>
              </w:rPr>
            </w:pPr>
            <w:r w:rsidRPr="0066419A">
              <w:rPr>
                <w:bCs/>
                <w:sz w:val="20"/>
                <w:szCs w:val="20"/>
                <w:lang w:val="sr-Latn-ME"/>
              </w:rPr>
              <w:t xml:space="preserve">‡sekundarni </w:t>
            </w:r>
            <w:r w:rsidRPr="0066419A">
              <w:rPr>
                <w:sz w:val="20"/>
                <w:szCs w:val="20"/>
                <w:lang w:val="sr-Latn-ME"/>
              </w:rPr>
              <w:t>parametar efikasnosti</w:t>
            </w:r>
            <w:r w:rsidRPr="0066419A">
              <w:rPr>
                <w:bCs/>
                <w:sz w:val="20"/>
                <w:szCs w:val="20"/>
                <w:lang w:val="sr-Latn-ME"/>
              </w:rPr>
              <w:t xml:space="preserve"> treba gledati kao eksplorativni putem </w:t>
            </w:r>
            <w:r w:rsidR="00B148F2" w:rsidRPr="0066419A">
              <w:rPr>
                <w:bCs/>
                <w:sz w:val="20"/>
                <w:szCs w:val="20"/>
                <w:lang w:val="sr-Latn-ME"/>
              </w:rPr>
              <w:t>prethodno</w:t>
            </w:r>
            <w:r w:rsidRPr="0066419A">
              <w:rPr>
                <w:bCs/>
                <w:sz w:val="20"/>
                <w:szCs w:val="20"/>
                <w:lang w:val="sr-Latn-ME"/>
              </w:rPr>
              <w:t xml:space="preserve"> navedenog postupka statističkog testiranja </w:t>
            </w:r>
          </w:p>
          <w:p w14:paraId="57F980E3" w14:textId="0ACA00F8" w:rsidR="001B44E1" w:rsidRPr="0066419A" w:rsidRDefault="001B44E1" w:rsidP="00E708C7">
            <w:pPr>
              <w:pStyle w:val="Header"/>
              <w:spacing w:before="80" w:after="80"/>
              <w:rPr>
                <w:bCs/>
                <w:sz w:val="20"/>
                <w:szCs w:val="20"/>
                <w:lang w:val="sr-Latn-ME"/>
              </w:rPr>
            </w:pPr>
            <w:r w:rsidRPr="0066419A">
              <w:rPr>
                <w:bCs/>
                <w:sz w:val="20"/>
                <w:szCs w:val="20"/>
                <w:lang w:val="sr-Latn-ME"/>
              </w:rPr>
              <w:t>§nije statistički značajno, drugi ishodi stoga ni</w:t>
            </w:r>
            <w:r w:rsidR="00300582" w:rsidRPr="0066419A">
              <w:rPr>
                <w:bCs/>
                <w:sz w:val="20"/>
                <w:szCs w:val="20"/>
                <w:lang w:val="sr-Latn-ME"/>
              </w:rPr>
              <w:t>je</w:t>
            </w:r>
            <w:r w:rsidRPr="0066419A">
              <w:rPr>
                <w:bCs/>
                <w:sz w:val="20"/>
                <w:szCs w:val="20"/>
                <w:lang w:val="sr-Latn-ME"/>
              </w:rPr>
              <w:t xml:space="preserve">su statistički testirani </w:t>
            </w:r>
          </w:p>
          <w:p w14:paraId="19D26BF2" w14:textId="77777777" w:rsidR="001B44E1" w:rsidRPr="0066419A" w:rsidRDefault="001B44E1" w:rsidP="00E708C7">
            <w:pPr>
              <w:pStyle w:val="Header"/>
              <w:spacing w:before="80" w:after="80"/>
              <w:rPr>
                <w:bCs/>
                <w:sz w:val="20"/>
                <w:szCs w:val="20"/>
                <w:lang w:val="sr-Latn-ME"/>
              </w:rPr>
            </w:pPr>
            <w:r w:rsidRPr="0066419A">
              <w:rPr>
                <w:bCs/>
                <w:sz w:val="20"/>
                <w:szCs w:val="20"/>
                <w:lang w:val="sr-Latn-ME"/>
              </w:rPr>
              <w:t xml:space="preserve">¶n=157 za placebo i n=158 za vedolizumab </w:t>
            </w:r>
          </w:p>
          <w:p w14:paraId="5F9C74F6" w14:textId="01FA89B5" w:rsidR="00A41523" w:rsidRPr="0066419A" w:rsidRDefault="001B44E1" w:rsidP="00A5182D">
            <w:pPr>
              <w:pStyle w:val="Header"/>
              <w:spacing w:before="80" w:after="80"/>
              <w:rPr>
                <w:bCs/>
                <w:sz w:val="20"/>
                <w:szCs w:val="20"/>
                <w:lang w:val="sr-Latn-ME"/>
              </w:rPr>
            </w:pPr>
            <w:r w:rsidRPr="0066419A">
              <w:rPr>
                <w:bCs/>
                <w:sz w:val="20"/>
                <w:szCs w:val="20"/>
                <w:lang w:val="sr-Latn-ME"/>
              </w:rPr>
              <w:t xml:space="preserve">#Održana klinička remisija: klinička remisija u 6. i 10. </w:t>
            </w:r>
            <w:r w:rsidR="0069571E" w:rsidRPr="0066419A">
              <w:rPr>
                <w:bCs/>
                <w:sz w:val="20"/>
                <w:szCs w:val="20"/>
                <w:lang w:val="sr-Latn-ME"/>
              </w:rPr>
              <w:t>nedjelji</w:t>
            </w:r>
            <w:r w:rsidRPr="0066419A">
              <w:rPr>
                <w:bCs/>
                <w:sz w:val="20"/>
                <w:szCs w:val="20"/>
                <w:lang w:val="sr-Latn-ME"/>
              </w:rPr>
              <w:t xml:space="preserve"> </w:t>
            </w:r>
          </w:p>
          <w:p w14:paraId="33E17638" w14:textId="77777777" w:rsidR="001B44E1" w:rsidRPr="006F34F9" w:rsidRDefault="001B44E1" w:rsidP="000B42A8">
            <w:pPr>
              <w:pStyle w:val="Header"/>
              <w:spacing w:before="80" w:after="80"/>
              <w:rPr>
                <w:bCs/>
                <w:szCs w:val="22"/>
                <w:lang w:val="sr-Latn-ME"/>
              </w:rPr>
            </w:pPr>
            <w:r w:rsidRPr="0066419A">
              <w:rPr>
                <w:bCs/>
                <w:sz w:val="20"/>
                <w:szCs w:val="20"/>
                <w:lang w:val="sr-Latn-ME"/>
              </w:rPr>
              <w:t>^Eksplorativni ishod</w:t>
            </w:r>
            <w:r w:rsidRPr="006F34F9">
              <w:rPr>
                <w:bCs/>
                <w:szCs w:val="22"/>
                <w:lang w:val="sr-Latn-ME"/>
              </w:rPr>
              <w:t xml:space="preserve"> </w:t>
            </w:r>
          </w:p>
        </w:tc>
      </w:tr>
    </w:tbl>
    <w:p w14:paraId="501DCB89" w14:textId="374DEFCD" w:rsidR="001B44E1" w:rsidRDefault="001B44E1" w:rsidP="00E708C7">
      <w:pPr>
        <w:pStyle w:val="Header"/>
        <w:tabs>
          <w:tab w:val="left" w:pos="284"/>
        </w:tabs>
        <w:rPr>
          <w:szCs w:val="22"/>
          <w:lang w:val="sr-Latn-ME"/>
        </w:rPr>
      </w:pPr>
    </w:p>
    <w:p w14:paraId="43F56B9B" w14:textId="77777777" w:rsidR="00707218" w:rsidRPr="006F34F9" w:rsidRDefault="00707218" w:rsidP="00E708C7">
      <w:pPr>
        <w:pStyle w:val="Header"/>
        <w:tabs>
          <w:tab w:val="left" w:pos="284"/>
        </w:tabs>
        <w:rPr>
          <w:szCs w:val="22"/>
          <w:lang w:val="sr-Latn-ME"/>
        </w:rPr>
      </w:pPr>
    </w:p>
    <w:tbl>
      <w:tblPr>
        <w:tblW w:w="9245" w:type="dxa"/>
        <w:tblInd w:w="-142" w:type="dxa"/>
        <w:tblLayout w:type="fixed"/>
        <w:tblLook w:val="04A0" w:firstRow="1" w:lastRow="0" w:firstColumn="1" w:lastColumn="0" w:noHBand="0" w:noVBand="1"/>
      </w:tblPr>
      <w:tblGrid>
        <w:gridCol w:w="3686"/>
        <w:gridCol w:w="1417"/>
        <w:gridCol w:w="142"/>
        <w:gridCol w:w="2126"/>
        <w:gridCol w:w="142"/>
        <w:gridCol w:w="1559"/>
        <w:gridCol w:w="173"/>
      </w:tblGrid>
      <w:tr w:rsidR="001B44E1" w:rsidRPr="006F34F9" w14:paraId="454719D8" w14:textId="77777777" w:rsidTr="00180C9F">
        <w:trPr>
          <w:trHeight w:val="147"/>
        </w:trPr>
        <w:tc>
          <w:tcPr>
            <w:tcW w:w="9245" w:type="dxa"/>
            <w:gridSpan w:val="7"/>
            <w:tcBorders>
              <w:top w:val="nil"/>
              <w:left w:val="nil"/>
              <w:bottom w:val="single" w:sz="4" w:space="0" w:color="auto"/>
              <w:right w:val="nil"/>
            </w:tcBorders>
            <w:hideMark/>
          </w:tcPr>
          <w:p w14:paraId="22161C44" w14:textId="737E7291" w:rsidR="001B44E1" w:rsidRPr="006F34F9" w:rsidRDefault="001B44E1" w:rsidP="00E708C7">
            <w:pPr>
              <w:pStyle w:val="Default"/>
              <w:jc w:val="both"/>
              <w:rPr>
                <w:sz w:val="22"/>
                <w:szCs w:val="22"/>
                <w:lang w:val="sr-Latn-ME"/>
              </w:rPr>
            </w:pPr>
            <w:r w:rsidRPr="006F34F9">
              <w:rPr>
                <w:b/>
                <w:bCs/>
                <w:sz w:val="22"/>
                <w:szCs w:val="22"/>
                <w:lang w:val="sr-Latn-ME"/>
              </w:rPr>
              <w:lastRenderedPageBreak/>
              <w:t xml:space="preserve">Tabela </w:t>
            </w:r>
            <w:r w:rsidR="00550B37" w:rsidRPr="006F34F9">
              <w:rPr>
                <w:b/>
                <w:bCs/>
                <w:sz w:val="22"/>
                <w:szCs w:val="22"/>
                <w:lang w:val="sr-Latn-ME"/>
              </w:rPr>
              <w:t>7</w:t>
            </w:r>
            <w:r w:rsidRPr="006F34F9">
              <w:rPr>
                <w:b/>
                <w:bCs/>
                <w:sz w:val="22"/>
                <w:szCs w:val="22"/>
                <w:lang w:val="sr-Latn-ME"/>
              </w:rPr>
              <w:t xml:space="preserve">. Rezultati efikasnosti u ispitivanju GEMINI </w:t>
            </w:r>
            <w:r w:rsidR="00A22425" w:rsidRPr="006F34F9">
              <w:rPr>
                <w:b/>
                <w:bCs/>
                <w:sz w:val="22"/>
                <w:szCs w:val="22"/>
                <w:lang w:val="sr-Latn-ME"/>
              </w:rPr>
              <w:t>2</w:t>
            </w:r>
            <w:r w:rsidRPr="006F34F9">
              <w:rPr>
                <w:b/>
                <w:bCs/>
                <w:sz w:val="22"/>
                <w:szCs w:val="22"/>
                <w:lang w:val="sr-Latn-ME"/>
              </w:rPr>
              <w:t xml:space="preserve"> u 52. </w:t>
            </w:r>
            <w:r w:rsidR="0069571E" w:rsidRPr="006F34F9">
              <w:rPr>
                <w:b/>
                <w:bCs/>
                <w:sz w:val="22"/>
                <w:szCs w:val="22"/>
                <w:lang w:val="sr-Latn-ME"/>
              </w:rPr>
              <w:t>nedjelji</w:t>
            </w:r>
            <w:r w:rsidRPr="006F34F9">
              <w:rPr>
                <w:b/>
                <w:bCs/>
                <w:sz w:val="22"/>
                <w:szCs w:val="22"/>
                <w:lang w:val="sr-Latn-ME"/>
              </w:rPr>
              <w:t xml:space="preserve"> </w:t>
            </w:r>
          </w:p>
        </w:tc>
      </w:tr>
      <w:tr w:rsidR="001B44E1" w:rsidRPr="006F34F9" w14:paraId="6E308D45" w14:textId="77777777" w:rsidTr="00180C9F">
        <w:trPr>
          <w:trHeight w:val="398"/>
        </w:trPr>
        <w:tc>
          <w:tcPr>
            <w:tcW w:w="5103" w:type="dxa"/>
            <w:gridSpan w:val="2"/>
            <w:tcBorders>
              <w:top w:val="single" w:sz="4" w:space="0" w:color="auto"/>
              <w:left w:val="nil"/>
              <w:bottom w:val="single" w:sz="4" w:space="0" w:color="auto"/>
              <w:right w:val="nil"/>
            </w:tcBorders>
          </w:tcPr>
          <w:p w14:paraId="53B755B3" w14:textId="77777777" w:rsidR="001B44E1" w:rsidRPr="006F34F9" w:rsidRDefault="001B44E1" w:rsidP="0066419A">
            <w:pPr>
              <w:pStyle w:val="Default"/>
              <w:jc w:val="center"/>
              <w:rPr>
                <w:sz w:val="22"/>
                <w:szCs w:val="22"/>
                <w:lang w:val="sr-Latn-ME"/>
              </w:rPr>
            </w:pPr>
          </w:p>
          <w:p w14:paraId="3B5F92E3" w14:textId="2D1335EC" w:rsidR="001B44E1" w:rsidRPr="006F34F9" w:rsidRDefault="00707218" w:rsidP="0066419A">
            <w:pPr>
              <w:pStyle w:val="Default"/>
              <w:jc w:val="center"/>
              <w:rPr>
                <w:sz w:val="22"/>
                <w:szCs w:val="22"/>
                <w:lang w:val="sr-Latn-ME"/>
              </w:rPr>
            </w:pPr>
            <w:r>
              <w:rPr>
                <w:sz w:val="22"/>
                <w:szCs w:val="22"/>
                <w:lang w:val="sr-Latn-ME"/>
              </w:rPr>
              <w:t xml:space="preserve">                                                                  </w:t>
            </w:r>
            <w:r w:rsidR="001B44E1" w:rsidRPr="006F34F9">
              <w:rPr>
                <w:sz w:val="22"/>
                <w:szCs w:val="22"/>
                <w:lang w:val="sr-Latn-ME"/>
              </w:rPr>
              <w:t>Placebo</w:t>
            </w:r>
          </w:p>
          <w:p w14:paraId="5C92E6A7" w14:textId="49CB1043" w:rsidR="001B44E1" w:rsidRPr="006F34F9" w:rsidRDefault="00707218" w:rsidP="0066419A">
            <w:pPr>
              <w:pStyle w:val="Default"/>
              <w:jc w:val="center"/>
              <w:rPr>
                <w:sz w:val="22"/>
                <w:szCs w:val="22"/>
                <w:lang w:val="sr-Latn-ME"/>
              </w:rPr>
            </w:pPr>
            <w:r>
              <w:rPr>
                <w:sz w:val="22"/>
                <w:szCs w:val="22"/>
                <w:lang w:val="sr-Latn-ME"/>
              </w:rPr>
              <w:t xml:space="preserve">                                                                   </w:t>
            </w:r>
            <w:r w:rsidR="001B44E1" w:rsidRPr="006F34F9">
              <w:rPr>
                <w:sz w:val="22"/>
                <w:szCs w:val="22"/>
                <w:lang w:val="sr-Latn-ME"/>
              </w:rPr>
              <w:t>N=153*</w:t>
            </w:r>
          </w:p>
        </w:tc>
        <w:tc>
          <w:tcPr>
            <w:tcW w:w="2268" w:type="dxa"/>
            <w:gridSpan w:val="2"/>
            <w:tcBorders>
              <w:top w:val="single" w:sz="4" w:space="0" w:color="auto"/>
              <w:left w:val="nil"/>
              <w:bottom w:val="single" w:sz="4" w:space="0" w:color="auto"/>
              <w:right w:val="nil"/>
            </w:tcBorders>
            <w:hideMark/>
          </w:tcPr>
          <w:p w14:paraId="0AA78CDB" w14:textId="249F5F9F" w:rsidR="001B44E1" w:rsidRPr="006F34F9" w:rsidRDefault="001B44E1" w:rsidP="0066419A">
            <w:pPr>
              <w:pStyle w:val="Default"/>
              <w:jc w:val="center"/>
              <w:rPr>
                <w:sz w:val="22"/>
                <w:szCs w:val="22"/>
                <w:lang w:val="sr-Latn-ME"/>
              </w:rPr>
            </w:pPr>
            <w:r w:rsidRPr="006F34F9">
              <w:rPr>
                <w:sz w:val="22"/>
                <w:szCs w:val="22"/>
                <w:lang w:val="sr-Latn-ME"/>
              </w:rPr>
              <w:t>Vedolizumab</w:t>
            </w:r>
          </w:p>
          <w:p w14:paraId="58D36E85" w14:textId="4499CB12" w:rsidR="001B44E1" w:rsidRPr="006F34F9" w:rsidRDefault="00707218" w:rsidP="0066419A">
            <w:pPr>
              <w:pStyle w:val="Default"/>
              <w:jc w:val="center"/>
              <w:rPr>
                <w:sz w:val="22"/>
                <w:szCs w:val="22"/>
                <w:lang w:val="sr-Latn-ME"/>
              </w:rPr>
            </w:pPr>
            <w:r>
              <w:rPr>
                <w:sz w:val="22"/>
                <w:szCs w:val="22"/>
                <w:lang w:val="sr-Latn-ME"/>
              </w:rPr>
              <w:t>s</w:t>
            </w:r>
            <w:r w:rsidR="001B44E1" w:rsidRPr="006F34F9">
              <w:rPr>
                <w:sz w:val="22"/>
                <w:szCs w:val="22"/>
                <w:lang w:val="sr-Latn-ME"/>
              </w:rPr>
              <w:t>vake 8. ned</w:t>
            </w:r>
            <w:r w:rsidR="0067327C" w:rsidRPr="006F34F9">
              <w:rPr>
                <w:sz w:val="22"/>
                <w:szCs w:val="22"/>
                <w:lang w:val="sr-Latn-ME"/>
              </w:rPr>
              <w:t>j</w:t>
            </w:r>
            <w:r w:rsidR="001B44E1" w:rsidRPr="006F34F9">
              <w:rPr>
                <w:sz w:val="22"/>
                <w:szCs w:val="22"/>
                <w:lang w:val="sr-Latn-ME"/>
              </w:rPr>
              <w:t>elje</w:t>
            </w:r>
          </w:p>
          <w:p w14:paraId="4243D0AA" w14:textId="2EA0F839" w:rsidR="001B44E1" w:rsidRPr="006F34F9" w:rsidRDefault="001B44E1" w:rsidP="0066419A">
            <w:pPr>
              <w:pStyle w:val="Default"/>
              <w:jc w:val="center"/>
              <w:rPr>
                <w:sz w:val="22"/>
                <w:szCs w:val="22"/>
                <w:lang w:val="sr-Latn-ME"/>
              </w:rPr>
            </w:pPr>
            <w:r w:rsidRPr="006F34F9">
              <w:rPr>
                <w:sz w:val="22"/>
                <w:szCs w:val="22"/>
                <w:lang w:val="sr-Latn-ME"/>
              </w:rPr>
              <w:t>N=154</w:t>
            </w:r>
          </w:p>
        </w:tc>
        <w:tc>
          <w:tcPr>
            <w:tcW w:w="1874" w:type="dxa"/>
            <w:gridSpan w:val="3"/>
            <w:tcBorders>
              <w:top w:val="single" w:sz="4" w:space="0" w:color="auto"/>
              <w:left w:val="nil"/>
              <w:bottom w:val="single" w:sz="4" w:space="0" w:color="auto"/>
              <w:right w:val="nil"/>
            </w:tcBorders>
            <w:hideMark/>
          </w:tcPr>
          <w:p w14:paraId="3EA8D643" w14:textId="5B1040E3" w:rsidR="001B44E1" w:rsidRPr="006F34F9" w:rsidRDefault="001B44E1" w:rsidP="0066419A">
            <w:pPr>
              <w:pStyle w:val="Default"/>
              <w:jc w:val="center"/>
              <w:rPr>
                <w:sz w:val="22"/>
                <w:szCs w:val="22"/>
                <w:lang w:val="sr-Latn-ME"/>
              </w:rPr>
            </w:pPr>
            <w:r w:rsidRPr="006F34F9">
              <w:rPr>
                <w:sz w:val="22"/>
                <w:szCs w:val="22"/>
                <w:lang w:val="sr-Latn-ME"/>
              </w:rPr>
              <w:t xml:space="preserve">Vedolizumab </w:t>
            </w:r>
            <w:r w:rsidR="00707218">
              <w:rPr>
                <w:sz w:val="22"/>
                <w:szCs w:val="22"/>
                <w:lang w:val="sr-Latn-ME"/>
              </w:rPr>
              <w:t>s</w:t>
            </w:r>
            <w:r w:rsidRPr="006F34F9">
              <w:rPr>
                <w:sz w:val="22"/>
                <w:szCs w:val="22"/>
                <w:lang w:val="sr-Latn-ME"/>
              </w:rPr>
              <w:t>vake 4. ned</w:t>
            </w:r>
            <w:r w:rsidR="0067327C" w:rsidRPr="006F34F9">
              <w:rPr>
                <w:sz w:val="22"/>
                <w:szCs w:val="22"/>
                <w:lang w:val="sr-Latn-ME"/>
              </w:rPr>
              <w:t>j</w:t>
            </w:r>
            <w:r w:rsidRPr="006F34F9">
              <w:rPr>
                <w:sz w:val="22"/>
                <w:szCs w:val="22"/>
                <w:lang w:val="sr-Latn-ME"/>
              </w:rPr>
              <w:t>elje N=154</w:t>
            </w:r>
          </w:p>
        </w:tc>
      </w:tr>
      <w:tr w:rsidR="001B44E1" w:rsidRPr="006F34F9" w14:paraId="7BF32F3B" w14:textId="77777777" w:rsidTr="00180C9F">
        <w:trPr>
          <w:trHeight w:val="20"/>
        </w:trPr>
        <w:tc>
          <w:tcPr>
            <w:tcW w:w="3686" w:type="dxa"/>
            <w:tcBorders>
              <w:top w:val="single" w:sz="4" w:space="0" w:color="auto"/>
              <w:left w:val="nil"/>
              <w:bottom w:val="nil"/>
              <w:right w:val="nil"/>
            </w:tcBorders>
          </w:tcPr>
          <w:p w14:paraId="57A89477" w14:textId="77777777" w:rsidR="001B44E1" w:rsidRPr="006F34F9" w:rsidRDefault="001B44E1" w:rsidP="0066419A">
            <w:pPr>
              <w:pStyle w:val="Default"/>
              <w:jc w:val="center"/>
              <w:rPr>
                <w:sz w:val="22"/>
                <w:szCs w:val="22"/>
                <w:lang w:val="sr-Latn-ME"/>
              </w:rPr>
            </w:pPr>
          </w:p>
          <w:p w14:paraId="79547191" w14:textId="705F6218" w:rsidR="001B44E1" w:rsidRPr="006F34F9" w:rsidRDefault="001B44E1" w:rsidP="0066419A">
            <w:pPr>
              <w:pStyle w:val="Default"/>
              <w:jc w:val="center"/>
              <w:rPr>
                <w:sz w:val="22"/>
                <w:szCs w:val="22"/>
                <w:lang w:val="sr-Latn-ME"/>
              </w:rPr>
            </w:pPr>
            <w:r w:rsidRPr="006F34F9">
              <w:rPr>
                <w:sz w:val="22"/>
                <w:szCs w:val="22"/>
                <w:lang w:val="sr-Latn-ME"/>
              </w:rPr>
              <w:t>Klinička remisija</w:t>
            </w:r>
          </w:p>
        </w:tc>
        <w:tc>
          <w:tcPr>
            <w:tcW w:w="1559" w:type="dxa"/>
            <w:gridSpan w:val="2"/>
            <w:tcBorders>
              <w:top w:val="single" w:sz="4" w:space="0" w:color="auto"/>
              <w:left w:val="nil"/>
              <w:bottom w:val="nil"/>
              <w:right w:val="nil"/>
            </w:tcBorders>
          </w:tcPr>
          <w:p w14:paraId="3795CDCC" w14:textId="77777777" w:rsidR="001B44E1" w:rsidRPr="006F34F9" w:rsidRDefault="001B44E1" w:rsidP="0066419A">
            <w:pPr>
              <w:pStyle w:val="Default"/>
              <w:jc w:val="center"/>
              <w:rPr>
                <w:sz w:val="22"/>
                <w:szCs w:val="22"/>
                <w:lang w:val="sr-Latn-ME"/>
              </w:rPr>
            </w:pPr>
          </w:p>
          <w:p w14:paraId="0904EA59" w14:textId="77777777" w:rsidR="001B44E1" w:rsidRPr="006F34F9" w:rsidRDefault="001B44E1" w:rsidP="0066419A">
            <w:pPr>
              <w:pStyle w:val="Default"/>
              <w:jc w:val="center"/>
              <w:rPr>
                <w:sz w:val="22"/>
                <w:szCs w:val="22"/>
                <w:lang w:val="sr-Latn-ME"/>
              </w:rPr>
            </w:pPr>
            <w:r w:rsidRPr="006F34F9">
              <w:rPr>
                <w:sz w:val="22"/>
                <w:szCs w:val="22"/>
                <w:lang w:val="sr-Latn-ME"/>
              </w:rPr>
              <w:t>22%</w:t>
            </w:r>
          </w:p>
        </w:tc>
        <w:tc>
          <w:tcPr>
            <w:tcW w:w="2268" w:type="dxa"/>
            <w:gridSpan w:val="2"/>
            <w:tcBorders>
              <w:top w:val="single" w:sz="4" w:space="0" w:color="auto"/>
              <w:left w:val="nil"/>
              <w:bottom w:val="nil"/>
              <w:right w:val="nil"/>
            </w:tcBorders>
          </w:tcPr>
          <w:p w14:paraId="1C9F06A4" w14:textId="77777777" w:rsidR="001B44E1" w:rsidRPr="006F34F9" w:rsidRDefault="001B44E1" w:rsidP="0066419A">
            <w:pPr>
              <w:pStyle w:val="Default"/>
              <w:jc w:val="center"/>
              <w:rPr>
                <w:sz w:val="22"/>
                <w:szCs w:val="22"/>
                <w:lang w:val="sr-Latn-ME"/>
              </w:rPr>
            </w:pPr>
          </w:p>
          <w:p w14:paraId="1BCE7ECC" w14:textId="77777777" w:rsidR="001B44E1" w:rsidRPr="006F34F9" w:rsidRDefault="001B44E1" w:rsidP="0066419A">
            <w:pPr>
              <w:pStyle w:val="Default"/>
              <w:jc w:val="center"/>
              <w:rPr>
                <w:sz w:val="22"/>
                <w:szCs w:val="22"/>
                <w:lang w:val="sr-Latn-ME"/>
              </w:rPr>
            </w:pPr>
            <w:r w:rsidRPr="006F34F9">
              <w:rPr>
                <w:sz w:val="22"/>
                <w:szCs w:val="22"/>
                <w:lang w:val="sr-Latn-ME"/>
              </w:rPr>
              <w:t>39%†</w:t>
            </w:r>
          </w:p>
        </w:tc>
        <w:tc>
          <w:tcPr>
            <w:tcW w:w="1732" w:type="dxa"/>
            <w:gridSpan w:val="2"/>
            <w:tcBorders>
              <w:top w:val="single" w:sz="4" w:space="0" w:color="auto"/>
              <w:left w:val="nil"/>
              <w:bottom w:val="nil"/>
              <w:right w:val="nil"/>
            </w:tcBorders>
          </w:tcPr>
          <w:p w14:paraId="5BE31AF2" w14:textId="77777777" w:rsidR="001B44E1" w:rsidRPr="006F34F9" w:rsidRDefault="001B44E1" w:rsidP="0066419A">
            <w:pPr>
              <w:pStyle w:val="Default"/>
              <w:jc w:val="center"/>
              <w:rPr>
                <w:sz w:val="22"/>
                <w:szCs w:val="22"/>
                <w:lang w:val="sr-Latn-ME"/>
              </w:rPr>
            </w:pPr>
          </w:p>
          <w:p w14:paraId="328D90A7" w14:textId="77777777" w:rsidR="001B44E1" w:rsidRPr="006F34F9" w:rsidRDefault="001B44E1" w:rsidP="0066419A">
            <w:pPr>
              <w:pStyle w:val="Default"/>
              <w:jc w:val="center"/>
              <w:rPr>
                <w:sz w:val="22"/>
                <w:szCs w:val="22"/>
                <w:lang w:val="sr-Latn-ME"/>
              </w:rPr>
            </w:pPr>
            <w:r w:rsidRPr="006F34F9">
              <w:rPr>
                <w:sz w:val="22"/>
                <w:szCs w:val="22"/>
                <w:lang w:val="sr-Latn-ME"/>
              </w:rPr>
              <w:t>36%‡</w:t>
            </w:r>
          </w:p>
        </w:tc>
      </w:tr>
      <w:tr w:rsidR="001B44E1" w:rsidRPr="006F34F9" w14:paraId="6B374D11" w14:textId="77777777" w:rsidTr="00180C9F">
        <w:trPr>
          <w:trHeight w:val="20"/>
        </w:trPr>
        <w:tc>
          <w:tcPr>
            <w:tcW w:w="3686" w:type="dxa"/>
            <w:tcBorders>
              <w:top w:val="nil"/>
              <w:left w:val="nil"/>
              <w:bottom w:val="nil"/>
              <w:right w:val="nil"/>
            </w:tcBorders>
          </w:tcPr>
          <w:p w14:paraId="3B67DF19" w14:textId="77777777" w:rsidR="001B44E1" w:rsidRPr="006F34F9" w:rsidRDefault="001B44E1" w:rsidP="0066419A">
            <w:pPr>
              <w:pStyle w:val="Default"/>
              <w:jc w:val="center"/>
              <w:rPr>
                <w:sz w:val="22"/>
                <w:szCs w:val="22"/>
                <w:lang w:val="sr-Latn-ME"/>
              </w:rPr>
            </w:pPr>
          </w:p>
          <w:p w14:paraId="1AE694E1" w14:textId="16432630" w:rsidR="001B44E1" w:rsidRPr="006F34F9" w:rsidRDefault="001B44E1" w:rsidP="0066419A">
            <w:pPr>
              <w:pStyle w:val="Default"/>
              <w:jc w:val="center"/>
              <w:rPr>
                <w:sz w:val="22"/>
                <w:szCs w:val="22"/>
                <w:lang w:val="sr-Latn-ME"/>
              </w:rPr>
            </w:pPr>
            <w:r w:rsidRPr="006F34F9">
              <w:rPr>
                <w:sz w:val="22"/>
                <w:szCs w:val="22"/>
                <w:lang w:val="sr-Latn-ME"/>
              </w:rPr>
              <w:t>Pojačani klinički odgovor</w:t>
            </w:r>
          </w:p>
        </w:tc>
        <w:tc>
          <w:tcPr>
            <w:tcW w:w="1559" w:type="dxa"/>
            <w:gridSpan w:val="2"/>
            <w:tcBorders>
              <w:top w:val="nil"/>
              <w:left w:val="nil"/>
              <w:bottom w:val="nil"/>
              <w:right w:val="nil"/>
            </w:tcBorders>
          </w:tcPr>
          <w:p w14:paraId="1AEA4A91" w14:textId="77777777" w:rsidR="001B44E1" w:rsidRPr="006F34F9" w:rsidRDefault="001B44E1" w:rsidP="0066419A">
            <w:pPr>
              <w:pStyle w:val="Default"/>
              <w:jc w:val="center"/>
              <w:rPr>
                <w:sz w:val="22"/>
                <w:szCs w:val="22"/>
                <w:lang w:val="sr-Latn-ME"/>
              </w:rPr>
            </w:pPr>
          </w:p>
          <w:p w14:paraId="293B5373" w14:textId="77777777" w:rsidR="001B44E1" w:rsidRPr="006F34F9" w:rsidRDefault="001B44E1" w:rsidP="0066419A">
            <w:pPr>
              <w:pStyle w:val="Default"/>
              <w:jc w:val="center"/>
              <w:rPr>
                <w:sz w:val="22"/>
                <w:szCs w:val="22"/>
                <w:lang w:val="sr-Latn-ME"/>
              </w:rPr>
            </w:pPr>
            <w:r w:rsidRPr="006F34F9">
              <w:rPr>
                <w:sz w:val="22"/>
                <w:szCs w:val="22"/>
                <w:lang w:val="sr-Latn-ME"/>
              </w:rPr>
              <w:t>30%</w:t>
            </w:r>
          </w:p>
        </w:tc>
        <w:tc>
          <w:tcPr>
            <w:tcW w:w="2268" w:type="dxa"/>
            <w:gridSpan w:val="2"/>
            <w:tcBorders>
              <w:top w:val="nil"/>
              <w:left w:val="nil"/>
              <w:bottom w:val="nil"/>
              <w:right w:val="nil"/>
            </w:tcBorders>
          </w:tcPr>
          <w:p w14:paraId="63FD3426" w14:textId="77777777" w:rsidR="001B44E1" w:rsidRPr="006F34F9" w:rsidRDefault="001B44E1" w:rsidP="0066419A">
            <w:pPr>
              <w:pStyle w:val="Default"/>
              <w:jc w:val="center"/>
              <w:rPr>
                <w:sz w:val="22"/>
                <w:szCs w:val="22"/>
                <w:lang w:val="sr-Latn-ME"/>
              </w:rPr>
            </w:pPr>
          </w:p>
          <w:p w14:paraId="03C679B0" w14:textId="77777777" w:rsidR="001B44E1" w:rsidRPr="006F34F9" w:rsidRDefault="001B44E1" w:rsidP="0066419A">
            <w:pPr>
              <w:pStyle w:val="Default"/>
              <w:jc w:val="center"/>
              <w:rPr>
                <w:sz w:val="22"/>
                <w:szCs w:val="22"/>
                <w:lang w:val="sr-Latn-ME"/>
              </w:rPr>
            </w:pPr>
            <w:r w:rsidRPr="006F34F9">
              <w:rPr>
                <w:sz w:val="22"/>
                <w:szCs w:val="22"/>
                <w:lang w:val="sr-Latn-ME"/>
              </w:rPr>
              <w:t>44%‡</w:t>
            </w:r>
          </w:p>
        </w:tc>
        <w:tc>
          <w:tcPr>
            <w:tcW w:w="1732" w:type="dxa"/>
            <w:gridSpan w:val="2"/>
            <w:tcBorders>
              <w:top w:val="nil"/>
              <w:left w:val="nil"/>
              <w:bottom w:val="nil"/>
              <w:right w:val="nil"/>
            </w:tcBorders>
          </w:tcPr>
          <w:p w14:paraId="70370D48" w14:textId="77777777" w:rsidR="001B44E1" w:rsidRPr="006F34F9" w:rsidRDefault="001B44E1" w:rsidP="0066419A">
            <w:pPr>
              <w:pStyle w:val="Default"/>
              <w:jc w:val="center"/>
              <w:rPr>
                <w:sz w:val="22"/>
                <w:szCs w:val="22"/>
                <w:lang w:val="sr-Latn-ME"/>
              </w:rPr>
            </w:pPr>
          </w:p>
          <w:p w14:paraId="0B0573C7" w14:textId="77777777" w:rsidR="001B44E1" w:rsidRPr="006F34F9" w:rsidRDefault="001B44E1" w:rsidP="0066419A">
            <w:pPr>
              <w:pStyle w:val="Default"/>
              <w:jc w:val="center"/>
              <w:rPr>
                <w:sz w:val="22"/>
                <w:szCs w:val="22"/>
                <w:lang w:val="sr-Latn-ME"/>
              </w:rPr>
            </w:pPr>
            <w:r w:rsidRPr="006F34F9">
              <w:rPr>
                <w:sz w:val="22"/>
                <w:szCs w:val="22"/>
                <w:lang w:val="sr-Latn-ME"/>
              </w:rPr>
              <w:t>45%‡</w:t>
            </w:r>
          </w:p>
        </w:tc>
      </w:tr>
      <w:tr w:rsidR="001B44E1" w:rsidRPr="006F34F9" w14:paraId="4079549E" w14:textId="77777777" w:rsidTr="00180C9F">
        <w:trPr>
          <w:trHeight w:val="20"/>
        </w:trPr>
        <w:tc>
          <w:tcPr>
            <w:tcW w:w="3686" w:type="dxa"/>
            <w:tcBorders>
              <w:top w:val="nil"/>
              <w:left w:val="nil"/>
              <w:bottom w:val="nil"/>
              <w:right w:val="nil"/>
            </w:tcBorders>
          </w:tcPr>
          <w:p w14:paraId="439472B9" w14:textId="77777777" w:rsidR="001B44E1" w:rsidRPr="006F34F9" w:rsidRDefault="001B44E1" w:rsidP="0066419A">
            <w:pPr>
              <w:pStyle w:val="Default"/>
              <w:jc w:val="center"/>
              <w:rPr>
                <w:sz w:val="22"/>
                <w:szCs w:val="22"/>
                <w:lang w:val="sr-Latn-ME"/>
              </w:rPr>
            </w:pPr>
          </w:p>
          <w:p w14:paraId="3101EC43" w14:textId="291CAF78" w:rsidR="001B44E1" w:rsidRPr="006F34F9" w:rsidRDefault="001B44E1" w:rsidP="0066419A">
            <w:pPr>
              <w:pStyle w:val="Default"/>
              <w:jc w:val="center"/>
              <w:rPr>
                <w:sz w:val="22"/>
                <w:szCs w:val="22"/>
                <w:lang w:val="sr-Latn-ME"/>
              </w:rPr>
            </w:pPr>
            <w:r w:rsidRPr="006F34F9">
              <w:rPr>
                <w:sz w:val="22"/>
                <w:szCs w:val="22"/>
                <w:lang w:val="sr-Latn-ME"/>
              </w:rPr>
              <w:t>Klinička remisija bez kortikosteroida</w:t>
            </w:r>
            <w:r w:rsidRPr="0066419A">
              <w:rPr>
                <w:sz w:val="22"/>
                <w:szCs w:val="22"/>
                <w:vertAlign w:val="superscript"/>
                <w:lang w:val="sr-Latn-ME"/>
              </w:rPr>
              <w:t>§</w:t>
            </w:r>
          </w:p>
        </w:tc>
        <w:tc>
          <w:tcPr>
            <w:tcW w:w="1559" w:type="dxa"/>
            <w:gridSpan w:val="2"/>
            <w:tcBorders>
              <w:top w:val="nil"/>
              <w:left w:val="nil"/>
              <w:bottom w:val="nil"/>
              <w:right w:val="nil"/>
            </w:tcBorders>
          </w:tcPr>
          <w:p w14:paraId="31D1A400" w14:textId="77777777" w:rsidR="001B44E1" w:rsidRPr="006F34F9" w:rsidRDefault="001B44E1" w:rsidP="0066419A">
            <w:pPr>
              <w:pStyle w:val="Default"/>
              <w:jc w:val="center"/>
              <w:rPr>
                <w:sz w:val="22"/>
                <w:szCs w:val="22"/>
                <w:lang w:val="sr-Latn-ME"/>
              </w:rPr>
            </w:pPr>
          </w:p>
          <w:p w14:paraId="528D6FC9" w14:textId="77777777" w:rsidR="001B44E1" w:rsidRPr="006F34F9" w:rsidRDefault="001B44E1" w:rsidP="0066419A">
            <w:pPr>
              <w:pStyle w:val="Default"/>
              <w:jc w:val="center"/>
              <w:rPr>
                <w:sz w:val="22"/>
                <w:szCs w:val="22"/>
                <w:lang w:val="sr-Latn-ME"/>
              </w:rPr>
            </w:pPr>
            <w:r w:rsidRPr="006F34F9">
              <w:rPr>
                <w:sz w:val="22"/>
                <w:szCs w:val="22"/>
                <w:lang w:val="sr-Latn-ME"/>
              </w:rPr>
              <w:t>16%</w:t>
            </w:r>
          </w:p>
        </w:tc>
        <w:tc>
          <w:tcPr>
            <w:tcW w:w="2268" w:type="dxa"/>
            <w:gridSpan w:val="2"/>
            <w:tcBorders>
              <w:top w:val="nil"/>
              <w:left w:val="nil"/>
              <w:bottom w:val="nil"/>
              <w:right w:val="nil"/>
            </w:tcBorders>
          </w:tcPr>
          <w:p w14:paraId="17065F6B" w14:textId="77777777" w:rsidR="001B44E1" w:rsidRPr="006F34F9" w:rsidRDefault="001B44E1" w:rsidP="0066419A">
            <w:pPr>
              <w:pStyle w:val="Default"/>
              <w:jc w:val="center"/>
              <w:rPr>
                <w:sz w:val="22"/>
                <w:szCs w:val="22"/>
                <w:lang w:val="sr-Latn-ME"/>
              </w:rPr>
            </w:pPr>
          </w:p>
          <w:p w14:paraId="6A8746D6" w14:textId="77777777" w:rsidR="001B44E1" w:rsidRPr="006F34F9" w:rsidRDefault="001B44E1" w:rsidP="0066419A">
            <w:pPr>
              <w:pStyle w:val="Default"/>
              <w:jc w:val="center"/>
              <w:rPr>
                <w:sz w:val="22"/>
                <w:szCs w:val="22"/>
                <w:lang w:val="sr-Latn-ME"/>
              </w:rPr>
            </w:pPr>
            <w:r w:rsidRPr="006F34F9">
              <w:rPr>
                <w:sz w:val="22"/>
                <w:szCs w:val="22"/>
                <w:lang w:val="sr-Latn-ME"/>
              </w:rPr>
              <w:t>32%‡</w:t>
            </w:r>
          </w:p>
        </w:tc>
        <w:tc>
          <w:tcPr>
            <w:tcW w:w="1732" w:type="dxa"/>
            <w:gridSpan w:val="2"/>
            <w:tcBorders>
              <w:top w:val="nil"/>
              <w:left w:val="nil"/>
              <w:bottom w:val="nil"/>
              <w:right w:val="nil"/>
            </w:tcBorders>
          </w:tcPr>
          <w:p w14:paraId="62B57E12" w14:textId="77777777" w:rsidR="001B44E1" w:rsidRPr="006F34F9" w:rsidRDefault="001B44E1" w:rsidP="0066419A">
            <w:pPr>
              <w:pStyle w:val="Default"/>
              <w:jc w:val="center"/>
              <w:rPr>
                <w:sz w:val="22"/>
                <w:szCs w:val="22"/>
                <w:lang w:val="sr-Latn-ME"/>
              </w:rPr>
            </w:pPr>
          </w:p>
          <w:p w14:paraId="67B25BD1" w14:textId="77777777" w:rsidR="001B44E1" w:rsidRPr="006F34F9" w:rsidRDefault="001B44E1" w:rsidP="0066419A">
            <w:pPr>
              <w:pStyle w:val="Default"/>
              <w:jc w:val="center"/>
              <w:rPr>
                <w:sz w:val="22"/>
                <w:szCs w:val="22"/>
                <w:lang w:val="sr-Latn-ME"/>
              </w:rPr>
            </w:pPr>
            <w:r w:rsidRPr="006F34F9">
              <w:rPr>
                <w:sz w:val="22"/>
                <w:szCs w:val="22"/>
                <w:lang w:val="sr-Latn-ME"/>
              </w:rPr>
              <w:t>29%‡</w:t>
            </w:r>
          </w:p>
        </w:tc>
      </w:tr>
      <w:tr w:rsidR="001B44E1" w:rsidRPr="006F34F9" w14:paraId="34D6F666" w14:textId="77777777" w:rsidTr="00180C9F">
        <w:trPr>
          <w:gridAfter w:val="1"/>
          <w:wAfter w:w="173" w:type="dxa"/>
          <w:trHeight w:val="20"/>
        </w:trPr>
        <w:tc>
          <w:tcPr>
            <w:tcW w:w="3686" w:type="dxa"/>
            <w:tcBorders>
              <w:top w:val="nil"/>
              <w:left w:val="nil"/>
              <w:bottom w:val="single" w:sz="4" w:space="0" w:color="auto"/>
              <w:right w:val="nil"/>
            </w:tcBorders>
          </w:tcPr>
          <w:p w14:paraId="09AFF643" w14:textId="77777777" w:rsidR="001B44E1" w:rsidRPr="006F34F9" w:rsidRDefault="001B44E1" w:rsidP="0066419A">
            <w:pPr>
              <w:pStyle w:val="Default"/>
              <w:jc w:val="center"/>
              <w:rPr>
                <w:sz w:val="22"/>
                <w:szCs w:val="22"/>
                <w:lang w:val="sr-Latn-ME"/>
              </w:rPr>
            </w:pPr>
          </w:p>
          <w:p w14:paraId="3E87190B" w14:textId="4C8452A1" w:rsidR="001B44E1" w:rsidRPr="006F34F9" w:rsidRDefault="001B44E1" w:rsidP="0066419A">
            <w:pPr>
              <w:pStyle w:val="Default"/>
              <w:jc w:val="center"/>
              <w:rPr>
                <w:sz w:val="22"/>
                <w:szCs w:val="22"/>
                <w:lang w:val="sr-Latn-ME"/>
              </w:rPr>
            </w:pPr>
            <w:r w:rsidRPr="006F34F9">
              <w:rPr>
                <w:sz w:val="22"/>
                <w:szCs w:val="22"/>
                <w:lang w:val="sr-Latn-ME"/>
              </w:rPr>
              <w:t>Trajna klinička remisija</w:t>
            </w:r>
            <w:r w:rsidRPr="0066419A">
              <w:rPr>
                <w:sz w:val="22"/>
                <w:szCs w:val="22"/>
                <w:vertAlign w:val="superscript"/>
                <w:lang w:val="sr-Latn-ME"/>
              </w:rPr>
              <w:t>¶</w:t>
            </w:r>
          </w:p>
        </w:tc>
        <w:tc>
          <w:tcPr>
            <w:tcW w:w="1559" w:type="dxa"/>
            <w:gridSpan w:val="2"/>
            <w:tcBorders>
              <w:top w:val="nil"/>
              <w:left w:val="nil"/>
              <w:bottom w:val="single" w:sz="4" w:space="0" w:color="auto"/>
              <w:right w:val="nil"/>
            </w:tcBorders>
          </w:tcPr>
          <w:p w14:paraId="5FD89762" w14:textId="77777777" w:rsidR="001B44E1" w:rsidRPr="006F34F9" w:rsidRDefault="001B44E1" w:rsidP="0066419A">
            <w:pPr>
              <w:pStyle w:val="Default"/>
              <w:jc w:val="center"/>
              <w:rPr>
                <w:sz w:val="22"/>
                <w:szCs w:val="22"/>
                <w:lang w:val="sr-Latn-ME"/>
              </w:rPr>
            </w:pPr>
          </w:p>
          <w:p w14:paraId="13346305" w14:textId="77777777" w:rsidR="001B44E1" w:rsidRPr="006F34F9" w:rsidRDefault="001B44E1" w:rsidP="0066419A">
            <w:pPr>
              <w:pStyle w:val="Default"/>
              <w:jc w:val="center"/>
              <w:rPr>
                <w:sz w:val="22"/>
                <w:szCs w:val="22"/>
                <w:lang w:val="sr-Latn-ME"/>
              </w:rPr>
            </w:pPr>
            <w:r w:rsidRPr="006F34F9">
              <w:rPr>
                <w:sz w:val="22"/>
                <w:szCs w:val="22"/>
                <w:lang w:val="sr-Latn-ME"/>
              </w:rPr>
              <w:t>14%</w:t>
            </w:r>
          </w:p>
        </w:tc>
        <w:tc>
          <w:tcPr>
            <w:tcW w:w="2268" w:type="dxa"/>
            <w:gridSpan w:val="2"/>
            <w:tcBorders>
              <w:top w:val="nil"/>
              <w:left w:val="nil"/>
              <w:bottom w:val="single" w:sz="4" w:space="0" w:color="auto"/>
              <w:right w:val="nil"/>
            </w:tcBorders>
          </w:tcPr>
          <w:p w14:paraId="5BC7772E" w14:textId="77777777" w:rsidR="001B44E1" w:rsidRPr="006F34F9" w:rsidRDefault="001B44E1" w:rsidP="0066419A">
            <w:pPr>
              <w:pStyle w:val="Default"/>
              <w:jc w:val="center"/>
              <w:rPr>
                <w:sz w:val="22"/>
                <w:szCs w:val="22"/>
                <w:lang w:val="sr-Latn-ME"/>
              </w:rPr>
            </w:pPr>
          </w:p>
          <w:p w14:paraId="0E33FAAD" w14:textId="77777777" w:rsidR="001B44E1" w:rsidRPr="006F34F9" w:rsidRDefault="001B44E1" w:rsidP="0066419A">
            <w:pPr>
              <w:pStyle w:val="Default"/>
              <w:jc w:val="center"/>
              <w:rPr>
                <w:sz w:val="22"/>
                <w:szCs w:val="22"/>
                <w:lang w:val="sr-Latn-ME"/>
              </w:rPr>
            </w:pPr>
            <w:r w:rsidRPr="006F34F9">
              <w:rPr>
                <w:sz w:val="22"/>
                <w:szCs w:val="22"/>
                <w:lang w:val="sr-Latn-ME"/>
              </w:rPr>
              <w:t>21%</w:t>
            </w:r>
          </w:p>
        </w:tc>
        <w:tc>
          <w:tcPr>
            <w:tcW w:w="1559" w:type="dxa"/>
            <w:tcBorders>
              <w:top w:val="nil"/>
              <w:left w:val="nil"/>
              <w:bottom w:val="single" w:sz="4" w:space="0" w:color="auto"/>
              <w:right w:val="nil"/>
            </w:tcBorders>
          </w:tcPr>
          <w:p w14:paraId="7B2485F4" w14:textId="77777777" w:rsidR="001B44E1" w:rsidRPr="006F34F9" w:rsidRDefault="001B44E1" w:rsidP="0066419A">
            <w:pPr>
              <w:pStyle w:val="Default"/>
              <w:jc w:val="center"/>
              <w:rPr>
                <w:sz w:val="22"/>
                <w:szCs w:val="22"/>
                <w:lang w:val="sr-Latn-ME"/>
              </w:rPr>
            </w:pPr>
          </w:p>
          <w:p w14:paraId="4333C9F1" w14:textId="77777777" w:rsidR="001B44E1" w:rsidRPr="006F34F9" w:rsidRDefault="001B44E1" w:rsidP="0066419A">
            <w:pPr>
              <w:pStyle w:val="Default"/>
              <w:jc w:val="center"/>
              <w:rPr>
                <w:sz w:val="22"/>
                <w:szCs w:val="22"/>
                <w:lang w:val="sr-Latn-ME"/>
              </w:rPr>
            </w:pPr>
            <w:r w:rsidRPr="006F34F9">
              <w:rPr>
                <w:sz w:val="22"/>
                <w:szCs w:val="22"/>
                <w:lang w:val="sr-Latn-ME"/>
              </w:rPr>
              <w:t>16%</w:t>
            </w:r>
          </w:p>
        </w:tc>
      </w:tr>
    </w:tbl>
    <w:p w14:paraId="57917423" w14:textId="312E0901" w:rsidR="001B44E1" w:rsidRPr="0066419A" w:rsidRDefault="001B44E1" w:rsidP="00E708C7">
      <w:pPr>
        <w:pStyle w:val="Header"/>
        <w:spacing w:before="80" w:after="80"/>
        <w:rPr>
          <w:bCs/>
          <w:sz w:val="20"/>
          <w:szCs w:val="20"/>
          <w:lang w:val="sr-Latn-ME"/>
        </w:rPr>
      </w:pPr>
      <w:r w:rsidRPr="0066419A">
        <w:rPr>
          <w:bCs/>
          <w:sz w:val="20"/>
          <w:szCs w:val="20"/>
          <w:lang w:val="sr-Latn-ME"/>
        </w:rPr>
        <w:t xml:space="preserve">*Grupa koja je primala placebo uključuje one ispitanike koji su primali vedolizumab u nultoj i drugoj </w:t>
      </w:r>
      <w:r w:rsidR="0069571E" w:rsidRPr="0066419A">
        <w:rPr>
          <w:bCs/>
          <w:sz w:val="20"/>
          <w:szCs w:val="20"/>
          <w:lang w:val="sr-Latn-ME"/>
        </w:rPr>
        <w:t>nedjelji</w:t>
      </w:r>
      <w:r w:rsidRPr="0066419A">
        <w:rPr>
          <w:bCs/>
          <w:sz w:val="20"/>
          <w:szCs w:val="20"/>
          <w:lang w:val="sr-Latn-ME"/>
        </w:rPr>
        <w:t xml:space="preserve"> pa su randomizovani za primanje placeba od 6. do 52. </w:t>
      </w:r>
      <w:r w:rsidR="00A22425" w:rsidRPr="0066419A">
        <w:rPr>
          <w:bCs/>
          <w:sz w:val="20"/>
          <w:szCs w:val="20"/>
          <w:lang w:val="sr-Latn-ME"/>
        </w:rPr>
        <w:t>nedjelje</w:t>
      </w:r>
      <w:r w:rsidRPr="0066419A">
        <w:rPr>
          <w:bCs/>
          <w:sz w:val="20"/>
          <w:szCs w:val="20"/>
          <w:lang w:val="sr-Latn-ME"/>
        </w:rPr>
        <w:t>.</w:t>
      </w:r>
    </w:p>
    <w:p w14:paraId="02213956" w14:textId="2D21C9E9" w:rsidR="001B44E1" w:rsidRPr="0066419A" w:rsidRDefault="001B44E1" w:rsidP="00E708C7">
      <w:pPr>
        <w:pStyle w:val="Header"/>
        <w:spacing w:before="80" w:after="80"/>
        <w:rPr>
          <w:bCs/>
          <w:sz w:val="20"/>
          <w:szCs w:val="20"/>
          <w:lang w:val="sr-Latn-ME"/>
        </w:rPr>
      </w:pPr>
      <w:r w:rsidRPr="0066419A">
        <w:rPr>
          <w:bCs/>
          <w:sz w:val="20"/>
          <w:szCs w:val="20"/>
          <w:lang w:val="sr-Latn-ME"/>
        </w:rPr>
        <w:t>†p</w:t>
      </w:r>
      <w:r w:rsidR="00707218">
        <w:rPr>
          <w:bCs/>
          <w:sz w:val="20"/>
          <w:szCs w:val="20"/>
          <w:lang w:val="sr-Latn-ME"/>
        </w:rPr>
        <w:t xml:space="preserve"> </w:t>
      </w:r>
      <w:r w:rsidRPr="0066419A">
        <w:rPr>
          <w:bCs/>
          <w:sz w:val="20"/>
          <w:szCs w:val="20"/>
          <w:lang w:val="sr-Latn-ME"/>
        </w:rPr>
        <w:t>&lt;</w:t>
      </w:r>
      <w:r w:rsidR="00707218">
        <w:rPr>
          <w:bCs/>
          <w:sz w:val="20"/>
          <w:szCs w:val="20"/>
          <w:lang w:val="sr-Latn-ME"/>
        </w:rPr>
        <w:t xml:space="preserve"> </w:t>
      </w:r>
      <w:r w:rsidRPr="0066419A">
        <w:rPr>
          <w:bCs/>
          <w:sz w:val="20"/>
          <w:szCs w:val="20"/>
          <w:lang w:val="sr-Latn-ME"/>
        </w:rPr>
        <w:t>0,001</w:t>
      </w:r>
    </w:p>
    <w:p w14:paraId="4FA14AD1" w14:textId="4496B82F" w:rsidR="001B44E1" w:rsidRPr="0066419A" w:rsidRDefault="001B44E1" w:rsidP="00E708C7">
      <w:pPr>
        <w:pStyle w:val="Header"/>
        <w:spacing w:before="80" w:after="80"/>
        <w:rPr>
          <w:bCs/>
          <w:sz w:val="20"/>
          <w:szCs w:val="20"/>
          <w:lang w:val="sr-Latn-ME"/>
        </w:rPr>
      </w:pPr>
      <w:r w:rsidRPr="0066419A">
        <w:rPr>
          <w:bCs/>
          <w:sz w:val="20"/>
          <w:szCs w:val="20"/>
          <w:lang w:val="sr-Latn-ME"/>
        </w:rPr>
        <w:t>‡p</w:t>
      </w:r>
      <w:r w:rsidR="00707218">
        <w:rPr>
          <w:bCs/>
          <w:sz w:val="20"/>
          <w:szCs w:val="20"/>
          <w:lang w:val="sr-Latn-ME"/>
        </w:rPr>
        <w:t xml:space="preserve"> </w:t>
      </w:r>
      <w:r w:rsidRPr="0066419A">
        <w:rPr>
          <w:bCs/>
          <w:sz w:val="20"/>
          <w:szCs w:val="20"/>
          <w:lang w:val="sr-Latn-ME"/>
        </w:rPr>
        <w:t>&lt;</w:t>
      </w:r>
      <w:r w:rsidR="00707218">
        <w:rPr>
          <w:bCs/>
          <w:sz w:val="20"/>
          <w:szCs w:val="20"/>
          <w:lang w:val="sr-Latn-ME"/>
        </w:rPr>
        <w:t xml:space="preserve"> </w:t>
      </w:r>
      <w:r w:rsidRPr="0066419A">
        <w:rPr>
          <w:bCs/>
          <w:sz w:val="20"/>
          <w:szCs w:val="20"/>
          <w:lang w:val="sr-Latn-ME"/>
        </w:rPr>
        <w:t>0,05</w:t>
      </w:r>
    </w:p>
    <w:p w14:paraId="79C02511" w14:textId="13E34A31" w:rsidR="001B44E1" w:rsidRPr="0066419A" w:rsidRDefault="001B44E1" w:rsidP="00E708C7">
      <w:pPr>
        <w:pStyle w:val="Header"/>
        <w:spacing w:before="80" w:after="80"/>
        <w:rPr>
          <w:bCs/>
          <w:sz w:val="20"/>
          <w:szCs w:val="20"/>
          <w:lang w:val="sr-Latn-ME"/>
        </w:rPr>
      </w:pPr>
      <w:r w:rsidRPr="0066419A">
        <w:rPr>
          <w:bCs/>
          <w:sz w:val="20"/>
          <w:szCs w:val="20"/>
          <w:lang w:val="sr-Latn-ME"/>
        </w:rPr>
        <w:t xml:space="preserve">§Klinička remisija bez kortikosteroida: Pacijenti koji su pri uključivanju u ispitivanje koristili oralne kortikosteroide i koji su počevši od 6. </w:t>
      </w:r>
      <w:r w:rsidR="00A22425" w:rsidRPr="0066419A">
        <w:rPr>
          <w:bCs/>
          <w:sz w:val="20"/>
          <w:szCs w:val="20"/>
          <w:lang w:val="sr-Latn-ME"/>
        </w:rPr>
        <w:t>nedjelje</w:t>
      </w:r>
      <w:r w:rsidRPr="0066419A">
        <w:rPr>
          <w:bCs/>
          <w:sz w:val="20"/>
          <w:szCs w:val="20"/>
          <w:lang w:val="sr-Latn-ME"/>
        </w:rPr>
        <w:t xml:space="preserve"> </w:t>
      </w:r>
      <w:r w:rsidR="008062E2" w:rsidRPr="0066419A">
        <w:rPr>
          <w:bCs/>
          <w:sz w:val="20"/>
          <w:szCs w:val="20"/>
          <w:lang w:val="sr-Latn-ME"/>
        </w:rPr>
        <w:t>pre</w:t>
      </w:r>
      <w:r w:rsidRPr="0066419A">
        <w:rPr>
          <w:bCs/>
          <w:sz w:val="20"/>
          <w:szCs w:val="20"/>
          <w:lang w:val="sr-Latn-ME"/>
        </w:rPr>
        <w:t>kinuli l</w:t>
      </w:r>
      <w:r w:rsidR="00300582" w:rsidRPr="0066419A">
        <w:rPr>
          <w:bCs/>
          <w:sz w:val="20"/>
          <w:szCs w:val="20"/>
          <w:lang w:val="sr-Latn-ME"/>
        </w:rPr>
        <w:t>ij</w:t>
      </w:r>
      <w:r w:rsidRPr="0066419A">
        <w:rPr>
          <w:bCs/>
          <w:sz w:val="20"/>
          <w:szCs w:val="20"/>
          <w:lang w:val="sr-Latn-ME"/>
        </w:rPr>
        <w:t xml:space="preserve">ečenje kortikosteroidima, te su bili u kliničkoj remisiji u 52. </w:t>
      </w:r>
      <w:r w:rsidR="0069571E" w:rsidRPr="0066419A">
        <w:rPr>
          <w:bCs/>
          <w:sz w:val="20"/>
          <w:szCs w:val="20"/>
          <w:lang w:val="sr-Latn-ME"/>
        </w:rPr>
        <w:t>nedjelji</w:t>
      </w:r>
      <w:r w:rsidRPr="0066419A">
        <w:rPr>
          <w:bCs/>
          <w:sz w:val="20"/>
          <w:szCs w:val="20"/>
          <w:lang w:val="sr-Latn-ME"/>
        </w:rPr>
        <w:t>. Brojevi pacijenata bili su n</w:t>
      </w:r>
      <w:r w:rsidR="00707218">
        <w:rPr>
          <w:bCs/>
          <w:sz w:val="20"/>
          <w:szCs w:val="20"/>
          <w:lang w:val="sr-Latn-ME"/>
        </w:rPr>
        <w:t xml:space="preserve"> </w:t>
      </w:r>
      <w:r w:rsidRPr="0066419A">
        <w:rPr>
          <w:bCs/>
          <w:sz w:val="20"/>
          <w:szCs w:val="20"/>
          <w:lang w:val="sr-Latn-ME"/>
        </w:rPr>
        <w:t>=</w:t>
      </w:r>
      <w:r w:rsidR="00707218">
        <w:rPr>
          <w:bCs/>
          <w:sz w:val="20"/>
          <w:szCs w:val="20"/>
          <w:lang w:val="sr-Latn-ME"/>
        </w:rPr>
        <w:t xml:space="preserve"> </w:t>
      </w:r>
      <w:r w:rsidRPr="0066419A">
        <w:rPr>
          <w:bCs/>
          <w:sz w:val="20"/>
          <w:szCs w:val="20"/>
          <w:lang w:val="sr-Latn-ME"/>
        </w:rPr>
        <w:t>82 za placebo, n</w:t>
      </w:r>
      <w:r w:rsidR="00707218">
        <w:rPr>
          <w:bCs/>
          <w:sz w:val="20"/>
          <w:szCs w:val="20"/>
          <w:lang w:val="sr-Latn-ME"/>
        </w:rPr>
        <w:t xml:space="preserve"> </w:t>
      </w:r>
      <w:r w:rsidRPr="0066419A">
        <w:rPr>
          <w:bCs/>
          <w:sz w:val="20"/>
          <w:szCs w:val="20"/>
          <w:lang w:val="sr-Latn-ME"/>
        </w:rPr>
        <w:t>=</w:t>
      </w:r>
      <w:r w:rsidR="00707218">
        <w:rPr>
          <w:bCs/>
          <w:sz w:val="20"/>
          <w:szCs w:val="20"/>
          <w:lang w:val="sr-Latn-ME"/>
        </w:rPr>
        <w:t xml:space="preserve"> </w:t>
      </w:r>
      <w:r w:rsidRPr="0066419A">
        <w:rPr>
          <w:bCs/>
          <w:sz w:val="20"/>
          <w:szCs w:val="20"/>
          <w:lang w:val="sr-Latn-ME"/>
        </w:rPr>
        <w:t xml:space="preserve">82 za vedolizumab svake osme </w:t>
      </w:r>
      <w:r w:rsidR="00A22425" w:rsidRPr="0066419A">
        <w:rPr>
          <w:bCs/>
          <w:sz w:val="20"/>
          <w:szCs w:val="20"/>
          <w:lang w:val="sr-Latn-ME"/>
        </w:rPr>
        <w:t>nedjelje</w:t>
      </w:r>
      <w:r w:rsidRPr="0066419A">
        <w:rPr>
          <w:bCs/>
          <w:sz w:val="20"/>
          <w:szCs w:val="20"/>
          <w:lang w:val="sr-Latn-ME"/>
        </w:rPr>
        <w:t xml:space="preserve"> i n</w:t>
      </w:r>
      <w:r w:rsidR="00707218">
        <w:rPr>
          <w:bCs/>
          <w:sz w:val="20"/>
          <w:szCs w:val="20"/>
          <w:lang w:val="sr-Latn-ME"/>
        </w:rPr>
        <w:t xml:space="preserve"> </w:t>
      </w:r>
      <w:r w:rsidRPr="0066419A">
        <w:rPr>
          <w:bCs/>
          <w:sz w:val="20"/>
          <w:szCs w:val="20"/>
          <w:lang w:val="sr-Latn-ME"/>
        </w:rPr>
        <w:t>=</w:t>
      </w:r>
      <w:r w:rsidR="00707218">
        <w:rPr>
          <w:bCs/>
          <w:sz w:val="20"/>
          <w:szCs w:val="20"/>
          <w:lang w:val="sr-Latn-ME"/>
        </w:rPr>
        <w:t xml:space="preserve"> </w:t>
      </w:r>
      <w:r w:rsidRPr="0066419A">
        <w:rPr>
          <w:bCs/>
          <w:sz w:val="20"/>
          <w:szCs w:val="20"/>
          <w:lang w:val="sr-Latn-ME"/>
        </w:rPr>
        <w:t xml:space="preserve">80 za vedolizumab svake četvrte </w:t>
      </w:r>
      <w:r w:rsidR="00A22425" w:rsidRPr="0066419A">
        <w:rPr>
          <w:bCs/>
          <w:sz w:val="20"/>
          <w:szCs w:val="20"/>
          <w:lang w:val="sr-Latn-ME"/>
        </w:rPr>
        <w:t>nedjelje</w:t>
      </w:r>
    </w:p>
    <w:p w14:paraId="5B5AF8A8" w14:textId="31065403" w:rsidR="001B44E1" w:rsidRPr="0066419A" w:rsidRDefault="001B44E1" w:rsidP="00180C9F">
      <w:pPr>
        <w:pStyle w:val="Header"/>
        <w:spacing w:before="80"/>
        <w:rPr>
          <w:bCs/>
          <w:sz w:val="20"/>
          <w:szCs w:val="20"/>
          <w:lang w:val="sr-Latn-ME"/>
        </w:rPr>
      </w:pPr>
      <w:r w:rsidRPr="0066419A">
        <w:rPr>
          <w:bCs/>
          <w:sz w:val="20"/>
          <w:szCs w:val="20"/>
          <w:lang w:val="sr-Latn-ME"/>
        </w:rPr>
        <w:t>¶Trajna klinička remisija: Klinička remisija kod ≥</w:t>
      </w:r>
      <w:r w:rsidR="00707218">
        <w:rPr>
          <w:bCs/>
          <w:sz w:val="20"/>
          <w:szCs w:val="20"/>
          <w:lang w:val="sr-Latn-ME"/>
        </w:rPr>
        <w:t xml:space="preserve"> </w:t>
      </w:r>
      <w:r w:rsidRPr="0066419A">
        <w:rPr>
          <w:bCs/>
          <w:sz w:val="20"/>
          <w:szCs w:val="20"/>
          <w:lang w:val="sr-Latn-ME"/>
        </w:rPr>
        <w:t xml:space="preserve">80% studijskih </w:t>
      </w:r>
      <w:r w:rsidR="008062E2" w:rsidRPr="0066419A">
        <w:rPr>
          <w:bCs/>
          <w:sz w:val="20"/>
          <w:szCs w:val="20"/>
          <w:lang w:val="sr-Latn-ME"/>
        </w:rPr>
        <w:t>posjeta</w:t>
      </w:r>
      <w:r w:rsidRPr="0066419A">
        <w:rPr>
          <w:bCs/>
          <w:sz w:val="20"/>
          <w:szCs w:val="20"/>
          <w:lang w:val="sr-Latn-ME"/>
        </w:rPr>
        <w:t xml:space="preserve"> uključujući završnu pos</w:t>
      </w:r>
      <w:r w:rsidR="008062E2" w:rsidRPr="0066419A">
        <w:rPr>
          <w:bCs/>
          <w:sz w:val="20"/>
          <w:szCs w:val="20"/>
          <w:lang w:val="sr-Latn-ME"/>
        </w:rPr>
        <w:t>j</w:t>
      </w:r>
      <w:r w:rsidRPr="0066419A">
        <w:rPr>
          <w:bCs/>
          <w:sz w:val="20"/>
          <w:szCs w:val="20"/>
          <w:lang w:val="sr-Latn-ME"/>
        </w:rPr>
        <w:t>etu (</w:t>
      </w:r>
      <w:r w:rsidR="008062E2" w:rsidRPr="0066419A">
        <w:rPr>
          <w:bCs/>
          <w:sz w:val="20"/>
          <w:szCs w:val="20"/>
          <w:lang w:val="sr-Latn-ME"/>
        </w:rPr>
        <w:t>nedjelja</w:t>
      </w:r>
      <w:r w:rsidRPr="0066419A">
        <w:rPr>
          <w:bCs/>
          <w:sz w:val="20"/>
          <w:szCs w:val="20"/>
          <w:lang w:val="sr-Latn-ME"/>
        </w:rPr>
        <w:t xml:space="preserve"> 52</w:t>
      </w:r>
      <w:r w:rsidR="00300582" w:rsidRPr="0066419A">
        <w:rPr>
          <w:bCs/>
          <w:sz w:val="20"/>
          <w:szCs w:val="20"/>
          <w:lang w:val="sr-Latn-ME"/>
        </w:rPr>
        <w:t>.</w:t>
      </w:r>
      <w:r w:rsidRPr="0066419A">
        <w:rPr>
          <w:bCs/>
          <w:sz w:val="20"/>
          <w:szCs w:val="20"/>
          <w:lang w:val="sr-Latn-ME"/>
        </w:rPr>
        <w:t>)</w:t>
      </w:r>
    </w:p>
    <w:p w14:paraId="4C022C0F" w14:textId="77777777" w:rsidR="001B44E1" w:rsidRPr="006F34F9" w:rsidRDefault="001B44E1" w:rsidP="00180C9F">
      <w:pPr>
        <w:pStyle w:val="Header"/>
        <w:rPr>
          <w:bCs/>
          <w:szCs w:val="22"/>
          <w:lang w:val="sr-Latn-ME"/>
        </w:rPr>
      </w:pPr>
    </w:p>
    <w:p w14:paraId="0A610BED" w14:textId="3515585D" w:rsidR="001B44E1" w:rsidRPr="006F34F9" w:rsidRDefault="001B44E1" w:rsidP="00180C9F">
      <w:pPr>
        <w:pStyle w:val="Header"/>
        <w:rPr>
          <w:bCs/>
          <w:szCs w:val="22"/>
          <w:lang w:val="sr-Latn-ME"/>
        </w:rPr>
      </w:pPr>
      <w:r w:rsidRPr="006F34F9">
        <w:rPr>
          <w:bCs/>
          <w:szCs w:val="22"/>
          <w:lang w:val="sr-Latn-ME"/>
        </w:rPr>
        <w:t xml:space="preserve">Eksplorativne analize istražile su </w:t>
      </w:r>
      <w:r w:rsidR="008062E2" w:rsidRPr="006F34F9">
        <w:rPr>
          <w:bCs/>
          <w:szCs w:val="22"/>
          <w:lang w:val="sr-Latn-ME"/>
        </w:rPr>
        <w:t>djelovanje</w:t>
      </w:r>
      <w:r w:rsidRPr="006F34F9">
        <w:rPr>
          <w:bCs/>
          <w:szCs w:val="22"/>
          <w:lang w:val="sr-Latn-ME"/>
        </w:rPr>
        <w:t xml:space="preserve"> istovremene </w:t>
      </w:r>
      <w:r w:rsidR="0069571E" w:rsidRPr="006F34F9">
        <w:rPr>
          <w:bCs/>
          <w:szCs w:val="22"/>
          <w:lang w:val="sr-Latn-ME"/>
        </w:rPr>
        <w:t>primjene</w:t>
      </w:r>
      <w:r w:rsidRPr="006F34F9">
        <w:rPr>
          <w:bCs/>
          <w:szCs w:val="22"/>
          <w:lang w:val="sr-Latn-ME"/>
        </w:rPr>
        <w:t xml:space="preserve"> kortikosteroida i imunomodulatora</w:t>
      </w:r>
      <w:r w:rsidR="00636D99" w:rsidRPr="006F34F9">
        <w:rPr>
          <w:bCs/>
          <w:szCs w:val="22"/>
          <w:lang w:val="sr-Latn-ME"/>
        </w:rPr>
        <w:t xml:space="preserve"> </w:t>
      </w:r>
      <w:r w:rsidRPr="006F34F9">
        <w:rPr>
          <w:bCs/>
          <w:szCs w:val="22"/>
          <w:lang w:val="sr-Latn-ME"/>
        </w:rPr>
        <w:t xml:space="preserve"> na indukciju remisije sa vedolizumabom. Kombinovana terapija, najviše sa istovremeno prim</w:t>
      </w:r>
      <w:r w:rsidR="00707218">
        <w:rPr>
          <w:bCs/>
          <w:szCs w:val="22"/>
          <w:lang w:val="sr-Latn-ME"/>
        </w:rPr>
        <w:t>i</w:t>
      </w:r>
      <w:r w:rsidR="008062E2" w:rsidRPr="006F34F9">
        <w:rPr>
          <w:bCs/>
          <w:szCs w:val="22"/>
          <w:lang w:val="sr-Latn-ME"/>
        </w:rPr>
        <w:t>j</w:t>
      </w:r>
      <w:r w:rsidRPr="006F34F9">
        <w:rPr>
          <w:bCs/>
          <w:szCs w:val="22"/>
          <w:lang w:val="sr-Latn-ME"/>
        </w:rPr>
        <w:t xml:space="preserve">enjenim kortikosteroidima, pokazala se </w:t>
      </w:r>
      <w:r w:rsidR="008062E2" w:rsidRPr="006F34F9">
        <w:rPr>
          <w:bCs/>
          <w:szCs w:val="22"/>
          <w:lang w:val="sr-Latn-ME"/>
        </w:rPr>
        <w:t>djelotvornijom</w:t>
      </w:r>
      <w:r w:rsidRPr="006F34F9">
        <w:rPr>
          <w:bCs/>
          <w:szCs w:val="22"/>
          <w:lang w:val="sr-Latn-ME"/>
        </w:rPr>
        <w:t xml:space="preserve"> u indukciji remisije u Kronovoj bolesti od vedolizumaba samog ili sa istovremeno prim</w:t>
      </w:r>
      <w:r w:rsidR="00707218">
        <w:rPr>
          <w:bCs/>
          <w:szCs w:val="22"/>
          <w:lang w:val="sr-Latn-ME"/>
        </w:rPr>
        <w:t>i</w:t>
      </w:r>
      <w:r w:rsidR="008062E2" w:rsidRPr="006F34F9">
        <w:rPr>
          <w:bCs/>
          <w:szCs w:val="22"/>
          <w:lang w:val="sr-Latn-ME"/>
        </w:rPr>
        <w:t>j</w:t>
      </w:r>
      <w:r w:rsidRPr="006F34F9">
        <w:rPr>
          <w:bCs/>
          <w:szCs w:val="22"/>
          <w:lang w:val="sr-Latn-ME"/>
        </w:rPr>
        <w:t xml:space="preserve">enjenim imunomodulatorima, koji su pokazali manju razliku u stopi remisije u odnosu na placebo. Stopa kliničke remisije u ispitivanju GEMINI </w:t>
      </w:r>
      <w:r w:rsidR="00A22425" w:rsidRPr="006F34F9">
        <w:rPr>
          <w:bCs/>
          <w:szCs w:val="22"/>
          <w:lang w:val="sr-Latn-ME"/>
        </w:rPr>
        <w:t>2</w:t>
      </w:r>
      <w:r w:rsidRPr="006F34F9">
        <w:rPr>
          <w:bCs/>
          <w:szCs w:val="22"/>
          <w:lang w:val="sr-Latn-ME"/>
        </w:rPr>
        <w:t xml:space="preserve"> u 6. </w:t>
      </w:r>
      <w:r w:rsidR="0069571E" w:rsidRPr="006F34F9">
        <w:rPr>
          <w:bCs/>
          <w:szCs w:val="22"/>
          <w:lang w:val="sr-Latn-ME"/>
        </w:rPr>
        <w:t>nedjelji</w:t>
      </w:r>
      <w:r w:rsidRPr="006F34F9">
        <w:rPr>
          <w:bCs/>
          <w:szCs w:val="22"/>
          <w:lang w:val="sr-Latn-ME"/>
        </w:rPr>
        <w:t xml:space="preserve"> iznosila je 10% (razlika u odnosu na placebo bila je 2%, 95%-tni interval pouzdanosti: -6, 10) kad se terapija prim</w:t>
      </w:r>
      <w:r w:rsidR="008062E2" w:rsidRPr="006F34F9">
        <w:rPr>
          <w:bCs/>
          <w:szCs w:val="22"/>
          <w:lang w:val="sr-Latn-ME"/>
        </w:rPr>
        <w:t>j</w:t>
      </w:r>
      <w:r w:rsidRPr="006F34F9">
        <w:rPr>
          <w:bCs/>
          <w:szCs w:val="22"/>
          <w:lang w:val="sr-Latn-ME"/>
        </w:rPr>
        <w:t xml:space="preserve">enjivala bez kortikosteroida u poređenju sa 20% (razlika u odnosu na placebo 14%, 95%-tni interval pouzdanosti: -1, 29) uz istovremenu </w:t>
      </w:r>
      <w:r w:rsidR="008062E2" w:rsidRPr="006F34F9">
        <w:rPr>
          <w:bCs/>
          <w:szCs w:val="22"/>
          <w:lang w:val="sr-Latn-ME"/>
        </w:rPr>
        <w:t>primjenu</w:t>
      </w:r>
      <w:r w:rsidRPr="006F34F9">
        <w:rPr>
          <w:bCs/>
          <w:szCs w:val="22"/>
          <w:lang w:val="sr-Latn-ME"/>
        </w:rPr>
        <w:t xml:space="preserve"> kortikosteroida. U 6. i 10. </w:t>
      </w:r>
      <w:r w:rsidR="0069571E" w:rsidRPr="006F34F9">
        <w:rPr>
          <w:bCs/>
          <w:szCs w:val="22"/>
          <w:lang w:val="sr-Latn-ME"/>
        </w:rPr>
        <w:t>nedjelji</w:t>
      </w:r>
      <w:r w:rsidRPr="006F34F9">
        <w:rPr>
          <w:bCs/>
          <w:szCs w:val="22"/>
          <w:lang w:val="sr-Latn-ME"/>
        </w:rPr>
        <w:t xml:space="preserve"> ispitivanja GEMINI </w:t>
      </w:r>
      <w:r w:rsidR="00A22425" w:rsidRPr="006F34F9">
        <w:rPr>
          <w:bCs/>
          <w:szCs w:val="22"/>
          <w:lang w:val="sr-Latn-ME"/>
        </w:rPr>
        <w:t>3</w:t>
      </w:r>
      <w:r w:rsidRPr="006F34F9">
        <w:rPr>
          <w:bCs/>
          <w:szCs w:val="22"/>
          <w:lang w:val="sr-Latn-ME"/>
        </w:rPr>
        <w:t xml:space="preserve"> odgovarajuće stope kliničke remisije iznosile su 18% (razlika u odnosu na placebo 3%, 95%-tni interval pouzdanosti: -7, 13) i 22% (razlika u odnosu na placebo 8%, 95%-tni interval pouzdanosti: - 3, 19) kad se terapija </w:t>
      </w:r>
      <w:r w:rsidR="008062E2" w:rsidRPr="006F34F9">
        <w:rPr>
          <w:bCs/>
          <w:szCs w:val="22"/>
          <w:lang w:val="sr-Latn-ME"/>
        </w:rPr>
        <w:t>primjenjivala</w:t>
      </w:r>
      <w:r w:rsidRPr="006F34F9">
        <w:rPr>
          <w:bCs/>
          <w:szCs w:val="22"/>
          <w:lang w:val="sr-Latn-ME"/>
        </w:rPr>
        <w:t xml:space="preserve"> bez kortikosteroida u poređenju sa 20% (razlika u odnosu na placebo 11%, 95%-tni interval pouzdanosti: 2, 20) i 35% (razlika u odnosu na placebo 23%, 95%-tni interval pouzdanosti: 12, 33) uz istovremenu </w:t>
      </w:r>
      <w:r w:rsidR="008062E2" w:rsidRPr="006F34F9">
        <w:rPr>
          <w:bCs/>
          <w:szCs w:val="22"/>
          <w:lang w:val="sr-Latn-ME"/>
        </w:rPr>
        <w:t>primjenu</w:t>
      </w:r>
      <w:r w:rsidRPr="006F34F9">
        <w:rPr>
          <w:bCs/>
          <w:szCs w:val="22"/>
          <w:lang w:val="sr-Latn-ME"/>
        </w:rPr>
        <w:t xml:space="preserve"> kortikosteroida. Ovi efekti </w:t>
      </w:r>
      <w:r w:rsidR="00800C43" w:rsidRPr="006F34F9">
        <w:rPr>
          <w:bCs/>
          <w:szCs w:val="22"/>
          <w:lang w:val="sr-Latn-ME"/>
        </w:rPr>
        <w:t xml:space="preserve">su </w:t>
      </w:r>
      <w:r w:rsidRPr="006F34F9">
        <w:rPr>
          <w:bCs/>
          <w:szCs w:val="22"/>
          <w:lang w:val="sr-Latn-ME"/>
        </w:rPr>
        <w:t>zab</w:t>
      </w:r>
      <w:r w:rsidR="00685474" w:rsidRPr="006F34F9">
        <w:rPr>
          <w:bCs/>
          <w:szCs w:val="22"/>
          <w:lang w:val="sr-Latn-ME"/>
        </w:rPr>
        <w:t>i</w:t>
      </w:r>
      <w:r w:rsidRPr="006F34F9">
        <w:rPr>
          <w:bCs/>
          <w:szCs w:val="22"/>
          <w:lang w:val="sr-Latn-ME"/>
        </w:rPr>
        <w:t>l</w:t>
      </w:r>
      <w:r w:rsidR="00685474" w:rsidRPr="006F34F9">
        <w:rPr>
          <w:bCs/>
          <w:szCs w:val="22"/>
          <w:lang w:val="sr-Latn-ME"/>
        </w:rPr>
        <w:t>j</w:t>
      </w:r>
      <w:r w:rsidRPr="006F34F9">
        <w:rPr>
          <w:bCs/>
          <w:szCs w:val="22"/>
          <w:lang w:val="sr-Latn-ME"/>
        </w:rPr>
        <w:t xml:space="preserve">eženi bez obzira na to jesu li se istovremeno </w:t>
      </w:r>
      <w:r w:rsidR="008062E2" w:rsidRPr="006F34F9">
        <w:rPr>
          <w:bCs/>
          <w:szCs w:val="22"/>
          <w:lang w:val="sr-Latn-ME"/>
        </w:rPr>
        <w:t>primjenjivali</w:t>
      </w:r>
      <w:r w:rsidRPr="006F34F9">
        <w:rPr>
          <w:bCs/>
          <w:szCs w:val="22"/>
          <w:lang w:val="sr-Latn-ME"/>
        </w:rPr>
        <w:t xml:space="preserve"> i imunomodulatori ili ni</w:t>
      </w:r>
      <w:r w:rsidR="00800C43" w:rsidRPr="006F34F9">
        <w:rPr>
          <w:bCs/>
          <w:szCs w:val="22"/>
          <w:lang w:val="sr-Latn-ME"/>
        </w:rPr>
        <w:t>je</w:t>
      </w:r>
      <w:r w:rsidRPr="006F34F9">
        <w:rPr>
          <w:bCs/>
          <w:szCs w:val="22"/>
          <w:lang w:val="sr-Latn-ME"/>
        </w:rPr>
        <w:t>su.</w:t>
      </w:r>
    </w:p>
    <w:p w14:paraId="481339B8" w14:textId="77777777" w:rsidR="001B44E1" w:rsidRPr="006F34F9" w:rsidRDefault="001B44E1" w:rsidP="00180C9F">
      <w:pPr>
        <w:pStyle w:val="Header"/>
        <w:rPr>
          <w:bCs/>
          <w:szCs w:val="22"/>
          <w:lang w:val="sr-Latn-ME"/>
        </w:rPr>
      </w:pPr>
    </w:p>
    <w:p w14:paraId="249A31A5" w14:textId="246D600D" w:rsidR="001B44E1" w:rsidRPr="006F34F9" w:rsidRDefault="001B44E1" w:rsidP="00180C9F">
      <w:pPr>
        <w:pStyle w:val="Header"/>
        <w:rPr>
          <w:bCs/>
          <w:szCs w:val="22"/>
          <w:lang w:val="sr-Latn-ME"/>
        </w:rPr>
      </w:pPr>
      <w:r w:rsidRPr="006F34F9">
        <w:rPr>
          <w:bCs/>
          <w:szCs w:val="22"/>
          <w:lang w:val="sr-Latn-ME"/>
        </w:rPr>
        <w:t>Eksplorativne analize daju dodatne podatke o ključnim ispitivanim subpopulacijama. U ispitivanju</w:t>
      </w:r>
      <w:r w:rsidR="00636D99" w:rsidRPr="006F34F9">
        <w:rPr>
          <w:bCs/>
          <w:szCs w:val="22"/>
          <w:lang w:val="sr-Latn-ME"/>
        </w:rPr>
        <w:t xml:space="preserve"> </w:t>
      </w:r>
      <w:r w:rsidRPr="006F34F9">
        <w:rPr>
          <w:bCs/>
          <w:szCs w:val="22"/>
          <w:lang w:val="sr-Latn-ME"/>
        </w:rPr>
        <w:t xml:space="preserve"> GEMINI </w:t>
      </w:r>
      <w:r w:rsidR="00A22425" w:rsidRPr="006F34F9">
        <w:rPr>
          <w:bCs/>
          <w:szCs w:val="22"/>
          <w:lang w:val="sr-Latn-ME"/>
        </w:rPr>
        <w:t>2</w:t>
      </w:r>
      <w:r w:rsidRPr="006F34F9">
        <w:rPr>
          <w:bCs/>
          <w:szCs w:val="22"/>
          <w:lang w:val="sr-Latn-ME"/>
        </w:rPr>
        <w:t xml:space="preserve"> približno polovina pacijenata </w:t>
      </w:r>
      <w:r w:rsidR="008062E2" w:rsidRPr="006F34F9">
        <w:rPr>
          <w:bCs/>
          <w:szCs w:val="22"/>
          <w:lang w:val="sr-Latn-ME"/>
        </w:rPr>
        <w:t>pre</w:t>
      </w:r>
      <w:r w:rsidRPr="006F34F9">
        <w:rPr>
          <w:bCs/>
          <w:szCs w:val="22"/>
          <w:lang w:val="sr-Latn-ME"/>
        </w:rPr>
        <w:t>thodno nije odgovorila na terapiju antagonistom TNFα. Od ovih pacijenata, 28% onih koji su primali vedolizumab svake osme ned</w:t>
      </w:r>
      <w:r w:rsidR="00A22425" w:rsidRPr="006F34F9">
        <w:rPr>
          <w:bCs/>
          <w:szCs w:val="22"/>
          <w:lang w:val="sr-Latn-ME"/>
        </w:rPr>
        <w:t>j</w:t>
      </w:r>
      <w:r w:rsidRPr="006F34F9">
        <w:rPr>
          <w:bCs/>
          <w:szCs w:val="22"/>
          <w:lang w:val="sr-Latn-ME"/>
        </w:rPr>
        <w:t xml:space="preserve">elje, 27% onih koji su primali vedolizumab svake četvrte </w:t>
      </w:r>
      <w:r w:rsidR="00A22425" w:rsidRPr="006F34F9">
        <w:rPr>
          <w:bCs/>
          <w:szCs w:val="22"/>
          <w:lang w:val="sr-Latn-ME"/>
        </w:rPr>
        <w:t>nedjelje</w:t>
      </w:r>
      <w:r w:rsidRPr="006F34F9">
        <w:rPr>
          <w:bCs/>
          <w:szCs w:val="22"/>
          <w:lang w:val="sr-Latn-ME"/>
        </w:rPr>
        <w:t xml:space="preserve"> i 13% onih koji su primali placebo postiglo je kliničku remisiju u 52. </w:t>
      </w:r>
      <w:r w:rsidR="0069571E" w:rsidRPr="006F34F9">
        <w:rPr>
          <w:bCs/>
          <w:szCs w:val="22"/>
          <w:lang w:val="sr-Latn-ME"/>
        </w:rPr>
        <w:t>nedjelji</w:t>
      </w:r>
      <w:r w:rsidRPr="006F34F9">
        <w:rPr>
          <w:bCs/>
          <w:szCs w:val="22"/>
          <w:lang w:val="sr-Latn-ME"/>
        </w:rPr>
        <w:t>. Pojačani klinički odgovor postignut je u 29%, 38% odnosno 21% pacijenata, a klinička remisija bez kortikosteroida postignuta je kod 24%, 16% odnosno 0% pacijenata.</w:t>
      </w:r>
    </w:p>
    <w:p w14:paraId="4A6F4CB3" w14:textId="77777777" w:rsidR="001B44E1" w:rsidRPr="006F34F9" w:rsidRDefault="001B44E1" w:rsidP="00180C9F">
      <w:pPr>
        <w:pStyle w:val="Header"/>
        <w:rPr>
          <w:bCs/>
          <w:szCs w:val="22"/>
          <w:lang w:val="sr-Latn-ME"/>
        </w:rPr>
      </w:pPr>
    </w:p>
    <w:p w14:paraId="2ADE4CFD" w14:textId="4DDCF934" w:rsidR="001B44E1" w:rsidRPr="006F34F9" w:rsidRDefault="001B44E1">
      <w:pPr>
        <w:pStyle w:val="Header"/>
        <w:spacing w:before="80" w:after="80"/>
        <w:rPr>
          <w:bCs/>
          <w:szCs w:val="22"/>
          <w:lang w:val="sr-Latn-ME"/>
        </w:rPr>
      </w:pPr>
      <w:r w:rsidRPr="006F34F9">
        <w:rPr>
          <w:bCs/>
          <w:szCs w:val="22"/>
          <w:lang w:val="sr-Latn-ME"/>
        </w:rPr>
        <w:t>Pacijenti koji ni</w:t>
      </w:r>
      <w:r w:rsidR="00800C43" w:rsidRPr="006F34F9">
        <w:rPr>
          <w:bCs/>
          <w:szCs w:val="22"/>
          <w:lang w:val="sr-Latn-ME"/>
        </w:rPr>
        <w:t>je</w:t>
      </w:r>
      <w:r w:rsidRPr="006F34F9">
        <w:rPr>
          <w:bCs/>
          <w:szCs w:val="22"/>
          <w:lang w:val="sr-Latn-ME"/>
        </w:rPr>
        <w:t xml:space="preserve">su postigli odgovor u 6. </w:t>
      </w:r>
      <w:r w:rsidR="0069571E" w:rsidRPr="006F34F9">
        <w:rPr>
          <w:bCs/>
          <w:szCs w:val="22"/>
          <w:lang w:val="sr-Latn-ME"/>
        </w:rPr>
        <w:t>nedjelji</w:t>
      </w:r>
      <w:r w:rsidRPr="006F34F9">
        <w:rPr>
          <w:bCs/>
          <w:szCs w:val="22"/>
          <w:lang w:val="sr-Latn-ME"/>
        </w:rPr>
        <w:t xml:space="preserve"> u ispitivanju GEMINI </w:t>
      </w:r>
      <w:r w:rsidR="00A22425" w:rsidRPr="006F34F9">
        <w:rPr>
          <w:bCs/>
          <w:szCs w:val="22"/>
          <w:lang w:val="sr-Latn-ME"/>
        </w:rPr>
        <w:t>2</w:t>
      </w:r>
      <w:r w:rsidRPr="006F34F9">
        <w:rPr>
          <w:bCs/>
          <w:szCs w:val="22"/>
          <w:lang w:val="sr-Latn-ME"/>
        </w:rPr>
        <w:t xml:space="preserve"> zadržani su u ispitivanju pa</w:t>
      </w:r>
      <w:r w:rsidR="00636D99" w:rsidRPr="006F34F9">
        <w:rPr>
          <w:bCs/>
          <w:szCs w:val="22"/>
          <w:lang w:val="sr-Latn-ME"/>
        </w:rPr>
        <w:t xml:space="preserve"> </w:t>
      </w:r>
      <w:r w:rsidRPr="006F34F9">
        <w:rPr>
          <w:bCs/>
          <w:szCs w:val="22"/>
          <w:lang w:val="sr-Latn-ME"/>
        </w:rPr>
        <w:t xml:space="preserve"> su primali vedolizumab svake četvrte </w:t>
      </w:r>
      <w:r w:rsidR="00A22425" w:rsidRPr="006F34F9">
        <w:rPr>
          <w:bCs/>
          <w:szCs w:val="22"/>
          <w:lang w:val="sr-Latn-ME"/>
        </w:rPr>
        <w:t>nedjelje</w:t>
      </w:r>
      <w:r w:rsidRPr="006F34F9">
        <w:rPr>
          <w:bCs/>
          <w:szCs w:val="22"/>
          <w:lang w:val="sr-Latn-ME"/>
        </w:rPr>
        <w:t xml:space="preserve">. Pojačani klinički odgovor uočen je u 10. i 14 </w:t>
      </w:r>
      <w:r w:rsidR="0069571E" w:rsidRPr="006F34F9">
        <w:rPr>
          <w:bCs/>
          <w:szCs w:val="22"/>
          <w:lang w:val="sr-Latn-ME"/>
        </w:rPr>
        <w:t>nedjelji</w:t>
      </w:r>
      <w:r w:rsidRPr="006F34F9">
        <w:rPr>
          <w:bCs/>
          <w:szCs w:val="22"/>
          <w:lang w:val="sr-Latn-ME"/>
        </w:rPr>
        <w:t xml:space="preserve"> u većem ud</w:t>
      </w:r>
      <w:r w:rsidR="00800C43" w:rsidRPr="006F34F9">
        <w:rPr>
          <w:bCs/>
          <w:szCs w:val="22"/>
          <w:lang w:val="sr-Latn-ME"/>
        </w:rPr>
        <w:t>je</w:t>
      </w:r>
      <w:r w:rsidRPr="006F34F9">
        <w:rPr>
          <w:bCs/>
          <w:szCs w:val="22"/>
          <w:lang w:val="sr-Latn-ME"/>
        </w:rPr>
        <w:t xml:space="preserve">lu kod pacijenata </w:t>
      </w:r>
      <w:r w:rsidR="003D1FD7" w:rsidRPr="006F34F9">
        <w:rPr>
          <w:bCs/>
          <w:szCs w:val="22"/>
          <w:lang w:val="sr-Latn-ME"/>
        </w:rPr>
        <w:t>liječenih</w:t>
      </w:r>
      <w:r w:rsidRPr="006F34F9">
        <w:rPr>
          <w:bCs/>
          <w:szCs w:val="22"/>
          <w:lang w:val="sr-Latn-ME"/>
        </w:rPr>
        <w:t xml:space="preserve"> vedolizumabom 16% odnosno 22%, u poređenju sa pacijentima koji su primali placebo 7% odnosno 12%. Nije bilo klinički značajne razlike u kliničkoj remisiji između grupa u ovim vremenskim tačkama. Analize kliničke remisije u 52. </w:t>
      </w:r>
      <w:r w:rsidR="0069571E" w:rsidRPr="006F34F9">
        <w:rPr>
          <w:bCs/>
          <w:szCs w:val="22"/>
          <w:lang w:val="sr-Latn-ME"/>
        </w:rPr>
        <w:t>nedjelji</w:t>
      </w:r>
      <w:r w:rsidRPr="006F34F9">
        <w:rPr>
          <w:bCs/>
          <w:szCs w:val="22"/>
          <w:lang w:val="sr-Latn-ME"/>
        </w:rPr>
        <w:t xml:space="preserve"> kod pacijenata koji ni</w:t>
      </w:r>
      <w:r w:rsidR="00800C43" w:rsidRPr="006F34F9">
        <w:rPr>
          <w:bCs/>
          <w:szCs w:val="22"/>
          <w:lang w:val="sr-Latn-ME"/>
        </w:rPr>
        <w:t>je</w:t>
      </w:r>
      <w:r w:rsidRPr="006F34F9">
        <w:rPr>
          <w:bCs/>
          <w:szCs w:val="22"/>
          <w:lang w:val="sr-Latn-ME"/>
        </w:rPr>
        <w:t xml:space="preserve">su odgovorili na terapiju u 6. </w:t>
      </w:r>
      <w:r w:rsidR="0069571E" w:rsidRPr="006F34F9">
        <w:rPr>
          <w:bCs/>
          <w:szCs w:val="22"/>
          <w:lang w:val="sr-Latn-ME"/>
        </w:rPr>
        <w:t>nedjelji</w:t>
      </w:r>
      <w:r w:rsidRPr="006F34F9">
        <w:rPr>
          <w:bCs/>
          <w:szCs w:val="22"/>
          <w:lang w:val="sr-Latn-ME"/>
        </w:rPr>
        <w:t xml:space="preserve">, već su odgovor postigli u 10. ili 14. </w:t>
      </w:r>
      <w:r w:rsidR="0069571E" w:rsidRPr="006F34F9">
        <w:rPr>
          <w:bCs/>
          <w:szCs w:val="22"/>
          <w:lang w:val="sr-Latn-ME"/>
        </w:rPr>
        <w:t>nedjelji</w:t>
      </w:r>
      <w:r w:rsidRPr="006F34F9">
        <w:rPr>
          <w:bCs/>
          <w:szCs w:val="22"/>
          <w:lang w:val="sr-Latn-ME"/>
        </w:rPr>
        <w:t xml:space="preserve"> ukazuju da </w:t>
      </w:r>
      <w:r w:rsidR="00B148F2" w:rsidRPr="006F34F9">
        <w:rPr>
          <w:bCs/>
          <w:szCs w:val="22"/>
          <w:lang w:val="sr-Latn-ME"/>
        </w:rPr>
        <w:t>pacijenti</w:t>
      </w:r>
      <w:r w:rsidRPr="006F34F9">
        <w:rPr>
          <w:bCs/>
          <w:szCs w:val="22"/>
          <w:lang w:val="sr-Latn-ME"/>
        </w:rPr>
        <w:t xml:space="preserve"> sa Kronovom bolešću koji ne odgovore na l</w:t>
      </w:r>
      <w:r w:rsidR="00800C43" w:rsidRPr="006F34F9">
        <w:rPr>
          <w:bCs/>
          <w:szCs w:val="22"/>
          <w:lang w:val="sr-Latn-ME"/>
        </w:rPr>
        <w:t>ij</w:t>
      </w:r>
      <w:r w:rsidRPr="006F34F9">
        <w:rPr>
          <w:bCs/>
          <w:szCs w:val="22"/>
          <w:lang w:val="sr-Latn-ME"/>
        </w:rPr>
        <w:t xml:space="preserve">ečenje mogu imati koristi od doze vedolizumaba u 10. </w:t>
      </w:r>
      <w:r w:rsidR="0069571E" w:rsidRPr="006F34F9">
        <w:rPr>
          <w:bCs/>
          <w:szCs w:val="22"/>
          <w:lang w:val="sr-Latn-ME"/>
        </w:rPr>
        <w:t>nedjelji</w:t>
      </w:r>
      <w:r w:rsidRPr="006F34F9">
        <w:rPr>
          <w:bCs/>
          <w:szCs w:val="22"/>
          <w:lang w:val="sr-Latn-ME"/>
        </w:rPr>
        <w:t>.</w:t>
      </w:r>
    </w:p>
    <w:p w14:paraId="2D3C5735" w14:textId="77777777" w:rsidR="001B44E1" w:rsidRPr="006F34F9" w:rsidRDefault="001B44E1">
      <w:pPr>
        <w:pStyle w:val="Header"/>
        <w:spacing w:before="80" w:after="80"/>
        <w:rPr>
          <w:bCs/>
          <w:szCs w:val="22"/>
          <w:lang w:val="sr-Latn-ME"/>
        </w:rPr>
      </w:pPr>
    </w:p>
    <w:p w14:paraId="7EEA6929" w14:textId="45F188E2" w:rsidR="001B44E1" w:rsidRPr="006F34F9" w:rsidRDefault="001B44E1" w:rsidP="00180C9F">
      <w:pPr>
        <w:pStyle w:val="Header"/>
        <w:rPr>
          <w:bCs/>
          <w:szCs w:val="22"/>
          <w:lang w:val="sr-Latn-ME"/>
        </w:rPr>
      </w:pPr>
      <w:r w:rsidRPr="006F34F9">
        <w:rPr>
          <w:bCs/>
          <w:szCs w:val="22"/>
          <w:lang w:val="sr-Latn-ME"/>
        </w:rPr>
        <w:lastRenderedPageBreak/>
        <w:t xml:space="preserve">Pacijenti kod kojih je izostao odgovor na vedolizumab pri </w:t>
      </w:r>
      <w:r w:rsidR="003D1FD7" w:rsidRPr="006F34F9">
        <w:rPr>
          <w:bCs/>
          <w:szCs w:val="22"/>
          <w:lang w:val="sr-Latn-ME"/>
        </w:rPr>
        <w:t>liječenju</w:t>
      </w:r>
      <w:r w:rsidRPr="006F34F9">
        <w:rPr>
          <w:bCs/>
          <w:szCs w:val="22"/>
          <w:lang w:val="sr-Latn-ME"/>
        </w:rPr>
        <w:t xml:space="preserve"> svake osme </w:t>
      </w:r>
      <w:r w:rsidR="00A22425" w:rsidRPr="006F34F9">
        <w:rPr>
          <w:bCs/>
          <w:szCs w:val="22"/>
          <w:lang w:val="sr-Latn-ME"/>
        </w:rPr>
        <w:t>nedjelje</w:t>
      </w:r>
      <w:r w:rsidRPr="006F34F9">
        <w:rPr>
          <w:bCs/>
          <w:szCs w:val="22"/>
          <w:lang w:val="sr-Latn-ME"/>
        </w:rPr>
        <w:t xml:space="preserve"> u ispitivanju GEMINI </w:t>
      </w:r>
      <w:r w:rsidR="00A22425" w:rsidRPr="006F34F9">
        <w:rPr>
          <w:bCs/>
          <w:szCs w:val="22"/>
          <w:lang w:val="sr-Latn-ME"/>
        </w:rPr>
        <w:t>2</w:t>
      </w:r>
      <w:r w:rsidRPr="006F34F9">
        <w:rPr>
          <w:bCs/>
          <w:szCs w:val="22"/>
          <w:lang w:val="sr-Latn-ME"/>
        </w:rPr>
        <w:t xml:space="preserve">, mogli su da uđu u otvoreni nastavak ispitivanja i primaju vedolizumab svake četvrte </w:t>
      </w:r>
      <w:r w:rsidR="00A22425" w:rsidRPr="006F34F9">
        <w:rPr>
          <w:bCs/>
          <w:szCs w:val="22"/>
          <w:lang w:val="sr-Latn-ME"/>
        </w:rPr>
        <w:t>nedjelje</w:t>
      </w:r>
      <w:r w:rsidRPr="006F34F9">
        <w:rPr>
          <w:bCs/>
          <w:szCs w:val="22"/>
          <w:lang w:val="sr-Latn-ME"/>
        </w:rPr>
        <w:t xml:space="preserve">. Kod tih pacijenata klinička remisija postignuta je kod 23% pacijenata u 28. </w:t>
      </w:r>
      <w:r w:rsidR="0069571E" w:rsidRPr="006F34F9">
        <w:rPr>
          <w:bCs/>
          <w:szCs w:val="22"/>
          <w:lang w:val="sr-Latn-ME"/>
        </w:rPr>
        <w:t>nedjelji</w:t>
      </w:r>
      <w:r w:rsidRPr="006F34F9">
        <w:rPr>
          <w:bCs/>
          <w:szCs w:val="22"/>
          <w:lang w:val="sr-Latn-ME"/>
        </w:rPr>
        <w:t xml:space="preserve"> i kod 32% pacijenata u 52. </w:t>
      </w:r>
      <w:r w:rsidR="0069571E" w:rsidRPr="006F34F9">
        <w:rPr>
          <w:bCs/>
          <w:szCs w:val="22"/>
          <w:lang w:val="sr-Latn-ME"/>
        </w:rPr>
        <w:t>nedjelji</w:t>
      </w:r>
      <w:r w:rsidRPr="006F34F9">
        <w:rPr>
          <w:bCs/>
          <w:szCs w:val="22"/>
          <w:lang w:val="sr-Latn-ME"/>
        </w:rPr>
        <w:t>.</w:t>
      </w:r>
    </w:p>
    <w:p w14:paraId="7CA38B80" w14:textId="77777777" w:rsidR="00EC364F" w:rsidRPr="006F34F9" w:rsidRDefault="00EC364F" w:rsidP="00180C9F">
      <w:pPr>
        <w:pStyle w:val="Header"/>
        <w:rPr>
          <w:bCs/>
          <w:szCs w:val="22"/>
          <w:lang w:val="sr-Latn-ME"/>
        </w:rPr>
      </w:pPr>
    </w:p>
    <w:p w14:paraId="01D15318" w14:textId="7AB01224" w:rsidR="001B44E1" w:rsidRPr="006F34F9" w:rsidRDefault="001B44E1" w:rsidP="00180C9F">
      <w:pPr>
        <w:pStyle w:val="Header"/>
        <w:rPr>
          <w:bCs/>
          <w:szCs w:val="22"/>
          <w:lang w:val="sr-Latn-ME"/>
        </w:rPr>
      </w:pPr>
      <w:r w:rsidRPr="006F34F9">
        <w:rPr>
          <w:bCs/>
          <w:szCs w:val="22"/>
          <w:lang w:val="sr-Latn-ME"/>
        </w:rPr>
        <w:t xml:space="preserve">Pacijenti koji su postigli klinički odgovor nakon primanja vedolizumaba u nultoj i drugoj </w:t>
      </w:r>
      <w:r w:rsidR="0069571E" w:rsidRPr="006F34F9">
        <w:rPr>
          <w:bCs/>
          <w:szCs w:val="22"/>
          <w:lang w:val="sr-Latn-ME"/>
        </w:rPr>
        <w:t>nedjelji</w:t>
      </w:r>
      <w:r w:rsidRPr="006F34F9">
        <w:rPr>
          <w:bCs/>
          <w:szCs w:val="22"/>
          <w:lang w:val="sr-Latn-ME"/>
        </w:rPr>
        <w:t xml:space="preserve"> i</w:t>
      </w:r>
      <w:r w:rsidR="00636D99" w:rsidRPr="006F34F9">
        <w:rPr>
          <w:bCs/>
          <w:szCs w:val="22"/>
          <w:lang w:val="sr-Latn-ME"/>
        </w:rPr>
        <w:t xml:space="preserve"> </w:t>
      </w:r>
      <w:r w:rsidRPr="006F34F9">
        <w:rPr>
          <w:bCs/>
          <w:szCs w:val="22"/>
          <w:lang w:val="sr-Latn-ME"/>
        </w:rPr>
        <w:t xml:space="preserve"> potom su randomizovani u grupu koja je primala placebo (od 6. do 52. </w:t>
      </w:r>
      <w:r w:rsidR="008062E2" w:rsidRPr="006F34F9">
        <w:rPr>
          <w:bCs/>
          <w:szCs w:val="22"/>
          <w:lang w:val="sr-Latn-ME"/>
        </w:rPr>
        <w:t>nedjelje</w:t>
      </w:r>
      <w:r w:rsidRPr="006F34F9">
        <w:rPr>
          <w:bCs/>
          <w:szCs w:val="22"/>
          <w:lang w:val="sr-Latn-ME"/>
        </w:rPr>
        <w:t>) i nakon toga izgubili odgovor na l</w:t>
      </w:r>
      <w:r w:rsidR="00780DB3" w:rsidRPr="006F34F9">
        <w:rPr>
          <w:bCs/>
          <w:szCs w:val="22"/>
          <w:lang w:val="sr-Latn-ME"/>
        </w:rPr>
        <w:t>ij</w:t>
      </w:r>
      <w:r w:rsidRPr="006F34F9">
        <w:rPr>
          <w:bCs/>
          <w:szCs w:val="22"/>
          <w:lang w:val="sr-Latn-ME"/>
        </w:rPr>
        <w:t xml:space="preserve">ečenje, mogli su da uđu u otvoreni nastavak ispitivanja i primaju vedolizumab svake četvrte </w:t>
      </w:r>
      <w:r w:rsidR="00A22425" w:rsidRPr="006F34F9">
        <w:rPr>
          <w:bCs/>
          <w:szCs w:val="22"/>
          <w:lang w:val="sr-Latn-ME"/>
        </w:rPr>
        <w:t>nedjelje</w:t>
      </w:r>
      <w:r w:rsidRPr="006F34F9">
        <w:rPr>
          <w:bCs/>
          <w:szCs w:val="22"/>
          <w:lang w:val="sr-Latn-ME"/>
        </w:rPr>
        <w:t xml:space="preserve">. Kod tih pacijenata klinička remisija postignuta je kod 46% pacijenata do 28. </w:t>
      </w:r>
      <w:r w:rsidR="00A22425" w:rsidRPr="006F34F9">
        <w:rPr>
          <w:bCs/>
          <w:szCs w:val="22"/>
          <w:lang w:val="sr-Latn-ME"/>
        </w:rPr>
        <w:t>nedjelje</w:t>
      </w:r>
      <w:r w:rsidRPr="006F34F9">
        <w:rPr>
          <w:bCs/>
          <w:szCs w:val="22"/>
          <w:lang w:val="sr-Latn-ME"/>
        </w:rPr>
        <w:t xml:space="preserve">, kao i kod 41% pacijenata do 52. </w:t>
      </w:r>
      <w:r w:rsidR="00A22425" w:rsidRPr="006F34F9">
        <w:rPr>
          <w:bCs/>
          <w:szCs w:val="22"/>
          <w:lang w:val="sr-Latn-ME"/>
        </w:rPr>
        <w:t>nedjelje</w:t>
      </w:r>
      <w:r w:rsidRPr="006F34F9">
        <w:rPr>
          <w:bCs/>
          <w:szCs w:val="22"/>
          <w:lang w:val="sr-Latn-ME"/>
        </w:rPr>
        <w:t>.</w:t>
      </w:r>
    </w:p>
    <w:p w14:paraId="566D634F" w14:textId="77777777" w:rsidR="001B44E1" w:rsidRPr="006F34F9" w:rsidRDefault="001B44E1" w:rsidP="00180C9F">
      <w:pPr>
        <w:pStyle w:val="Header"/>
        <w:rPr>
          <w:bCs/>
          <w:szCs w:val="22"/>
          <w:lang w:val="sr-Latn-ME"/>
        </w:rPr>
      </w:pPr>
    </w:p>
    <w:p w14:paraId="3D87B241" w14:textId="31512DED" w:rsidR="001B44E1" w:rsidRPr="006F34F9" w:rsidRDefault="001B44E1" w:rsidP="00180C9F">
      <w:pPr>
        <w:pStyle w:val="Header"/>
        <w:rPr>
          <w:bCs/>
          <w:szCs w:val="22"/>
          <w:lang w:val="sr-Latn-ME"/>
        </w:rPr>
      </w:pPr>
      <w:r w:rsidRPr="006F34F9">
        <w:rPr>
          <w:bCs/>
          <w:szCs w:val="22"/>
          <w:lang w:val="sr-Latn-ME"/>
        </w:rPr>
        <w:t>U ovom otvorenom nastavku ispitivanja klinička remisija i klinički odgovor zab</w:t>
      </w:r>
      <w:r w:rsidR="00780DB3" w:rsidRPr="006F34F9">
        <w:rPr>
          <w:bCs/>
          <w:szCs w:val="22"/>
          <w:lang w:val="sr-Latn-ME"/>
        </w:rPr>
        <w:t>i</w:t>
      </w:r>
      <w:r w:rsidRPr="006F34F9">
        <w:rPr>
          <w:bCs/>
          <w:szCs w:val="22"/>
          <w:lang w:val="sr-Latn-ME"/>
        </w:rPr>
        <w:t>l</w:t>
      </w:r>
      <w:r w:rsidR="00780DB3" w:rsidRPr="006F34F9">
        <w:rPr>
          <w:bCs/>
          <w:szCs w:val="22"/>
          <w:lang w:val="sr-Latn-ME"/>
        </w:rPr>
        <w:t>j</w:t>
      </w:r>
      <w:r w:rsidRPr="006F34F9">
        <w:rPr>
          <w:bCs/>
          <w:szCs w:val="22"/>
          <w:lang w:val="sr-Latn-ME"/>
        </w:rPr>
        <w:t xml:space="preserve">eženi su kod pacijenata do 196. </w:t>
      </w:r>
      <w:r w:rsidR="00A22425" w:rsidRPr="006F34F9">
        <w:rPr>
          <w:bCs/>
          <w:szCs w:val="22"/>
          <w:lang w:val="sr-Latn-ME"/>
        </w:rPr>
        <w:t>nedjelje</w:t>
      </w:r>
      <w:r w:rsidRPr="006F34F9">
        <w:rPr>
          <w:bCs/>
          <w:szCs w:val="22"/>
          <w:lang w:val="sr-Latn-ME"/>
        </w:rPr>
        <w:t>.</w:t>
      </w:r>
    </w:p>
    <w:p w14:paraId="19CE4F51" w14:textId="77777777" w:rsidR="001B44E1" w:rsidRPr="006F34F9" w:rsidRDefault="001B44E1" w:rsidP="00180C9F">
      <w:pPr>
        <w:pStyle w:val="Header"/>
        <w:rPr>
          <w:bCs/>
          <w:szCs w:val="22"/>
          <w:lang w:val="sr-Latn-ME"/>
        </w:rPr>
      </w:pPr>
    </w:p>
    <w:p w14:paraId="1AC598E4" w14:textId="1A40E967" w:rsidR="001B44E1" w:rsidRPr="006F34F9" w:rsidRDefault="001B44E1" w:rsidP="00180C9F">
      <w:pPr>
        <w:pStyle w:val="Header"/>
        <w:rPr>
          <w:bCs/>
          <w:szCs w:val="22"/>
          <w:lang w:val="sr-Latn-ME"/>
        </w:rPr>
      </w:pPr>
      <w:r w:rsidRPr="006F34F9">
        <w:rPr>
          <w:bCs/>
          <w:szCs w:val="22"/>
          <w:lang w:val="sr-Latn-ME"/>
        </w:rPr>
        <w:t xml:space="preserve">Eksplorativne analize pokazale su da su u ispitivanju GEMINI </w:t>
      </w:r>
      <w:r w:rsidR="00A22425" w:rsidRPr="006F34F9">
        <w:rPr>
          <w:bCs/>
          <w:szCs w:val="22"/>
          <w:lang w:val="sr-Latn-ME"/>
        </w:rPr>
        <w:t>2</w:t>
      </w:r>
      <w:r w:rsidRPr="006F34F9">
        <w:rPr>
          <w:bCs/>
          <w:szCs w:val="22"/>
          <w:lang w:val="sr-Latn-ME"/>
        </w:rPr>
        <w:t xml:space="preserve"> uočena klinički značajna poboljšanja</w:t>
      </w:r>
      <w:r w:rsidR="00636D99" w:rsidRPr="006F34F9">
        <w:rPr>
          <w:bCs/>
          <w:szCs w:val="22"/>
          <w:lang w:val="sr-Latn-ME"/>
        </w:rPr>
        <w:t xml:space="preserve"> </w:t>
      </w:r>
      <w:r w:rsidRPr="006F34F9">
        <w:rPr>
          <w:bCs/>
          <w:szCs w:val="22"/>
          <w:lang w:val="sr-Latn-ME"/>
        </w:rPr>
        <w:t xml:space="preserve"> uz vedolizumab </w:t>
      </w:r>
      <w:r w:rsidR="008062E2" w:rsidRPr="006F34F9">
        <w:rPr>
          <w:bCs/>
          <w:szCs w:val="22"/>
          <w:lang w:val="sr-Latn-ME"/>
        </w:rPr>
        <w:t>prim</w:t>
      </w:r>
      <w:r w:rsidR="00172081">
        <w:rPr>
          <w:bCs/>
          <w:szCs w:val="22"/>
          <w:lang w:val="sr-Latn-ME"/>
        </w:rPr>
        <w:t>i</w:t>
      </w:r>
      <w:r w:rsidR="008062E2" w:rsidRPr="006F34F9">
        <w:rPr>
          <w:bCs/>
          <w:szCs w:val="22"/>
          <w:lang w:val="sr-Latn-ME"/>
        </w:rPr>
        <w:t>jenjen</w:t>
      </w:r>
      <w:r w:rsidRPr="006F34F9">
        <w:rPr>
          <w:bCs/>
          <w:szCs w:val="22"/>
          <w:lang w:val="sr-Latn-ME"/>
        </w:rPr>
        <w:t xml:space="preserve"> svake četvrte </w:t>
      </w:r>
      <w:r w:rsidR="00A22425" w:rsidRPr="006F34F9">
        <w:rPr>
          <w:bCs/>
          <w:szCs w:val="22"/>
          <w:lang w:val="sr-Latn-ME"/>
        </w:rPr>
        <w:t>nedjelje</w:t>
      </w:r>
      <w:r w:rsidRPr="006F34F9">
        <w:rPr>
          <w:bCs/>
          <w:szCs w:val="22"/>
          <w:lang w:val="sr-Latn-ME"/>
        </w:rPr>
        <w:t xml:space="preserve"> i svake osme </w:t>
      </w:r>
      <w:r w:rsidR="00A22425" w:rsidRPr="006F34F9">
        <w:rPr>
          <w:bCs/>
          <w:szCs w:val="22"/>
          <w:lang w:val="sr-Latn-ME"/>
        </w:rPr>
        <w:t>nedjelje</w:t>
      </w:r>
      <w:r w:rsidRPr="006F34F9">
        <w:rPr>
          <w:bCs/>
          <w:szCs w:val="22"/>
          <w:lang w:val="sr-Latn-ME"/>
        </w:rPr>
        <w:t xml:space="preserve"> i ta su poboljšanja bila znatno veća u poređenju sa grupom koja je primala placebo od početka do 52. </w:t>
      </w:r>
      <w:r w:rsidR="00A22425" w:rsidRPr="006F34F9">
        <w:rPr>
          <w:bCs/>
          <w:szCs w:val="22"/>
          <w:lang w:val="sr-Latn-ME"/>
        </w:rPr>
        <w:t>nedjelje</w:t>
      </w:r>
      <w:r w:rsidRPr="006F34F9">
        <w:rPr>
          <w:bCs/>
          <w:szCs w:val="22"/>
          <w:lang w:val="sr-Latn-ME"/>
        </w:rPr>
        <w:t xml:space="preserve"> </w:t>
      </w:r>
      <w:r w:rsidR="008062E2" w:rsidRPr="006F34F9">
        <w:rPr>
          <w:bCs/>
          <w:szCs w:val="22"/>
          <w:lang w:val="sr-Latn-ME"/>
        </w:rPr>
        <w:t>prije</w:t>
      </w:r>
      <w:r w:rsidRPr="006F34F9">
        <w:rPr>
          <w:bCs/>
          <w:szCs w:val="22"/>
          <w:lang w:val="sr-Latn-ME"/>
        </w:rPr>
        <w:t xml:space="preserve">ma skalama EQ-5D i EQ-5D VAS, ukupnom IBDQ rezultatu, kao i IBDQ podskalama za </w:t>
      </w:r>
      <w:r w:rsidR="0067327C" w:rsidRPr="006F34F9">
        <w:rPr>
          <w:bCs/>
          <w:szCs w:val="22"/>
          <w:lang w:val="sr-Latn-ME"/>
        </w:rPr>
        <w:t>crijevne</w:t>
      </w:r>
      <w:r w:rsidRPr="006F34F9">
        <w:rPr>
          <w:bCs/>
          <w:szCs w:val="22"/>
          <w:lang w:val="sr-Latn-ME"/>
        </w:rPr>
        <w:t xml:space="preserve"> simptome i sistemsku funkciju.</w:t>
      </w:r>
    </w:p>
    <w:p w14:paraId="58488D6B" w14:textId="77777777" w:rsidR="00645FAA" w:rsidRPr="006F34F9" w:rsidRDefault="00645FAA" w:rsidP="00180C9F">
      <w:pPr>
        <w:pStyle w:val="Header"/>
        <w:rPr>
          <w:bCs/>
          <w:szCs w:val="22"/>
          <w:lang w:val="sr-Latn-ME"/>
        </w:rPr>
      </w:pPr>
    </w:p>
    <w:p w14:paraId="0EB87754" w14:textId="125B99CB" w:rsidR="00F62C15" w:rsidRPr="006F34F9" w:rsidRDefault="00F62C15">
      <w:pPr>
        <w:spacing w:after="120"/>
        <w:rPr>
          <w:i/>
          <w:szCs w:val="22"/>
          <w:u w:val="single"/>
          <w:lang w:val="sr-Latn-ME"/>
        </w:rPr>
      </w:pPr>
      <w:r w:rsidRPr="006F34F9">
        <w:rPr>
          <w:i/>
          <w:szCs w:val="22"/>
          <w:u w:val="single"/>
          <w:lang w:val="sr-Latn-ME"/>
        </w:rPr>
        <w:t xml:space="preserve">Kronova </w:t>
      </w:r>
      <w:r w:rsidR="00EC364F" w:rsidRPr="006F34F9">
        <w:rPr>
          <w:i/>
          <w:szCs w:val="22"/>
          <w:u w:val="single"/>
          <w:lang w:val="sr-Latn-ME"/>
        </w:rPr>
        <w:t xml:space="preserve">bolest </w:t>
      </w:r>
      <w:r w:rsidR="00EC364F" w:rsidRPr="006F34F9">
        <w:rPr>
          <w:i/>
          <w:szCs w:val="22"/>
          <w:u w:val="single"/>
          <w:lang w:val="sr-Latn-ME"/>
        </w:rPr>
        <w:noBreakHyphen/>
        <w:t xml:space="preserve"> vedolizumab za </w:t>
      </w:r>
      <w:r w:rsidR="0067327C" w:rsidRPr="006F34F9">
        <w:rPr>
          <w:i/>
          <w:szCs w:val="22"/>
          <w:u w:val="single"/>
          <w:lang w:val="sr-Latn-ME"/>
        </w:rPr>
        <w:t>subkutanu</w:t>
      </w:r>
      <w:r w:rsidR="00EC364F" w:rsidRPr="006F34F9">
        <w:rPr>
          <w:i/>
          <w:szCs w:val="22"/>
          <w:u w:val="single"/>
          <w:lang w:val="sr-Latn-ME"/>
        </w:rPr>
        <w:t xml:space="preserve"> primjenu</w:t>
      </w:r>
    </w:p>
    <w:p w14:paraId="4561AA9E" w14:textId="005A2203" w:rsidR="00EC364F" w:rsidRPr="006F34F9" w:rsidRDefault="00F62C15">
      <w:pPr>
        <w:spacing w:after="120"/>
        <w:rPr>
          <w:szCs w:val="22"/>
          <w:lang w:val="sr-Latn-ME"/>
        </w:rPr>
      </w:pPr>
      <w:r w:rsidRPr="006F34F9">
        <w:rPr>
          <w:szCs w:val="22"/>
          <w:lang w:val="sr-Latn-ME"/>
        </w:rPr>
        <w:t xml:space="preserve">Efikasnost </w:t>
      </w:r>
      <w:r w:rsidR="00EC364F" w:rsidRPr="006F34F9">
        <w:rPr>
          <w:szCs w:val="22"/>
          <w:lang w:val="sr-Latn-ME"/>
        </w:rPr>
        <w:t xml:space="preserve">i </w:t>
      </w:r>
      <w:r w:rsidRPr="006F34F9">
        <w:rPr>
          <w:szCs w:val="22"/>
          <w:lang w:val="sr-Latn-ME"/>
        </w:rPr>
        <w:t>bezbjednost</w:t>
      </w:r>
      <w:r w:rsidR="00EC364F" w:rsidRPr="006F34F9">
        <w:rPr>
          <w:szCs w:val="22"/>
          <w:lang w:val="sr-Latn-ME"/>
        </w:rPr>
        <w:t xml:space="preserve"> </w:t>
      </w:r>
      <w:r w:rsidR="0067327C" w:rsidRPr="006F34F9">
        <w:rPr>
          <w:szCs w:val="22"/>
          <w:lang w:val="sr-Latn-ME"/>
        </w:rPr>
        <w:t>subkutanog</w:t>
      </w:r>
      <w:r w:rsidR="00EC364F" w:rsidRPr="006F34F9">
        <w:rPr>
          <w:szCs w:val="22"/>
          <w:lang w:val="sr-Latn-ME"/>
        </w:rPr>
        <w:t xml:space="preserve"> vedolizumaba u liječenju odraslih </w:t>
      </w:r>
      <w:r w:rsidR="00D43BC5" w:rsidRPr="006F34F9">
        <w:rPr>
          <w:szCs w:val="22"/>
          <w:lang w:val="sr-Latn-ME"/>
        </w:rPr>
        <w:t>pacijenata</w:t>
      </w:r>
      <w:r w:rsidR="00EC364F" w:rsidRPr="006F34F9">
        <w:rPr>
          <w:szCs w:val="22"/>
          <w:lang w:val="sr-Latn-ME"/>
        </w:rPr>
        <w:t xml:space="preserve"> s umjereno do izrazito aktivnom </w:t>
      </w:r>
      <w:r w:rsidRPr="006F34F9">
        <w:rPr>
          <w:szCs w:val="22"/>
          <w:lang w:val="sr-Latn-ME"/>
        </w:rPr>
        <w:t xml:space="preserve">Kronovom </w:t>
      </w:r>
      <w:r w:rsidR="00EC364F" w:rsidRPr="006F34F9">
        <w:rPr>
          <w:szCs w:val="22"/>
          <w:lang w:val="sr-Latn-ME"/>
        </w:rPr>
        <w:t xml:space="preserve">bolešću (indeks aktivnosti </w:t>
      </w:r>
      <w:r w:rsidRPr="006F34F9">
        <w:rPr>
          <w:szCs w:val="22"/>
          <w:lang w:val="sr-Latn-ME"/>
        </w:rPr>
        <w:t xml:space="preserve">Kronove </w:t>
      </w:r>
      <w:r w:rsidR="00EC364F" w:rsidRPr="006F34F9">
        <w:rPr>
          <w:szCs w:val="22"/>
          <w:lang w:val="sr-Latn-ME"/>
        </w:rPr>
        <w:t xml:space="preserve">bolesti [CDAI] </w:t>
      </w:r>
      <w:r w:rsidRPr="006F34F9">
        <w:rPr>
          <w:szCs w:val="22"/>
          <w:lang w:val="sr-Latn-ME"/>
        </w:rPr>
        <w:t xml:space="preserve">od </w:t>
      </w:r>
      <w:r w:rsidR="00EC364F" w:rsidRPr="006F34F9">
        <w:rPr>
          <w:szCs w:val="22"/>
          <w:lang w:val="sr-Latn-ME"/>
        </w:rPr>
        <w:t xml:space="preserve">220 do 450) pokazane su u </w:t>
      </w:r>
      <w:r w:rsidR="0067327C" w:rsidRPr="006F34F9">
        <w:rPr>
          <w:szCs w:val="22"/>
          <w:lang w:val="sr-Latn-ME"/>
        </w:rPr>
        <w:t>randomizovanom</w:t>
      </w:r>
      <w:r w:rsidR="00EC364F" w:rsidRPr="006F34F9">
        <w:rPr>
          <w:szCs w:val="22"/>
          <w:lang w:val="sr-Latn-ME"/>
        </w:rPr>
        <w:t xml:space="preserve">, dvostruko slijepom, placebom kontroliranom ispitivanju za procjenu mjera ishoda za </w:t>
      </w:r>
      <w:r w:rsidRPr="006F34F9">
        <w:rPr>
          <w:szCs w:val="22"/>
          <w:lang w:val="sr-Latn-ME"/>
        </w:rPr>
        <w:t xml:space="preserve">efikasnost </w:t>
      </w:r>
      <w:r w:rsidR="00EC364F" w:rsidRPr="006F34F9">
        <w:rPr>
          <w:szCs w:val="22"/>
          <w:lang w:val="sr-Latn-ME"/>
        </w:rPr>
        <w:t xml:space="preserve">u </w:t>
      </w:r>
      <w:r w:rsidR="0067327C" w:rsidRPr="006F34F9">
        <w:rPr>
          <w:szCs w:val="22"/>
          <w:lang w:val="sr-Latn-ME"/>
        </w:rPr>
        <w:t>nedjelji</w:t>
      </w:r>
      <w:r w:rsidR="00EC364F" w:rsidRPr="006F34F9">
        <w:rPr>
          <w:szCs w:val="22"/>
          <w:lang w:val="sr-Latn-ME"/>
        </w:rPr>
        <w:t xml:space="preserve"> 52</w:t>
      </w:r>
      <w:r w:rsidRPr="006F34F9">
        <w:rPr>
          <w:szCs w:val="22"/>
          <w:lang w:val="sr-Latn-ME"/>
        </w:rPr>
        <w:t>.</w:t>
      </w:r>
      <w:r w:rsidR="00EC364F" w:rsidRPr="006F34F9">
        <w:rPr>
          <w:szCs w:val="22"/>
          <w:lang w:val="sr-Latn-ME"/>
        </w:rPr>
        <w:t xml:space="preserve"> (VISIBLE 2). U ispitivanju VISIBLE 2, uključeni </w:t>
      </w:r>
      <w:r w:rsidR="00B148F2" w:rsidRPr="006F34F9">
        <w:rPr>
          <w:szCs w:val="22"/>
          <w:lang w:val="sr-Latn-ME"/>
        </w:rPr>
        <w:t>pacijenti</w:t>
      </w:r>
      <w:r w:rsidR="00EC364F" w:rsidRPr="006F34F9">
        <w:rPr>
          <w:szCs w:val="22"/>
          <w:lang w:val="sr-Latn-ME"/>
        </w:rPr>
        <w:t xml:space="preserve"> (n = 644) imali su neadekvatan odgovor, gubitak odgovora ili nepodnošenje pri jednom standardnom liječenju, uključujući kortikosteroide, imunomodulatore, i/ili antagoniste TNFα (uključujući i </w:t>
      </w:r>
      <w:r w:rsidR="00B148F2" w:rsidRPr="006F34F9">
        <w:rPr>
          <w:szCs w:val="22"/>
          <w:lang w:val="sr-Latn-ME"/>
        </w:rPr>
        <w:t>pacijente</w:t>
      </w:r>
      <w:r w:rsidR="00EC364F" w:rsidRPr="006F34F9">
        <w:rPr>
          <w:szCs w:val="22"/>
          <w:lang w:val="sr-Latn-ME"/>
        </w:rPr>
        <w:t xml:space="preserve"> bez odgovora na primarno liječenje). Bile su </w:t>
      </w:r>
      <w:r w:rsidRPr="006F34F9">
        <w:rPr>
          <w:szCs w:val="22"/>
          <w:lang w:val="sr-Latn-ME"/>
        </w:rPr>
        <w:t xml:space="preserve">dozvoljene </w:t>
      </w:r>
      <w:r w:rsidR="0041795E" w:rsidRPr="006F34F9">
        <w:rPr>
          <w:szCs w:val="22"/>
          <w:lang w:val="sr-Latn-ME"/>
        </w:rPr>
        <w:t xml:space="preserve">istovremeno </w:t>
      </w:r>
      <w:r w:rsidR="00EC364F" w:rsidRPr="006F34F9">
        <w:rPr>
          <w:szCs w:val="22"/>
          <w:lang w:val="sr-Latn-ME"/>
        </w:rPr>
        <w:t>stabilne doze peroralnih aminosalicilata, kortikosteroida i imunomodulatora.</w:t>
      </w:r>
    </w:p>
    <w:p w14:paraId="4EDB420B" w14:textId="16FB083B" w:rsidR="00EC364F" w:rsidRPr="006F34F9" w:rsidRDefault="00EC364F">
      <w:pPr>
        <w:spacing w:after="120"/>
        <w:rPr>
          <w:szCs w:val="22"/>
          <w:lang w:val="sr-Latn-ME"/>
        </w:rPr>
      </w:pPr>
      <w:r w:rsidRPr="006F34F9">
        <w:rPr>
          <w:szCs w:val="22"/>
          <w:lang w:val="sr-Latn-ME"/>
        </w:rPr>
        <w:t xml:space="preserve">Pogodni za randomizaciju bili su </w:t>
      </w:r>
      <w:r w:rsidR="00B148F2" w:rsidRPr="006F34F9">
        <w:rPr>
          <w:szCs w:val="22"/>
          <w:lang w:val="sr-Latn-ME"/>
        </w:rPr>
        <w:t>pacijenti</w:t>
      </w:r>
      <w:r w:rsidRPr="006F34F9">
        <w:rPr>
          <w:szCs w:val="22"/>
          <w:lang w:val="sr-Latn-ME"/>
        </w:rPr>
        <w:t xml:space="preserve"> koji su u 6. </w:t>
      </w:r>
      <w:r w:rsidR="0067327C" w:rsidRPr="006F34F9">
        <w:rPr>
          <w:szCs w:val="22"/>
          <w:lang w:val="sr-Latn-ME"/>
        </w:rPr>
        <w:t>nedjelji</w:t>
      </w:r>
      <w:r w:rsidRPr="006F34F9">
        <w:rPr>
          <w:szCs w:val="22"/>
          <w:lang w:val="sr-Latn-ME"/>
        </w:rPr>
        <w:t xml:space="preserve"> postigli klinički odgovor na otvoreno liječenje intravenskim vedolizumabom. Za procjenu mjera ishoda u 52. </w:t>
      </w:r>
      <w:r w:rsidR="0067327C" w:rsidRPr="006F34F9">
        <w:rPr>
          <w:szCs w:val="22"/>
          <w:lang w:val="sr-Latn-ME"/>
        </w:rPr>
        <w:t>nedjelji</w:t>
      </w:r>
      <w:r w:rsidRPr="006F34F9">
        <w:rPr>
          <w:szCs w:val="22"/>
          <w:lang w:val="sr-Latn-ME"/>
        </w:rPr>
        <w:t xml:space="preserve">, 409 (64%) </w:t>
      </w:r>
      <w:r w:rsidR="00D43BC5" w:rsidRPr="006F34F9">
        <w:rPr>
          <w:szCs w:val="22"/>
          <w:lang w:val="sr-Latn-ME"/>
        </w:rPr>
        <w:t>pacijenata</w:t>
      </w:r>
      <w:r w:rsidRPr="006F34F9">
        <w:rPr>
          <w:szCs w:val="22"/>
          <w:lang w:val="sr-Latn-ME"/>
        </w:rPr>
        <w:t xml:space="preserve"> je </w:t>
      </w:r>
      <w:r w:rsidR="0067327C" w:rsidRPr="006F34F9">
        <w:rPr>
          <w:szCs w:val="22"/>
          <w:lang w:val="sr-Latn-ME"/>
        </w:rPr>
        <w:t>randomizovano</w:t>
      </w:r>
      <w:r w:rsidRPr="006F34F9">
        <w:rPr>
          <w:szCs w:val="22"/>
          <w:lang w:val="sr-Latn-ME"/>
        </w:rPr>
        <w:t xml:space="preserve"> i liječeno uz dvostruko slijepi dizajn ispitivanja (2:1) i primanje </w:t>
      </w:r>
      <w:r w:rsidR="0067327C" w:rsidRPr="006F34F9">
        <w:rPr>
          <w:szCs w:val="22"/>
          <w:lang w:val="sr-Latn-ME"/>
        </w:rPr>
        <w:t>subkutanog</w:t>
      </w:r>
      <w:r w:rsidRPr="006F34F9">
        <w:rPr>
          <w:szCs w:val="22"/>
          <w:lang w:val="sr-Latn-ME"/>
        </w:rPr>
        <w:t xml:space="preserve"> vedolizumaba 108 mg (n = 275) ili </w:t>
      </w:r>
      <w:r w:rsidR="0067327C" w:rsidRPr="006F34F9">
        <w:rPr>
          <w:szCs w:val="22"/>
          <w:lang w:val="sr-Latn-ME"/>
        </w:rPr>
        <w:t>subkutanog</w:t>
      </w:r>
      <w:r w:rsidRPr="006F34F9">
        <w:rPr>
          <w:szCs w:val="22"/>
          <w:lang w:val="sr-Latn-ME"/>
        </w:rPr>
        <w:t xml:space="preserve"> placeba (n = 134) svak</w:t>
      </w:r>
      <w:r w:rsidR="00B148F2" w:rsidRPr="006F34F9">
        <w:rPr>
          <w:szCs w:val="22"/>
          <w:lang w:val="sr-Latn-ME"/>
        </w:rPr>
        <w:t>e</w:t>
      </w:r>
      <w:r w:rsidRPr="006F34F9">
        <w:rPr>
          <w:szCs w:val="22"/>
          <w:lang w:val="sr-Latn-ME"/>
        </w:rPr>
        <w:t xml:space="preserve"> 2 </w:t>
      </w:r>
      <w:r w:rsidR="00B148F2" w:rsidRPr="006F34F9">
        <w:rPr>
          <w:szCs w:val="22"/>
          <w:lang w:val="sr-Latn-ME"/>
        </w:rPr>
        <w:t>nedjelje</w:t>
      </w:r>
      <w:r w:rsidRPr="006F34F9">
        <w:rPr>
          <w:szCs w:val="22"/>
          <w:lang w:val="sr-Latn-ME"/>
        </w:rPr>
        <w:t xml:space="preserve">. </w:t>
      </w:r>
    </w:p>
    <w:p w14:paraId="4C81873F" w14:textId="7A4CDF0A" w:rsidR="00EC364F" w:rsidRPr="006F34F9" w:rsidRDefault="00EC364F">
      <w:pPr>
        <w:spacing w:after="120"/>
        <w:rPr>
          <w:szCs w:val="22"/>
          <w:lang w:val="sr-Latn-ME"/>
        </w:rPr>
      </w:pPr>
      <w:r w:rsidRPr="006F34F9">
        <w:rPr>
          <w:szCs w:val="22"/>
          <w:lang w:val="sr-Latn-ME"/>
        </w:rPr>
        <w:t xml:space="preserve">Osnovna demografija bila je slična </w:t>
      </w:r>
      <w:r w:rsidR="00B148F2" w:rsidRPr="006F34F9">
        <w:rPr>
          <w:szCs w:val="22"/>
          <w:lang w:val="sr-Latn-ME"/>
        </w:rPr>
        <w:t>kod</w:t>
      </w:r>
      <w:r w:rsidRPr="006F34F9">
        <w:rPr>
          <w:szCs w:val="22"/>
          <w:lang w:val="sr-Latn-ME"/>
        </w:rPr>
        <w:t xml:space="preserve"> </w:t>
      </w:r>
      <w:r w:rsidR="00D43BC5" w:rsidRPr="006F34F9">
        <w:rPr>
          <w:szCs w:val="22"/>
          <w:lang w:val="sr-Latn-ME"/>
        </w:rPr>
        <w:t>pacijenata</w:t>
      </w:r>
      <w:r w:rsidRPr="006F34F9">
        <w:rPr>
          <w:szCs w:val="22"/>
          <w:lang w:val="sr-Latn-ME"/>
        </w:rPr>
        <w:t xml:space="preserve"> na vedolizumabu i na placebu. CDAI na početku ispitivanja iznosio je &gt; 330 (teška </w:t>
      </w:r>
      <w:r w:rsidR="00B148F2" w:rsidRPr="006F34F9">
        <w:rPr>
          <w:szCs w:val="22"/>
          <w:lang w:val="sr-Latn-ME"/>
        </w:rPr>
        <w:t>K</w:t>
      </w:r>
      <w:r w:rsidRPr="006F34F9">
        <w:rPr>
          <w:szCs w:val="22"/>
          <w:lang w:val="sr-Latn-ME"/>
        </w:rPr>
        <w:t xml:space="preserve">ronova bolest) u oko 41% i ≤ 330 (umjereno teška </w:t>
      </w:r>
      <w:r w:rsidR="00B148F2" w:rsidRPr="006F34F9">
        <w:rPr>
          <w:szCs w:val="22"/>
          <w:lang w:val="sr-Latn-ME"/>
        </w:rPr>
        <w:t>K</w:t>
      </w:r>
      <w:r w:rsidRPr="006F34F9">
        <w:rPr>
          <w:szCs w:val="22"/>
          <w:lang w:val="sr-Latn-ME"/>
        </w:rPr>
        <w:t xml:space="preserve">ronova bolest) u oko 59% ukupne populacije iz ispitivanja. </w:t>
      </w:r>
    </w:p>
    <w:p w14:paraId="202E6144" w14:textId="1926B8ED" w:rsidR="00EC364F" w:rsidRPr="006F34F9" w:rsidRDefault="00EC364F">
      <w:pPr>
        <w:spacing w:after="120"/>
        <w:rPr>
          <w:szCs w:val="22"/>
          <w:lang w:val="sr-Latn-ME"/>
        </w:rPr>
      </w:pPr>
      <w:r w:rsidRPr="006F34F9">
        <w:rPr>
          <w:szCs w:val="22"/>
          <w:lang w:val="sr-Latn-ME"/>
        </w:rPr>
        <w:t xml:space="preserve">Početkom 6. </w:t>
      </w:r>
      <w:r w:rsidR="00B148F2" w:rsidRPr="006F34F9">
        <w:rPr>
          <w:szCs w:val="22"/>
          <w:lang w:val="sr-Latn-ME"/>
        </w:rPr>
        <w:t>nedjelje</w:t>
      </w:r>
      <w:r w:rsidRPr="006F34F9">
        <w:rPr>
          <w:szCs w:val="22"/>
          <w:lang w:val="sr-Latn-ME"/>
        </w:rPr>
        <w:t xml:space="preserve">, od </w:t>
      </w:r>
      <w:r w:rsidR="00D43BC5" w:rsidRPr="006F34F9">
        <w:rPr>
          <w:szCs w:val="22"/>
          <w:lang w:val="sr-Latn-ME"/>
        </w:rPr>
        <w:t>pacijenata</w:t>
      </w:r>
      <w:r w:rsidRPr="006F34F9">
        <w:rPr>
          <w:szCs w:val="22"/>
          <w:lang w:val="sr-Latn-ME"/>
        </w:rPr>
        <w:t xml:space="preserve"> koji su postigli klinički odgovor (defini</w:t>
      </w:r>
      <w:r w:rsidR="00B148F2" w:rsidRPr="006F34F9">
        <w:rPr>
          <w:szCs w:val="22"/>
          <w:lang w:val="sr-Latn-ME"/>
        </w:rPr>
        <w:t>s</w:t>
      </w:r>
      <w:r w:rsidRPr="006F34F9">
        <w:rPr>
          <w:szCs w:val="22"/>
          <w:lang w:val="sr-Latn-ME"/>
        </w:rPr>
        <w:t xml:space="preserve">an kao smanjenje ≥ 70 bodova za CDAI u odnosu na početak ispitivanja) i uzimali kortikosteroide tražilo se da počnu </w:t>
      </w:r>
      <w:r w:rsidR="0067327C" w:rsidRPr="006F34F9">
        <w:rPr>
          <w:szCs w:val="22"/>
          <w:lang w:val="sr-Latn-ME"/>
        </w:rPr>
        <w:t>postepeno</w:t>
      </w:r>
      <w:r w:rsidRPr="006F34F9">
        <w:rPr>
          <w:szCs w:val="22"/>
          <w:lang w:val="sr-Latn-ME"/>
        </w:rPr>
        <w:t xml:space="preserve"> smanjivati dozu kortikosteroida. Primarna mjera ishoda bio je ud</w:t>
      </w:r>
      <w:r w:rsidR="00624E96" w:rsidRPr="006F34F9">
        <w:rPr>
          <w:szCs w:val="22"/>
          <w:lang w:val="sr-Latn-ME"/>
        </w:rPr>
        <w:t>i</w:t>
      </w:r>
      <w:r w:rsidRPr="006F34F9">
        <w:rPr>
          <w:szCs w:val="22"/>
          <w:lang w:val="sr-Latn-ME"/>
        </w:rPr>
        <w:t xml:space="preserve">o </w:t>
      </w:r>
      <w:r w:rsidR="00D43BC5" w:rsidRPr="006F34F9">
        <w:rPr>
          <w:szCs w:val="22"/>
          <w:lang w:val="sr-Latn-ME"/>
        </w:rPr>
        <w:t>pacijenata</w:t>
      </w:r>
      <w:r w:rsidRPr="006F34F9">
        <w:rPr>
          <w:szCs w:val="22"/>
          <w:lang w:val="sr-Latn-ME"/>
        </w:rPr>
        <w:t xml:space="preserve"> s</w:t>
      </w:r>
      <w:r w:rsidR="00B148F2" w:rsidRPr="006F34F9">
        <w:rPr>
          <w:szCs w:val="22"/>
          <w:lang w:val="sr-Latn-ME"/>
        </w:rPr>
        <w:t>a</w:t>
      </w:r>
      <w:r w:rsidRPr="006F34F9">
        <w:rPr>
          <w:szCs w:val="22"/>
          <w:lang w:val="sr-Latn-ME"/>
        </w:rPr>
        <w:t xml:space="preserve"> kliničkom remisijom (CDAI bodovi ≤ 150) u </w:t>
      </w:r>
      <w:r w:rsidR="00B148F2" w:rsidRPr="006F34F9">
        <w:rPr>
          <w:szCs w:val="22"/>
          <w:lang w:val="sr-Latn-ME"/>
        </w:rPr>
        <w:t>52.</w:t>
      </w:r>
      <w:r w:rsidR="00FA0EE3">
        <w:rPr>
          <w:szCs w:val="22"/>
          <w:lang w:val="sr-Latn-ME"/>
        </w:rPr>
        <w:t xml:space="preserve"> </w:t>
      </w:r>
      <w:r w:rsidR="0067327C" w:rsidRPr="006F34F9">
        <w:rPr>
          <w:szCs w:val="22"/>
          <w:lang w:val="sr-Latn-ME"/>
        </w:rPr>
        <w:t>nedjelji</w:t>
      </w:r>
      <w:r w:rsidR="00B148F2" w:rsidRPr="006F34F9">
        <w:rPr>
          <w:szCs w:val="22"/>
          <w:lang w:val="sr-Latn-ME"/>
        </w:rPr>
        <w:t>.</w:t>
      </w:r>
      <w:r w:rsidRPr="006F34F9">
        <w:rPr>
          <w:szCs w:val="22"/>
          <w:lang w:val="sr-Latn-ME"/>
        </w:rPr>
        <w:t xml:space="preserve"> Sekundarne mjere ishoda bile su ud</w:t>
      </w:r>
      <w:r w:rsidR="00624E96" w:rsidRPr="006F34F9">
        <w:rPr>
          <w:szCs w:val="22"/>
          <w:lang w:val="sr-Latn-ME"/>
        </w:rPr>
        <w:t>i</w:t>
      </w:r>
      <w:r w:rsidRPr="006F34F9">
        <w:rPr>
          <w:szCs w:val="22"/>
          <w:lang w:val="sr-Latn-ME"/>
        </w:rPr>
        <w:t xml:space="preserve">o </w:t>
      </w:r>
      <w:r w:rsidR="00D43BC5" w:rsidRPr="006F34F9">
        <w:rPr>
          <w:szCs w:val="22"/>
          <w:lang w:val="sr-Latn-ME"/>
        </w:rPr>
        <w:t>pacijenata</w:t>
      </w:r>
      <w:r w:rsidRPr="006F34F9">
        <w:rPr>
          <w:szCs w:val="22"/>
          <w:lang w:val="sr-Latn-ME"/>
        </w:rPr>
        <w:t xml:space="preserve"> s</w:t>
      </w:r>
      <w:r w:rsidR="00B148F2" w:rsidRPr="006F34F9">
        <w:rPr>
          <w:szCs w:val="22"/>
          <w:lang w:val="sr-Latn-ME"/>
        </w:rPr>
        <w:t>a</w:t>
      </w:r>
      <w:r w:rsidRPr="006F34F9">
        <w:rPr>
          <w:szCs w:val="22"/>
          <w:lang w:val="sr-Latn-ME"/>
        </w:rPr>
        <w:t xml:space="preserve"> poboljšanim kliničkim odgovorom (smanjenje od ≥ 100 bodova za CDAI u odnosu na početak ispitivanja) u 52. </w:t>
      </w:r>
      <w:r w:rsidR="0067327C" w:rsidRPr="006F34F9">
        <w:rPr>
          <w:szCs w:val="22"/>
          <w:lang w:val="sr-Latn-ME"/>
        </w:rPr>
        <w:t>nedjelji</w:t>
      </w:r>
      <w:r w:rsidRPr="006F34F9">
        <w:rPr>
          <w:szCs w:val="22"/>
          <w:lang w:val="sr-Latn-ME"/>
        </w:rPr>
        <w:t xml:space="preserve">, </w:t>
      </w:r>
      <w:r w:rsidR="00B148F2" w:rsidRPr="006F34F9">
        <w:rPr>
          <w:szCs w:val="22"/>
          <w:lang w:val="sr-Latn-ME"/>
        </w:rPr>
        <w:t>ud</w:t>
      </w:r>
      <w:r w:rsidR="00624E96" w:rsidRPr="006F34F9">
        <w:rPr>
          <w:szCs w:val="22"/>
          <w:lang w:val="sr-Latn-ME"/>
        </w:rPr>
        <w:t>i</w:t>
      </w:r>
      <w:r w:rsidR="00B148F2" w:rsidRPr="006F34F9">
        <w:rPr>
          <w:szCs w:val="22"/>
          <w:lang w:val="sr-Latn-ME"/>
        </w:rPr>
        <w:t>o</w:t>
      </w:r>
      <w:r w:rsidRPr="006F34F9">
        <w:rPr>
          <w:szCs w:val="22"/>
          <w:lang w:val="sr-Latn-ME"/>
        </w:rPr>
        <w:t xml:space="preserve"> </w:t>
      </w:r>
      <w:r w:rsidR="00D43BC5" w:rsidRPr="006F34F9">
        <w:rPr>
          <w:szCs w:val="22"/>
          <w:lang w:val="sr-Latn-ME"/>
        </w:rPr>
        <w:t>pacijenata</w:t>
      </w:r>
      <w:r w:rsidRPr="006F34F9">
        <w:rPr>
          <w:szCs w:val="22"/>
          <w:lang w:val="sr-Latn-ME"/>
        </w:rPr>
        <w:t xml:space="preserve"> s</w:t>
      </w:r>
      <w:r w:rsidR="00B148F2" w:rsidRPr="006F34F9">
        <w:rPr>
          <w:szCs w:val="22"/>
          <w:lang w:val="sr-Latn-ME"/>
        </w:rPr>
        <w:t>a</w:t>
      </w:r>
      <w:r w:rsidRPr="006F34F9">
        <w:rPr>
          <w:szCs w:val="22"/>
          <w:lang w:val="sr-Latn-ME"/>
        </w:rPr>
        <w:t xml:space="preserve"> remisijom bez kortikosteroida (</w:t>
      </w:r>
      <w:r w:rsidR="00B148F2" w:rsidRPr="006F34F9">
        <w:rPr>
          <w:szCs w:val="22"/>
          <w:lang w:val="sr-Latn-ME"/>
        </w:rPr>
        <w:t>pacijenti</w:t>
      </w:r>
      <w:r w:rsidRPr="006F34F9">
        <w:rPr>
          <w:szCs w:val="22"/>
          <w:lang w:val="sr-Latn-ME"/>
        </w:rPr>
        <w:t xml:space="preserve"> koji su uzimali peroralne kortikosteroide na početku ispitivanja, </w:t>
      </w:r>
      <w:r w:rsidR="008062E2" w:rsidRPr="006F34F9">
        <w:rPr>
          <w:szCs w:val="22"/>
          <w:lang w:val="sr-Latn-ME"/>
        </w:rPr>
        <w:t>pre</w:t>
      </w:r>
      <w:r w:rsidRPr="006F34F9">
        <w:rPr>
          <w:szCs w:val="22"/>
          <w:lang w:val="sr-Latn-ME"/>
        </w:rPr>
        <w:t xml:space="preserve">kinuli uzimanje kortikosteroida i bili u kliničkoj remisiji) u 52. </w:t>
      </w:r>
      <w:r w:rsidR="0067327C" w:rsidRPr="006F34F9">
        <w:rPr>
          <w:szCs w:val="22"/>
          <w:lang w:val="sr-Latn-ME"/>
        </w:rPr>
        <w:t>nedjelji</w:t>
      </w:r>
      <w:r w:rsidRPr="006F34F9">
        <w:rPr>
          <w:szCs w:val="22"/>
          <w:lang w:val="sr-Latn-ME"/>
        </w:rPr>
        <w:t xml:space="preserve">, </w:t>
      </w:r>
      <w:r w:rsidR="00B148F2" w:rsidRPr="006F34F9">
        <w:rPr>
          <w:szCs w:val="22"/>
          <w:lang w:val="sr-Latn-ME"/>
        </w:rPr>
        <w:t>kao i</w:t>
      </w:r>
      <w:r w:rsidRPr="006F34F9">
        <w:rPr>
          <w:szCs w:val="22"/>
          <w:lang w:val="sr-Latn-ME"/>
        </w:rPr>
        <w:t xml:space="preserve"> </w:t>
      </w:r>
      <w:r w:rsidR="00B148F2" w:rsidRPr="006F34F9">
        <w:rPr>
          <w:szCs w:val="22"/>
          <w:lang w:val="sr-Latn-ME"/>
        </w:rPr>
        <w:t>ud</w:t>
      </w:r>
      <w:r w:rsidR="00624E96" w:rsidRPr="006F34F9">
        <w:rPr>
          <w:szCs w:val="22"/>
          <w:lang w:val="sr-Latn-ME"/>
        </w:rPr>
        <w:t>i</w:t>
      </w:r>
      <w:r w:rsidR="00B148F2" w:rsidRPr="006F34F9">
        <w:rPr>
          <w:szCs w:val="22"/>
          <w:lang w:val="sr-Latn-ME"/>
        </w:rPr>
        <w:t>o</w:t>
      </w:r>
      <w:r w:rsidRPr="006F34F9">
        <w:rPr>
          <w:szCs w:val="22"/>
          <w:lang w:val="sr-Latn-ME"/>
        </w:rPr>
        <w:t xml:space="preserve"> </w:t>
      </w:r>
      <w:r w:rsidR="00D43BC5" w:rsidRPr="006F34F9">
        <w:rPr>
          <w:szCs w:val="22"/>
          <w:lang w:val="sr-Latn-ME"/>
        </w:rPr>
        <w:t>pacijenata</w:t>
      </w:r>
      <w:r w:rsidRPr="006F34F9">
        <w:rPr>
          <w:szCs w:val="22"/>
          <w:lang w:val="sr-Latn-ME"/>
        </w:rPr>
        <w:t xml:space="preserve"> bez </w:t>
      </w:r>
      <w:r w:rsidR="008062E2" w:rsidRPr="006F34F9">
        <w:rPr>
          <w:szCs w:val="22"/>
          <w:lang w:val="sr-Latn-ME"/>
        </w:rPr>
        <w:t>pre</w:t>
      </w:r>
      <w:r w:rsidRPr="006F34F9">
        <w:rPr>
          <w:szCs w:val="22"/>
          <w:lang w:val="sr-Latn-ME"/>
        </w:rPr>
        <w:t xml:space="preserve">thodnog liječenja antagonistima TNFα koji su postigli kliničku remisiju (CDAI ≤ 150) u 52. </w:t>
      </w:r>
      <w:r w:rsidR="0067327C" w:rsidRPr="006F34F9">
        <w:rPr>
          <w:szCs w:val="22"/>
          <w:lang w:val="sr-Latn-ME"/>
        </w:rPr>
        <w:t>nedjelji</w:t>
      </w:r>
      <w:r w:rsidRPr="006F34F9">
        <w:rPr>
          <w:szCs w:val="22"/>
          <w:lang w:val="sr-Latn-ME"/>
        </w:rPr>
        <w:t xml:space="preserve">. </w:t>
      </w:r>
    </w:p>
    <w:p w14:paraId="2E563E54" w14:textId="6CE82566" w:rsidR="00EC364F" w:rsidRPr="006F34F9" w:rsidRDefault="0067327C">
      <w:pPr>
        <w:spacing w:after="120"/>
        <w:rPr>
          <w:szCs w:val="22"/>
          <w:lang w:val="sr-Latn-ME"/>
        </w:rPr>
      </w:pPr>
      <w:r w:rsidRPr="006F34F9">
        <w:rPr>
          <w:szCs w:val="22"/>
          <w:lang w:val="sr-Latn-ME"/>
        </w:rPr>
        <w:t>Tabela</w:t>
      </w:r>
      <w:r w:rsidR="00EC364F" w:rsidRPr="006F34F9">
        <w:rPr>
          <w:szCs w:val="22"/>
          <w:lang w:val="sr-Latn-ME"/>
        </w:rPr>
        <w:t xml:space="preserve"> 8 prikazuje procijenjene rezultate primarne i sekundarnih mjera ishoda. </w:t>
      </w:r>
    </w:p>
    <w:tbl>
      <w:tblPr>
        <w:tblW w:w="90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020"/>
        <w:gridCol w:w="1569"/>
        <w:gridCol w:w="2073"/>
        <w:gridCol w:w="1575"/>
      </w:tblGrid>
      <w:tr w:rsidR="00EC364F" w:rsidRPr="006F34F9" w14:paraId="06447776" w14:textId="77777777" w:rsidTr="00180C9F">
        <w:trPr>
          <w:tblHeader/>
        </w:trPr>
        <w:tc>
          <w:tcPr>
            <w:tcW w:w="9072" w:type="dxa"/>
            <w:gridSpan w:val="5"/>
            <w:tcBorders>
              <w:top w:val="nil"/>
              <w:left w:val="nil"/>
              <w:bottom w:val="single" w:sz="4" w:space="0" w:color="auto"/>
              <w:right w:val="nil"/>
            </w:tcBorders>
            <w:hideMark/>
          </w:tcPr>
          <w:p w14:paraId="3DA1E113" w14:textId="64AABDEE" w:rsidR="00EC364F" w:rsidRPr="006F34F9" w:rsidRDefault="0067327C" w:rsidP="00180C9F">
            <w:pPr>
              <w:pStyle w:val="BodyText0"/>
              <w:keepNext/>
              <w:spacing w:before="0" w:after="0" w:line="240" w:lineRule="auto"/>
              <w:jc w:val="both"/>
              <w:rPr>
                <w:b/>
                <w:sz w:val="22"/>
                <w:szCs w:val="22"/>
                <w:lang w:val="sr-Latn-ME" w:eastAsia="en-US"/>
              </w:rPr>
            </w:pPr>
            <w:r w:rsidRPr="006F34F9">
              <w:rPr>
                <w:b/>
                <w:sz w:val="22"/>
                <w:szCs w:val="22"/>
                <w:lang w:val="sr-Latn-ME" w:eastAsia="en-US"/>
              </w:rPr>
              <w:lastRenderedPageBreak/>
              <w:t>Tabela</w:t>
            </w:r>
            <w:r w:rsidR="00EC364F" w:rsidRPr="006F34F9">
              <w:rPr>
                <w:b/>
                <w:sz w:val="22"/>
                <w:szCs w:val="22"/>
                <w:lang w:val="sr-Latn-ME" w:eastAsia="en-US"/>
              </w:rPr>
              <w:t xml:space="preserve"> 8. </w:t>
            </w:r>
            <w:r w:rsidR="00EC364F" w:rsidRPr="006F34F9">
              <w:rPr>
                <w:b/>
                <w:sz w:val="22"/>
                <w:szCs w:val="22"/>
                <w:lang w:val="sr-Latn-ME"/>
              </w:rPr>
              <w:t xml:space="preserve">Rezultati </w:t>
            </w:r>
            <w:r w:rsidR="00B148F2" w:rsidRPr="006F34F9">
              <w:rPr>
                <w:b/>
                <w:sz w:val="22"/>
                <w:szCs w:val="22"/>
                <w:lang w:val="sr-Latn-ME"/>
              </w:rPr>
              <w:t>efikasnosti</w:t>
            </w:r>
            <w:r w:rsidR="00EC364F" w:rsidRPr="006F34F9">
              <w:rPr>
                <w:b/>
                <w:sz w:val="22"/>
                <w:szCs w:val="22"/>
                <w:lang w:val="sr-Latn-ME"/>
              </w:rPr>
              <w:t xml:space="preserve"> u ispitivanju VISIBLE 2 u 52. </w:t>
            </w:r>
            <w:r w:rsidRPr="006F34F9">
              <w:rPr>
                <w:b/>
                <w:sz w:val="22"/>
                <w:szCs w:val="22"/>
                <w:lang w:val="sr-Latn-ME"/>
              </w:rPr>
              <w:t>nedjelji</w:t>
            </w:r>
          </w:p>
        </w:tc>
      </w:tr>
      <w:tr w:rsidR="00EC364F" w:rsidRPr="006F34F9" w14:paraId="55450924" w14:textId="77777777" w:rsidTr="00180C9F">
        <w:trPr>
          <w:tblHeader/>
        </w:trPr>
        <w:tc>
          <w:tcPr>
            <w:tcW w:w="2835" w:type="dxa"/>
            <w:tcBorders>
              <w:top w:val="single" w:sz="4" w:space="0" w:color="auto"/>
              <w:left w:val="nil"/>
              <w:bottom w:val="single" w:sz="4" w:space="0" w:color="auto"/>
              <w:right w:val="nil"/>
            </w:tcBorders>
            <w:vAlign w:val="center"/>
          </w:tcPr>
          <w:p w14:paraId="0BA7B061" w14:textId="77777777" w:rsidR="00EC364F" w:rsidRPr="006F34F9" w:rsidRDefault="00EC364F" w:rsidP="00180C9F">
            <w:pPr>
              <w:pStyle w:val="table-heading-9"/>
              <w:keepLines/>
              <w:spacing w:before="0" w:after="0"/>
              <w:jc w:val="both"/>
              <w:rPr>
                <w:b w:val="0"/>
                <w:sz w:val="22"/>
                <w:szCs w:val="22"/>
                <w:lang w:val="sr-Latn-ME"/>
              </w:rPr>
            </w:pPr>
            <w:r w:rsidRPr="006F34F9">
              <w:rPr>
                <w:b w:val="0"/>
                <w:sz w:val="22"/>
                <w:szCs w:val="22"/>
                <w:lang w:val="sr-Latn-ME"/>
              </w:rPr>
              <w:t>Mjera ishoda</w:t>
            </w:r>
            <w:r w:rsidRPr="006F34F9">
              <w:rPr>
                <w:b w:val="0"/>
                <w:sz w:val="22"/>
                <w:szCs w:val="22"/>
                <w:vertAlign w:val="superscript"/>
                <w:lang w:val="sr-Latn-ME"/>
              </w:rPr>
              <w:t>*</w:t>
            </w:r>
          </w:p>
        </w:tc>
        <w:tc>
          <w:tcPr>
            <w:tcW w:w="1020" w:type="dxa"/>
            <w:tcBorders>
              <w:top w:val="single" w:sz="4" w:space="0" w:color="auto"/>
              <w:left w:val="nil"/>
              <w:bottom w:val="single" w:sz="4" w:space="0" w:color="auto"/>
              <w:right w:val="nil"/>
            </w:tcBorders>
            <w:vAlign w:val="center"/>
          </w:tcPr>
          <w:p w14:paraId="3B2629CB" w14:textId="77777777" w:rsidR="00EC364F" w:rsidRPr="006F34F9" w:rsidRDefault="00EC364F" w:rsidP="00180C9F">
            <w:pPr>
              <w:pStyle w:val="table-heading-9centered"/>
              <w:keepLines/>
              <w:spacing w:before="0" w:after="0"/>
              <w:jc w:val="both"/>
              <w:rPr>
                <w:b w:val="0"/>
                <w:sz w:val="22"/>
                <w:szCs w:val="22"/>
                <w:lang w:val="sr-Latn-ME"/>
              </w:rPr>
            </w:pPr>
            <w:r w:rsidRPr="006F34F9">
              <w:rPr>
                <w:b w:val="0"/>
                <w:sz w:val="22"/>
                <w:szCs w:val="22"/>
                <w:lang w:val="sr-Latn-ME"/>
              </w:rPr>
              <w:t>Placebo</w:t>
            </w:r>
            <w:r w:rsidRPr="006F34F9">
              <w:rPr>
                <w:b w:val="0"/>
                <w:sz w:val="22"/>
                <w:szCs w:val="22"/>
                <w:vertAlign w:val="superscript"/>
                <w:lang w:val="sr-Latn-ME"/>
              </w:rPr>
              <w:t>†</w:t>
            </w:r>
          </w:p>
          <w:p w14:paraId="421E1F32" w14:textId="77777777" w:rsidR="00EC364F" w:rsidRPr="006F34F9" w:rsidRDefault="00EC364F" w:rsidP="00180C9F">
            <w:pPr>
              <w:pStyle w:val="table-heading-9centered"/>
              <w:keepLines/>
              <w:spacing w:before="0" w:after="0"/>
              <w:jc w:val="both"/>
              <w:rPr>
                <w:b w:val="0"/>
                <w:sz w:val="22"/>
                <w:szCs w:val="22"/>
                <w:lang w:val="sr-Latn-ME"/>
              </w:rPr>
            </w:pPr>
            <w:r w:rsidRPr="006F34F9">
              <w:rPr>
                <w:b w:val="0"/>
                <w:sz w:val="22"/>
                <w:szCs w:val="22"/>
                <w:lang w:val="sr-Latn-ME"/>
              </w:rPr>
              <w:t>n = 134</w:t>
            </w:r>
          </w:p>
        </w:tc>
        <w:tc>
          <w:tcPr>
            <w:tcW w:w="1569" w:type="dxa"/>
            <w:tcBorders>
              <w:top w:val="single" w:sz="4" w:space="0" w:color="auto"/>
              <w:left w:val="nil"/>
              <w:bottom w:val="single" w:sz="4" w:space="0" w:color="auto"/>
              <w:right w:val="nil"/>
            </w:tcBorders>
            <w:vAlign w:val="center"/>
          </w:tcPr>
          <w:p w14:paraId="189FA1D3" w14:textId="77777777" w:rsidR="00EC364F" w:rsidRPr="006F34F9" w:rsidRDefault="00EC364F" w:rsidP="00180C9F">
            <w:pPr>
              <w:pStyle w:val="table-heading-9centered"/>
              <w:keepLines/>
              <w:spacing w:before="0" w:after="0"/>
              <w:jc w:val="left"/>
              <w:rPr>
                <w:b w:val="0"/>
                <w:sz w:val="22"/>
                <w:szCs w:val="22"/>
                <w:lang w:val="sr-Latn-ME"/>
              </w:rPr>
            </w:pPr>
            <w:r w:rsidRPr="006F34F9">
              <w:rPr>
                <w:b w:val="0"/>
                <w:sz w:val="22"/>
                <w:szCs w:val="22"/>
                <w:lang w:val="sr-Latn-ME"/>
              </w:rPr>
              <w:t>Vedolizumab s.c. 108 mg</w:t>
            </w:r>
          </w:p>
          <w:p w14:paraId="3F0FDB44" w14:textId="4CA23538" w:rsidR="00EC364F" w:rsidRPr="006F34F9" w:rsidRDefault="00EC364F" w:rsidP="00180C9F">
            <w:pPr>
              <w:pStyle w:val="table-heading-9centered"/>
              <w:keepLines/>
              <w:spacing w:before="0" w:after="0"/>
              <w:jc w:val="left"/>
              <w:rPr>
                <w:b w:val="0"/>
                <w:sz w:val="22"/>
                <w:szCs w:val="22"/>
                <w:lang w:val="sr-Latn-ME"/>
              </w:rPr>
            </w:pPr>
            <w:r w:rsidRPr="006F34F9">
              <w:rPr>
                <w:b w:val="0"/>
                <w:sz w:val="22"/>
                <w:szCs w:val="22"/>
                <w:lang w:val="sr-Latn-ME"/>
              </w:rPr>
              <w:t>svak</w:t>
            </w:r>
            <w:r w:rsidR="00B148F2" w:rsidRPr="006F34F9">
              <w:rPr>
                <w:b w:val="0"/>
                <w:sz w:val="22"/>
                <w:szCs w:val="22"/>
                <w:lang w:val="sr-Latn-ME"/>
              </w:rPr>
              <w:t>e</w:t>
            </w:r>
            <w:r w:rsidRPr="006F34F9">
              <w:rPr>
                <w:b w:val="0"/>
                <w:sz w:val="22"/>
                <w:szCs w:val="22"/>
                <w:lang w:val="sr-Latn-ME"/>
              </w:rPr>
              <w:t xml:space="preserve"> 2 </w:t>
            </w:r>
            <w:r w:rsidR="00B148F2" w:rsidRPr="006F34F9">
              <w:rPr>
                <w:b w:val="0"/>
                <w:sz w:val="22"/>
                <w:szCs w:val="22"/>
                <w:lang w:val="sr-Latn-ME"/>
              </w:rPr>
              <w:t>nedjelje</w:t>
            </w:r>
          </w:p>
          <w:p w14:paraId="5E5BA1B5" w14:textId="77777777" w:rsidR="00EC364F" w:rsidRPr="006F34F9" w:rsidRDefault="00EC364F" w:rsidP="00180C9F">
            <w:pPr>
              <w:pStyle w:val="table-heading-9centered"/>
              <w:keepLines/>
              <w:spacing w:before="0" w:after="0"/>
              <w:jc w:val="left"/>
              <w:rPr>
                <w:b w:val="0"/>
                <w:sz w:val="22"/>
                <w:szCs w:val="22"/>
                <w:lang w:val="sr-Latn-ME"/>
              </w:rPr>
            </w:pPr>
            <w:r w:rsidRPr="006F34F9">
              <w:rPr>
                <w:b w:val="0"/>
                <w:sz w:val="22"/>
                <w:szCs w:val="22"/>
                <w:lang w:val="sr-Latn-ME"/>
              </w:rPr>
              <w:t>n = 275</w:t>
            </w:r>
          </w:p>
        </w:tc>
        <w:tc>
          <w:tcPr>
            <w:tcW w:w="2073" w:type="dxa"/>
            <w:tcBorders>
              <w:top w:val="single" w:sz="4" w:space="0" w:color="auto"/>
              <w:left w:val="nil"/>
              <w:bottom w:val="single" w:sz="4" w:space="0" w:color="auto"/>
              <w:right w:val="nil"/>
            </w:tcBorders>
            <w:vAlign w:val="center"/>
          </w:tcPr>
          <w:p w14:paraId="7C578D11" w14:textId="77777777" w:rsidR="00EC364F" w:rsidRPr="006F34F9" w:rsidRDefault="00EC364F" w:rsidP="00180C9F">
            <w:pPr>
              <w:pStyle w:val="table-heading-9centered"/>
              <w:keepLines/>
              <w:spacing w:before="0" w:after="0"/>
              <w:jc w:val="left"/>
              <w:rPr>
                <w:b w:val="0"/>
                <w:sz w:val="22"/>
                <w:szCs w:val="22"/>
                <w:lang w:val="sr-Latn-ME"/>
              </w:rPr>
            </w:pPr>
            <w:r w:rsidRPr="006F34F9">
              <w:rPr>
                <w:b w:val="0"/>
                <w:sz w:val="22"/>
                <w:szCs w:val="22"/>
                <w:lang w:val="sr-Latn-ME"/>
              </w:rPr>
              <w:t>Procjena</w:t>
            </w:r>
            <w:r w:rsidRPr="006F34F9">
              <w:rPr>
                <w:b w:val="0"/>
                <w:sz w:val="22"/>
                <w:szCs w:val="22"/>
                <w:vertAlign w:val="superscript"/>
                <w:lang w:val="sr-Latn-ME"/>
              </w:rPr>
              <w:t xml:space="preserve">‡ </w:t>
            </w:r>
            <w:r w:rsidRPr="006F34F9">
              <w:rPr>
                <w:b w:val="0"/>
                <w:sz w:val="22"/>
                <w:szCs w:val="22"/>
                <w:lang w:val="sr-Latn-ME"/>
              </w:rPr>
              <w:t>razlike liječenja</w:t>
            </w:r>
          </w:p>
          <w:p w14:paraId="45CBD018" w14:textId="77777777" w:rsidR="00EC364F" w:rsidRPr="006F34F9" w:rsidRDefault="00EC364F" w:rsidP="00180C9F">
            <w:pPr>
              <w:pStyle w:val="table-heading-9centered"/>
              <w:keepLines/>
              <w:spacing w:before="0" w:after="0"/>
              <w:jc w:val="left"/>
              <w:rPr>
                <w:b w:val="0"/>
                <w:sz w:val="22"/>
                <w:szCs w:val="22"/>
                <w:lang w:val="sr-Latn-ME"/>
              </w:rPr>
            </w:pPr>
            <w:r w:rsidRPr="006F34F9">
              <w:rPr>
                <w:b w:val="0"/>
                <w:sz w:val="22"/>
                <w:szCs w:val="22"/>
                <w:lang w:val="sr-Latn-ME"/>
              </w:rPr>
              <w:t>(95% CI) Vedolizumab s.c. u odnosu na placebo</w:t>
            </w:r>
          </w:p>
        </w:tc>
        <w:tc>
          <w:tcPr>
            <w:tcW w:w="1575" w:type="dxa"/>
            <w:tcBorders>
              <w:top w:val="single" w:sz="4" w:space="0" w:color="auto"/>
              <w:left w:val="nil"/>
              <w:bottom w:val="single" w:sz="4" w:space="0" w:color="auto"/>
              <w:right w:val="nil"/>
            </w:tcBorders>
            <w:vAlign w:val="center"/>
          </w:tcPr>
          <w:p w14:paraId="36FAF991" w14:textId="77777777" w:rsidR="00EC364F" w:rsidRPr="006F34F9" w:rsidRDefault="00EC364F" w:rsidP="00180C9F">
            <w:pPr>
              <w:pStyle w:val="table-heading-9centered"/>
              <w:keepLines/>
              <w:spacing w:before="0" w:after="0"/>
              <w:jc w:val="both"/>
              <w:rPr>
                <w:b w:val="0"/>
                <w:sz w:val="22"/>
                <w:szCs w:val="22"/>
                <w:lang w:val="sr-Latn-ME"/>
              </w:rPr>
            </w:pPr>
            <w:r w:rsidRPr="006F34F9">
              <w:rPr>
                <w:b w:val="0"/>
                <w:sz w:val="22"/>
                <w:szCs w:val="22"/>
                <w:lang w:val="sr-Latn-ME"/>
              </w:rPr>
              <w:t>P</w:t>
            </w:r>
            <w:r w:rsidRPr="006F34F9">
              <w:rPr>
                <w:b w:val="0"/>
                <w:sz w:val="22"/>
                <w:szCs w:val="22"/>
                <w:lang w:val="sr-Latn-ME"/>
              </w:rPr>
              <w:noBreakHyphen/>
              <w:t>vrijednost</w:t>
            </w:r>
            <w:r w:rsidRPr="006F34F9">
              <w:rPr>
                <w:b w:val="0"/>
                <w:sz w:val="22"/>
                <w:szCs w:val="22"/>
                <w:vertAlign w:val="superscript"/>
                <w:lang w:val="sr-Latn-ME"/>
              </w:rPr>
              <w:t>‡</w:t>
            </w:r>
          </w:p>
        </w:tc>
      </w:tr>
      <w:tr w:rsidR="00EC364F" w:rsidRPr="006F34F9" w14:paraId="5178755D" w14:textId="77777777" w:rsidTr="00180C9F">
        <w:tc>
          <w:tcPr>
            <w:tcW w:w="2835" w:type="dxa"/>
            <w:tcBorders>
              <w:top w:val="single" w:sz="4" w:space="0" w:color="auto"/>
              <w:left w:val="nil"/>
              <w:bottom w:val="nil"/>
              <w:right w:val="nil"/>
            </w:tcBorders>
            <w:vAlign w:val="center"/>
          </w:tcPr>
          <w:p w14:paraId="547C7F45" w14:textId="77777777" w:rsidR="00EC364F" w:rsidRPr="006F34F9" w:rsidRDefault="00EC364F" w:rsidP="00180C9F">
            <w:pPr>
              <w:pStyle w:val="table-body-9"/>
              <w:keepNext/>
              <w:jc w:val="both"/>
              <w:rPr>
                <w:sz w:val="22"/>
                <w:szCs w:val="22"/>
                <w:lang w:val="sr-Latn-ME"/>
              </w:rPr>
            </w:pPr>
            <w:r w:rsidRPr="006F34F9">
              <w:rPr>
                <w:sz w:val="22"/>
                <w:szCs w:val="22"/>
                <w:lang w:val="sr-Latn-ME"/>
              </w:rPr>
              <w:t>Klinička remisija</w:t>
            </w:r>
            <w:r w:rsidRPr="006F34F9">
              <w:rPr>
                <w:sz w:val="22"/>
                <w:szCs w:val="22"/>
                <w:vertAlign w:val="superscript"/>
                <w:lang w:val="sr-Latn-ME"/>
              </w:rPr>
              <w:t>§</w:t>
            </w:r>
          </w:p>
        </w:tc>
        <w:tc>
          <w:tcPr>
            <w:tcW w:w="1020" w:type="dxa"/>
            <w:tcBorders>
              <w:top w:val="single" w:sz="4" w:space="0" w:color="auto"/>
              <w:left w:val="nil"/>
              <w:bottom w:val="nil"/>
              <w:right w:val="nil"/>
            </w:tcBorders>
            <w:vAlign w:val="center"/>
            <w:hideMark/>
          </w:tcPr>
          <w:p w14:paraId="472B6810"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hAnsi="Times New Roman"/>
                <w:sz w:val="22"/>
                <w:szCs w:val="22"/>
                <w:lang w:val="sr-Latn-ME"/>
              </w:rPr>
              <w:t>34,3%</w:t>
            </w:r>
          </w:p>
        </w:tc>
        <w:tc>
          <w:tcPr>
            <w:tcW w:w="1569" w:type="dxa"/>
            <w:tcBorders>
              <w:top w:val="single" w:sz="4" w:space="0" w:color="auto"/>
              <w:left w:val="nil"/>
              <w:bottom w:val="nil"/>
              <w:right w:val="nil"/>
            </w:tcBorders>
            <w:vAlign w:val="center"/>
            <w:hideMark/>
          </w:tcPr>
          <w:p w14:paraId="6743FA2A"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hAnsi="Times New Roman"/>
                <w:sz w:val="22"/>
                <w:szCs w:val="22"/>
                <w:lang w:val="sr-Latn-ME"/>
              </w:rPr>
              <w:t>48,0%</w:t>
            </w:r>
          </w:p>
        </w:tc>
        <w:tc>
          <w:tcPr>
            <w:tcW w:w="2073" w:type="dxa"/>
            <w:tcBorders>
              <w:top w:val="single" w:sz="4" w:space="0" w:color="auto"/>
              <w:left w:val="nil"/>
              <w:bottom w:val="nil"/>
              <w:right w:val="nil"/>
            </w:tcBorders>
            <w:vAlign w:val="center"/>
          </w:tcPr>
          <w:p w14:paraId="35E0FA9F" w14:textId="77777777" w:rsidR="00EC364F" w:rsidRPr="006F34F9" w:rsidRDefault="00EC364F" w:rsidP="00180C9F">
            <w:pPr>
              <w:pStyle w:val="BodyText"/>
              <w:keepNext/>
              <w:spacing w:before="40" w:after="40"/>
              <w:jc w:val="both"/>
              <w:rPr>
                <w:rFonts w:eastAsia="Calibri"/>
                <w:color w:val="auto"/>
                <w:szCs w:val="22"/>
                <w:lang w:val="sr-Latn-ME"/>
              </w:rPr>
            </w:pPr>
            <w:r w:rsidRPr="006F34F9">
              <w:rPr>
                <w:i w:val="0"/>
                <w:color w:val="auto"/>
                <w:szCs w:val="22"/>
                <w:lang w:val="sr-Latn-ME"/>
              </w:rPr>
              <w:t>13,7 (3,8; 23,7)</w:t>
            </w:r>
          </w:p>
        </w:tc>
        <w:tc>
          <w:tcPr>
            <w:tcW w:w="1575" w:type="dxa"/>
            <w:tcBorders>
              <w:top w:val="single" w:sz="4" w:space="0" w:color="auto"/>
              <w:left w:val="nil"/>
              <w:bottom w:val="nil"/>
              <w:right w:val="nil"/>
            </w:tcBorders>
            <w:vAlign w:val="center"/>
            <w:hideMark/>
          </w:tcPr>
          <w:p w14:paraId="12FB65AE"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hAnsi="Times New Roman"/>
                <w:sz w:val="22"/>
                <w:szCs w:val="22"/>
                <w:lang w:val="sr-Latn-ME"/>
              </w:rPr>
              <w:t>P = 0,008</w:t>
            </w:r>
          </w:p>
        </w:tc>
      </w:tr>
      <w:tr w:rsidR="00EC364F" w:rsidRPr="006F34F9" w14:paraId="26DB5E3B" w14:textId="77777777" w:rsidTr="00180C9F">
        <w:tc>
          <w:tcPr>
            <w:tcW w:w="2835" w:type="dxa"/>
            <w:tcBorders>
              <w:top w:val="nil"/>
              <w:left w:val="nil"/>
              <w:bottom w:val="nil"/>
              <w:right w:val="nil"/>
            </w:tcBorders>
            <w:vAlign w:val="center"/>
          </w:tcPr>
          <w:p w14:paraId="153B509F" w14:textId="77777777" w:rsidR="00EC364F" w:rsidRPr="006F34F9" w:rsidRDefault="00EC364F" w:rsidP="00180C9F">
            <w:pPr>
              <w:pStyle w:val="table-body-9"/>
              <w:keepNext/>
              <w:jc w:val="both"/>
              <w:rPr>
                <w:sz w:val="22"/>
                <w:szCs w:val="22"/>
                <w:lang w:val="sr-Latn-ME"/>
              </w:rPr>
            </w:pPr>
            <w:r w:rsidRPr="006F34F9">
              <w:rPr>
                <w:sz w:val="22"/>
                <w:szCs w:val="22"/>
                <w:lang w:val="sr-Latn-ME"/>
              </w:rPr>
              <w:t>Poboljšani klinički odgovor</w:t>
            </w:r>
            <w:r w:rsidRPr="006F34F9">
              <w:rPr>
                <w:sz w:val="22"/>
                <w:szCs w:val="22"/>
                <w:vertAlign w:val="superscript"/>
                <w:lang w:val="sr-Latn-ME"/>
              </w:rPr>
              <w:t>#</w:t>
            </w:r>
          </w:p>
        </w:tc>
        <w:tc>
          <w:tcPr>
            <w:tcW w:w="1020" w:type="dxa"/>
            <w:tcBorders>
              <w:top w:val="nil"/>
              <w:left w:val="nil"/>
              <w:bottom w:val="nil"/>
              <w:right w:val="nil"/>
            </w:tcBorders>
            <w:vAlign w:val="center"/>
            <w:hideMark/>
          </w:tcPr>
          <w:p w14:paraId="1F90A374"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hAnsi="Times New Roman"/>
                <w:sz w:val="22"/>
                <w:szCs w:val="22"/>
                <w:lang w:val="sr-Latn-ME"/>
              </w:rPr>
              <w:t>44,8%</w:t>
            </w:r>
          </w:p>
        </w:tc>
        <w:tc>
          <w:tcPr>
            <w:tcW w:w="1569" w:type="dxa"/>
            <w:tcBorders>
              <w:top w:val="nil"/>
              <w:left w:val="nil"/>
              <w:bottom w:val="nil"/>
              <w:right w:val="nil"/>
            </w:tcBorders>
            <w:vAlign w:val="center"/>
            <w:hideMark/>
          </w:tcPr>
          <w:p w14:paraId="0ADB5BC1"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hAnsi="Times New Roman"/>
                <w:sz w:val="22"/>
                <w:szCs w:val="22"/>
                <w:lang w:val="sr-Latn-ME"/>
              </w:rPr>
              <w:t>52,0%</w:t>
            </w:r>
          </w:p>
        </w:tc>
        <w:tc>
          <w:tcPr>
            <w:tcW w:w="2073" w:type="dxa"/>
            <w:tcBorders>
              <w:top w:val="nil"/>
              <w:left w:val="nil"/>
              <w:bottom w:val="nil"/>
              <w:right w:val="nil"/>
            </w:tcBorders>
            <w:vAlign w:val="center"/>
          </w:tcPr>
          <w:p w14:paraId="1C5BC0F3"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eastAsia="MS Mincho" w:hAnsi="Times New Roman"/>
                <w:kern w:val="2"/>
                <w:sz w:val="22"/>
                <w:szCs w:val="22"/>
                <w:lang w:val="sr-Latn-ME" w:eastAsia="ja-JP"/>
              </w:rPr>
              <w:t>7,3 (</w:t>
            </w:r>
            <w:r w:rsidRPr="006F34F9">
              <w:rPr>
                <w:rFonts w:ascii="Times New Roman" w:eastAsia="MS Mincho" w:hAnsi="Times New Roman"/>
                <w:kern w:val="2"/>
                <w:sz w:val="22"/>
                <w:szCs w:val="22"/>
                <w:lang w:val="sr-Latn-ME" w:eastAsia="ja-JP"/>
              </w:rPr>
              <w:noBreakHyphen/>
              <w:t>3,0; 17,5)</w:t>
            </w:r>
          </w:p>
        </w:tc>
        <w:tc>
          <w:tcPr>
            <w:tcW w:w="1575" w:type="dxa"/>
            <w:tcBorders>
              <w:top w:val="nil"/>
              <w:left w:val="nil"/>
              <w:bottom w:val="nil"/>
              <w:right w:val="nil"/>
            </w:tcBorders>
            <w:vAlign w:val="center"/>
            <w:hideMark/>
          </w:tcPr>
          <w:p w14:paraId="0705E8D9"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hAnsi="Times New Roman"/>
                <w:sz w:val="22"/>
                <w:szCs w:val="22"/>
                <w:lang w:val="sr-Latn-ME"/>
              </w:rPr>
              <w:t>P = 0,167</w:t>
            </w:r>
          </w:p>
          <w:p w14:paraId="08C273A6"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hAnsi="Times New Roman"/>
                <w:sz w:val="22"/>
                <w:szCs w:val="22"/>
                <w:lang w:val="sr-Latn-ME"/>
              </w:rPr>
              <w:t>(NZ)</w:t>
            </w:r>
          </w:p>
        </w:tc>
      </w:tr>
      <w:tr w:rsidR="00EC364F" w:rsidRPr="006F34F9" w14:paraId="58A3ECE1" w14:textId="77777777" w:rsidTr="00180C9F">
        <w:tc>
          <w:tcPr>
            <w:tcW w:w="2835" w:type="dxa"/>
            <w:tcBorders>
              <w:top w:val="nil"/>
              <w:left w:val="nil"/>
              <w:bottom w:val="nil"/>
              <w:right w:val="nil"/>
            </w:tcBorders>
            <w:vAlign w:val="center"/>
          </w:tcPr>
          <w:p w14:paraId="48BAB661" w14:textId="77777777" w:rsidR="00EC364F" w:rsidRPr="006F34F9" w:rsidRDefault="00EC364F">
            <w:pPr>
              <w:pStyle w:val="table-body-9"/>
              <w:keepNext/>
              <w:rPr>
                <w:sz w:val="22"/>
                <w:szCs w:val="22"/>
                <w:lang w:val="sr-Latn-ME"/>
              </w:rPr>
            </w:pPr>
            <w:r w:rsidRPr="006F34F9">
              <w:rPr>
                <w:sz w:val="22"/>
                <w:szCs w:val="22"/>
                <w:lang w:val="sr-Latn-ME"/>
              </w:rPr>
              <w:t>Remisija bez kortikosteroida</w:t>
            </w:r>
            <w:r w:rsidRPr="006F34F9">
              <w:rPr>
                <w:sz w:val="22"/>
                <w:szCs w:val="22"/>
                <w:vertAlign w:val="superscript"/>
                <w:lang w:val="sr-Latn-ME"/>
              </w:rPr>
              <w:t>**</w:t>
            </w:r>
          </w:p>
        </w:tc>
        <w:tc>
          <w:tcPr>
            <w:tcW w:w="1020" w:type="dxa"/>
            <w:tcBorders>
              <w:top w:val="nil"/>
              <w:left w:val="nil"/>
              <w:bottom w:val="nil"/>
              <w:right w:val="nil"/>
            </w:tcBorders>
            <w:vAlign w:val="center"/>
            <w:hideMark/>
          </w:tcPr>
          <w:p w14:paraId="3DF382E0"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hAnsi="Times New Roman"/>
                <w:sz w:val="22"/>
                <w:szCs w:val="22"/>
                <w:lang w:val="sr-Latn-ME"/>
              </w:rPr>
              <w:t>18,2%</w:t>
            </w:r>
          </w:p>
        </w:tc>
        <w:tc>
          <w:tcPr>
            <w:tcW w:w="1569" w:type="dxa"/>
            <w:tcBorders>
              <w:top w:val="nil"/>
              <w:left w:val="nil"/>
              <w:bottom w:val="nil"/>
              <w:right w:val="nil"/>
            </w:tcBorders>
            <w:vAlign w:val="center"/>
            <w:hideMark/>
          </w:tcPr>
          <w:p w14:paraId="41F0AAD5"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hAnsi="Times New Roman"/>
                <w:sz w:val="22"/>
                <w:szCs w:val="22"/>
                <w:lang w:val="sr-Latn-ME"/>
              </w:rPr>
              <w:t>45,3%</w:t>
            </w:r>
          </w:p>
        </w:tc>
        <w:tc>
          <w:tcPr>
            <w:tcW w:w="2073" w:type="dxa"/>
            <w:tcBorders>
              <w:top w:val="nil"/>
              <w:left w:val="nil"/>
              <w:bottom w:val="nil"/>
              <w:right w:val="nil"/>
            </w:tcBorders>
            <w:vAlign w:val="center"/>
          </w:tcPr>
          <w:p w14:paraId="48D696F4"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hAnsi="Times New Roman"/>
                <w:sz w:val="22"/>
                <w:szCs w:val="22"/>
                <w:lang w:val="sr-Latn-ME"/>
              </w:rPr>
              <w:t>27,1 (11,9; 42,3)</w:t>
            </w:r>
          </w:p>
        </w:tc>
        <w:tc>
          <w:tcPr>
            <w:tcW w:w="1575" w:type="dxa"/>
            <w:tcBorders>
              <w:top w:val="nil"/>
              <w:left w:val="nil"/>
              <w:bottom w:val="nil"/>
              <w:right w:val="nil"/>
            </w:tcBorders>
            <w:vAlign w:val="center"/>
            <w:hideMark/>
          </w:tcPr>
          <w:p w14:paraId="6B69E5DB"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hAnsi="Times New Roman"/>
                <w:sz w:val="22"/>
                <w:szCs w:val="22"/>
                <w:lang w:val="sr-Latn-ME"/>
              </w:rPr>
              <w:t>P = 0,002</w:t>
            </w:r>
            <w:r w:rsidRPr="006F34F9">
              <w:rPr>
                <w:rFonts w:ascii="Times New Roman" w:hAnsi="Times New Roman"/>
                <w:sz w:val="22"/>
                <w:szCs w:val="22"/>
                <w:vertAlign w:val="superscript"/>
                <w:lang w:val="sr-Latn-ME"/>
              </w:rPr>
              <w:t>‡‡</w:t>
            </w:r>
          </w:p>
        </w:tc>
      </w:tr>
      <w:tr w:rsidR="00EC364F" w:rsidRPr="006F34F9" w14:paraId="4E1FD32B" w14:textId="77777777" w:rsidTr="00180C9F">
        <w:tc>
          <w:tcPr>
            <w:tcW w:w="2835" w:type="dxa"/>
            <w:tcBorders>
              <w:top w:val="nil"/>
              <w:left w:val="nil"/>
              <w:bottom w:val="single" w:sz="4" w:space="0" w:color="auto"/>
              <w:right w:val="nil"/>
            </w:tcBorders>
            <w:vAlign w:val="center"/>
          </w:tcPr>
          <w:p w14:paraId="23C36A5A" w14:textId="1CB4C8BD" w:rsidR="00EC364F" w:rsidRPr="006F34F9" w:rsidRDefault="00EC364F">
            <w:pPr>
              <w:pStyle w:val="table-body-9"/>
              <w:keepNext/>
              <w:rPr>
                <w:sz w:val="22"/>
                <w:szCs w:val="22"/>
                <w:lang w:val="sr-Latn-ME"/>
              </w:rPr>
            </w:pPr>
            <w:r w:rsidRPr="006F34F9">
              <w:rPr>
                <w:sz w:val="22"/>
                <w:szCs w:val="22"/>
                <w:lang w:val="sr-Latn-ME"/>
              </w:rPr>
              <w:t xml:space="preserve">Klinička remisija </w:t>
            </w:r>
            <w:r w:rsidR="00624E96" w:rsidRPr="006F34F9">
              <w:rPr>
                <w:sz w:val="22"/>
                <w:szCs w:val="22"/>
                <w:lang w:val="sr-Latn-ME"/>
              </w:rPr>
              <w:t xml:space="preserve">kod </w:t>
            </w:r>
            <w:r w:rsidR="00D43BC5" w:rsidRPr="006F34F9">
              <w:rPr>
                <w:sz w:val="22"/>
                <w:szCs w:val="22"/>
                <w:lang w:val="sr-Latn-ME"/>
              </w:rPr>
              <w:t>pacijenata</w:t>
            </w:r>
            <w:r w:rsidRPr="006F34F9">
              <w:rPr>
                <w:sz w:val="22"/>
                <w:szCs w:val="22"/>
                <w:lang w:val="sr-Latn-ME"/>
              </w:rPr>
              <w:t xml:space="preserve"> koji </w:t>
            </w:r>
            <w:r w:rsidR="00B148F2" w:rsidRPr="006F34F9">
              <w:rPr>
                <w:sz w:val="22"/>
                <w:szCs w:val="22"/>
                <w:lang w:val="sr-Latn-ME"/>
              </w:rPr>
              <w:t>prethodno</w:t>
            </w:r>
            <w:r w:rsidRPr="006F34F9">
              <w:rPr>
                <w:sz w:val="22"/>
                <w:szCs w:val="22"/>
                <w:lang w:val="sr-Latn-ME"/>
              </w:rPr>
              <w:t xml:space="preserve"> ni</w:t>
            </w:r>
            <w:r w:rsidR="00624E96" w:rsidRPr="006F34F9">
              <w:rPr>
                <w:sz w:val="22"/>
                <w:szCs w:val="22"/>
                <w:lang w:val="sr-Latn-ME"/>
              </w:rPr>
              <w:t>je</w:t>
            </w:r>
            <w:r w:rsidRPr="006F34F9">
              <w:rPr>
                <w:sz w:val="22"/>
                <w:szCs w:val="22"/>
                <w:lang w:val="sr-Latn-ME"/>
              </w:rPr>
              <w:t>su liječeni antagonistima TNFα</w:t>
            </w:r>
            <w:r w:rsidRPr="006F34F9">
              <w:rPr>
                <w:sz w:val="22"/>
                <w:szCs w:val="22"/>
                <w:vertAlign w:val="superscript"/>
                <w:lang w:val="sr-Latn-ME"/>
              </w:rPr>
              <w:t>††</w:t>
            </w:r>
          </w:p>
        </w:tc>
        <w:tc>
          <w:tcPr>
            <w:tcW w:w="1020" w:type="dxa"/>
            <w:tcBorders>
              <w:top w:val="nil"/>
              <w:left w:val="nil"/>
              <w:bottom w:val="single" w:sz="4" w:space="0" w:color="auto"/>
              <w:right w:val="nil"/>
            </w:tcBorders>
            <w:vAlign w:val="center"/>
            <w:hideMark/>
          </w:tcPr>
          <w:p w14:paraId="1AD3C6C7"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hAnsi="Times New Roman"/>
                <w:sz w:val="22"/>
                <w:szCs w:val="22"/>
                <w:lang w:val="sr-Latn-ME"/>
              </w:rPr>
              <w:t>42,9%</w:t>
            </w:r>
          </w:p>
        </w:tc>
        <w:tc>
          <w:tcPr>
            <w:tcW w:w="1569" w:type="dxa"/>
            <w:tcBorders>
              <w:top w:val="nil"/>
              <w:left w:val="nil"/>
              <w:bottom w:val="single" w:sz="4" w:space="0" w:color="auto"/>
              <w:right w:val="nil"/>
            </w:tcBorders>
            <w:vAlign w:val="center"/>
            <w:hideMark/>
          </w:tcPr>
          <w:p w14:paraId="497D9017"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hAnsi="Times New Roman"/>
                <w:sz w:val="22"/>
                <w:szCs w:val="22"/>
                <w:lang w:val="sr-Latn-ME"/>
              </w:rPr>
              <w:t>48,6%</w:t>
            </w:r>
          </w:p>
        </w:tc>
        <w:tc>
          <w:tcPr>
            <w:tcW w:w="2073" w:type="dxa"/>
            <w:tcBorders>
              <w:top w:val="nil"/>
              <w:left w:val="nil"/>
              <w:bottom w:val="single" w:sz="4" w:space="0" w:color="auto"/>
              <w:right w:val="nil"/>
            </w:tcBorders>
            <w:vAlign w:val="center"/>
          </w:tcPr>
          <w:p w14:paraId="710DAD5A"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hAnsi="Times New Roman"/>
                <w:sz w:val="22"/>
                <w:szCs w:val="22"/>
                <w:lang w:val="sr-Latn-ME"/>
              </w:rPr>
              <w:t>4,3 (</w:t>
            </w:r>
            <w:r w:rsidRPr="006F34F9">
              <w:rPr>
                <w:rFonts w:ascii="Times New Roman" w:hAnsi="Times New Roman"/>
                <w:sz w:val="22"/>
                <w:szCs w:val="22"/>
                <w:lang w:val="sr-Latn-ME"/>
              </w:rPr>
              <w:noBreakHyphen/>
              <w:t>11,6; 20,3)</w:t>
            </w:r>
          </w:p>
        </w:tc>
        <w:tc>
          <w:tcPr>
            <w:tcW w:w="1575" w:type="dxa"/>
            <w:tcBorders>
              <w:top w:val="nil"/>
              <w:left w:val="nil"/>
              <w:bottom w:val="single" w:sz="4" w:space="0" w:color="auto"/>
              <w:right w:val="nil"/>
            </w:tcBorders>
            <w:vAlign w:val="center"/>
            <w:hideMark/>
          </w:tcPr>
          <w:p w14:paraId="34C03E39" w14:textId="77777777" w:rsidR="00EC364F" w:rsidRPr="006F34F9" w:rsidRDefault="00EC364F" w:rsidP="00180C9F">
            <w:pPr>
              <w:pStyle w:val="EUtablebody-9centered"/>
              <w:keepNext/>
              <w:keepLines/>
              <w:jc w:val="both"/>
              <w:rPr>
                <w:rFonts w:ascii="Times New Roman" w:hAnsi="Times New Roman"/>
                <w:sz w:val="22"/>
                <w:szCs w:val="22"/>
                <w:lang w:val="sr-Latn-ME"/>
              </w:rPr>
            </w:pPr>
            <w:r w:rsidRPr="006F34F9">
              <w:rPr>
                <w:rFonts w:ascii="Times New Roman" w:hAnsi="Times New Roman"/>
                <w:sz w:val="22"/>
                <w:szCs w:val="22"/>
                <w:lang w:val="sr-Latn-ME"/>
              </w:rPr>
              <w:t>P = 0,591</w:t>
            </w:r>
            <w:r w:rsidRPr="006F34F9">
              <w:rPr>
                <w:rFonts w:ascii="Times New Roman" w:hAnsi="Times New Roman"/>
                <w:sz w:val="22"/>
                <w:szCs w:val="22"/>
                <w:vertAlign w:val="superscript"/>
                <w:lang w:val="sr-Latn-ME"/>
              </w:rPr>
              <w:t>‡‡</w:t>
            </w:r>
          </w:p>
        </w:tc>
      </w:tr>
      <w:tr w:rsidR="00EC364F" w:rsidRPr="006F34F9" w14:paraId="43E8E858" w14:textId="77777777" w:rsidTr="00180C9F">
        <w:tc>
          <w:tcPr>
            <w:tcW w:w="9072" w:type="dxa"/>
            <w:gridSpan w:val="5"/>
            <w:tcBorders>
              <w:top w:val="single" w:sz="4" w:space="0" w:color="auto"/>
              <w:left w:val="nil"/>
              <w:bottom w:val="nil"/>
              <w:right w:val="nil"/>
            </w:tcBorders>
            <w:vAlign w:val="center"/>
          </w:tcPr>
          <w:p w14:paraId="35F4F6E2" w14:textId="4B5370EB" w:rsidR="00EC364F" w:rsidRPr="0066419A" w:rsidRDefault="00EC364F" w:rsidP="00E708C7">
            <w:pPr>
              <w:keepNext/>
              <w:keepLines/>
              <w:rPr>
                <w:sz w:val="20"/>
                <w:szCs w:val="20"/>
                <w:lang w:val="sr-Latn-ME"/>
              </w:rPr>
            </w:pPr>
            <w:r w:rsidRPr="0066419A">
              <w:rPr>
                <w:sz w:val="20"/>
                <w:szCs w:val="20"/>
                <w:vertAlign w:val="superscript"/>
                <w:lang w:val="sr-Latn-ME"/>
              </w:rPr>
              <w:t>*</w:t>
            </w:r>
            <w:r w:rsidRPr="0066419A">
              <w:rPr>
                <w:sz w:val="20"/>
                <w:szCs w:val="20"/>
                <w:lang w:val="sr-Latn-ME"/>
              </w:rPr>
              <w:t xml:space="preserve">Mjere ishoda </w:t>
            </w:r>
            <w:r w:rsidR="008062E2" w:rsidRPr="0066419A">
              <w:rPr>
                <w:sz w:val="20"/>
                <w:szCs w:val="20"/>
                <w:lang w:val="sr-Latn-ME"/>
              </w:rPr>
              <w:t>pre</w:t>
            </w:r>
            <w:r w:rsidRPr="0066419A">
              <w:rPr>
                <w:sz w:val="20"/>
                <w:szCs w:val="20"/>
                <w:lang w:val="sr-Latn-ME"/>
              </w:rPr>
              <w:t>dstavljene su redosljedom obavljanja testiranja u fiksnom slijedu za kontrolu greške tipa 1 od 5%</w:t>
            </w:r>
          </w:p>
          <w:p w14:paraId="11B002E9" w14:textId="5B1FC734" w:rsidR="00EC364F" w:rsidRPr="0066419A" w:rsidRDefault="00EC364F" w:rsidP="00E708C7">
            <w:pPr>
              <w:keepNext/>
              <w:keepLines/>
              <w:spacing w:before="40"/>
              <w:rPr>
                <w:sz w:val="20"/>
                <w:szCs w:val="20"/>
                <w:lang w:val="sr-Latn-ME"/>
              </w:rPr>
            </w:pPr>
            <w:r w:rsidRPr="0066419A">
              <w:rPr>
                <w:sz w:val="20"/>
                <w:szCs w:val="20"/>
                <w:vertAlign w:val="superscript"/>
                <w:lang w:val="sr-Latn-ME"/>
              </w:rPr>
              <w:t>†</w:t>
            </w:r>
            <w:r w:rsidRPr="0066419A">
              <w:rPr>
                <w:sz w:val="20"/>
                <w:szCs w:val="20"/>
                <w:lang w:val="sr-Latn-ME"/>
              </w:rPr>
              <w:t xml:space="preserve">Placebo </w:t>
            </w:r>
            <w:r w:rsidR="000D6DBC" w:rsidRPr="0066419A">
              <w:rPr>
                <w:sz w:val="20"/>
                <w:szCs w:val="20"/>
                <w:lang w:val="sr-Latn-ME"/>
              </w:rPr>
              <w:t xml:space="preserve">grupa </w:t>
            </w:r>
            <w:r w:rsidRPr="0066419A">
              <w:rPr>
                <w:sz w:val="20"/>
                <w:szCs w:val="20"/>
                <w:lang w:val="sr-Latn-ME"/>
              </w:rPr>
              <w:t xml:space="preserve">uključuje ispitanike koji su primali intravenski vedolizumab u 0. i 2. </w:t>
            </w:r>
            <w:r w:rsidR="0067327C" w:rsidRPr="0066419A">
              <w:rPr>
                <w:sz w:val="20"/>
                <w:szCs w:val="20"/>
                <w:lang w:val="sr-Latn-ME"/>
              </w:rPr>
              <w:t>nedjelji</w:t>
            </w:r>
            <w:r w:rsidRPr="0066419A">
              <w:rPr>
                <w:sz w:val="20"/>
                <w:szCs w:val="20"/>
                <w:lang w:val="sr-Latn-ME"/>
              </w:rPr>
              <w:t xml:space="preserve">, te bili </w:t>
            </w:r>
            <w:r w:rsidR="0067327C" w:rsidRPr="0066419A">
              <w:rPr>
                <w:sz w:val="20"/>
                <w:szCs w:val="20"/>
                <w:lang w:val="sr-Latn-ME"/>
              </w:rPr>
              <w:t>randomizovani</w:t>
            </w:r>
            <w:r w:rsidRPr="0066419A">
              <w:rPr>
                <w:sz w:val="20"/>
                <w:szCs w:val="20"/>
                <w:lang w:val="sr-Latn-ME"/>
              </w:rPr>
              <w:t xml:space="preserve"> za primanje placeba od </w:t>
            </w:r>
            <w:r w:rsidR="00B148F2" w:rsidRPr="0066419A">
              <w:rPr>
                <w:sz w:val="20"/>
                <w:szCs w:val="20"/>
                <w:lang w:val="sr-Latn-ME"/>
              </w:rPr>
              <w:t>nedjelje</w:t>
            </w:r>
            <w:r w:rsidRPr="0066419A">
              <w:rPr>
                <w:sz w:val="20"/>
                <w:szCs w:val="20"/>
                <w:lang w:val="sr-Latn-ME"/>
              </w:rPr>
              <w:t xml:space="preserve"> 6 do </w:t>
            </w:r>
            <w:r w:rsidR="00B148F2" w:rsidRPr="0066419A">
              <w:rPr>
                <w:sz w:val="20"/>
                <w:szCs w:val="20"/>
                <w:lang w:val="sr-Latn-ME"/>
              </w:rPr>
              <w:t>nedjelje</w:t>
            </w:r>
            <w:r w:rsidRPr="0066419A">
              <w:rPr>
                <w:sz w:val="20"/>
                <w:szCs w:val="20"/>
                <w:lang w:val="sr-Latn-ME"/>
              </w:rPr>
              <w:t> 52.</w:t>
            </w:r>
          </w:p>
          <w:p w14:paraId="286C7113" w14:textId="351FFFC5" w:rsidR="00EC364F" w:rsidRPr="0066419A" w:rsidRDefault="00EC364F" w:rsidP="00E708C7">
            <w:pPr>
              <w:keepNext/>
              <w:keepLines/>
              <w:rPr>
                <w:sz w:val="20"/>
                <w:szCs w:val="20"/>
                <w:lang w:val="sr-Latn-ME"/>
              </w:rPr>
            </w:pPr>
            <w:r w:rsidRPr="0066419A">
              <w:rPr>
                <w:sz w:val="20"/>
                <w:szCs w:val="20"/>
                <w:vertAlign w:val="superscript"/>
                <w:lang w:val="sr-Latn-ME"/>
              </w:rPr>
              <w:t>‡</w:t>
            </w:r>
            <w:r w:rsidRPr="0066419A">
              <w:rPr>
                <w:sz w:val="20"/>
                <w:szCs w:val="20"/>
                <w:lang w:val="sr-Latn-ME"/>
              </w:rPr>
              <w:t xml:space="preserve"> Procjena razlike liječenja i p</w:t>
            </w:r>
            <w:r w:rsidRPr="0066419A">
              <w:rPr>
                <w:sz w:val="20"/>
                <w:szCs w:val="20"/>
                <w:lang w:val="sr-Latn-ME"/>
              </w:rPr>
              <w:noBreakHyphen/>
              <w:t xml:space="preserve">vrijednost za sve mjere ishoda temelji se na metodi </w:t>
            </w:r>
            <w:r w:rsidR="0067327C" w:rsidRPr="0066419A">
              <w:rPr>
                <w:sz w:val="20"/>
                <w:szCs w:val="20"/>
                <w:lang w:val="sr-Latn-ME"/>
              </w:rPr>
              <w:t>Cochran-Mantel-Haenszel</w:t>
            </w:r>
            <w:r w:rsidRPr="0066419A">
              <w:rPr>
                <w:sz w:val="20"/>
                <w:szCs w:val="20"/>
                <w:lang w:val="sr-Latn-ME"/>
              </w:rPr>
              <w:t xml:space="preserve"> </w:t>
            </w:r>
          </w:p>
          <w:p w14:paraId="633AA3DE" w14:textId="2453C59A" w:rsidR="00EC364F" w:rsidRPr="0066419A" w:rsidRDefault="00EC364F" w:rsidP="00E708C7">
            <w:pPr>
              <w:tabs>
                <w:tab w:val="left" w:pos="1800"/>
              </w:tabs>
              <w:rPr>
                <w:sz w:val="20"/>
                <w:szCs w:val="20"/>
                <w:lang w:val="sr-Latn-ME"/>
              </w:rPr>
            </w:pPr>
            <w:r w:rsidRPr="0066419A">
              <w:rPr>
                <w:sz w:val="20"/>
                <w:szCs w:val="20"/>
                <w:vertAlign w:val="superscript"/>
                <w:lang w:val="sr-Latn-ME"/>
              </w:rPr>
              <w:t>§</w:t>
            </w:r>
            <w:r w:rsidRPr="0066419A">
              <w:rPr>
                <w:sz w:val="20"/>
                <w:szCs w:val="20"/>
                <w:lang w:val="sr-Latn-ME"/>
              </w:rPr>
              <w:t xml:space="preserve">Klinička remisija: CDAI ≤ 150 u 52. </w:t>
            </w:r>
            <w:r w:rsidR="0067327C" w:rsidRPr="0066419A">
              <w:rPr>
                <w:sz w:val="20"/>
                <w:szCs w:val="20"/>
                <w:lang w:val="sr-Latn-ME"/>
              </w:rPr>
              <w:t>nedjelji</w:t>
            </w:r>
            <w:r w:rsidRPr="0066419A">
              <w:rPr>
                <w:sz w:val="20"/>
                <w:szCs w:val="20"/>
                <w:lang w:val="sr-Latn-ME"/>
              </w:rPr>
              <w:t xml:space="preserve"> </w:t>
            </w:r>
          </w:p>
          <w:p w14:paraId="5BAD5DCE" w14:textId="6D29FBF1" w:rsidR="00EC364F" w:rsidRPr="0066419A" w:rsidRDefault="00EC364F" w:rsidP="00E708C7">
            <w:pPr>
              <w:tabs>
                <w:tab w:val="left" w:pos="1800"/>
              </w:tabs>
              <w:rPr>
                <w:sz w:val="20"/>
                <w:szCs w:val="20"/>
                <w:lang w:val="sr-Latn-ME"/>
              </w:rPr>
            </w:pPr>
            <w:r w:rsidRPr="0066419A">
              <w:rPr>
                <w:sz w:val="20"/>
                <w:szCs w:val="20"/>
                <w:vertAlign w:val="superscript"/>
                <w:lang w:val="sr-Latn-ME"/>
              </w:rPr>
              <w:t>#</w:t>
            </w:r>
            <w:r w:rsidRPr="0066419A">
              <w:rPr>
                <w:rFonts w:eastAsia="SimSun"/>
                <w:sz w:val="20"/>
                <w:szCs w:val="20"/>
                <w:lang w:val="sr-Latn-ME"/>
              </w:rPr>
              <w:t xml:space="preserve"> </w:t>
            </w:r>
            <w:r w:rsidRPr="0066419A">
              <w:rPr>
                <w:sz w:val="20"/>
                <w:szCs w:val="20"/>
                <w:lang w:val="sr-Latn-ME"/>
              </w:rPr>
              <w:t xml:space="preserve">Poboljšani klinički odgovor: smanjenje od ≥ 100 bodova za CDAI u odnosu na početak ispitivanja (0. </w:t>
            </w:r>
            <w:r w:rsidR="000D6DBC" w:rsidRPr="0066419A">
              <w:rPr>
                <w:sz w:val="20"/>
                <w:szCs w:val="20"/>
                <w:lang w:val="sr-Latn-ME"/>
              </w:rPr>
              <w:t>nedjelja</w:t>
            </w:r>
            <w:r w:rsidRPr="0066419A">
              <w:rPr>
                <w:sz w:val="20"/>
                <w:szCs w:val="20"/>
                <w:lang w:val="sr-Latn-ME"/>
              </w:rPr>
              <w:t xml:space="preserve">), u 52. </w:t>
            </w:r>
            <w:r w:rsidR="0067327C" w:rsidRPr="0066419A">
              <w:rPr>
                <w:sz w:val="20"/>
                <w:szCs w:val="20"/>
                <w:lang w:val="sr-Latn-ME"/>
              </w:rPr>
              <w:t>nedjelji</w:t>
            </w:r>
          </w:p>
          <w:p w14:paraId="24F47FBB" w14:textId="3C1941F4" w:rsidR="00EC364F" w:rsidRPr="0066419A" w:rsidRDefault="00EC364F" w:rsidP="00A5182D">
            <w:pPr>
              <w:rPr>
                <w:rFonts w:eastAsia="Calibri"/>
                <w:sz w:val="20"/>
                <w:szCs w:val="20"/>
                <w:lang w:val="sr-Latn-ME"/>
              </w:rPr>
            </w:pPr>
            <w:r w:rsidRPr="0066419A">
              <w:rPr>
                <w:rFonts w:eastAsia="Calibri"/>
                <w:sz w:val="20"/>
                <w:szCs w:val="20"/>
                <w:lang w:val="sr-Latn-ME"/>
              </w:rPr>
              <w:t>**</w:t>
            </w:r>
            <w:r w:rsidRPr="0066419A">
              <w:rPr>
                <w:sz w:val="20"/>
                <w:szCs w:val="20"/>
                <w:lang w:val="sr-Latn-ME"/>
              </w:rPr>
              <w:t xml:space="preserve">Remisija bez kortikosteroida: </w:t>
            </w:r>
            <w:r w:rsidR="00B148F2" w:rsidRPr="0066419A">
              <w:rPr>
                <w:sz w:val="20"/>
                <w:szCs w:val="20"/>
                <w:lang w:val="sr-Latn-ME"/>
              </w:rPr>
              <w:t>Pacijenti</w:t>
            </w:r>
            <w:r w:rsidRPr="0066419A">
              <w:rPr>
                <w:sz w:val="20"/>
                <w:szCs w:val="20"/>
                <w:lang w:val="sr-Latn-ME"/>
              </w:rPr>
              <w:t xml:space="preserve"> koji su uzimali peroralne kortikosteroide na početku, ali su ih </w:t>
            </w:r>
            <w:r w:rsidR="008062E2" w:rsidRPr="0066419A">
              <w:rPr>
                <w:sz w:val="20"/>
                <w:szCs w:val="20"/>
                <w:lang w:val="sr-Latn-ME"/>
              </w:rPr>
              <w:t>pre</w:t>
            </w:r>
            <w:r w:rsidRPr="0066419A">
              <w:rPr>
                <w:sz w:val="20"/>
                <w:szCs w:val="20"/>
                <w:lang w:val="sr-Latn-ME"/>
              </w:rPr>
              <w:t xml:space="preserve">stali uzimati i bili u kliničkoj remisiji u 52. </w:t>
            </w:r>
            <w:r w:rsidR="0067327C" w:rsidRPr="0066419A">
              <w:rPr>
                <w:sz w:val="20"/>
                <w:szCs w:val="20"/>
                <w:lang w:val="sr-Latn-ME"/>
              </w:rPr>
              <w:t>nedjelji</w:t>
            </w:r>
            <w:r w:rsidRPr="0066419A">
              <w:rPr>
                <w:sz w:val="20"/>
                <w:szCs w:val="20"/>
                <w:lang w:val="sr-Latn-ME"/>
              </w:rPr>
              <w:t xml:space="preserve">. Broj </w:t>
            </w:r>
            <w:r w:rsidR="00D43BC5" w:rsidRPr="0066419A">
              <w:rPr>
                <w:sz w:val="20"/>
                <w:szCs w:val="20"/>
                <w:lang w:val="sr-Latn-ME"/>
              </w:rPr>
              <w:t>pacijenata</w:t>
            </w:r>
            <w:r w:rsidRPr="0066419A">
              <w:rPr>
                <w:sz w:val="20"/>
                <w:szCs w:val="20"/>
                <w:lang w:val="sr-Latn-ME"/>
              </w:rPr>
              <w:t xml:space="preserve"> koji su uzimali oralne kortikosteroide na početku je iznosio n = 44 za placebo i n = 95 za </w:t>
            </w:r>
            <w:r w:rsidR="0067327C" w:rsidRPr="0066419A">
              <w:rPr>
                <w:sz w:val="20"/>
                <w:szCs w:val="20"/>
                <w:lang w:val="sr-Latn-ME"/>
              </w:rPr>
              <w:t>subkutani</w:t>
            </w:r>
            <w:r w:rsidRPr="0066419A">
              <w:rPr>
                <w:sz w:val="20"/>
                <w:szCs w:val="20"/>
                <w:lang w:val="sr-Latn-ME"/>
              </w:rPr>
              <w:t xml:space="preserve"> vedolizumab</w:t>
            </w:r>
          </w:p>
          <w:p w14:paraId="52D4DEE2" w14:textId="3003F340" w:rsidR="00EC364F" w:rsidRPr="0066419A" w:rsidRDefault="00EC364F" w:rsidP="000B42A8">
            <w:pPr>
              <w:keepNext/>
              <w:keepLines/>
              <w:rPr>
                <w:sz w:val="20"/>
                <w:szCs w:val="20"/>
                <w:lang w:val="sr-Latn-ME"/>
              </w:rPr>
            </w:pPr>
            <w:r w:rsidRPr="0066419A">
              <w:rPr>
                <w:rFonts w:eastAsia="Calibri"/>
                <w:sz w:val="20"/>
                <w:szCs w:val="20"/>
                <w:lang w:val="sr-Latn-ME"/>
              </w:rPr>
              <w:t>††</w:t>
            </w:r>
            <w:r w:rsidRPr="0066419A">
              <w:rPr>
                <w:sz w:val="20"/>
                <w:szCs w:val="20"/>
                <w:lang w:val="sr-Latn-ME"/>
              </w:rPr>
              <w:t xml:space="preserve"> Klinička remisija: (CDAI ≤ 150 u 52. </w:t>
            </w:r>
            <w:r w:rsidR="0067327C" w:rsidRPr="0066419A">
              <w:rPr>
                <w:sz w:val="20"/>
                <w:szCs w:val="20"/>
                <w:lang w:val="sr-Latn-ME"/>
              </w:rPr>
              <w:t>nedjelji</w:t>
            </w:r>
            <w:r w:rsidRPr="0066419A">
              <w:rPr>
                <w:sz w:val="20"/>
                <w:szCs w:val="20"/>
                <w:lang w:val="sr-Latn-ME"/>
              </w:rPr>
              <w:t xml:space="preserve">) </w:t>
            </w:r>
            <w:r w:rsidR="000D6DBC" w:rsidRPr="0066419A">
              <w:rPr>
                <w:rFonts w:eastAsia="Calibri"/>
                <w:sz w:val="20"/>
                <w:szCs w:val="20"/>
                <w:lang w:val="sr-Latn-ME"/>
              </w:rPr>
              <w:t>kod</w:t>
            </w:r>
            <w:r w:rsidRPr="0066419A">
              <w:rPr>
                <w:rFonts w:eastAsia="Calibri"/>
                <w:sz w:val="20"/>
                <w:szCs w:val="20"/>
                <w:lang w:val="sr-Latn-ME"/>
              </w:rPr>
              <w:t xml:space="preserve"> </w:t>
            </w:r>
            <w:r w:rsidR="00D43BC5" w:rsidRPr="0066419A">
              <w:rPr>
                <w:rFonts w:eastAsia="Calibri"/>
                <w:sz w:val="20"/>
                <w:szCs w:val="20"/>
                <w:lang w:val="sr-Latn-ME"/>
              </w:rPr>
              <w:t>pacijenata</w:t>
            </w:r>
            <w:r w:rsidRPr="0066419A">
              <w:rPr>
                <w:rFonts w:eastAsia="Calibri"/>
                <w:sz w:val="20"/>
                <w:szCs w:val="20"/>
                <w:lang w:val="sr-Latn-ME"/>
              </w:rPr>
              <w:t xml:space="preserve"> koji </w:t>
            </w:r>
            <w:r w:rsidR="00B148F2" w:rsidRPr="0066419A">
              <w:rPr>
                <w:rFonts w:eastAsia="Calibri"/>
                <w:sz w:val="20"/>
                <w:szCs w:val="20"/>
                <w:lang w:val="sr-Latn-ME"/>
              </w:rPr>
              <w:t>prethodno</w:t>
            </w:r>
            <w:r w:rsidRPr="0066419A">
              <w:rPr>
                <w:rFonts w:eastAsia="Calibri"/>
                <w:sz w:val="20"/>
                <w:szCs w:val="20"/>
                <w:lang w:val="sr-Latn-ME"/>
              </w:rPr>
              <w:t xml:space="preserve"> ni</w:t>
            </w:r>
            <w:r w:rsidR="000D6DBC" w:rsidRPr="0066419A">
              <w:rPr>
                <w:rFonts w:eastAsia="Calibri"/>
                <w:sz w:val="20"/>
                <w:szCs w:val="20"/>
                <w:lang w:val="sr-Latn-ME"/>
              </w:rPr>
              <w:t>je</w:t>
            </w:r>
            <w:r w:rsidRPr="0066419A">
              <w:rPr>
                <w:rFonts w:eastAsia="Calibri"/>
                <w:sz w:val="20"/>
                <w:szCs w:val="20"/>
                <w:lang w:val="sr-Latn-ME"/>
              </w:rPr>
              <w:t>su liječeni antagonistima TNFα</w:t>
            </w:r>
            <w:r w:rsidR="000D6DBC" w:rsidRPr="0066419A">
              <w:rPr>
                <w:rFonts w:eastAsia="Calibri"/>
                <w:sz w:val="20"/>
                <w:szCs w:val="20"/>
                <w:lang w:val="sr-Latn-ME"/>
              </w:rPr>
              <w:t xml:space="preserve"> </w:t>
            </w:r>
            <w:r w:rsidRPr="0066419A">
              <w:rPr>
                <w:rFonts w:eastAsia="Calibri"/>
                <w:sz w:val="20"/>
                <w:szCs w:val="20"/>
                <w:lang w:val="sr-Latn-ME"/>
              </w:rPr>
              <w:t xml:space="preserve"> (n = 63 placebo; n = 107 </w:t>
            </w:r>
            <w:r w:rsidR="0067327C" w:rsidRPr="0066419A">
              <w:rPr>
                <w:sz w:val="20"/>
                <w:szCs w:val="20"/>
                <w:lang w:val="sr-Latn-ME"/>
              </w:rPr>
              <w:t>subkutani</w:t>
            </w:r>
            <w:r w:rsidRPr="0066419A">
              <w:rPr>
                <w:sz w:val="20"/>
                <w:szCs w:val="20"/>
                <w:lang w:val="sr-Latn-ME"/>
              </w:rPr>
              <w:t xml:space="preserve"> vedolizumab)</w:t>
            </w:r>
          </w:p>
          <w:p w14:paraId="4B77558C" w14:textId="77777777" w:rsidR="00EC364F" w:rsidRPr="0066419A" w:rsidRDefault="00EC364F">
            <w:pPr>
              <w:keepNext/>
              <w:keepLines/>
              <w:rPr>
                <w:rFonts w:eastAsia="Calibri"/>
                <w:sz w:val="20"/>
                <w:szCs w:val="20"/>
                <w:lang w:val="sr-Latn-ME"/>
              </w:rPr>
            </w:pPr>
            <w:r w:rsidRPr="0066419A">
              <w:rPr>
                <w:sz w:val="20"/>
                <w:szCs w:val="20"/>
                <w:vertAlign w:val="superscript"/>
                <w:lang w:val="sr-Latn-ME"/>
              </w:rPr>
              <w:t xml:space="preserve">‡‡ </w:t>
            </w:r>
            <w:r w:rsidRPr="0066419A">
              <w:rPr>
                <w:sz w:val="20"/>
                <w:szCs w:val="20"/>
                <w:lang w:val="sr-Latn-ME"/>
              </w:rPr>
              <w:t>nominalna p</w:t>
            </w:r>
            <w:r w:rsidRPr="0066419A">
              <w:rPr>
                <w:sz w:val="20"/>
                <w:szCs w:val="20"/>
                <w:lang w:val="sr-Latn-ME"/>
              </w:rPr>
              <w:noBreakHyphen/>
              <w:t>vrijednost</w:t>
            </w:r>
          </w:p>
          <w:p w14:paraId="3C19C6B5" w14:textId="77777777" w:rsidR="00EC364F" w:rsidRPr="006F34F9" w:rsidRDefault="00EC364F" w:rsidP="00180C9F">
            <w:pPr>
              <w:pStyle w:val="CCDSBodytext"/>
              <w:spacing w:line="240" w:lineRule="auto"/>
              <w:jc w:val="both"/>
              <w:rPr>
                <w:rFonts w:eastAsia="Calibri"/>
                <w:sz w:val="22"/>
                <w:szCs w:val="22"/>
                <w:lang w:val="sr-Latn-ME"/>
              </w:rPr>
            </w:pPr>
            <w:r w:rsidRPr="0066419A">
              <w:rPr>
                <w:rFonts w:eastAsia="Calibri"/>
                <w:sz w:val="20"/>
                <w:szCs w:val="20"/>
                <w:lang w:val="sr-Latn-ME"/>
              </w:rPr>
              <w:t>NZ = nije značajno (2</w:t>
            </w:r>
            <w:r w:rsidRPr="0066419A">
              <w:rPr>
                <w:rFonts w:eastAsia="Calibri"/>
                <w:sz w:val="20"/>
                <w:szCs w:val="20"/>
                <w:lang w:val="sr-Latn-ME"/>
              </w:rPr>
              <w:noBreakHyphen/>
              <w:t>strana p</w:t>
            </w:r>
            <w:r w:rsidRPr="0066419A">
              <w:rPr>
                <w:rFonts w:eastAsia="Calibri"/>
                <w:sz w:val="20"/>
                <w:szCs w:val="20"/>
                <w:lang w:val="sr-Latn-ME"/>
              </w:rPr>
              <w:noBreakHyphen/>
              <w:t>vrijednost &gt; 0,05)</w:t>
            </w:r>
          </w:p>
        </w:tc>
      </w:tr>
    </w:tbl>
    <w:p w14:paraId="59264299" w14:textId="77777777" w:rsidR="00EC364F" w:rsidRPr="006F34F9" w:rsidRDefault="00EC364F" w:rsidP="00180C9F">
      <w:pPr>
        <w:pStyle w:val="CCDSBodytext"/>
        <w:spacing w:line="240" w:lineRule="auto"/>
        <w:jc w:val="both"/>
        <w:rPr>
          <w:sz w:val="22"/>
          <w:szCs w:val="22"/>
          <w:lang w:val="sr-Latn-ME"/>
        </w:rPr>
      </w:pPr>
    </w:p>
    <w:p w14:paraId="2BD5BE20" w14:textId="2297AE47" w:rsidR="00EC364F" w:rsidRPr="006F34F9" w:rsidRDefault="00EC364F" w:rsidP="00E708C7">
      <w:pPr>
        <w:rPr>
          <w:szCs w:val="22"/>
          <w:lang w:val="sr-Latn-ME"/>
        </w:rPr>
      </w:pPr>
      <w:r w:rsidRPr="006F34F9">
        <w:rPr>
          <w:szCs w:val="22"/>
          <w:lang w:val="sr-Latn-ME"/>
        </w:rPr>
        <w:t>Primarn</w:t>
      </w:r>
      <w:r w:rsidR="000D6DBC" w:rsidRPr="006F34F9">
        <w:rPr>
          <w:szCs w:val="22"/>
          <w:lang w:val="sr-Latn-ME"/>
        </w:rPr>
        <w:t>e</w:t>
      </w:r>
      <w:r w:rsidRPr="006F34F9">
        <w:rPr>
          <w:szCs w:val="22"/>
          <w:lang w:val="sr-Latn-ME"/>
        </w:rPr>
        <w:t xml:space="preserve"> i sekundarne mjere ishoda analizirane su u </w:t>
      </w:r>
      <w:r w:rsidR="00D43BC5" w:rsidRPr="006F34F9">
        <w:rPr>
          <w:szCs w:val="22"/>
          <w:lang w:val="sr-Latn-ME"/>
        </w:rPr>
        <w:t>podgrupama</w:t>
      </w:r>
      <w:r w:rsidRPr="006F34F9">
        <w:rPr>
          <w:szCs w:val="22"/>
          <w:lang w:val="sr-Latn-ME"/>
        </w:rPr>
        <w:t xml:space="preserve"> </w:t>
      </w:r>
      <w:r w:rsidR="00D43BC5" w:rsidRPr="006F34F9">
        <w:rPr>
          <w:szCs w:val="22"/>
          <w:lang w:val="sr-Latn-ME"/>
        </w:rPr>
        <w:t>pacijenata</w:t>
      </w:r>
      <w:r w:rsidRPr="006F34F9">
        <w:rPr>
          <w:szCs w:val="22"/>
          <w:lang w:val="sr-Latn-ME"/>
        </w:rPr>
        <w:t xml:space="preserve"> koji </w:t>
      </w:r>
      <w:r w:rsidR="00B148F2" w:rsidRPr="006F34F9">
        <w:rPr>
          <w:szCs w:val="22"/>
          <w:lang w:val="sr-Latn-ME"/>
        </w:rPr>
        <w:t>prethodno</w:t>
      </w:r>
      <w:r w:rsidRPr="006F34F9">
        <w:rPr>
          <w:szCs w:val="22"/>
          <w:lang w:val="sr-Latn-ME"/>
        </w:rPr>
        <w:t xml:space="preserve"> ni</w:t>
      </w:r>
      <w:r w:rsidR="000D6DBC" w:rsidRPr="006F34F9">
        <w:rPr>
          <w:szCs w:val="22"/>
          <w:lang w:val="sr-Latn-ME"/>
        </w:rPr>
        <w:t>je</w:t>
      </w:r>
      <w:r w:rsidRPr="006F34F9">
        <w:rPr>
          <w:szCs w:val="22"/>
          <w:lang w:val="sr-Latn-ME"/>
        </w:rPr>
        <w:t xml:space="preserve">su liječeni antagonistima TNFα (42%; n = 170), </w:t>
      </w:r>
      <w:r w:rsidR="00D43BC5" w:rsidRPr="006F34F9">
        <w:rPr>
          <w:szCs w:val="22"/>
          <w:lang w:val="sr-Latn-ME"/>
        </w:rPr>
        <w:t>pacijenata</w:t>
      </w:r>
      <w:r w:rsidRPr="006F34F9">
        <w:rPr>
          <w:szCs w:val="22"/>
          <w:lang w:val="sr-Latn-ME"/>
        </w:rPr>
        <w:t xml:space="preserve"> kod kojih je </w:t>
      </w:r>
      <w:r w:rsidR="00B148F2" w:rsidRPr="006F34F9">
        <w:rPr>
          <w:szCs w:val="22"/>
          <w:lang w:val="sr-Latn-ME"/>
        </w:rPr>
        <w:t>prethodna</w:t>
      </w:r>
      <w:r w:rsidRPr="006F34F9">
        <w:rPr>
          <w:szCs w:val="22"/>
          <w:lang w:val="sr-Latn-ME"/>
        </w:rPr>
        <w:t xml:space="preserve"> terapija antagonistima TNFα bila neuspješna (51%; n = 210), i </w:t>
      </w:r>
      <w:r w:rsidR="00D43BC5" w:rsidRPr="006F34F9">
        <w:rPr>
          <w:szCs w:val="22"/>
          <w:lang w:val="sr-Latn-ME"/>
        </w:rPr>
        <w:t>pacijenata</w:t>
      </w:r>
      <w:r w:rsidRPr="006F34F9">
        <w:rPr>
          <w:szCs w:val="22"/>
          <w:lang w:val="sr-Latn-ME"/>
        </w:rPr>
        <w:t xml:space="preserve"> koji su bili izloženi </w:t>
      </w:r>
      <w:r w:rsidR="00B148F2" w:rsidRPr="006F34F9">
        <w:rPr>
          <w:szCs w:val="22"/>
          <w:lang w:val="sr-Latn-ME"/>
        </w:rPr>
        <w:t>prethodno</w:t>
      </w:r>
      <w:r w:rsidRPr="006F34F9">
        <w:rPr>
          <w:szCs w:val="22"/>
          <w:lang w:val="sr-Latn-ME"/>
        </w:rPr>
        <w:t>j terapiji antagonistima TNFα, ali ni</w:t>
      </w:r>
      <w:r w:rsidR="000D6DBC" w:rsidRPr="006F34F9">
        <w:rPr>
          <w:szCs w:val="22"/>
          <w:lang w:val="sr-Latn-ME"/>
        </w:rPr>
        <w:t>je</w:t>
      </w:r>
      <w:r w:rsidRPr="006F34F9">
        <w:rPr>
          <w:szCs w:val="22"/>
          <w:lang w:val="sr-Latn-ME"/>
        </w:rPr>
        <w:t xml:space="preserve">su imali neuspjeh terapije (7%; n = 29). Rezultati za </w:t>
      </w:r>
      <w:r w:rsidR="00B148F2" w:rsidRPr="006F34F9">
        <w:rPr>
          <w:szCs w:val="22"/>
          <w:lang w:val="sr-Latn-ME"/>
        </w:rPr>
        <w:t>pacijente</w:t>
      </w:r>
      <w:r w:rsidRPr="006F34F9">
        <w:rPr>
          <w:szCs w:val="22"/>
          <w:lang w:val="sr-Latn-ME"/>
        </w:rPr>
        <w:t xml:space="preserve"> iz ispitivanja liječene placebom i </w:t>
      </w:r>
      <w:r w:rsidR="008062E2" w:rsidRPr="006F34F9">
        <w:rPr>
          <w:szCs w:val="22"/>
          <w:lang w:val="sr-Latn-ME"/>
        </w:rPr>
        <w:t>subkutanim</w:t>
      </w:r>
      <w:r w:rsidRPr="006F34F9">
        <w:rPr>
          <w:szCs w:val="22"/>
          <w:lang w:val="sr-Latn-ME"/>
        </w:rPr>
        <w:t xml:space="preserve"> vedolizumabom u ovim </w:t>
      </w:r>
      <w:r w:rsidR="00D43BC5" w:rsidRPr="006F34F9">
        <w:rPr>
          <w:szCs w:val="22"/>
          <w:lang w:val="sr-Latn-ME"/>
        </w:rPr>
        <w:t>podgrupama</w:t>
      </w:r>
      <w:r w:rsidRPr="006F34F9">
        <w:rPr>
          <w:szCs w:val="22"/>
          <w:lang w:val="sr-Latn-ME"/>
        </w:rPr>
        <w:t xml:space="preserve"> prikazani su u </w:t>
      </w:r>
      <w:r w:rsidR="0067327C" w:rsidRPr="006F34F9">
        <w:rPr>
          <w:szCs w:val="22"/>
          <w:lang w:val="sr-Latn-ME"/>
        </w:rPr>
        <w:t>Tabela</w:t>
      </w:r>
      <w:r w:rsidRPr="006F34F9">
        <w:rPr>
          <w:szCs w:val="22"/>
          <w:lang w:val="sr-Latn-ME"/>
        </w:rPr>
        <w:t xml:space="preserve">ma 9 i 10. </w:t>
      </w:r>
    </w:p>
    <w:p w14:paraId="41EBA399" w14:textId="77777777" w:rsidR="00EC364F" w:rsidRPr="006F34F9" w:rsidRDefault="00EC364F" w:rsidP="00E708C7">
      <w:pPr>
        <w:rPr>
          <w:szCs w:val="22"/>
          <w:lang w:val="sr-Latn-ME"/>
        </w:rPr>
      </w:pPr>
    </w:p>
    <w:tbl>
      <w:tblPr>
        <w:tblW w:w="5079" w:type="pct"/>
        <w:tblInd w:w="-142" w:type="dxa"/>
        <w:tblLook w:val="04A0" w:firstRow="1" w:lastRow="0" w:firstColumn="1" w:lastColumn="0" w:noHBand="0" w:noVBand="1"/>
      </w:tblPr>
      <w:tblGrid>
        <w:gridCol w:w="2835"/>
        <w:gridCol w:w="993"/>
        <w:gridCol w:w="2469"/>
        <w:gridCol w:w="2917"/>
      </w:tblGrid>
      <w:tr w:rsidR="00EC364F" w:rsidRPr="006F34F9" w14:paraId="1B5C99CA" w14:textId="77777777" w:rsidTr="00180C9F">
        <w:trPr>
          <w:cantSplit/>
        </w:trPr>
        <w:tc>
          <w:tcPr>
            <w:tcW w:w="5000" w:type="pct"/>
            <w:gridSpan w:val="4"/>
            <w:tcBorders>
              <w:bottom w:val="single" w:sz="4" w:space="0" w:color="auto"/>
            </w:tcBorders>
          </w:tcPr>
          <w:p w14:paraId="07EFF37C" w14:textId="30058CF8" w:rsidR="00EC364F" w:rsidRPr="006F34F9" w:rsidRDefault="0067327C" w:rsidP="00180C9F">
            <w:pPr>
              <w:pStyle w:val="table-heading-9centered"/>
              <w:keepLines/>
              <w:spacing w:before="0" w:after="0"/>
              <w:jc w:val="both"/>
              <w:rPr>
                <w:b w:val="0"/>
                <w:sz w:val="22"/>
                <w:szCs w:val="22"/>
                <w:lang w:val="sr-Latn-ME"/>
              </w:rPr>
            </w:pPr>
            <w:r w:rsidRPr="006F34F9">
              <w:rPr>
                <w:sz w:val="22"/>
                <w:szCs w:val="22"/>
                <w:lang w:val="sr-Latn-ME"/>
              </w:rPr>
              <w:t>Tabela</w:t>
            </w:r>
            <w:r w:rsidR="00EC364F" w:rsidRPr="006F34F9">
              <w:rPr>
                <w:sz w:val="22"/>
                <w:szCs w:val="22"/>
                <w:lang w:val="sr-Latn-ME"/>
              </w:rPr>
              <w:t xml:space="preserve"> 9. Rezultati </w:t>
            </w:r>
            <w:r w:rsidR="00B148F2" w:rsidRPr="006F34F9">
              <w:rPr>
                <w:sz w:val="22"/>
                <w:szCs w:val="22"/>
                <w:lang w:val="sr-Latn-ME"/>
              </w:rPr>
              <w:t>efikasnosti</w:t>
            </w:r>
            <w:r w:rsidR="00EC364F" w:rsidRPr="006F34F9">
              <w:rPr>
                <w:sz w:val="22"/>
                <w:szCs w:val="22"/>
                <w:lang w:val="sr-Latn-ME"/>
              </w:rPr>
              <w:t xml:space="preserve"> u 52. </w:t>
            </w:r>
            <w:r w:rsidRPr="006F34F9">
              <w:rPr>
                <w:sz w:val="22"/>
                <w:szCs w:val="22"/>
                <w:lang w:val="sr-Latn-ME"/>
              </w:rPr>
              <w:t>nedjelji</w:t>
            </w:r>
            <w:r w:rsidR="00EC364F" w:rsidRPr="006F34F9">
              <w:rPr>
                <w:sz w:val="22"/>
                <w:szCs w:val="22"/>
                <w:lang w:val="sr-Latn-ME"/>
              </w:rPr>
              <w:t xml:space="preserve"> ispitivanja VISIBLE 2 </w:t>
            </w:r>
            <w:r w:rsidR="000D6DBC" w:rsidRPr="006F34F9">
              <w:rPr>
                <w:sz w:val="22"/>
                <w:szCs w:val="22"/>
                <w:lang w:val="sr-Latn-ME"/>
              </w:rPr>
              <w:t>kod</w:t>
            </w:r>
            <w:r w:rsidR="00EC364F" w:rsidRPr="006F34F9">
              <w:rPr>
                <w:sz w:val="22"/>
                <w:szCs w:val="22"/>
                <w:lang w:val="sr-Latn-ME"/>
              </w:rPr>
              <w:t xml:space="preserve"> </w:t>
            </w:r>
            <w:r w:rsidR="00D43BC5" w:rsidRPr="006F34F9">
              <w:rPr>
                <w:sz w:val="22"/>
                <w:szCs w:val="22"/>
                <w:lang w:val="sr-Latn-ME"/>
              </w:rPr>
              <w:t>pacijenata</w:t>
            </w:r>
            <w:r w:rsidR="00EC364F" w:rsidRPr="006F34F9">
              <w:rPr>
                <w:sz w:val="22"/>
                <w:szCs w:val="22"/>
                <w:lang w:val="sr-Latn-ME"/>
              </w:rPr>
              <w:t xml:space="preserve"> koji </w:t>
            </w:r>
            <w:r w:rsidR="00B148F2" w:rsidRPr="006F34F9">
              <w:rPr>
                <w:sz w:val="22"/>
                <w:szCs w:val="22"/>
                <w:lang w:val="sr-Latn-ME"/>
              </w:rPr>
              <w:t>prethodno</w:t>
            </w:r>
            <w:r w:rsidR="00EC364F" w:rsidRPr="006F34F9">
              <w:rPr>
                <w:sz w:val="22"/>
                <w:szCs w:val="22"/>
                <w:lang w:val="sr-Latn-ME"/>
              </w:rPr>
              <w:t xml:space="preserve"> ni</w:t>
            </w:r>
            <w:r w:rsidR="000D6DBC" w:rsidRPr="006F34F9">
              <w:rPr>
                <w:sz w:val="22"/>
                <w:szCs w:val="22"/>
                <w:lang w:val="sr-Latn-ME"/>
              </w:rPr>
              <w:t>je</w:t>
            </w:r>
            <w:r w:rsidR="00EC364F" w:rsidRPr="006F34F9">
              <w:rPr>
                <w:sz w:val="22"/>
                <w:szCs w:val="22"/>
                <w:lang w:val="sr-Latn-ME"/>
              </w:rPr>
              <w:t xml:space="preserve">su liječeni antagonistima TNFα </w:t>
            </w:r>
          </w:p>
        </w:tc>
      </w:tr>
      <w:tr w:rsidR="00EC364F" w:rsidRPr="006F34F9" w14:paraId="74799D0B" w14:textId="77777777" w:rsidTr="00180C9F">
        <w:trPr>
          <w:cantSplit/>
        </w:trPr>
        <w:tc>
          <w:tcPr>
            <w:tcW w:w="1538" w:type="pct"/>
            <w:tcBorders>
              <w:top w:val="single" w:sz="4" w:space="0" w:color="auto"/>
              <w:bottom w:val="single" w:sz="4" w:space="0" w:color="auto"/>
            </w:tcBorders>
            <w:vAlign w:val="bottom"/>
          </w:tcPr>
          <w:p w14:paraId="4A84A7A2" w14:textId="77777777" w:rsidR="00EC364F" w:rsidRPr="006F34F9" w:rsidRDefault="00EC364F" w:rsidP="00180C9F">
            <w:pPr>
              <w:pStyle w:val="TableHeaderL"/>
              <w:spacing w:after="0"/>
              <w:jc w:val="both"/>
              <w:rPr>
                <w:rFonts w:eastAsia="Calibri"/>
                <w:b w:val="0"/>
                <w:sz w:val="22"/>
                <w:szCs w:val="22"/>
                <w:lang w:val="sr-Latn-ME"/>
              </w:rPr>
            </w:pPr>
            <w:r w:rsidRPr="006F34F9">
              <w:rPr>
                <w:b w:val="0"/>
                <w:sz w:val="22"/>
                <w:szCs w:val="22"/>
                <w:lang w:val="sr-Latn-ME"/>
              </w:rPr>
              <w:t>Mjera ishoda</w:t>
            </w:r>
          </w:p>
        </w:tc>
        <w:tc>
          <w:tcPr>
            <w:tcW w:w="539" w:type="pct"/>
            <w:tcBorders>
              <w:top w:val="single" w:sz="4" w:space="0" w:color="auto"/>
              <w:bottom w:val="single" w:sz="4" w:space="0" w:color="auto"/>
            </w:tcBorders>
            <w:vAlign w:val="bottom"/>
          </w:tcPr>
          <w:p w14:paraId="5E1FD61B" w14:textId="77777777" w:rsidR="00EC364F" w:rsidRPr="006F34F9" w:rsidRDefault="00EC364F" w:rsidP="00180C9F">
            <w:pPr>
              <w:pStyle w:val="TableHeaderC"/>
              <w:spacing w:after="0"/>
              <w:jc w:val="both"/>
              <w:rPr>
                <w:b w:val="0"/>
                <w:sz w:val="22"/>
                <w:szCs w:val="22"/>
                <w:lang w:val="sr-Latn-ME"/>
              </w:rPr>
            </w:pPr>
            <w:r w:rsidRPr="006F34F9">
              <w:rPr>
                <w:b w:val="0"/>
                <w:sz w:val="22"/>
                <w:szCs w:val="22"/>
                <w:lang w:val="sr-Latn-ME"/>
              </w:rPr>
              <w:t>Placebo</w:t>
            </w:r>
          </w:p>
          <w:p w14:paraId="0665A500" w14:textId="77777777" w:rsidR="00EC364F" w:rsidRPr="006F34F9" w:rsidRDefault="00EC364F" w:rsidP="00180C9F">
            <w:pPr>
              <w:pStyle w:val="TableHeaderC"/>
              <w:spacing w:after="0"/>
              <w:jc w:val="both"/>
              <w:rPr>
                <w:rFonts w:eastAsia="Calibri"/>
                <w:b w:val="0"/>
                <w:sz w:val="22"/>
                <w:szCs w:val="22"/>
                <w:lang w:val="sr-Latn-ME"/>
              </w:rPr>
            </w:pPr>
            <w:r w:rsidRPr="006F34F9">
              <w:rPr>
                <w:b w:val="0"/>
                <w:sz w:val="22"/>
                <w:szCs w:val="22"/>
                <w:lang w:val="sr-Latn-ME"/>
              </w:rPr>
              <w:t>n = 63</w:t>
            </w:r>
          </w:p>
        </w:tc>
        <w:tc>
          <w:tcPr>
            <w:tcW w:w="1340" w:type="pct"/>
            <w:tcBorders>
              <w:top w:val="single" w:sz="4" w:space="0" w:color="auto"/>
              <w:bottom w:val="single" w:sz="4" w:space="0" w:color="auto"/>
            </w:tcBorders>
            <w:vAlign w:val="bottom"/>
          </w:tcPr>
          <w:p w14:paraId="0477A6A7" w14:textId="77777777" w:rsidR="00EC364F" w:rsidRPr="006F34F9" w:rsidRDefault="00EC364F" w:rsidP="00180C9F">
            <w:pPr>
              <w:pStyle w:val="table-heading-9centered"/>
              <w:keepLines/>
              <w:spacing w:before="0" w:after="0"/>
              <w:jc w:val="both"/>
              <w:rPr>
                <w:b w:val="0"/>
                <w:sz w:val="22"/>
                <w:szCs w:val="22"/>
                <w:lang w:val="sr-Latn-ME"/>
              </w:rPr>
            </w:pPr>
            <w:r w:rsidRPr="006F34F9">
              <w:rPr>
                <w:b w:val="0"/>
                <w:sz w:val="22"/>
                <w:szCs w:val="22"/>
                <w:lang w:val="sr-Latn-ME"/>
              </w:rPr>
              <w:t>Vedolizumab s.c. 108 mg</w:t>
            </w:r>
          </w:p>
          <w:p w14:paraId="7D410A3D" w14:textId="19962C05" w:rsidR="00EC364F" w:rsidRPr="006F34F9" w:rsidRDefault="00EC364F" w:rsidP="00180C9F">
            <w:pPr>
              <w:pStyle w:val="TableHeaderC"/>
              <w:spacing w:after="0"/>
              <w:jc w:val="both"/>
              <w:rPr>
                <w:rFonts w:eastAsia="Calibri"/>
                <w:b w:val="0"/>
                <w:sz w:val="22"/>
                <w:szCs w:val="22"/>
                <w:lang w:val="sr-Latn-ME"/>
              </w:rPr>
            </w:pPr>
            <w:r w:rsidRPr="006F34F9">
              <w:rPr>
                <w:b w:val="0"/>
                <w:sz w:val="22"/>
                <w:szCs w:val="22"/>
                <w:lang w:val="sr-Latn-ME"/>
              </w:rPr>
              <w:t>svak</w:t>
            </w:r>
            <w:r w:rsidR="00FA0EE3">
              <w:rPr>
                <w:b w:val="0"/>
                <w:sz w:val="22"/>
                <w:szCs w:val="22"/>
                <w:lang w:val="sr-Latn-ME"/>
              </w:rPr>
              <w:t>e</w:t>
            </w:r>
            <w:r w:rsidRPr="006F34F9">
              <w:rPr>
                <w:b w:val="0"/>
                <w:sz w:val="22"/>
                <w:szCs w:val="22"/>
                <w:lang w:val="sr-Latn-ME"/>
              </w:rPr>
              <w:t xml:space="preserve"> 2 </w:t>
            </w:r>
            <w:r w:rsidR="00B148F2" w:rsidRPr="006F34F9">
              <w:rPr>
                <w:b w:val="0"/>
                <w:sz w:val="22"/>
                <w:szCs w:val="22"/>
                <w:lang w:val="sr-Latn-ME"/>
              </w:rPr>
              <w:t>nedjelje</w:t>
            </w:r>
          </w:p>
          <w:p w14:paraId="4332C17E" w14:textId="77777777" w:rsidR="00EC364F" w:rsidRPr="006F34F9" w:rsidRDefault="00EC364F" w:rsidP="00180C9F">
            <w:pPr>
              <w:pStyle w:val="TableHeaderC"/>
              <w:spacing w:after="0"/>
              <w:jc w:val="both"/>
              <w:rPr>
                <w:rFonts w:eastAsia="Calibri"/>
                <w:b w:val="0"/>
                <w:sz w:val="22"/>
                <w:szCs w:val="22"/>
                <w:lang w:val="sr-Latn-ME"/>
              </w:rPr>
            </w:pPr>
            <w:r w:rsidRPr="006F34F9">
              <w:rPr>
                <w:rFonts w:eastAsia="Calibri"/>
                <w:b w:val="0"/>
                <w:sz w:val="22"/>
                <w:szCs w:val="22"/>
                <w:lang w:val="sr-Latn-ME"/>
              </w:rPr>
              <w:t>n = 107</w:t>
            </w:r>
          </w:p>
        </w:tc>
        <w:tc>
          <w:tcPr>
            <w:tcW w:w="1583" w:type="pct"/>
            <w:tcBorders>
              <w:top w:val="single" w:sz="4" w:space="0" w:color="auto"/>
              <w:bottom w:val="single" w:sz="4" w:space="0" w:color="auto"/>
            </w:tcBorders>
          </w:tcPr>
          <w:p w14:paraId="0D35D804" w14:textId="77777777" w:rsidR="00EC364F" w:rsidRPr="006F34F9" w:rsidRDefault="00EC364F" w:rsidP="00180C9F">
            <w:pPr>
              <w:pStyle w:val="table-heading-9centered"/>
              <w:keepLines/>
              <w:spacing w:before="0" w:after="0"/>
              <w:jc w:val="both"/>
              <w:rPr>
                <w:b w:val="0"/>
                <w:sz w:val="22"/>
                <w:szCs w:val="22"/>
                <w:lang w:val="sr-Latn-ME"/>
              </w:rPr>
            </w:pPr>
            <w:r w:rsidRPr="006F34F9">
              <w:rPr>
                <w:b w:val="0"/>
                <w:sz w:val="22"/>
                <w:szCs w:val="22"/>
                <w:lang w:val="sr-Latn-ME"/>
              </w:rPr>
              <w:t>Razlika liječenja</w:t>
            </w:r>
          </w:p>
          <w:p w14:paraId="65ACD1BD" w14:textId="77777777" w:rsidR="00EC364F" w:rsidRPr="006F34F9" w:rsidRDefault="00EC364F" w:rsidP="00180C9F">
            <w:pPr>
              <w:pStyle w:val="table-heading-9centered"/>
              <w:keepLines/>
              <w:spacing w:before="0" w:after="0"/>
              <w:jc w:val="both"/>
              <w:rPr>
                <w:b w:val="0"/>
                <w:sz w:val="22"/>
                <w:szCs w:val="22"/>
                <w:lang w:val="sr-Latn-ME"/>
              </w:rPr>
            </w:pPr>
            <w:r w:rsidRPr="006F34F9">
              <w:rPr>
                <w:b w:val="0"/>
                <w:sz w:val="22"/>
                <w:szCs w:val="22"/>
                <w:lang w:val="sr-Latn-ME"/>
              </w:rPr>
              <w:t xml:space="preserve">(95% CI) </w:t>
            </w:r>
          </w:p>
          <w:p w14:paraId="31F73A05" w14:textId="77777777" w:rsidR="00EC364F" w:rsidRPr="006F34F9" w:rsidRDefault="00EC364F" w:rsidP="00180C9F">
            <w:pPr>
              <w:pStyle w:val="table-heading-9centered"/>
              <w:keepLines/>
              <w:spacing w:before="0" w:after="0"/>
              <w:jc w:val="both"/>
              <w:rPr>
                <w:b w:val="0"/>
                <w:sz w:val="22"/>
                <w:szCs w:val="22"/>
                <w:lang w:val="sr-Latn-ME"/>
              </w:rPr>
            </w:pPr>
            <w:r w:rsidRPr="006F34F9">
              <w:rPr>
                <w:b w:val="0"/>
                <w:sz w:val="22"/>
                <w:szCs w:val="22"/>
                <w:lang w:val="sr-Latn-ME"/>
              </w:rPr>
              <w:t>Vedolizumab s.c. u odnosu na placebo</w:t>
            </w:r>
          </w:p>
        </w:tc>
      </w:tr>
      <w:tr w:rsidR="00EC364F" w:rsidRPr="006F34F9" w14:paraId="2BEFE2BF" w14:textId="77777777" w:rsidTr="00180C9F">
        <w:trPr>
          <w:cantSplit/>
        </w:trPr>
        <w:tc>
          <w:tcPr>
            <w:tcW w:w="1538" w:type="pct"/>
            <w:tcBorders>
              <w:top w:val="single" w:sz="4" w:space="0" w:color="auto"/>
            </w:tcBorders>
          </w:tcPr>
          <w:p w14:paraId="788A96EB" w14:textId="77777777" w:rsidR="00EC364F" w:rsidRPr="006F34F9" w:rsidRDefault="00EC364F" w:rsidP="00180C9F">
            <w:pPr>
              <w:pStyle w:val="TableHeaderL"/>
              <w:spacing w:before="40" w:after="40"/>
              <w:jc w:val="both"/>
              <w:rPr>
                <w:rFonts w:eastAsia="Calibri"/>
                <w:b w:val="0"/>
                <w:sz w:val="22"/>
                <w:szCs w:val="22"/>
                <w:lang w:val="sr-Latn-ME"/>
              </w:rPr>
            </w:pPr>
            <w:r w:rsidRPr="006F34F9">
              <w:rPr>
                <w:rFonts w:eastAsia="Calibri"/>
                <w:b w:val="0"/>
                <w:sz w:val="22"/>
                <w:szCs w:val="22"/>
                <w:lang w:val="sr-Latn-ME"/>
              </w:rPr>
              <w:t xml:space="preserve">Klinička remisija </w:t>
            </w:r>
          </w:p>
        </w:tc>
        <w:tc>
          <w:tcPr>
            <w:tcW w:w="539" w:type="pct"/>
            <w:tcBorders>
              <w:top w:val="single" w:sz="4" w:space="0" w:color="auto"/>
            </w:tcBorders>
            <w:vAlign w:val="center"/>
          </w:tcPr>
          <w:p w14:paraId="77CCB32C" w14:textId="77777777" w:rsidR="00EC364F" w:rsidRPr="006F34F9" w:rsidRDefault="00EC364F" w:rsidP="00180C9F">
            <w:pPr>
              <w:pStyle w:val="TableHeaderL"/>
              <w:spacing w:before="40" w:after="40"/>
              <w:jc w:val="both"/>
              <w:rPr>
                <w:rFonts w:eastAsia="Calibri"/>
                <w:b w:val="0"/>
                <w:sz w:val="22"/>
                <w:szCs w:val="22"/>
                <w:lang w:val="sr-Latn-ME"/>
              </w:rPr>
            </w:pPr>
            <w:r w:rsidRPr="006F34F9">
              <w:rPr>
                <w:b w:val="0"/>
                <w:sz w:val="22"/>
                <w:szCs w:val="22"/>
                <w:lang w:val="sr-Latn-ME"/>
              </w:rPr>
              <w:t>42,9%</w:t>
            </w:r>
          </w:p>
        </w:tc>
        <w:tc>
          <w:tcPr>
            <w:tcW w:w="1340" w:type="pct"/>
            <w:tcBorders>
              <w:top w:val="single" w:sz="4" w:space="0" w:color="auto"/>
            </w:tcBorders>
            <w:vAlign w:val="center"/>
          </w:tcPr>
          <w:p w14:paraId="03029E4B" w14:textId="77777777" w:rsidR="00EC364F" w:rsidRPr="006F34F9" w:rsidRDefault="00EC364F" w:rsidP="00180C9F">
            <w:pPr>
              <w:pStyle w:val="TableHeaderL"/>
              <w:spacing w:before="40" w:after="40"/>
              <w:jc w:val="both"/>
              <w:rPr>
                <w:rFonts w:eastAsia="Calibri"/>
                <w:b w:val="0"/>
                <w:sz w:val="22"/>
                <w:szCs w:val="22"/>
                <w:lang w:val="sr-Latn-ME"/>
              </w:rPr>
            </w:pPr>
            <w:r w:rsidRPr="006F34F9">
              <w:rPr>
                <w:b w:val="0"/>
                <w:sz w:val="22"/>
                <w:szCs w:val="22"/>
                <w:lang w:val="sr-Latn-ME"/>
              </w:rPr>
              <w:t>48,6%</w:t>
            </w:r>
          </w:p>
        </w:tc>
        <w:tc>
          <w:tcPr>
            <w:tcW w:w="1583" w:type="pct"/>
            <w:tcBorders>
              <w:top w:val="single" w:sz="4" w:space="0" w:color="auto"/>
            </w:tcBorders>
            <w:vAlign w:val="center"/>
          </w:tcPr>
          <w:p w14:paraId="167F47BD" w14:textId="77777777" w:rsidR="00EC364F" w:rsidRPr="006F34F9" w:rsidRDefault="00EC364F" w:rsidP="00180C9F">
            <w:pPr>
              <w:pStyle w:val="TableText"/>
              <w:spacing w:before="40" w:after="40"/>
              <w:jc w:val="both"/>
              <w:rPr>
                <w:b/>
                <w:sz w:val="22"/>
                <w:szCs w:val="22"/>
                <w:lang w:val="sr-Latn-ME"/>
              </w:rPr>
            </w:pPr>
            <w:r w:rsidRPr="006F34F9">
              <w:rPr>
                <w:rFonts w:eastAsia="Calibri"/>
                <w:sz w:val="22"/>
                <w:szCs w:val="22"/>
                <w:lang w:val="sr-Latn-ME"/>
              </w:rPr>
              <w:t>4,3 (</w:t>
            </w:r>
            <w:r w:rsidRPr="006F34F9">
              <w:rPr>
                <w:rFonts w:eastAsia="Calibri"/>
                <w:sz w:val="22"/>
                <w:szCs w:val="22"/>
                <w:lang w:val="sr-Latn-ME"/>
              </w:rPr>
              <w:noBreakHyphen/>
              <w:t>11,6; 20,3)</w:t>
            </w:r>
          </w:p>
        </w:tc>
      </w:tr>
      <w:tr w:rsidR="00EC364F" w:rsidRPr="006F34F9" w14:paraId="1981F7B4" w14:textId="77777777" w:rsidTr="00180C9F">
        <w:trPr>
          <w:cantSplit/>
        </w:trPr>
        <w:tc>
          <w:tcPr>
            <w:tcW w:w="1538" w:type="pct"/>
          </w:tcPr>
          <w:p w14:paraId="2CDA9600" w14:textId="77777777" w:rsidR="00EC364F" w:rsidRPr="006F34F9" w:rsidRDefault="00EC364F" w:rsidP="00180C9F">
            <w:pPr>
              <w:pStyle w:val="TableText"/>
              <w:spacing w:before="40" w:after="40"/>
              <w:jc w:val="both"/>
              <w:rPr>
                <w:rFonts w:eastAsia="Calibri"/>
                <w:sz w:val="22"/>
                <w:szCs w:val="22"/>
                <w:lang w:val="sr-Latn-ME"/>
              </w:rPr>
            </w:pPr>
            <w:r w:rsidRPr="006F34F9">
              <w:rPr>
                <w:rFonts w:eastAsia="Calibri"/>
                <w:sz w:val="22"/>
                <w:szCs w:val="22"/>
                <w:lang w:val="sr-Latn-ME"/>
              </w:rPr>
              <w:t>Poboljšani klinički odgovor</w:t>
            </w:r>
          </w:p>
        </w:tc>
        <w:tc>
          <w:tcPr>
            <w:tcW w:w="539" w:type="pct"/>
          </w:tcPr>
          <w:p w14:paraId="58B944F5" w14:textId="77777777" w:rsidR="00EC364F" w:rsidRPr="006F34F9" w:rsidRDefault="00EC364F" w:rsidP="00180C9F">
            <w:pPr>
              <w:pStyle w:val="TableText"/>
              <w:spacing w:before="40" w:after="40"/>
              <w:jc w:val="both"/>
              <w:rPr>
                <w:rFonts w:eastAsia="Calibri"/>
                <w:sz w:val="22"/>
                <w:szCs w:val="22"/>
                <w:lang w:val="sr-Latn-ME"/>
              </w:rPr>
            </w:pPr>
            <w:r w:rsidRPr="006F34F9">
              <w:rPr>
                <w:sz w:val="22"/>
                <w:szCs w:val="22"/>
                <w:lang w:val="sr-Latn-ME"/>
              </w:rPr>
              <w:t>47,6%</w:t>
            </w:r>
          </w:p>
        </w:tc>
        <w:tc>
          <w:tcPr>
            <w:tcW w:w="1340" w:type="pct"/>
          </w:tcPr>
          <w:p w14:paraId="5697455E" w14:textId="77777777" w:rsidR="00EC364F" w:rsidRPr="006F34F9" w:rsidRDefault="00EC364F" w:rsidP="00180C9F">
            <w:pPr>
              <w:pStyle w:val="TableText"/>
              <w:spacing w:before="40" w:after="40"/>
              <w:jc w:val="both"/>
              <w:rPr>
                <w:rFonts w:eastAsia="Calibri"/>
                <w:sz w:val="22"/>
                <w:szCs w:val="22"/>
                <w:lang w:val="sr-Latn-ME"/>
              </w:rPr>
            </w:pPr>
            <w:r w:rsidRPr="006F34F9">
              <w:rPr>
                <w:sz w:val="22"/>
                <w:szCs w:val="22"/>
                <w:lang w:val="sr-Latn-ME"/>
              </w:rPr>
              <w:t>54,2%</w:t>
            </w:r>
          </w:p>
        </w:tc>
        <w:tc>
          <w:tcPr>
            <w:tcW w:w="1583" w:type="pct"/>
          </w:tcPr>
          <w:p w14:paraId="044D033D" w14:textId="77777777" w:rsidR="00EC364F" w:rsidRPr="006F34F9" w:rsidRDefault="00EC364F" w:rsidP="00180C9F">
            <w:pPr>
              <w:pStyle w:val="TableText"/>
              <w:spacing w:before="40" w:after="40"/>
              <w:jc w:val="both"/>
              <w:rPr>
                <w:rFonts w:eastAsia="Calibri"/>
                <w:sz w:val="22"/>
                <w:szCs w:val="22"/>
                <w:lang w:val="sr-Latn-ME"/>
              </w:rPr>
            </w:pPr>
            <w:r w:rsidRPr="006F34F9">
              <w:rPr>
                <w:rFonts w:eastAsia="Calibri"/>
                <w:sz w:val="22"/>
                <w:szCs w:val="22"/>
                <w:lang w:val="sr-Latn-ME"/>
              </w:rPr>
              <w:t>4,4 (</w:t>
            </w:r>
            <w:r w:rsidRPr="006F34F9">
              <w:rPr>
                <w:rFonts w:eastAsia="Calibri"/>
                <w:sz w:val="22"/>
                <w:szCs w:val="22"/>
                <w:lang w:val="sr-Latn-ME"/>
              </w:rPr>
              <w:noBreakHyphen/>
              <w:t>11,6; 20,3)</w:t>
            </w:r>
          </w:p>
        </w:tc>
      </w:tr>
      <w:tr w:rsidR="00EC364F" w:rsidRPr="006F34F9" w14:paraId="34053596" w14:textId="77777777" w:rsidTr="00180C9F">
        <w:trPr>
          <w:cantSplit/>
        </w:trPr>
        <w:tc>
          <w:tcPr>
            <w:tcW w:w="1538" w:type="pct"/>
            <w:tcBorders>
              <w:bottom w:val="single" w:sz="4" w:space="0" w:color="auto"/>
            </w:tcBorders>
          </w:tcPr>
          <w:p w14:paraId="2A08853D" w14:textId="77777777" w:rsidR="00EC364F" w:rsidRPr="006F34F9" w:rsidRDefault="00EC364F" w:rsidP="00180C9F">
            <w:pPr>
              <w:pStyle w:val="TableText"/>
              <w:spacing w:before="40" w:after="40"/>
              <w:jc w:val="both"/>
              <w:rPr>
                <w:rFonts w:eastAsia="Calibri"/>
                <w:sz w:val="22"/>
                <w:szCs w:val="22"/>
                <w:lang w:val="sr-Latn-ME"/>
              </w:rPr>
            </w:pPr>
            <w:r w:rsidRPr="006F34F9">
              <w:rPr>
                <w:rFonts w:eastAsia="Calibri"/>
                <w:sz w:val="22"/>
                <w:szCs w:val="22"/>
                <w:lang w:val="sr-Latn-ME"/>
              </w:rPr>
              <w:t>Remisija bez kortikosteroida</w:t>
            </w:r>
            <w:r w:rsidRPr="006F34F9">
              <w:rPr>
                <w:sz w:val="22"/>
                <w:szCs w:val="22"/>
                <w:vertAlign w:val="superscript"/>
                <w:lang w:val="sr-Latn-ME"/>
              </w:rPr>
              <w:t>**</w:t>
            </w:r>
          </w:p>
        </w:tc>
        <w:tc>
          <w:tcPr>
            <w:tcW w:w="539" w:type="pct"/>
            <w:tcBorders>
              <w:bottom w:val="single" w:sz="4" w:space="0" w:color="auto"/>
            </w:tcBorders>
            <w:vAlign w:val="center"/>
          </w:tcPr>
          <w:p w14:paraId="23EC4EA0" w14:textId="77777777" w:rsidR="00EC364F" w:rsidRPr="006F34F9" w:rsidRDefault="00EC364F" w:rsidP="00180C9F">
            <w:pPr>
              <w:pStyle w:val="TableText"/>
              <w:spacing w:before="40" w:after="40"/>
              <w:jc w:val="both"/>
              <w:rPr>
                <w:rFonts w:eastAsia="Calibri"/>
                <w:sz w:val="22"/>
                <w:szCs w:val="22"/>
                <w:lang w:val="sr-Latn-ME"/>
              </w:rPr>
            </w:pPr>
            <w:r w:rsidRPr="006F34F9">
              <w:rPr>
                <w:sz w:val="22"/>
                <w:szCs w:val="22"/>
                <w:lang w:val="sr-Latn-ME"/>
              </w:rPr>
              <w:t>18,2%</w:t>
            </w:r>
          </w:p>
        </w:tc>
        <w:tc>
          <w:tcPr>
            <w:tcW w:w="1340" w:type="pct"/>
            <w:tcBorders>
              <w:bottom w:val="single" w:sz="4" w:space="0" w:color="auto"/>
            </w:tcBorders>
            <w:vAlign w:val="center"/>
          </w:tcPr>
          <w:p w14:paraId="3B912552" w14:textId="77777777" w:rsidR="00EC364F" w:rsidRPr="006F34F9" w:rsidRDefault="00EC364F" w:rsidP="00180C9F">
            <w:pPr>
              <w:pStyle w:val="TableText"/>
              <w:spacing w:before="40" w:after="40"/>
              <w:jc w:val="both"/>
              <w:rPr>
                <w:rFonts w:eastAsia="Calibri"/>
                <w:sz w:val="22"/>
                <w:szCs w:val="22"/>
                <w:lang w:val="sr-Latn-ME"/>
              </w:rPr>
            </w:pPr>
            <w:r w:rsidRPr="006F34F9">
              <w:rPr>
                <w:sz w:val="22"/>
                <w:szCs w:val="22"/>
                <w:lang w:val="sr-Latn-ME"/>
              </w:rPr>
              <w:t>41,0%</w:t>
            </w:r>
          </w:p>
        </w:tc>
        <w:tc>
          <w:tcPr>
            <w:tcW w:w="1583" w:type="pct"/>
            <w:tcBorders>
              <w:bottom w:val="single" w:sz="4" w:space="0" w:color="auto"/>
            </w:tcBorders>
          </w:tcPr>
          <w:p w14:paraId="4A51826C" w14:textId="77777777" w:rsidR="00EC364F" w:rsidRPr="006F34F9" w:rsidRDefault="00EC364F" w:rsidP="00180C9F">
            <w:pPr>
              <w:pStyle w:val="TableText"/>
              <w:spacing w:before="40" w:after="40"/>
              <w:jc w:val="both"/>
              <w:rPr>
                <w:sz w:val="22"/>
                <w:szCs w:val="22"/>
                <w:lang w:val="sr-Latn-ME"/>
              </w:rPr>
            </w:pPr>
            <w:r w:rsidRPr="006F34F9">
              <w:rPr>
                <w:rFonts w:eastAsia="Calibri"/>
                <w:sz w:val="22"/>
                <w:szCs w:val="22"/>
                <w:lang w:val="sr-Latn-ME"/>
              </w:rPr>
              <w:t>22,8 (</w:t>
            </w:r>
            <w:r w:rsidRPr="006F34F9">
              <w:rPr>
                <w:rFonts w:eastAsia="Calibri"/>
                <w:sz w:val="22"/>
                <w:szCs w:val="22"/>
                <w:lang w:val="sr-Latn-ME"/>
              </w:rPr>
              <w:noBreakHyphen/>
              <w:t>3,2; 46,8)</w:t>
            </w:r>
          </w:p>
        </w:tc>
      </w:tr>
      <w:tr w:rsidR="00EC364F" w:rsidRPr="00FA0EE3" w14:paraId="7125C978" w14:textId="77777777" w:rsidTr="00180C9F">
        <w:trPr>
          <w:cantSplit/>
        </w:trPr>
        <w:tc>
          <w:tcPr>
            <w:tcW w:w="5000" w:type="pct"/>
            <w:gridSpan w:val="4"/>
            <w:tcBorders>
              <w:top w:val="single" w:sz="4" w:space="0" w:color="auto"/>
            </w:tcBorders>
          </w:tcPr>
          <w:p w14:paraId="46E598DA" w14:textId="5FFDE241" w:rsidR="00EC364F" w:rsidRPr="0066419A" w:rsidRDefault="00EC364F" w:rsidP="00180C9F">
            <w:pPr>
              <w:pStyle w:val="TableText"/>
              <w:spacing w:after="0"/>
              <w:jc w:val="both"/>
              <w:rPr>
                <w:rFonts w:eastAsia="Calibri"/>
                <w:lang w:val="sr-Latn-ME"/>
              </w:rPr>
            </w:pPr>
            <w:r w:rsidRPr="0066419A">
              <w:rPr>
                <w:vertAlign w:val="superscript"/>
                <w:lang w:val="sr-Latn-ME"/>
              </w:rPr>
              <w:t>**</w:t>
            </w:r>
            <w:r w:rsidRPr="0066419A">
              <w:rPr>
                <w:lang w:val="sr-Latn-ME"/>
              </w:rPr>
              <w:t xml:space="preserve"> Broj </w:t>
            </w:r>
            <w:r w:rsidR="00D43BC5" w:rsidRPr="0066419A">
              <w:rPr>
                <w:lang w:val="sr-Latn-ME"/>
              </w:rPr>
              <w:t>pacijenata</w:t>
            </w:r>
            <w:r w:rsidRPr="0066419A">
              <w:rPr>
                <w:lang w:val="sr-Latn-ME"/>
              </w:rPr>
              <w:t xml:space="preserve"> koji </w:t>
            </w:r>
            <w:r w:rsidR="00B148F2" w:rsidRPr="0066419A">
              <w:rPr>
                <w:lang w:val="sr-Latn-ME"/>
              </w:rPr>
              <w:t>prethodno</w:t>
            </w:r>
            <w:r w:rsidRPr="0066419A">
              <w:rPr>
                <w:lang w:val="sr-Latn-ME"/>
              </w:rPr>
              <w:t xml:space="preserve"> ni</w:t>
            </w:r>
            <w:r w:rsidR="000D6DBC" w:rsidRPr="0066419A">
              <w:rPr>
                <w:lang w:val="sr-Latn-ME"/>
              </w:rPr>
              <w:t>je</w:t>
            </w:r>
            <w:r w:rsidRPr="0066419A">
              <w:rPr>
                <w:lang w:val="sr-Latn-ME"/>
              </w:rPr>
              <w:t>su liječeni antagonistima TNFα koji koriste peroralne kortikosteroide na početku ispitivanja iznosio je n = 22 za placebo i n = 39 za su</w:t>
            </w:r>
            <w:r w:rsidR="000D6DBC" w:rsidRPr="0066419A">
              <w:rPr>
                <w:lang w:val="sr-Latn-ME"/>
              </w:rPr>
              <w:t>b</w:t>
            </w:r>
            <w:r w:rsidRPr="0066419A">
              <w:rPr>
                <w:lang w:val="sr-Latn-ME"/>
              </w:rPr>
              <w:t>kutani vedolizumab</w:t>
            </w:r>
          </w:p>
        </w:tc>
      </w:tr>
    </w:tbl>
    <w:p w14:paraId="51AEFE79" w14:textId="77777777" w:rsidR="00EC364F" w:rsidRPr="0066419A" w:rsidRDefault="00EC364F" w:rsidP="00180C9F">
      <w:pPr>
        <w:pStyle w:val="CCDSBodytext"/>
        <w:spacing w:line="240" w:lineRule="auto"/>
        <w:jc w:val="both"/>
        <w:rPr>
          <w:rFonts w:eastAsia="Calibri"/>
          <w:sz w:val="20"/>
          <w:szCs w:val="20"/>
          <w:lang w:val="sr-Latn-ME"/>
        </w:rPr>
      </w:pPr>
    </w:p>
    <w:tbl>
      <w:tblPr>
        <w:tblW w:w="5079" w:type="pct"/>
        <w:tblInd w:w="-142" w:type="dxa"/>
        <w:tblLook w:val="04A0" w:firstRow="1" w:lastRow="0" w:firstColumn="1" w:lastColumn="0" w:noHBand="0" w:noVBand="1"/>
      </w:tblPr>
      <w:tblGrid>
        <w:gridCol w:w="2919"/>
        <w:gridCol w:w="1124"/>
        <w:gridCol w:w="2672"/>
        <w:gridCol w:w="2499"/>
      </w:tblGrid>
      <w:tr w:rsidR="00EC364F" w:rsidRPr="006F34F9" w14:paraId="657FF66F" w14:textId="77777777" w:rsidTr="00180C9F">
        <w:trPr>
          <w:cantSplit/>
        </w:trPr>
        <w:tc>
          <w:tcPr>
            <w:tcW w:w="5000" w:type="pct"/>
            <w:gridSpan w:val="4"/>
            <w:tcBorders>
              <w:bottom w:val="single" w:sz="4" w:space="0" w:color="auto"/>
            </w:tcBorders>
          </w:tcPr>
          <w:p w14:paraId="416547CA" w14:textId="4CA95519" w:rsidR="00EC364F" w:rsidRPr="006F34F9" w:rsidRDefault="0067327C" w:rsidP="00180C9F">
            <w:pPr>
              <w:pStyle w:val="table-heading-9centered"/>
              <w:keepLines/>
              <w:spacing w:before="0" w:after="0"/>
              <w:jc w:val="both"/>
              <w:rPr>
                <w:b w:val="0"/>
                <w:sz w:val="22"/>
                <w:szCs w:val="22"/>
                <w:lang w:val="sr-Latn-ME"/>
              </w:rPr>
            </w:pPr>
            <w:r w:rsidRPr="006F34F9">
              <w:rPr>
                <w:sz w:val="22"/>
                <w:szCs w:val="22"/>
                <w:lang w:val="sr-Latn-ME"/>
              </w:rPr>
              <w:lastRenderedPageBreak/>
              <w:t>Tabela</w:t>
            </w:r>
            <w:r w:rsidR="00EC364F" w:rsidRPr="006F34F9">
              <w:rPr>
                <w:sz w:val="22"/>
                <w:szCs w:val="22"/>
                <w:lang w:val="sr-Latn-ME"/>
              </w:rPr>
              <w:t xml:space="preserve"> 10. Rezultati </w:t>
            </w:r>
            <w:r w:rsidR="00B148F2" w:rsidRPr="006F34F9">
              <w:rPr>
                <w:sz w:val="22"/>
                <w:szCs w:val="22"/>
                <w:lang w:val="sr-Latn-ME"/>
              </w:rPr>
              <w:t>efikasnosti</w:t>
            </w:r>
            <w:r w:rsidR="00EC364F" w:rsidRPr="006F34F9">
              <w:rPr>
                <w:sz w:val="22"/>
                <w:szCs w:val="22"/>
                <w:lang w:val="sr-Latn-ME"/>
              </w:rPr>
              <w:t xml:space="preserve"> u 52. </w:t>
            </w:r>
            <w:r w:rsidRPr="006F34F9">
              <w:rPr>
                <w:sz w:val="22"/>
                <w:szCs w:val="22"/>
                <w:lang w:val="sr-Latn-ME"/>
              </w:rPr>
              <w:t>nedjelji</w:t>
            </w:r>
            <w:r w:rsidR="00EC364F" w:rsidRPr="006F34F9">
              <w:rPr>
                <w:sz w:val="22"/>
                <w:szCs w:val="22"/>
                <w:lang w:val="sr-Latn-ME"/>
              </w:rPr>
              <w:t xml:space="preserve"> ispitivanja VISIBLE 2 </w:t>
            </w:r>
            <w:r w:rsidR="00B148F2" w:rsidRPr="006F34F9">
              <w:rPr>
                <w:sz w:val="22"/>
                <w:szCs w:val="22"/>
                <w:lang w:val="sr-Latn-ME"/>
              </w:rPr>
              <w:t>kod</w:t>
            </w:r>
            <w:r w:rsidR="00EC364F" w:rsidRPr="006F34F9">
              <w:rPr>
                <w:sz w:val="22"/>
                <w:szCs w:val="22"/>
                <w:lang w:val="sr-Latn-ME"/>
              </w:rPr>
              <w:t xml:space="preserve"> </w:t>
            </w:r>
            <w:r w:rsidR="00D43BC5" w:rsidRPr="006F34F9">
              <w:rPr>
                <w:sz w:val="22"/>
                <w:szCs w:val="22"/>
                <w:lang w:val="sr-Latn-ME"/>
              </w:rPr>
              <w:t>pacijenata</w:t>
            </w:r>
            <w:r w:rsidR="00EC364F" w:rsidRPr="006F34F9">
              <w:rPr>
                <w:sz w:val="22"/>
                <w:szCs w:val="22"/>
                <w:lang w:val="sr-Latn-ME"/>
              </w:rPr>
              <w:t xml:space="preserve"> s</w:t>
            </w:r>
            <w:r w:rsidR="00B148F2" w:rsidRPr="006F34F9">
              <w:rPr>
                <w:sz w:val="22"/>
                <w:szCs w:val="22"/>
                <w:lang w:val="sr-Latn-ME"/>
              </w:rPr>
              <w:t>a</w:t>
            </w:r>
            <w:r w:rsidR="00EC364F" w:rsidRPr="006F34F9">
              <w:rPr>
                <w:sz w:val="22"/>
                <w:szCs w:val="22"/>
                <w:lang w:val="sr-Latn-ME"/>
              </w:rPr>
              <w:t xml:space="preserve"> neuspješnom terapijom antagonistima TNFα </w:t>
            </w:r>
          </w:p>
        </w:tc>
      </w:tr>
      <w:tr w:rsidR="00EC364F" w:rsidRPr="006F34F9" w14:paraId="60B82F94" w14:textId="77777777" w:rsidTr="00180C9F">
        <w:trPr>
          <w:cantSplit/>
        </w:trPr>
        <w:tc>
          <w:tcPr>
            <w:tcW w:w="1584" w:type="pct"/>
            <w:tcBorders>
              <w:top w:val="single" w:sz="4" w:space="0" w:color="auto"/>
              <w:bottom w:val="single" w:sz="4" w:space="0" w:color="auto"/>
            </w:tcBorders>
            <w:vAlign w:val="bottom"/>
          </w:tcPr>
          <w:p w14:paraId="791DE94C" w14:textId="77777777" w:rsidR="00EC364F" w:rsidRPr="006F34F9" w:rsidRDefault="00EC364F" w:rsidP="00180C9F">
            <w:pPr>
              <w:pStyle w:val="TableHeaderL"/>
              <w:keepNext/>
              <w:spacing w:after="0"/>
              <w:jc w:val="both"/>
              <w:rPr>
                <w:rFonts w:eastAsia="Calibri"/>
                <w:b w:val="0"/>
                <w:sz w:val="22"/>
                <w:szCs w:val="22"/>
                <w:lang w:val="sr-Latn-ME"/>
              </w:rPr>
            </w:pPr>
            <w:r w:rsidRPr="006F34F9">
              <w:rPr>
                <w:b w:val="0"/>
                <w:sz w:val="22"/>
                <w:szCs w:val="22"/>
                <w:lang w:val="sr-Latn-ME"/>
              </w:rPr>
              <w:t>Mjera ishoda</w:t>
            </w:r>
          </w:p>
        </w:tc>
        <w:tc>
          <w:tcPr>
            <w:tcW w:w="610" w:type="pct"/>
            <w:tcBorders>
              <w:top w:val="single" w:sz="4" w:space="0" w:color="auto"/>
              <w:bottom w:val="single" w:sz="4" w:space="0" w:color="auto"/>
            </w:tcBorders>
            <w:vAlign w:val="bottom"/>
          </w:tcPr>
          <w:p w14:paraId="0B8BF4CF" w14:textId="77777777" w:rsidR="00EC364F" w:rsidRPr="006F34F9" w:rsidRDefault="00EC364F" w:rsidP="00180C9F">
            <w:pPr>
              <w:pStyle w:val="TableHeaderC"/>
              <w:keepNext/>
              <w:spacing w:after="0"/>
              <w:jc w:val="both"/>
              <w:rPr>
                <w:b w:val="0"/>
                <w:sz w:val="22"/>
                <w:szCs w:val="22"/>
                <w:lang w:val="sr-Latn-ME"/>
              </w:rPr>
            </w:pPr>
            <w:r w:rsidRPr="006F34F9">
              <w:rPr>
                <w:b w:val="0"/>
                <w:sz w:val="22"/>
                <w:szCs w:val="22"/>
                <w:lang w:val="sr-Latn-ME"/>
              </w:rPr>
              <w:t>Placebo</w:t>
            </w:r>
          </w:p>
          <w:p w14:paraId="133B67C4" w14:textId="77777777" w:rsidR="00EC364F" w:rsidRPr="006F34F9" w:rsidRDefault="00EC364F" w:rsidP="00180C9F">
            <w:pPr>
              <w:pStyle w:val="TableHeaderC"/>
              <w:keepNext/>
              <w:spacing w:after="0"/>
              <w:jc w:val="both"/>
              <w:rPr>
                <w:rFonts w:eastAsia="Calibri"/>
                <w:b w:val="0"/>
                <w:sz w:val="22"/>
                <w:szCs w:val="22"/>
                <w:lang w:val="sr-Latn-ME"/>
              </w:rPr>
            </w:pPr>
            <w:r w:rsidRPr="006F34F9">
              <w:rPr>
                <w:b w:val="0"/>
                <w:sz w:val="22"/>
                <w:szCs w:val="22"/>
                <w:lang w:val="sr-Latn-ME"/>
              </w:rPr>
              <w:t>n = 59</w:t>
            </w:r>
          </w:p>
        </w:tc>
        <w:tc>
          <w:tcPr>
            <w:tcW w:w="1450" w:type="pct"/>
            <w:tcBorders>
              <w:top w:val="single" w:sz="4" w:space="0" w:color="auto"/>
              <w:bottom w:val="single" w:sz="4" w:space="0" w:color="auto"/>
            </w:tcBorders>
            <w:vAlign w:val="bottom"/>
          </w:tcPr>
          <w:p w14:paraId="69089761" w14:textId="77777777" w:rsidR="00EC364F" w:rsidRPr="006F34F9" w:rsidRDefault="00EC364F" w:rsidP="0066419A">
            <w:pPr>
              <w:pStyle w:val="table-heading-9centered"/>
              <w:keepLines/>
              <w:spacing w:before="0" w:after="0"/>
              <w:rPr>
                <w:b w:val="0"/>
                <w:sz w:val="22"/>
                <w:szCs w:val="22"/>
                <w:lang w:val="sr-Latn-ME"/>
              </w:rPr>
            </w:pPr>
            <w:r w:rsidRPr="006F34F9">
              <w:rPr>
                <w:b w:val="0"/>
                <w:sz w:val="22"/>
                <w:szCs w:val="22"/>
                <w:lang w:val="sr-Latn-ME"/>
              </w:rPr>
              <w:t>Vedolizumab s.c. 108 mg</w:t>
            </w:r>
          </w:p>
          <w:p w14:paraId="09A44187" w14:textId="29DDC17D" w:rsidR="00EC364F" w:rsidRPr="006F34F9" w:rsidRDefault="00EC364F" w:rsidP="0066419A">
            <w:pPr>
              <w:pStyle w:val="table-heading-9centered"/>
              <w:keepLines/>
              <w:spacing w:before="0" w:after="0"/>
              <w:rPr>
                <w:b w:val="0"/>
                <w:sz w:val="22"/>
                <w:szCs w:val="22"/>
                <w:lang w:val="sr-Latn-ME"/>
              </w:rPr>
            </w:pPr>
            <w:r w:rsidRPr="006F34F9">
              <w:rPr>
                <w:b w:val="0"/>
                <w:sz w:val="22"/>
                <w:szCs w:val="22"/>
                <w:lang w:val="sr-Latn-ME"/>
              </w:rPr>
              <w:t xml:space="preserve">svakih 8 </w:t>
            </w:r>
            <w:r w:rsidR="000D6DBC" w:rsidRPr="006F34F9">
              <w:rPr>
                <w:b w:val="0"/>
                <w:sz w:val="22"/>
                <w:szCs w:val="22"/>
                <w:lang w:val="sr-Latn-ME"/>
              </w:rPr>
              <w:t>nedjelja</w:t>
            </w:r>
          </w:p>
          <w:p w14:paraId="7D7290FC" w14:textId="77777777" w:rsidR="00EC364F" w:rsidRPr="006F34F9" w:rsidRDefault="00EC364F" w:rsidP="0066419A">
            <w:pPr>
              <w:pStyle w:val="TableHeaderC"/>
              <w:keepNext/>
              <w:spacing w:after="0"/>
              <w:rPr>
                <w:rFonts w:eastAsia="Calibri"/>
                <w:b w:val="0"/>
                <w:sz w:val="22"/>
                <w:szCs w:val="22"/>
                <w:lang w:val="sr-Latn-ME"/>
              </w:rPr>
            </w:pPr>
          </w:p>
          <w:p w14:paraId="2F31158C" w14:textId="77777777" w:rsidR="00EC364F" w:rsidRPr="006F34F9" w:rsidRDefault="00EC364F" w:rsidP="0066419A">
            <w:pPr>
              <w:pStyle w:val="TableHeaderC"/>
              <w:keepNext/>
              <w:spacing w:after="0"/>
              <w:rPr>
                <w:rFonts w:eastAsia="Calibri"/>
                <w:b w:val="0"/>
                <w:sz w:val="22"/>
                <w:szCs w:val="22"/>
                <w:lang w:val="sr-Latn-ME"/>
              </w:rPr>
            </w:pPr>
            <w:r w:rsidRPr="006F34F9">
              <w:rPr>
                <w:rFonts w:eastAsia="Calibri"/>
                <w:b w:val="0"/>
                <w:sz w:val="22"/>
                <w:szCs w:val="22"/>
                <w:lang w:val="sr-Latn-ME"/>
              </w:rPr>
              <w:t>n = 151</w:t>
            </w:r>
          </w:p>
        </w:tc>
        <w:tc>
          <w:tcPr>
            <w:tcW w:w="1356" w:type="pct"/>
            <w:tcBorders>
              <w:top w:val="single" w:sz="4" w:space="0" w:color="auto"/>
              <w:bottom w:val="single" w:sz="4" w:space="0" w:color="auto"/>
            </w:tcBorders>
          </w:tcPr>
          <w:p w14:paraId="09147B66" w14:textId="77777777" w:rsidR="00EC364F" w:rsidRPr="006F34F9" w:rsidRDefault="00EC364F" w:rsidP="0066419A">
            <w:pPr>
              <w:pStyle w:val="table-heading-9centered"/>
              <w:keepLines/>
              <w:spacing w:before="0" w:after="0"/>
              <w:rPr>
                <w:b w:val="0"/>
                <w:sz w:val="22"/>
                <w:szCs w:val="22"/>
                <w:lang w:val="sr-Latn-ME"/>
              </w:rPr>
            </w:pPr>
            <w:r w:rsidRPr="006F34F9">
              <w:rPr>
                <w:b w:val="0"/>
                <w:sz w:val="22"/>
                <w:szCs w:val="22"/>
                <w:lang w:val="sr-Latn-ME"/>
              </w:rPr>
              <w:t>Razlika liječenja</w:t>
            </w:r>
          </w:p>
          <w:p w14:paraId="71CE9BDE" w14:textId="36E8904F" w:rsidR="00EC364F" w:rsidRPr="006F34F9" w:rsidRDefault="00EC364F" w:rsidP="0066419A">
            <w:pPr>
              <w:pStyle w:val="table-heading-9centered"/>
              <w:keepLines/>
              <w:spacing w:before="0" w:after="0"/>
              <w:rPr>
                <w:b w:val="0"/>
                <w:sz w:val="22"/>
                <w:szCs w:val="22"/>
                <w:lang w:val="sr-Latn-ME"/>
              </w:rPr>
            </w:pPr>
            <w:r w:rsidRPr="006F34F9">
              <w:rPr>
                <w:b w:val="0"/>
                <w:sz w:val="22"/>
                <w:szCs w:val="22"/>
                <w:lang w:val="sr-Latn-ME"/>
              </w:rPr>
              <w:t>(95% CI)</w:t>
            </w:r>
          </w:p>
          <w:p w14:paraId="1E3E8D1C" w14:textId="77777777" w:rsidR="00EC364F" w:rsidRPr="006F34F9" w:rsidRDefault="00EC364F" w:rsidP="0066419A">
            <w:pPr>
              <w:pStyle w:val="table-heading-9centered"/>
              <w:keepLines/>
              <w:spacing w:before="0" w:after="0"/>
              <w:rPr>
                <w:b w:val="0"/>
                <w:sz w:val="22"/>
                <w:szCs w:val="22"/>
                <w:lang w:val="sr-Latn-ME"/>
              </w:rPr>
            </w:pPr>
            <w:r w:rsidRPr="006F34F9">
              <w:rPr>
                <w:b w:val="0"/>
                <w:sz w:val="22"/>
                <w:szCs w:val="22"/>
                <w:lang w:val="sr-Latn-ME"/>
              </w:rPr>
              <w:t>Vedolizumab s.c. u odnosu na placebo</w:t>
            </w:r>
          </w:p>
        </w:tc>
      </w:tr>
      <w:tr w:rsidR="00EC364F" w:rsidRPr="006F34F9" w14:paraId="036D4D8B" w14:textId="77777777" w:rsidTr="00180C9F">
        <w:trPr>
          <w:cantSplit/>
        </w:trPr>
        <w:tc>
          <w:tcPr>
            <w:tcW w:w="1584" w:type="pct"/>
            <w:tcBorders>
              <w:top w:val="single" w:sz="4" w:space="0" w:color="auto"/>
            </w:tcBorders>
          </w:tcPr>
          <w:p w14:paraId="15063AC0" w14:textId="77777777" w:rsidR="00EC364F" w:rsidRPr="006F34F9" w:rsidRDefault="00EC364F" w:rsidP="00180C9F">
            <w:pPr>
              <w:pStyle w:val="TableHeaderL"/>
              <w:keepNext/>
              <w:spacing w:before="40" w:after="40"/>
              <w:jc w:val="both"/>
              <w:rPr>
                <w:rFonts w:eastAsia="Calibri"/>
                <w:b w:val="0"/>
                <w:sz w:val="22"/>
                <w:szCs w:val="22"/>
                <w:lang w:val="sr-Latn-ME"/>
              </w:rPr>
            </w:pPr>
            <w:r w:rsidRPr="006F34F9">
              <w:rPr>
                <w:rFonts w:eastAsia="Calibri"/>
                <w:b w:val="0"/>
                <w:sz w:val="22"/>
                <w:szCs w:val="22"/>
                <w:lang w:val="sr-Latn-ME"/>
              </w:rPr>
              <w:t xml:space="preserve">Klinička remisija </w:t>
            </w:r>
          </w:p>
        </w:tc>
        <w:tc>
          <w:tcPr>
            <w:tcW w:w="610" w:type="pct"/>
            <w:tcBorders>
              <w:top w:val="single" w:sz="4" w:space="0" w:color="auto"/>
            </w:tcBorders>
            <w:vAlign w:val="center"/>
          </w:tcPr>
          <w:p w14:paraId="2B08A680" w14:textId="77777777" w:rsidR="00EC364F" w:rsidRPr="006F34F9" w:rsidRDefault="00EC364F" w:rsidP="00180C9F">
            <w:pPr>
              <w:pStyle w:val="TableHeaderL"/>
              <w:keepNext/>
              <w:spacing w:before="40" w:after="40"/>
              <w:jc w:val="both"/>
              <w:rPr>
                <w:rFonts w:eastAsia="Calibri"/>
                <w:b w:val="0"/>
                <w:sz w:val="22"/>
                <w:szCs w:val="22"/>
                <w:lang w:val="sr-Latn-ME"/>
              </w:rPr>
            </w:pPr>
            <w:r w:rsidRPr="006F34F9">
              <w:rPr>
                <w:b w:val="0"/>
                <w:sz w:val="22"/>
                <w:szCs w:val="22"/>
                <w:lang w:val="sr-Latn-ME"/>
              </w:rPr>
              <w:t>28,8%</w:t>
            </w:r>
          </w:p>
        </w:tc>
        <w:tc>
          <w:tcPr>
            <w:tcW w:w="1450" w:type="pct"/>
            <w:tcBorders>
              <w:top w:val="single" w:sz="4" w:space="0" w:color="auto"/>
            </w:tcBorders>
            <w:vAlign w:val="center"/>
          </w:tcPr>
          <w:p w14:paraId="05E852AC" w14:textId="77777777" w:rsidR="00EC364F" w:rsidRPr="006F34F9" w:rsidRDefault="00EC364F" w:rsidP="0066419A">
            <w:pPr>
              <w:pStyle w:val="TableHeaderL"/>
              <w:keepNext/>
              <w:spacing w:before="40" w:after="40"/>
              <w:ind w:left="440" w:hanging="440"/>
              <w:jc w:val="center"/>
              <w:rPr>
                <w:rFonts w:eastAsia="Calibri"/>
                <w:b w:val="0"/>
                <w:sz w:val="22"/>
                <w:szCs w:val="22"/>
                <w:lang w:val="sr-Latn-ME"/>
              </w:rPr>
            </w:pPr>
            <w:r w:rsidRPr="006F34F9">
              <w:rPr>
                <w:b w:val="0"/>
                <w:sz w:val="22"/>
                <w:szCs w:val="22"/>
                <w:lang w:val="sr-Latn-ME"/>
              </w:rPr>
              <w:t>46,4%</w:t>
            </w:r>
          </w:p>
        </w:tc>
        <w:tc>
          <w:tcPr>
            <w:tcW w:w="1356" w:type="pct"/>
            <w:tcBorders>
              <w:top w:val="single" w:sz="4" w:space="0" w:color="auto"/>
            </w:tcBorders>
            <w:vAlign w:val="center"/>
          </w:tcPr>
          <w:p w14:paraId="3CB83F9D" w14:textId="77777777" w:rsidR="00EC364F" w:rsidRPr="006F34F9" w:rsidRDefault="00EC364F" w:rsidP="0066419A">
            <w:pPr>
              <w:pStyle w:val="TableText"/>
              <w:keepNext/>
              <w:spacing w:before="40" w:after="40"/>
              <w:jc w:val="center"/>
              <w:rPr>
                <w:b/>
                <w:sz w:val="22"/>
                <w:szCs w:val="22"/>
                <w:lang w:val="sr-Latn-ME"/>
              </w:rPr>
            </w:pPr>
            <w:r w:rsidRPr="006F34F9">
              <w:rPr>
                <w:sz w:val="22"/>
                <w:szCs w:val="22"/>
                <w:lang w:val="sr-Latn-ME"/>
              </w:rPr>
              <w:t>17,6 (3,8; 31,4)</w:t>
            </w:r>
          </w:p>
        </w:tc>
      </w:tr>
      <w:tr w:rsidR="00EC364F" w:rsidRPr="006F34F9" w14:paraId="4524024F" w14:textId="77777777" w:rsidTr="00180C9F">
        <w:trPr>
          <w:cantSplit/>
        </w:trPr>
        <w:tc>
          <w:tcPr>
            <w:tcW w:w="1584" w:type="pct"/>
          </w:tcPr>
          <w:p w14:paraId="1344895E" w14:textId="77777777" w:rsidR="00EC364F" w:rsidRPr="006F34F9" w:rsidRDefault="00EC364F" w:rsidP="00180C9F">
            <w:pPr>
              <w:pStyle w:val="TableText"/>
              <w:keepNext/>
              <w:spacing w:before="40" w:after="40"/>
              <w:jc w:val="both"/>
              <w:rPr>
                <w:rFonts w:eastAsia="Calibri"/>
                <w:sz w:val="22"/>
                <w:szCs w:val="22"/>
                <w:lang w:val="sr-Latn-ME"/>
              </w:rPr>
            </w:pPr>
            <w:r w:rsidRPr="006F34F9">
              <w:rPr>
                <w:rFonts w:eastAsia="Calibri"/>
                <w:sz w:val="22"/>
                <w:szCs w:val="22"/>
                <w:lang w:val="sr-Latn-ME"/>
              </w:rPr>
              <w:t xml:space="preserve">Poboljšani klinički odgovor </w:t>
            </w:r>
          </w:p>
        </w:tc>
        <w:tc>
          <w:tcPr>
            <w:tcW w:w="610" w:type="pct"/>
          </w:tcPr>
          <w:p w14:paraId="475693A5" w14:textId="77777777" w:rsidR="00EC364F" w:rsidRPr="006F34F9" w:rsidRDefault="00EC364F" w:rsidP="00180C9F">
            <w:pPr>
              <w:pStyle w:val="TableText"/>
              <w:keepNext/>
              <w:spacing w:before="40" w:after="40"/>
              <w:jc w:val="both"/>
              <w:rPr>
                <w:rFonts w:eastAsia="Calibri"/>
                <w:sz w:val="22"/>
                <w:szCs w:val="22"/>
                <w:lang w:val="sr-Latn-ME"/>
              </w:rPr>
            </w:pPr>
            <w:r w:rsidRPr="006F34F9">
              <w:rPr>
                <w:sz w:val="22"/>
                <w:szCs w:val="22"/>
                <w:lang w:val="sr-Latn-ME"/>
              </w:rPr>
              <w:t>45,8%</w:t>
            </w:r>
          </w:p>
        </w:tc>
        <w:tc>
          <w:tcPr>
            <w:tcW w:w="1450" w:type="pct"/>
          </w:tcPr>
          <w:p w14:paraId="5F6AF921" w14:textId="77777777" w:rsidR="00EC364F" w:rsidRPr="006F34F9" w:rsidRDefault="00EC364F" w:rsidP="0066419A">
            <w:pPr>
              <w:pStyle w:val="TableText"/>
              <w:keepNext/>
              <w:spacing w:before="40" w:after="40"/>
              <w:jc w:val="center"/>
              <w:rPr>
                <w:rFonts w:eastAsia="Calibri"/>
                <w:sz w:val="22"/>
                <w:szCs w:val="22"/>
                <w:lang w:val="sr-Latn-ME"/>
              </w:rPr>
            </w:pPr>
            <w:r w:rsidRPr="006F34F9">
              <w:rPr>
                <w:sz w:val="22"/>
                <w:szCs w:val="22"/>
                <w:lang w:val="sr-Latn-ME"/>
              </w:rPr>
              <w:t>49,0%</w:t>
            </w:r>
          </w:p>
        </w:tc>
        <w:tc>
          <w:tcPr>
            <w:tcW w:w="1356" w:type="pct"/>
          </w:tcPr>
          <w:p w14:paraId="25E45F2D" w14:textId="77777777" w:rsidR="00EC364F" w:rsidRPr="006F34F9" w:rsidRDefault="00EC364F" w:rsidP="0066419A">
            <w:pPr>
              <w:pStyle w:val="TableText"/>
              <w:keepNext/>
              <w:spacing w:before="40" w:after="40"/>
              <w:jc w:val="center"/>
              <w:rPr>
                <w:rFonts w:eastAsia="Calibri"/>
                <w:sz w:val="22"/>
                <w:szCs w:val="22"/>
                <w:lang w:val="sr-Latn-ME"/>
              </w:rPr>
            </w:pPr>
            <w:r w:rsidRPr="006F34F9">
              <w:rPr>
                <w:rFonts w:eastAsia="Calibri"/>
                <w:sz w:val="22"/>
                <w:szCs w:val="22"/>
                <w:lang w:val="sr-Latn-ME"/>
              </w:rPr>
              <w:t>3,2 (</w:t>
            </w:r>
            <w:r w:rsidRPr="006F34F9">
              <w:rPr>
                <w:rFonts w:eastAsia="Calibri"/>
                <w:sz w:val="22"/>
                <w:szCs w:val="22"/>
                <w:lang w:val="sr-Latn-ME"/>
              </w:rPr>
              <w:noBreakHyphen/>
              <w:t>11,8; 18,2)</w:t>
            </w:r>
          </w:p>
        </w:tc>
      </w:tr>
      <w:tr w:rsidR="00EC364F" w:rsidRPr="006F34F9" w14:paraId="29C19B81" w14:textId="77777777" w:rsidTr="00180C9F">
        <w:trPr>
          <w:cantSplit/>
        </w:trPr>
        <w:tc>
          <w:tcPr>
            <w:tcW w:w="1584" w:type="pct"/>
            <w:tcBorders>
              <w:bottom w:val="single" w:sz="4" w:space="0" w:color="auto"/>
            </w:tcBorders>
          </w:tcPr>
          <w:p w14:paraId="11797D0C" w14:textId="77777777" w:rsidR="00EC364F" w:rsidRPr="006F34F9" w:rsidRDefault="00EC364F" w:rsidP="00180C9F">
            <w:pPr>
              <w:pStyle w:val="TableText"/>
              <w:keepNext/>
              <w:spacing w:before="40" w:after="40"/>
              <w:jc w:val="both"/>
              <w:rPr>
                <w:rFonts w:eastAsia="Calibri"/>
                <w:sz w:val="22"/>
                <w:szCs w:val="22"/>
                <w:lang w:val="sr-Latn-ME"/>
              </w:rPr>
            </w:pPr>
            <w:r w:rsidRPr="006F34F9">
              <w:rPr>
                <w:sz w:val="22"/>
                <w:szCs w:val="22"/>
                <w:lang w:val="sr-Latn-ME"/>
              </w:rPr>
              <w:t>Remisija bez kortikosteroida</w:t>
            </w:r>
            <w:r w:rsidRPr="006F34F9">
              <w:rPr>
                <w:sz w:val="22"/>
                <w:szCs w:val="22"/>
                <w:vertAlign w:val="superscript"/>
                <w:lang w:val="sr-Latn-ME"/>
              </w:rPr>
              <w:t>**</w:t>
            </w:r>
          </w:p>
        </w:tc>
        <w:tc>
          <w:tcPr>
            <w:tcW w:w="610" w:type="pct"/>
            <w:tcBorders>
              <w:bottom w:val="single" w:sz="4" w:space="0" w:color="auto"/>
            </w:tcBorders>
            <w:vAlign w:val="center"/>
          </w:tcPr>
          <w:p w14:paraId="7CBF01DC" w14:textId="77777777" w:rsidR="00EC364F" w:rsidRPr="006F34F9" w:rsidRDefault="00EC364F" w:rsidP="00180C9F">
            <w:pPr>
              <w:pStyle w:val="TableText"/>
              <w:keepNext/>
              <w:spacing w:before="40" w:after="40"/>
              <w:jc w:val="both"/>
              <w:rPr>
                <w:rFonts w:eastAsia="Calibri"/>
                <w:sz w:val="22"/>
                <w:szCs w:val="22"/>
                <w:lang w:val="sr-Latn-ME"/>
              </w:rPr>
            </w:pPr>
            <w:r w:rsidRPr="006F34F9">
              <w:rPr>
                <w:sz w:val="22"/>
                <w:szCs w:val="22"/>
                <w:lang w:val="sr-Latn-ME"/>
              </w:rPr>
              <w:t>15,0%</w:t>
            </w:r>
          </w:p>
        </w:tc>
        <w:tc>
          <w:tcPr>
            <w:tcW w:w="1450" w:type="pct"/>
            <w:tcBorders>
              <w:bottom w:val="single" w:sz="4" w:space="0" w:color="auto"/>
            </w:tcBorders>
            <w:vAlign w:val="center"/>
          </w:tcPr>
          <w:p w14:paraId="46B74038" w14:textId="77777777" w:rsidR="00EC364F" w:rsidRPr="006F34F9" w:rsidRDefault="00EC364F" w:rsidP="0066419A">
            <w:pPr>
              <w:pStyle w:val="TableText"/>
              <w:keepNext/>
              <w:spacing w:before="40" w:after="40"/>
              <w:jc w:val="center"/>
              <w:rPr>
                <w:rFonts w:eastAsia="Calibri"/>
                <w:sz w:val="22"/>
                <w:szCs w:val="22"/>
                <w:lang w:val="sr-Latn-ME"/>
              </w:rPr>
            </w:pPr>
            <w:r w:rsidRPr="006F34F9">
              <w:rPr>
                <w:sz w:val="22"/>
                <w:szCs w:val="22"/>
                <w:lang w:val="sr-Latn-ME"/>
              </w:rPr>
              <w:t>46,2%</w:t>
            </w:r>
          </w:p>
        </w:tc>
        <w:tc>
          <w:tcPr>
            <w:tcW w:w="1356" w:type="pct"/>
            <w:tcBorders>
              <w:bottom w:val="single" w:sz="4" w:space="0" w:color="auto"/>
            </w:tcBorders>
          </w:tcPr>
          <w:p w14:paraId="7F278260" w14:textId="77777777" w:rsidR="00EC364F" w:rsidRPr="006F34F9" w:rsidRDefault="00EC364F" w:rsidP="0066419A">
            <w:pPr>
              <w:pStyle w:val="TableText"/>
              <w:keepNext/>
              <w:spacing w:before="40" w:after="40"/>
              <w:jc w:val="center"/>
              <w:rPr>
                <w:sz w:val="22"/>
                <w:szCs w:val="22"/>
                <w:lang w:val="sr-Latn-ME"/>
              </w:rPr>
            </w:pPr>
            <w:r w:rsidRPr="006F34F9">
              <w:rPr>
                <w:rFonts w:eastAsia="Calibri"/>
                <w:sz w:val="22"/>
                <w:szCs w:val="22"/>
                <w:lang w:val="sr-Latn-ME"/>
              </w:rPr>
              <w:t>31,2 (5,2; 54,5)</w:t>
            </w:r>
          </w:p>
        </w:tc>
      </w:tr>
      <w:tr w:rsidR="00EC364F" w:rsidRPr="006F34F9" w14:paraId="19FBB59E" w14:textId="77777777" w:rsidTr="00180C9F">
        <w:trPr>
          <w:cantSplit/>
        </w:trPr>
        <w:tc>
          <w:tcPr>
            <w:tcW w:w="5000" w:type="pct"/>
            <w:gridSpan w:val="4"/>
            <w:tcBorders>
              <w:top w:val="single" w:sz="4" w:space="0" w:color="auto"/>
            </w:tcBorders>
          </w:tcPr>
          <w:p w14:paraId="03777CCF" w14:textId="3B54A523" w:rsidR="00EC364F" w:rsidRPr="0066419A" w:rsidRDefault="00EC364F" w:rsidP="00180C9F">
            <w:pPr>
              <w:pStyle w:val="TableText"/>
              <w:spacing w:after="0"/>
              <w:jc w:val="both"/>
              <w:rPr>
                <w:rFonts w:eastAsia="Calibri"/>
                <w:lang w:val="sr-Latn-ME"/>
              </w:rPr>
            </w:pPr>
            <w:r w:rsidRPr="0066419A">
              <w:rPr>
                <w:vertAlign w:val="superscript"/>
                <w:lang w:val="sr-Latn-ME"/>
              </w:rPr>
              <w:t>**</w:t>
            </w:r>
            <w:r w:rsidRPr="0066419A">
              <w:rPr>
                <w:lang w:val="sr-Latn-ME"/>
              </w:rPr>
              <w:t xml:space="preserve"> Broj </w:t>
            </w:r>
            <w:r w:rsidR="00D43BC5" w:rsidRPr="0066419A">
              <w:rPr>
                <w:lang w:val="sr-Latn-ME"/>
              </w:rPr>
              <w:t>pacijenata</w:t>
            </w:r>
            <w:r w:rsidRPr="0066419A">
              <w:rPr>
                <w:lang w:val="sr-Latn-ME"/>
              </w:rPr>
              <w:t xml:space="preserve"> s neuspjehom u </w:t>
            </w:r>
            <w:r w:rsidR="00B148F2" w:rsidRPr="0066419A">
              <w:rPr>
                <w:lang w:val="sr-Latn-ME"/>
              </w:rPr>
              <w:t>prethodno</w:t>
            </w:r>
            <w:r w:rsidRPr="0066419A">
              <w:rPr>
                <w:lang w:val="sr-Latn-ME"/>
              </w:rPr>
              <w:t>m liječenju antagonistima TNFα koji koriste peroralne</w:t>
            </w:r>
            <w:r w:rsidR="00591D18" w:rsidRPr="0066419A">
              <w:rPr>
                <w:lang w:val="sr-Latn-ME"/>
              </w:rPr>
              <w:t xml:space="preserve"> </w:t>
            </w:r>
            <w:r w:rsidRPr="0066419A">
              <w:rPr>
                <w:lang w:val="sr-Latn-ME"/>
              </w:rPr>
              <w:t xml:space="preserve">kortikosteroide na početku ispitivanja iznosio je n = 20 za placebo i n = 52 za </w:t>
            </w:r>
            <w:r w:rsidR="0067327C" w:rsidRPr="0066419A">
              <w:rPr>
                <w:lang w:val="sr-Latn-ME"/>
              </w:rPr>
              <w:t>subkutani</w:t>
            </w:r>
            <w:r w:rsidRPr="0066419A">
              <w:rPr>
                <w:lang w:val="sr-Latn-ME"/>
              </w:rPr>
              <w:t xml:space="preserve"> vedolizumab</w:t>
            </w:r>
          </w:p>
        </w:tc>
      </w:tr>
    </w:tbl>
    <w:p w14:paraId="68732C83" w14:textId="2AAA2B5D" w:rsidR="00EC364F" w:rsidRPr="006F34F9" w:rsidRDefault="00EC364F" w:rsidP="00180C9F">
      <w:pPr>
        <w:pStyle w:val="CCDSBodytext"/>
        <w:spacing w:line="240" w:lineRule="auto"/>
        <w:jc w:val="both"/>
        <w:rPr>
          <w:sz w:val="22"/>
          <w:szCs w:val="22"/>
          <w:lang w:val="sr-Latn-ME"/>
        </w:rPr>
      </w:pPr>
    </w:p>
    <w:p w14:paraId="257F8DAF" w14:textId="3FFD1577" w:rsidR="00EC364F" w:rsidRPr="006F34F9" w:rsidRDefault="00EC364F" w:rsidP="00E708C7">
      <w:pPr>
        <w:rPr>
          <w:szCs w:val="22"/>
          <w:u w:val="single"/>
          <w:lang w:val="sr-Latn-ME"/>
        </w:rPr>
      </w:pPr>
      <w:bookmarkStart w:id="8" w:name="_Hlk20919926"/>
      <w:r w:rsidRPr="006F34F9">
        <w:rPr>
          <w:szCs w:val="22"/>
          <w:lang w:val="sr-Latn-ME"/>
        </w:rPr>
        <w:t xml:space="preserve">Kvalitet života povezan sa zdravljem (HRQOL) procijenjen je Upitnikom o </w:t>
      </w:r>
      <w:r w:rsidR="0067327C" w:rsidRPr="006F34F9">
        <w:rPr>
          <w:szCs w:val="22"/>
          <w:lang w:val="sr-Latn-ME"/>
        </w:rPr>
        <w:t>zapaljensko</w:t>
      </w:r>
      <w:r w:rsidR="000D6DBC" w:rsidRPr="006F34F9">
        <w:rPr>
          <w:szCs w:val="22"/>
          <w:lang w:val="sr-Latn-ME"/>
        </w:rPr>
        <w:t>m</w:t>
      </w:r>
      <w:r w:rsidRPr="006F34F9">
        <w:rPr>
          <w:szCs w:val="22"/>
          <w:lang w:val="sr-Latn-ME"/>
        </w:rPr>
        <w:t xml:space="preserve"> </w:t>
      </w:r>
      <w:r w:rsidR="000D6DBC" w:rsidRPr="006F34F9">
        <w:rPr>
          <w:szCs w:val="22"/>
          <w:lang w:val="sr-Latn-ME"/>
        </w:rPr>
        <w:t>oboljenju</w:t>
      </w:r>
      <w:r w:rsidRPr="006F34F9">
        <w:rPr>
          <w:szCs w:val="22"/>
          <w:lang w:val="sr-Latn-ME"/>
        </w:rPr>
        <w:t xml:space="preserve"> crijeva (IBDQ), instrumentom specifičnim za bolest i upitnikom EQ</w:t>
      </w:r>
      <w:r w:rsidRPr="006F34F9">
        <w:rPr>
          <w:szCs w:val="22"/>
          <w:lang w:val="sr-Latn-ME"/>
        </w:rPr>
        <w:noBreakHyphen/>
        <w:t>5D (uključujući EQ</w:t>
      </w:r>
      <w:r w:rsidRPr="006F34F9">
        <w:rPr>
          <w:szCs w:val="22"/>
          <w:lang w:val="sr-Latn-ME"/>
        </w:rPr>
        <w:noBreakHyphen/>
        <w:t>5D VAS), koji je op</w:t>
      </w:r>
      <w:r w:rsidR="000D6DBC" w:rsidRPr="006F34F9">
        <w:rPr>
          <w:szCs w:val="22"/>
          <w:lang w:val="sr-Latn-ME"/>
        </w:rPr>
        <w:t>šti</w:t>
      </w:r>
      <w:r w:rsidRPr="006F34F9">
        <w:rPr>
          <w:szCs w:val="22"/>
          <w:lang w:val="sr-Latn-ME"/>
        </w:rPr>
        <w:t xml:space="preserve"> instrument. Radna produktivnost procijenjena je pomoću upitnika WPAI</w:t>
      </w:r>
      <w:r w:rsidRPr="006F34F9">
        <w:rPr>
          <w:szCs w:val="22"/>
          <w:lang w:val="sr-Latn-ME"/>
        </w:rPr>
        <w:noBreakHyphen/>
        <w:t xml:space="preserve">CD. </w:t>
      </w:r>
      <w:r w:rsidR="00B148F2" w:rsidRPr="006F34F9">
        <w:rPr>
          <w:szCs w:val="22"/>
          <w:lang w:val="sr-Latn-ME"/>
        </w:rPr>
        <w:t>Pacijenti</w:t>
      </w:r>
      <w:r w:rsidRPr="006F34F9">
        <w:rPr>
          <w:szCs w:val="22"/>
          <w:lang w:val="sr-Latn-ME"/>
        </w:rPr>
        <w:t xml:space="preserve"> liječeni </w:t>
      </w:r>
      <w:r w:rsidR="008062E2" w:rsidRPr="006F34F9">
        <w:rPr>
          <w:szCs w:val="22"/>
          <w:lang w:val="sr-Latn-ME"/>
        </w:rPr>
        <w:t>subkutanim</w:t>
      </w:r>
      <w:r w:rsidRPr="006F34F9">
        <w:rPr>
          <w:szCs w:val="22"/>
          <w:lang w:val="sr-Latn-ME"/>
        </w:rPr>
        <w:t xml:space="preserve"> vedolizumabom zadržali su poboljšanje u bodovima za IBDQ, EQ</w:t>
      </w:r>
      <w:r w:rsidRPr="006F34F9">
        <w:rPr>
          <w:szCs w:val="22"/>
          <w:lang w:val="sr-Latn-ME"/>
        </w:rPr>
        <w:noBreakHyphen/>
        <w:t>5D i WPAI</w:t>
      </w:r>
      <w:r w:rsidRPr="006F34F9">
        <w:rPr>
          <w:szCs w:val="22"/>
          <w:lang w:val="sr-Latn-ME"/>
        </w:rPr>
        <w:noBreakHyphen/>
        <w:t xml:space="preserve">CD u 52. </w:t>
      </w:r>
      <w:r w:rsidR="0067327C" w:rsidRPr="006F34F9">
        <w:rPr>
          <w:szCs w:val="22"/>
          <w:lang w:val="sr-Latn-ME"/>
        </w:rPr>
        <w:t>nedjelji</w:t>
      </w:r>
      <w:r w:rsidRPr="006F34F9">
        <w:rPr>
          <w:szCs w:val="22"/>
          <w:lang w:val="sr-Latn-ME"/>
        </w:rPr>
        <w:t xml:space="preserve"> u većoj mjeri nego </w:t>
      </w:r>
      <w:r w:rsidR="00B148F2" w:rsidRPr="006F34F9">
        <w:rPr>
          <w:szCs w:val="22"/>
          <w:lang w:val="sr-Latn-ME"/>
        </w:rPr>
        <w:t>pacijenti</w:t>
      </w:r>
      <w:r w:rsidRPr="006F34F9">
        <w:rPr>
          <w:szCs w:val="22"/>
          <w:lang w:val="sr-Latn-ME"/>
        </w:rPr>
        <w:t xml:space="preserve"> koji su primali placebo.</w:t>
      </w:r>
    </w:p>
    <w:bookmarkEnd w:id="8"/>
    <w:p w14:paraId="296B423A" w14:textId="2F7738A3" w:rsidR="00EC364F" w:rsidRPr="006F34F9" w:rsidRDefault="00B148F2" w:rsidP="00E708C7">
      <w:pPr>
        <w:rPr>
          <w:szCs w:val="22"/>
          <w:lang w:val="sr-Latn-ME"/>
        </w:rPr>
      </w:pPr>
      <w:r w:rsidRPr="006F34F9">
        <w:rPr>
          <w:szCs w:val="22"/>
          <w:lang w:val="sr-Latn-ME"/>
        </w:rPr>
        <w:t>Pacijenti</w:t>
      </w:r>
      <w:r w:rsidR="00EC364F" w:rsidRPr="006F34F9">
        <w:rPr>
          <w:szCs w:val="22"/>
          <w:lang w:val="sr-Latn-ME"/>
        </w:rPr>
        <w:t xml:space="preserve"> koji su dovršili ispitivanje VISIBLE 2 mogli su se uključiti u otvoreni nastavak ispitivanja, koji je u </w:t>
      </w:r>
      <w:r w:rsidR="008062E2" w:rsidRPr="006F34F9">
        <w:rPr>
          <w:szCs w:val="22"/>
          <w:lang w:val="sr-Latn-ME"/>
        </w:rPr>
        <w:t>toku</w:t>
      </w:r>
      <w:r w:rsidR="00EC364F" w:rsidRPr="006F34F9">
        <w:rPr>
          <w:szCs w:val="22"/>
          <w:lang w:val="sr-Latn-ME"/>
        </w:rPr>
        <w:t xml:space="preserve">, za procjenu dugoročne </w:t>
      </w:r>
      <w:r w:rsidR="00A008F5" w:rsidRPr="006F34F9">
        <w:rPr>
          <w:szCs w:val="22"/>
          <w:lang w:val="sr-Latn-ME"/>
        </w:rPr>
        <w:t>bezbjednosti</w:t>
      </w:r>
      <w:r w:rsidR="00EC364F" w:rsidRPr="006F34F9">
        <w:rPr>
          <w:szCs w:val="22"/>
          <w:lang w:val="sr-Latn-ME"/>
        </w:rPr>
        <w:t xml:space="preserve"> i </w:t>
      </w:r>
      <w:r w:rsidRPr="006F34F9">
        <w:rPr>
          <w:szCs w:val="22"/>
          <w:lang w:val="sr-Latn-ME"/>
        </w:rPr>
        <w:t>efikasnosti</w:t>
      </w:r>
      <w:r w:rsidR="00EC364F" w:rsidRPr="006F34F9">
        <w:rPr>
          <w:szCs w:val="22"/>
          <w:lang w:val="sr-Latn-ME"/>
        </w:rPr>
        <w:t xml:space="preserve"> liječenja </w:t>
      </w:r>
      <w:r w:rsidR="008062E2" w:rsidRPr="006F34F9">
        <w:rPr>
          <w:szCs w:val="22"/>
          <w:lang w:val="sr-Latn-ME"/>
        </w:rPr>
        <w:t>subkutanim</w:t>
      </w:r>
      <w:r w:rsidR="00EC364F" w:rsidRPr="006F34F9">
        <w:rPr>
          <w:szCs w:val="22"/>
          <w:lang w:val="sr-Latn-ME"/>
        </w:rPr>
        <w:t xml:space="preserve"> vedolizumabom </w:t>
      </w:r>
      <w:r w:rsidR="00A008F5" w:rsidRPr="006F34F9">
        <w:rPr>
          <w:szCs w:val="22"/>
          <w:lang w:val="sr-Latn-ME"/>
        </w:rPr>
        <w:t>kod</w:t>
      </w:r>
      <w:r w:rsidR="00EC364F" w:rsidRPr="006F34F9">
        <w:rPr>
          <w:szCs w:val="22"/>
          <w:lang w:val="sr-Latn-ME"/>
        </w:rPr>
        <w:t xml:space="preserve"> </w:t>
      </w:r>
      <w:r w:rsidR="00D43BC5" w:rsidRPr="006F34F9">
        <w:rPr>
          <w:szCs w:val="22"/>
          <w:lang w:val="sr-Latn-ME"/>
        </w:rPr>
        <w:t>pacijenata</w:t>
      </w:r>
      <w:r w:rsidR="00EC364F" w:rsidRPr="006F34F9">
        <w:rPr>
          <w:szCs w:val="22"/>
          <w:lang w:val="sr-Latn-ME"/>
        </w:rPr>
        <w:t xml:space="preserve"> s</w:t>
      </w:r>
      <w:r w:rsidR="00A008F5" w:rsidRPr="006F34F9">
        <w:rPr>
          <w:szCs w:val="22"/>
          <w:lang w:val="sr-Latn-ME"/>
        </w:rPr>
        <w:t>a</w:t>
      </w:r>
      <w:r w:rsidR="00EC364F" w:rsidRPr="006F34F9">
        <w:rPr>
          <w:szCs w:val="22"/>
          <w:lang w:val="sr-Latn-ME"/>
        </w:rPr>
        <w:t xml:space="preserve"> ulceroznim kolitisom ili </w:t>
      </w:r>
      <w:r w:rsidR="00A008F5" w:rsidRPr="006F34F9">
        <w:rPr>
          <w:szCs w:val="22"/>
          <w:lang w:val="sr-Latn-ME"/>
        </w:rPr>
        <w:t>Kronovom</w:t>
      </w:r>
      <w:r w:rsidR="00EC364F" w:rsidRPr="006F34F9">
        <w:rPr>
          <w:szCs w:val="22"/>
          <w:lang w:val="sr-Latn-ME"/>
        </w:rPr>
        <w:t xml:space="preserve"> bolešću.</w:t>
      </w:r>
    </w:p>
    <w:p w14:paraId="29871ABA" w14:textId="77777777" w:rsidR="001B44E1" w:rsidRPr="006F34F9" w:rsidRDefault="001B44E1" w:rsidP="00180C9F">
      <w:pPr>
        <w:pStyle w:val="Header"/>
        <w:rPr>
          <w:bCs/>
          <w:szCs w:val="22"/>
          <w:lang w:val="sr-Latn-ME"/>
        </w:rPr>
      </w:pPr>
    </w:p>
    <w:p w14:paraId="3F191861" w14:textId="03F3DCA1" w:rsidR="001B44E1" w:rsidRDefault="001B44E1" w:rsidP="00180C9F">
      <w:pPr>
        <w:pStyle w:val="Header"/>
        <w:rPr>
          <w:bCs/>
          <w:szCs w:val="22"/>
          <w:u w:val="single"/>
          <w:lang w:val="sr-Latn-ME"/>
        </w:rPr>
      </w:pPr>
      <w:r w:rsidRPr="006F34F9">
        <w:rPr>
          <w:bCs/>
          <w:szCs w:val="22"/>
          <w:u w:val="single"/>
          <w:lang w:val="sr-Latn-ME"/>
        </w:rPr>
        <w:t>Pedijatrijska populacija</w:t>
      </w:r>
    </w:p>
    <w:p w14:paraId="3D63BD7E" w14:textId="77777777" w:rsidR="00FA0EE3" w:rsidRPr="006F34F9" w:rsidRDefault="00FA0EE3" w:rsidP="00180C9F">
      <w:pPr>
        <w:pStyle w:val="Header"/>
        <w:rPr>
          <w:bCs/>
          <w:szCs w:val="22"/>
          <w:u w:val="single"/>
          <w:lang w:val="sr-Latn-ME"/>
        </w:rPr>
      </w:pPr>
    </w:p>
    <w:p w14:paraId="40C90DAA" w14:textId="44F2B0E7" w:rsidR="001B44E1" w:rsidRPr="006F34F9" w:rsidRDefault="001B44E1" w:rsidP="00E708C7">
      <w:pPr>
        <w:pStyle w:val="Header"/>
        <w:tabs>
          <w:tab w:val="left" w:pos="284"/>
        </w:tabs>
        <w:rPr>
          <w:bCs/>
          <w:szCs w:val="22"/>
          <w:lang w:val="sr-Latn-ME"/>
        </w:rPr>
      </w:pPr>
      <w:r w:rsidRPr="006F34F9">
        <w:rPr>
          <w:bCs/>
          <w:szCs w:val="22"/>
          <w:lang w:val="sr-Latn-ME"/>
        </w:rPr>
        <w:t>Evropska agencija za l</w:t>
      </w:r>
      <w:r w:rsidR="00A008F5" w:rsidRPr="006F34F9">
        <w:rPr>
          <w:bCs/>
          <w:szCs w:val="22"/>
          <w:lang w:val="sr-Latn-ME"/>
        </w:rPr>
        <w:t>j</w:t>
      </w:r>
      <w:r w:rsidRPr="006F34F9">
        <w:rPr>
          <w:bCs/>
          <w:szCs w:val="22"/>
          <w:lang w:val="sr-Latn-ME"/>
        </w:rPr>
        <w:t xml:space="preserve">ekove je odložila obavezu podnošenja rezultata ispitivanja </w:t>
      </w:r>
      <w:r w:rsidR="008559D3" w:rsidRPr="006F34F9">
        <w:rPr>
          <w:bCs/>
          <w:szCs w:val="22"/>
          <w:lang w:val="sr-Latn-ME"/>
        </w:rPr>
        <w:t>lijeka</w:t>
      </w:r>
      <w:r w:rsidRPr="006F34F9">
        <w:rPr>
          <w:bCs/>
          <w:szCs w:val="22"/>
          <w:lang w:val="sr-Latn-ME"/>
        </w:rPr>
        <w:t xml:space="preserve"> vedolizumab u jednoj ili više podgrupa pedijatrijske populacije sa ulceroznim kolitisom i Kronovom bolešću (</w:t>
      </w:r>
      <w:r w:rsidR="0067327C" w:rsidRPr="006F34F9">
        <w:rPr>
          <w:bCs/>
          <w:szCs w:val="22"/>
          <w:lang w:val="sr-Latn-ME"/>
        </w:rPr>
        <w:t>vidjeti</w:t>
      </w:r>
      <w:r w:rsidRPr="006F34F9">
        <w:rPr>
          <w:bCs/>
          <w:szCs w:val="22"/>
          <w:lang w:val="sr-Latn-ME"/>
        </w:rPr>
        <w:t xml:space="preserve"> </w:t>
      </w:r>
      <w:r w:rsidR="0069571E" w:rsidRPr="006F34F9">
        <w:rPr>
          <w:bCs/>
          <w:szCs w:val="22"/>
          <w:lang w:val="sr-Latn-ME"/>
        </w:rPr>
        <w:t>dio</w:t>
      </w:r>
      <w:r w:rsidRPr="006F34F9">
        <w:rPr>
          <w:bCs/>
          <w:szCs w:val="22"/>
          <w:lang w:val="sr-Latn-ME"/>
        </w:rPr>
        <w:t xml:space="preserve"> 4.2</w:t>
      </w:r>
      <w:r w:rsidR="00A008F5" w:rsidRPr="006F34F9">
        <w:rPr>
          <w:bCs/>
          <w:szCs w:val="22"/>
          <w:lang w:val="sr-Latn-ME"/>
        </w:rPr>
        <w:t xml:space="preserve"> za informacije o pedijatrijskoj primjeni</w:t>
      </w:r>
      <w:r w:rsidRPr="006F34F9">
        <w:rPr>
          <w:bCs/>
          <w:szCs w:val="22"/>
          <w:lang w:val="sr-Latn-ME"/>
        </w:rPr>
        <w:t>).</w:t>
      </w:r>
    </w:p>
    <w:p w14:paraId="509D187F" w14:textId="77777777" w:rsidR="001B44E1" w:rsidRPr="006F34F9" w:rsidRDefault="001B44E1" w:rsidP="00A5182D">
      <w:pPr>
        <w:rPr>
          <w:szCs w:val="22"/>
          <w:lang w:val="sr-Latn-ME"/>
        </w:rPr>
      </w:pPr>
    </w:p>
    <w:p w14:paraId="6CE07F1A" w14:textId="05CE96BC" w:rsidR="00CE09F3" w:rsidRPr="006F34F9" w:rsidRDefault="00CE09F3" w:rsidP="000B42A8">
      <w:pPr>
        <w:rPr>
          <w:b/>
          <w:bCs/>
          <w:szCs w:val="22"/>
          <w:lang w:val="sr-Latn-ME"/>
        </w:rPr>
      </w:pPr>
      <w:r w:rsidRPr="006F34F9">
        <w:rPr>
          <w:b/>
          <w:bCs/>
          <w:szCs w:val="22"/>
          <w:lang w:val="sr-Latn-ME"/>
        </w:rPr>
        <w:t>5.2.</w:t>
      </w:r>
      <w:r w:rsidR="00591D18" w:rsidRPr="006F34F9">
        <w:rPr>
          <w:b/>
          <w:bCs/>
          <w:szCs w:val="22"/>
          <w:lang w:val="sr-Latn-ME"/>
        </w:rPr>
        <w:t xml:space="preserve">  </w:t>
      </w:r>
      <w:r w:rsidRPr="006F34F9">
        <w:rPr>
          <w:b/>
          <w:bCs/>
          <w:szCs w:val="22"/>
          <w:lang w:val="sr-Latn-ME"/>
        </w:rPr>
        <w:t>Farmakokinetički podaci</w:t>
      </w:r>
    </w:p>
    <w:p w14:paraId="6CE07F1B" w14:textId="09B909A3" w:rsidR="00CE09F3" w:rsidRPr="006F34F9" w:rsidRDefault="00CE09F3">
      <w:pPr>
        <w:rPr>
          <w:szCs w:val="22"/>
          <w:lang w:val="sr-Latn-ME"/>
        </w:rPr>
      </w:pPr>
    </w:p>
    <w:p w14:paraId="5A20B3F7" w14:textId="31237058" w:rsidR="00EC364F" w:rsidRPr="006F34F9" w:rsidRDefault="00EC364F">
      <w:pPr>
        <w:pStyle w:val="Header"/>
        <w:rPr>
          <w:szCs w:val="22"/>
          <w:lang w:val="sr-Latn-ME"/>
        </w:rPr>
      </w:pPr>
      <w:r w:rsidRPr="006F34F9">
        <w:rPr>
          <w:szCs w:val="22"/>
          <w:lang w:val="sr-Latn-ME"/>
        </w:rPr>
        <w:t xml:space="preserve">Farmakokinetički parametri pojedinačne i uzastopnih doza vedolizumaba ispitani su kod zdravih dobrovoljaca kao i kod pacijenata sa </w:t>
      </w:r>
      <w:r w:rsidR="008062E2" w:rsidRPr="006F34F9">
        <w:rPr>
          <w:szCs w:val="22"/>
          <w:lang w:val="sr-Latn-ME"/>
        </w:rPr>
        <w:t>umjereno</w:t>
      </w:r>
      <w:r w:rsidRPr="006F34F9">
        <w:rPr>
          <w:szCs w:val="22"/>
          <w:lang w:val="sr-Latn-ME"/>
        </w:rPr>
        <w:t xml:space="preserve"> do izrazito aktivnim ulceroznim kolitisom ili Kronovom bolešću.</w:t>
      </w:r>
    </w:p>
    <w:p w14:paraId="33A4F0EF" w14:textId="77777777" w:rsidR="00EC364F" w:rsidRPr="006F34F9" w:rsidRDefault="00EC364F">
      <w:pPr>
        <w:pStyle w:val="Header"/>
        <w:rPr>
          <w:szCs w:val="22"/>
          <w:lang w:val="sr-Latn-ME"/>
        </w:rPr>
      </w:pPr>
    </w:p>
    <w:p w14:paraId="0AF42D49" w14:textId="77777777" w:rsidR="00EC364F" w:rsidRPr="006F34F9" w:rsidRDefault="00EC364F">
      <w:pPr>
        <w:pStyle w:val="Header"/>
        <w:rPr>
          <w:szCs w:val="22"/>
          <w:u w:val="single"/>
          <w:lang w:val="sr-Latn-ME"/>
        </w:rPr>
      </w:pPr>
      <w:r w:rsidRPr="006F34F9">
        <w:rPr>
          <w:szCs w:val="22"/>
          <w:u w:val="single"/>
          <w:lang w:val="sr-Latn-ME"/>
        </w:rPr>
        <w:t>Resorpcija</w:t>
      </w:r>
    </w:p>
    <w:p w14:paraId="648D0F98" w14:textId="77777777" w:rsidR="00EC364F" w:rsidRPr="006F34F9" w:rsidRDefault="00EC364F">
      <w:pPr>
        <w:pStyle w:val="Header"/>
        <w:rPr>
          <w:szCs w:val="22"/>
          <w:lang w:val="sr-Latn-ME"/>
        </w:rPr>
      </w:pPr>
    </w:p>
    <w:p w14:paraId="59BBD15F" w14:textId="085B73D4" w:rsidR="00EC364F" w:rsidRPr="006F34F9" w:rsidRDefault="00EC364F">
      <w:pPr>
        <w:pStyle w:val="Header"/>
        <w:rPr>
          <w:szCs w:val="22"/>
          <w:lang w:val="sr-Latn-ME"/>
        </w:rPr>
      </w:pPr>
      <w:r w:rsidRPr="006F34F9">
        <w:rPr>
          <w:szCs w:val="22"/>
          <w:lang w:val="sr-Latn-ME"/>
        </w:rPr>
        <w:t xml:space="preserve">Kod pacijenata koji su primili 300 mg vedolizumaba </w:t>
      </w:r>
      <w:r w:rsidR="004F3920" w:rsidRPr="006F34F9">
        <w:rPr>
          <w:szCs w:val="22"/>
          <w:lang w:val="sr-Latn-ME"/>
        </w:rPr>
        <w:t>putem</w:t>
      </w:r>
      <w:r w:rsidRPr="006F34F9">
        <w:rPr>
          <w:szCs w:val="22"/>
          <w:lang w:val="sr-Latn-ME"/>
        </w:rPr>
        <w:t xml:space="preserve"> 30-minutn</w:t>
      </w:r>
      <w:r w:rsidR="004F3920" w:rsidRPr="006F34F9">
        <w:rPr>
          <w:szCs w:val="22"/>
          <w:lang w:val="sr-Latn-ME"/>
        </w:rPr>
        <w:t>e</w:t>
      </w:r>
      <w:r w:rsidRPr="006F34F9">
        <w:rPr>
          <w:szCs w:val="22"/>
          <w:lang w:val="sr-Latn-ME"/>
        </w:rPr>
        <w:t xml:space="preserve"> intravensk</w:t>
      </w:r>
      <w:r w:rsidR="004F3920" w:rsidRPr="006F34F9">
        <w:rPr>
          <w:szCs w:val="22"/>
          <w:lang w:val="sr-Latn-ME"/>
        </w:rPr>
        <w:t>e</w:t>
      </w:r>
      <w:r w:rsidRPr="006F34F9">
        <w:rPr>
          <w:szCs w:val="22"/>
          <w:lang w:val="sr-Latn-ME"/>
        </w:rPr>
        <w:t xml:space="preserve"> infuzij</w:t>
      </w:r>
      <w:r w:rsidR="004F3920" w:rsidRPr="006F34F9">
        <w:rPr>
          <w:szCs w:val="22"/>
          <w:lang w:val="sr-Latn-ME"/>
        </w:rPr>
        <w:t>e</w:t>
      </w:r>
      <w:r w:rsidRPr="006F34F9">
        <w:rPr>
          <w:szCs w:val="22"/>
          <w:lang w:val="sr-Latn-ME"/>
        </w:rPr>
        <w:t xml:space="preserve"> u nultoj i drugoj </w:t>
      </w:r>
      <w:r w:rsidR="0069571E" w:rsidRPr="006F34F9">
        <w:rPr>
          <w:szCs w:val="22"/>
          <w:lang w:val="sr-Latn-ME"/>
        </w:rPr>
        <w:t>nedjelji</w:t>
      </w:r>
      <w:r w:rsidRPr="006F34F9">
        <w:rPr>
          <w:szCs w:val="22"/>
          <w:lang w:val="sr-Latn-ME"/>
        </w:rPr>
        <w:t>, srednja vr</w:t>
      </w:r>
      <w:r w:rsidR="00A008F5" w:rsidRPr="006F34F9">
        <w:rPr>
          <w:szCs w:val="22"/>
          <w:lang w:val="sr-Latn-ME"/>
        </w:rPr>
        <w:t>ij</w:t>
      </w:r>
      <w:r w:rsidRPr="006F34F9">
        <w:rPr>
          <w:szCs w:val="22"/>
          <w:lang w:val="sr-Latn-ME"/>
        </w:rPr>
        <w:t xml:space="preserve">ednost najniže serumske koncentracije u 6. </w:t>
      </w:r>
      <w:r w:rsidR="0069571E" w:rsidRPr="006F34F9">
        <w:rPr>
          <w:szCs w:val="22"/>
          <w:lang w:val="sr-Latn-ME"/>
        </w:rPr>
        <w:t>nedjelji</w:t>
      </w:r>
      <w:r w:rsidRPr="006F34F9">
        <w:rPr>
          <w:szCs w:val="22"/>
          <w:lang w:val="sr-Latn-ME"/>
        </w:rPr>
        <w:t xml:space="preserve"> bila je 27,9 mikrograma/m</w:t>
      </w:r>
      <w:r w:rsidR="004F3920" w:rsidRPr="006F34F9">
        <w:rPr>
          <w:szCs w:val="22"/>
          <w:lang w:val="sr-Latn-ME"/>
        </w:rPr>
        <w:t>l</w:t>
      </w:r>
      <w:r w:rsidRPr="006F34F9">
        <w:rPr>
          <w:szCs w:val="22"/>
          <w:lang w:val="sr-Latn-ME"/>
        </w:rPr>
        <w:t xml:space="preserve"> (SD</w:t>
      </w:r>
      <w:r w:rsidR="00D8342B">
        <w:rPr>
          <w:szCs w:val="22"/>
          <w:lang w:val="sr-Latn-ME"/>
        </w:rPr>
        <w:t xml:space="preserve"> </w:t>
      </w:r>
      <w:r w:rsidRPr="006F34F9">
        <w:rPr>
          <w:szCs w:val="22"/>
          <w:lang w:val="sr-Latn-ME"/>
        </w:rPr>
        <w:t>± 15,51) kod ulceroznog kolitisa i 26,8 mikrograma/m</w:t>
      </w:r>
      <w:r w:rsidR="004F3920" w:rsidRPr="006F34F9">
        <w:rPr>
          <w:szCs w:val="22"/>
          <w:lang w:val="sr-Latn-ME"/>
        </w:rPr>
        <w:t>l</w:t>
      </w:r>
      <w:r w:rsidRPr="006F34F9">
        <w:rPr>
          <w:szCs w:val="22"/>
          <w:lang w:val="sr-Latn-ME"/>
        </w:rPr>
        <w:t xml:space="preserve"> (SD ± 17,45) kod Kronove bolesti. Počevši od 6. </w:t>
      </w:r>
      <w:r w:rsidR="00A22425" w:rsidRPr="006F34F9">
        <w:rPr>
          <w:szCs w:val="22"/>
          <w:lang w:val="sr-Latn-ME"/>
        </w:rPr>
        <w:t>nedjelje</w:t>
      </w:r>
      <w:r w:rsidRPr="006F34F9">
        <w:rPr>
          <w:szCs w:val="22"/>
          <w:lang w:val="sr-Latn-ME"/>
        </w:rPr>
        <w:t xml:space="preserve">, pacijenti su primali 300 mg vedolizumaba svake osme ili četvrte </w:t>
      </w:r>
      <w:r w:rsidR="008062E2" w:rsidRPr="006F34F9">
        <w:rPr>
          <w:szCs w:val="22"/>
          <w:lang w:val="sr-Latn-ME"/>
        </w:rPr>
        <w:t>nedjelj</w:t>
      </w:r>
      <w:r w:rsidR="0041795E" w:rsidRPr="006F34F9">
        <w:rPr>
          <w:szCs w:val="22"/>
          <w:lang w:val="sr-Latn-ME"/>
        </w:rPr>
        <w:t>e</w:t>
      </w:r>
      <w:r w:rsidRPr="006F34F9">
        <w:rPr>
          <w:szCs w:val="22"/>
          <w:lang w:val="sr-Latn-ME"/>
        </w:rPr>
        <w:t>. Kod pacijenata sa ulceroznim kolitisom, srednja vr</w:t>
      </w:r>
      <w:r w:rsidR="002A79EF" w:rsidRPr="006F34F9">
        <w:rPr>
          <w:szCs w:val="22"/>
          <w:lang w:val="sr-Latn-ME"/>
        </w:rPr>
        <w:t>ij</w:t>
      </w:r>
      <w:r w:rsidRPr="006F34F9">
        <w:rPr>
          <w:szCs w:val="22"/>
          <w:lang w:val="sr-Latn-ME"/>
        </w:rPr>
        <w:t>ednost najniže serumske koncentracije u ravnotežnom stanju bila je 11,2 mikrograma/m</w:t>
      </w:r>
      <w:r w:rsidR="004F3920" w:rsidRPr="006F34F9">
        <w:rPr>
          <w:szCs w:val="22"/>
          <w:lang w:val="sr-Latn-ME"/>
        </w:rPr>
        <w:t>l</w:t>
      </w:r>
      <w:r w:rsidRPr="006F34F9">
        <w:rPr>
          <w:szCs w:val="22"/>
          <w:lang w:val="sr-Latn-ME"/>
        </w:rPr>
        <w:t xml:space="preserve"> (SD ± 7,24) odnosno 38,3 mikrograma/m</w:t>
      </w:r>
      <w:r w:rsidR="004F3920" w:rsidRPr="006F34F9">
        <w:rPr>
          <w:szCs w:val="22"/>
          <w:lang w:val="sr-Latn-ME"/>
        </w:rPr>
        <w:t>l</w:t>
      </w:r>
      <w:r w:rsidRPr="006F34F9">
        <w:rPr>
          <w:szCs w:val="22"/>
          <w:lang w:val="sr-Latn-ME"/>
        </w:rPr>
        <w:t xml:space="preserve"> (SD ± 24,43). Kod pacijenata sa Kronovom bolešću, srednja vr</w:t>
      </w:r>
      <w:r w:rsidR="002A79EF" w:rsidRPr="006F34F9">
        <w:rPr>
          <w:szCs w:val="22"/>
          <w:lang w:val="sr-Latn-ME"/>
        </w:rPr>
        <w:t>ij</w:t>
      </w:r>
      <w:r w:rsidRPr="006F34F9">
        <w:rPr>
          <w:szCs w:val="22"/>
          <w:lang w:val="sr-Latn-ME"/>
        </w:rPr>
        <w:t>ednost najniže serumske koncentracije u ravnotežnom stanju bila je 13,0 mikrograma/m</w:t>
      </w:r>
      <w:r w:rsidR="004F3920" w:rsidRPr="006F34F9">
        <w:rPr>
          <w:szCs w:val="22"/>
          <w:lang w:val="sr-Latn-ME"/>
        </w:rPr>
        <w:t>l</w:t>
      </w:r>
      <w:r w:rsidRPr="006F34F9">
        <w:rPr>
          <w:szCs w:val="22"/>
          <w:lang w:val="sr-Latn-ME"/>
        </w:rPr>
        <w:t xml:space="preserve"> (SD ± 9,08) odnosno 34,8 mikrograma/m</w:t>
      </w:r>
      <w:r w:rsidR="004F3920" w:rsidRPr="006F34F9">
        <w:rPr>
          <w:szCs w:val="22"/>
          <w:lang w:val="sr-Latn-ME"/>
        </w:rPr>
        <w:t>l</w:t>
      </w:r>
      <w:r w:rsidRPr="006F34F9">
        <w:rPr>
          <w:szCs w:val="22"/>
          <w:lang w:val="sr-Latn-ME"/>
        </w:rPr>
        <w:t xml:space="preserve"> (SD ± 22,55).</w:t>
      </w:r>
    </w:p>
    <w:p w14:paraId="0C7D49CD" w14:textId="3D84F106" w:rsidR="00EC364F" w:rsidRPr="006F34F9" w:rsidRDefault="00EC364F">
      <w:pPr>
        <w:pStyle w:val="Header"/>
        <w:rPr>
          <w:szCs w:val="22"/>
          <w:lang w:val="sr-Latn-ME"/>
        </w:rPr>
      </w:pPr>
    </w:p>
    <w:p w14:paraId="6599188C" w14:textId="75400D5F" w:rsidR="00EC364F" w:rsidRPr="006F34F9" w:rsidRDefault="00EC364F">
      <w:pPr>
        <w:rPr>
          <w:szCs w:val="22"/>
          <w:lang w:val="sr-Latn-ME"/>
        </w:rPr>
      </w:pPr>
      <w:r w:rsidRPr="006F34F9">
        <w:rPr>
          <w:szCs w:val="22"/>
          <w:lang w:val="sr-Latn-ME"/>
        </w:rPr>
        <w:t xml:space="preserve">U ispitivanjima </w:t>
      </w:r>
      <w:r w:rsidR="002A79EF" w:rsidRPr="006F34F9">
        <w:rPr>
          <w:szCs w:val="22"/>
          <w:lang w:val="sr-Latn-ME"/>
        </w:rPr>
        <w:t>kod</w:t>
      </w:r>
      <w:r w:rsidRPr="006F34F9">
        <w:rPr>
          <w:szCs w:val="22"/>
          <w:lang w:val="sr-Latn-ME"/>
        </w:rPr>
        <w:t xml:space="preserve"> </w:t>
      </w:r>
      <w:r w:rsidR="00D43BC5" w:rsidRPr="006F34F9">
        <w:rPr>
          <w:szCs w:val="22"/>
          <w:lang w:val="sr-Latn-ME"/>
        </w:rPr>
        <w:t>pacijenata</w:t>
      </w:r>
      <w:r w:rsidRPr="006F34F9">
        <w:rPr>
          <w:szCs w:val="22"/>
          <w:lang w:val="sr-Latn-ME"/>
        </w:rPr>
        <w:t xml:space="preserve"> s ulceroznim kolitisom ili </w:t>
      </w:r>
      <w:r w:rsidR="002A79EF" w:rsidRPr="006F34F9">
        <w:rPr>
          <w:szCs w:val="22"/>
          <w:lang w:val="sr-Latn-ME"/>
        </w:rPr>
        <w:t xml:space="preserve">Kronovom </w:t>
      </w:r>
      <w:r w:rsidRPr="006F34F9">
        <w:rPr>
          <w:szCs w:val="22"/>
          <w:lang w:val="sr-Latn-ME"/>
        </w:rPr>
        <w:t xml:space="preserve">bolešću koji primaju </w:t>
      </w:r>
      <w:r w:rsidR="0067327C" w:rsidRPr="006F34F9">
        <w:rPr>
          <w:szCs w:val="22"/>
          <w:lang w:val="sr-Latn-ME"/>
        </w:rPr>
        <w:t>subkutani</w:t>
      </w:r>
      <w:r w:rsidRPr="006F34F9">
        <w:rPr>
          <w:szCs w:val="22"/>
          <w:lang w:val="sr-Latn-ME"/>
        </w:rPr>
        <w:t xml:space="preserve"> vedolizumab, s početkom u 6. </w:t>
      </w:r>
      <w:r w:rsidR="0067327C" w:rsidRPr="006F34F9">
        <w:rPr>
          <w:szCs w:val="22"/>
          <w:lang w:val="sr-Latn-ME"/>
        </w:rPr>
        <w:t>nedjelji</w:t>
      </w:r>
      <w:r w:rsidRPr="006F34F9">
        <w:rPr>
          <w:szCs w:val="22"/>
          <w:lang w:val="sr-Latn-ME"/>
        </w:rPr>
        <w:t xml:space="preserve">, </w:t>
      </w:r>
      <w:r w:rsidR="00B148F2" w:rsidRPr="006F34F9">
        <w:rPr>
          <w:szCs w:val="22"/>
          <w:lang w:val="sr-Latn-ME"/>
        </w:rPr>
        <w:t>pacijenti</w:t>
      </w:r>
      <w:r w:rsidRPr="006F34F9">
        <w:rPr>
          <w:szCs w:val="22"/>
          <w:lang w:val="sr-Latn-ME"/>
        </w:rPr>
        <w:t xml:space="preserve"> su primali 108 mg </w:t>
      </w:r>
      <w:r w:rsidR="0067327C" w:rsidRPr="006F34F9">
        <w:rPr>
          <w:szCs w:val="22"/>
          <w:lang w:val="sr-Latn-ME"/>
        </w:rPr>
        <w:t>subkutanog</w:t>
      </w:r>
      <w:r w:rsidRPr="006F34F9">
        <w:rPr>
          <w:szCs w:val="22"/>
          <w:lang w:val="sr-Latn-ME"/>
        </w:rPr>
        <w:t xml:space="preserve"> vedolizumaba svak</w:t>
      </w:r>
      <w:r w:rsidR="002A79EF" w:rsidRPr="006F34F9">
        <w:rPr>
          <w:szCs w:val="22"/>
          <w:lang w:val="sr-Latn-ME"/>
        </w:rPr>
        <w:t>e</w:t>
      </w:r>
      <w:r w:rsidRPr="006F34F9">
        <w:rPr>
          <w:szCs w:val="22"/>
          <w:lang w:val="sr-Latn-ME"/>
        </w:rPr>
        <w:t xml:space="preserve"> 2 </w:t>
      </w:r>
      <w:r w:rsidR="00B148F2" w:rsidRPr="006F34F9">
        <w:rPr>
          <w:szCs w:val="22"/>
          <w:lang w:val="sr-Latn-ME"/>
        </w:rPr>
        <w:t>nedjelje</w:t>
      </w:r>
      <w:r w:rsidRPr="006F34F9">
        <w:rPr>
          <w:szCs w:val="22"/>
          <w:lang w:val="sr-Latn-ME"/>
        </w:rPr>
        <w:t>. Srednj</w:t>
      </w:r>
      <w:r w:rsidR="002A79EF" w:rsidRPr="006F34F9">
        <w:rPr>
          <w:szCs w:val="22"/>
          <w:lang w:val="sr-Latn-ME"/>
        </w:rPr>
        <w:t>e</w:t>
      </w:r>
      <w:r w:rsidRPr="006F34F9">
        <w:rPr>
          <w:szCs w:val="22"/>
          <w:lang w:val="sr-Latn-ME"/>
        </w:rPr>
        <w:t xml:space="preserve"> vrijednost</w:t>
      </w:r>
      <w:r w:rsidR="002A79EF" w:rsidRPr="006F34F9">
        <w:rPr>
          <w:szCs w:val="22"/>
          <w:lang w:val="sr-Latn-ME"/>
        </w:rPr>
        <w:t>i</w:t>
      </w:r>
      <w:r w:rsidRPr="006F34F9">
        <w:rPr>
          <w:szCs w:val="22"/>
          <w:lang w:val="sr-Latn-ME"/>
        </w:rPr>
        <w:t xml:space="preserve"> koncentracija u serumu u ravnotežnom stanju iznosile su 35,8 µg/ml (SD ± 15,2) </w:t>
      </w:r>
      <w:r w:rsidR="002A79EF" w:rsidRPr="006F34F9">
        <w:rPr>
          <w:szCs w:val="22"/>
          <w:lang w:val="sr-Latn-ME"/>
        </w:rPr>
        <w:t>kod</w:t>
      </w:r>
      <w:r w:rsidRPr="006F34F9">
        <w:rPr>
          <w:szCs w:val="22"/>
          <w:lang w:val="sr-Latn-ME"/>
        </w:rPr>
        <w:t xml:space="preserve"> </w:t>
      </w:r>
      <w:r w:rsidR="00D43BC5" w:rsidRPr="006F34F9">
        <w:rPr>
          <w:szCs w:val="22"/>
          <w:lang w:val="sr-Latn-ME"/>
        </w:rPr>
        <w:t>pacijenata</w:t>
      </w:r>
      <w:r w:rsidRPr="006F34F9">
        <w:rPr>
          <w:szCs w:val="22"/>
          <w:lang w:val="sr-Latn-ME"/>
        </w:rPr>
        <w:t xml:space="preserve"> s ulceroznim kolitisom i 31,4 µg/ml (SD ± 14,7) </w:t>
      </w:r>
      <w:r w:rsidR="002A79EF" w:rsidRPr="006F34F9">
        <w:rPr>
          <w:szCs w:val="22"/>
          <w:lang w:val="sr-Latn-ME"/>
        </w:rPr>
        <w:t>kod</w:t>
      </w:r>
      <w:r w:rsidRPr="006F34F9">
        <w:rPr>
          <w:szCs w:val="22"/>
          <w:lang w:val="sr-Latn-ME"/>
        </w:rPr>
        <w:t xml:space="preserve"> </w:t>
      </w:r>
      <w:r w:rsidR="00D43BC5" w:rsidRPr="006F34F9">
        <w:rPr>
          <w:szCs w:val="22"/>
          <w:lang w:val="sr-Latn-ME"/>
        </w:rPr>
        <w:t>pacijenata</w:t>
      </w:r>
      <w:r w:rsidRPr="006F34F9">
        <w:rPr>
          <w:szCs w:val="22"/>
          <w:lang w:val="sr-Latn-ME"/>
        </w:rPr>
        <w:t xml:space="preserve"> s </w:t>
      </w:r>
      <w:r w:rsidR="002A79EF" w:rsidRPr="006F34F9">
        <w:rPr>
          <w:szCs w:val="22"/>
          <w:lang w:val="sr-Latn-ME"/>
        </w:rPr>
        <w:t xml:space="preserve">Kronovom </w:t>
      </w:r>
      <w:r w:rsidRPr="006F34F9">
        <w:rPr>
          <w:szCs w:val="22"/>
          <w:lang w:val="sr-Latn-ME"/>
        </w:rPr>
        <w:t xml:space="preserve">bolešću. Bioraspoloživost vedolizumaba nakon primjene jedne </w:t>
      </w:r>
      <w:r w:rsidR="0067327C" w:rsidRPr="006F34F9">
        <w:rPr>
          <w:szCs w:val="22"/>
          <w:lang w:val="sr-Latn-ME"/>
        </w:rPr>
        <w:t>subkutane</w:t>
      </w:r>
      <w:r w:rsidRPr="006F34F9">
        <w:rPr>
          <w:szCs w:val="22"/>
          <w:lang w:val="sr-Latn-ME"/>
        </w:rPr>
        <w:t xml:space="preserve"> doze od 108 mg u odnosu na jednu intravensku dozu bila je oko 75%. </w:t>
      </w:r>
      <w:r w:rsidR="0067327C" w:rsidRPr="006F34F9">
        <w:rPr>
          <w:szCs w:val="22"/>
          <w:lang w:val="sr-Latn-ME"/>
        </w:rPr>
        <w:t>Medijana</w:t>
      </w:r>
      <w:r w:rsidRPr="006F34F9">
        <w:rPr>
          <w:szCs w:val="22"/>
          <w:lang w:val="sr-Latn-ME"/>
        </w:rPr>
        <w:t xml:space="preserve"> </w:t>
      </w:r>
      <w:r w:rsidR="0067327C" w:rsidRPr="006F34F9">
        <w:rPr>
          <w:szCs w:val="22"/>
          <w:lang w:val="sr-Latn-ME"/>
        </w:rPr>
        <w:t>vremena</w:t>
      </w:r>
      <w:r w:rsidRPr="006F34F9">
        <w:rPr>
          <w:szCs w:val="22"/>
          <w:lang w:val="sr-Latn-ME"/>
        </w:rPr>
        <w:t xml:space="preserve"> za dostizanje maksimalne koncentracije u serumu (t</w:t>
      </w:r>
      <w:r w:rsidRPr="006F34F9">
        <w:rPr>
          <w:szCs w:val="22"/>
          <w:vertAlign w:val="subscript"/>
          <w:lang w:val="sr-Latn-ME"/>
        </w:rPr>
        <w:t>max</w:t>
      </w:r>
      <w:r w:rsidRPr="006F34F9">
        <w:rPr>
          <w:szCs w:val="22"/>
          <w:lang w:val="sr-Latn-ME"/>
        </w:rPr>
        <w:t>) bi</w:t>
      </w:r>
      <w:r w:rsidR="002A79EF" w:rsidRPr="006F34F9">
        <w:rPr>
          <w:szCs w:val="22"/>
          <w:lang w:val="sr-Latn-ME"/>
        </w:rPr>
        <w:t>la</w:t>
      </w:r>
      <w:r w:rsidRPr="006F34F9">
        <w:rPr>
          <w:szCs w:val="22"/>
          <w:lang w:val="sr-Latn-ME"/>
        </w:rPr>
        <w:t xml:space="preserve"> je 7 dana (raspon od 3 do 14 dana), a srednja maksimalna koncentracija u serumu (C</w:t>
      </w:r>
      <w:r w:rsidRPr="006F34F9">
        <w:rPr>
          <w:szCs w:val="22"/>
          <w:vertAlign w:val="subscript"/>
          <w:lang w:val="sr-Latn-ME"/>
        </w:rPr>
        <w:t>max</w:t>
      </w:r>
      <w:r w:rsidRPr="006F34F9">
        <w:rPr>
          <w:szCs w:val="22"/>
          <w:lang w:val="sr-Latn-ME"/>
        </w:rPr>
        <w:t>) bila je 15,4 µg/ml (SD ± 3,2).</w:t>
      </w:r>
    </w:p>
    <w:p w14:paraId="4E0F3ED5" w14:textId="77777777" w:rsidR="00636D99" w:rsidRPr="006F34F9" w:rsidRDefault="00636D99">
      <w:pPr>
        <w:pStyle w:val="Header"/>
        <w:rPr>
          <w:szCs w:val="22"/>
          <w:u w:val="single"/>
          <w:lang w:val="sr-Latn-ME"/>
        </w:rPr>
      </w:pPr>
    </w:p>
    <w:p w14:paraId="077D73E9" w14:textId="5695DB69" w:rsidR="00EC364F" w:rsidRPr="006F34F9" w:rsidRDefault="00EC364F">
      <w:pPr>
        <w:pStyle w:val="Header"/>
        <w:rPr>
          <w:szCs w:val="22"/>
          <w:u w:val="single"/>
          <w:lang w:val="sr-Latn-ME"/>
        </w:rPr>
      </w:pPr>
      <w:r w:rsidRPr="006F34F9">
        <w:rPr>
          <w:szCs w:val="22"/>
          <w:u w:val="single"/>
          <w:lang w:val="sr-Latn-ME"/>
        </w:rPr>
        <w:lastRenderedPageBreak/>
        <w:t>Distribucija</w:t>
      </w:r>
    </w:p>
    <w:p w14:paraId="72D477C6" w14:textId="77777777" w:rsidR="00EC364F" w:rsidRPr="006F34F9" w:rsidRDefault="00EC364F">
      <w:pPr>
        <w:pStyle w:val="Header"/>
        <w:rPr>
          <w:szCs w:val="22"/>
          <w:lang w:val="sr-Latn-ME"/>
        </w:rPr>
      </w:pPr>
    </w:p>
    <w:p w14:paraId="1CDDD411" w14:textId="7134F382" w:rsidR="00EC364F" w:rsidRPr="006F34F9" w:rsidRDefault="00EC364F">
      <w:pPr>
        <w:pStyle w:val="Header"/>
        <w:rPr>
          <w:szCs w:val="22"/>
          <w:lang w:val="sr-Latn-ME"/>
        </w:rPr>
      </w:pPr>
      <w:r w:rsidRPr="006F34F9">
        <w:rPr>
          <w:szCs w:val="22"/>
          <w:lang w:val="sr-Latn-ME"/>
        </w:rPr>
        <w:t>Analize populacione farmakokinetike ukazuju da je volumen distribucije vedolizumaba približno</w:t>
      </w:r>
      <w:r w:rsidR="00A008F5" w:rsidRPr="006F34F9">
        <w:rPr>
          <w:szCs w:val="22"/>
          <w:lang w:val="sr-Latn-ME"/>
        </w:rPr>
        <w:t xml:space="preserve"> </w:t>
      </w:r>
      <w:r w:rsidRPr="006F34F9">
        <w:rPr>
          <w:szCs w:val="22"/>
          <w:lang w:val="sr-Latn-ME"/>
        </w:rPr>
        <w:t xml:space="preserve">5 litara. Vezivanje vedolizumaba za proteine plazme nije ispitano. Vedolizumab je terapijsko monoklonsko </w:t>
      </w:r>
      <w:r w:rsidR="00A008F5" w:rsidRPr="006F34F9">
        <w:rPr>
          <w:szCs w:val="22"/>
          <w:lang w:val="sr-Latn-ME"/>
        </w:rPr>
        <w:t>antitijelo</w:t>
      </w:r>
      <w:r w:rsidRPr="006F34F9">
        <w:rPr>
          <w:szCs w:val="22"/>
          <w:lang w:val="sr-Latn-ME"/>
        </w:rPr>
        <w:t xml:space="preserve"> za koje se ne očekuje da će se vezati za proteine plazme.</w:t>
      </w:r>
    </w:p>
    <w:p w14:paraId="051D4F92" w14:textId="77777777" w:rsidR="00EC364F" w:rsidRPr="006F34F9" w:rsidRDefault="00EC364F">
      <w:pPr>
        <w:pStyle w:val="Header"/>
        <w:rPr>
          <w:szCs w:val="22"/>
          <w:lang w:val="sr-Latn-ME"/>
        </w:rPr>
      </w:pPr>
    </w:p>
    <w:p w14:paraId="50823AC7" w14:textId="32E170BC" w:rsidR="00EC364F" w:rsidRPr="006F34F9" w:rsidRDefault="00EC364F">
      <w:pPr>
        <w:pStyle w:val="Header"/>
        <w:rPr>
          <w:szCs w:val="22"/>
          <w:lang w:val="sr-Latn-ME"/>
        </w:rPr>
      </w:pPr>
      <w:r w:rsidRPr="006F34F9">
        <w:rPr>
          <w:szCs w:val="22"/>
          <w:lang w:val="sr-Latn-ME"/>
        </w:rPr>
        <w:t xml:space="preserve">Vedolizumab ne prolazi hemato-encefalnu barijeru nakon intravenske </w:t>
      </w:r>
      <w:r w:rsidR="0069571E" w:rsidRPr="006F34F9">
        <w:rPr>
          <w:szCs w:val="22"/>
          <w:lang w:val="sr-Latn-ME"/>
        </w:rPr>
        <w:t>primjene</w:t>
      </w:r>
      <w:r w:rsidRPr="006F34F9">
        <w:rPr>
          <w:szCs w:val="22"/>
          <w:lang w:val="sr-Latn-ME"/>
        </w:rPr>
        <w:t xml:space="preserve">. Vedolizumab 450 mg </w:t>
      </w:r>
      <w:r w:rsidR="008062E2" w:rsidRPr="006F34F9">
        <w:rPr>
          <w:szCs w:val="22"/>
          <w:lang w:val="sr-Latn-ME"/>
        </w:rPr>
        <w:t>prim</w:t>
      </w:r>
      <w:r w:rsidR="00D8342B">
        <w:rPr>
          <w:szCs w:val="22"/>
          <w:lang w:val="sr-Latn-ME"/>
        </w:rPr>
        <w:t>i</w:t>
      </w:r>
      <w:r w:rsidR="008062E2" w:rsidRPr="006F34F9">
        <w:rPr>
          <w:szCs w:val="22"/>
          <w:lang w:val="sr-Latn-ME"/>
        </w:rPr>
        <w:t>jenjen</w:t>
      </w:r>
      <w:r w:rsidRPr="006F34F9">
        <w:rPr>
          <w:szCs w:val="22"/>
          <w:lang w:val="sr-Latn-ME"/>
        </w:rPr>
        <w:t xml:space="preserve"> intravenski nije detektovan u cerebrospinalnoj tečnosti zdravih ispitanika.</w:t>
      </w:r>
    </w:p>
    <w:p w14:paraId="2F15BA9D" w14:textId="77777777" w:rsidR="00EC364F" w:rsidRPr="006F34F9" w:rsidRDefault="00EC364F">
      <w:pPr>
        <w:pStyle w:val="Header"/>
        <w:rPr>
          <w:szCs w:val="22"/>
          <w:lang w:val="sr-Latn-ME"/>
        </w:rPr>
      </w:pPr>
    </w:p>
    <w:p w14:paraId="6FA4D619" w14:textId="77777777" w:rsidR="00EC364F" w:rsidRPr="006F34F9" w:rsidRDefault="00EC364F">
      <w:pPr>
        <w:pStyle w:val="Header"/>
        <w:rPr>
          <w:szCs w:val="22"/>
          <w:u w:val="single"/>
          <w:lang w:val="sr-Latn-ME"/>
        </w:rPr>
      </w:pPr>
      <w:r w:rsidRPr="006F34F9">
        <w:rPr>
          <w:szCs w:val="22"/>
          <w:u w:val="single"/>
          <w:lang w:val="sr-Latn-ME"/>
        </w:rPr>
        <w:t>Eliminacija</w:t>
      </w:r>
    </w:p>
    <w:p w14:paraId="21B67EB6" w14:textId="77777777" w:rsidR="00EC364F" w:rsidRPr="006F34F9" w:rsidRDefault="00EC364F">
      <w:pPr>
        <w:pStyle w:val="Header"/>
        <w:rPr>
          <w:szCs w:val="22"/>
          <w:lang w:val="sr-Latn-ME"/>
        </w:rPr>
      </w:pPr>
    </w:p>
    <w:p w14:paraId="7127C8E2" w14:textId="3799A01C" w:rsidR="00EC364F" w:rsidRPr="006F34F9" w:rsidRDefault="00FD106A">
      <w:pPr>
        <w:pStyle w:val="Header"/>
        <w:rPr>
          <w:szCs w:val="22"/>
          <w:lang w:val="sr-Latn-ME"/>
        </w:rPr>
      </w:pPr>
      <w:r w:rsidRPr="00897387">
        <w:rPr>
          <w:szCs w:val="22"/>
          <w:lang w:val="sr-Latn-ME"/>
        </w:rPr>
        <w:t xml:space="preserve">Populacione farmakokinetičke analize </w:t>
      </w:r>
      <w:r>
        <w:rPr>
          <w:szCs w:val="22"/>
          <w:lang w:val="sr-Latn-ME"/>
        </w:rPr>
        <w:t xml:space="preserve">zasnovane na podacima iz intravenske i subkutane primjene </w:t>
      </w:r>
      <w:r w:rsidRPr="00897387">
        <w:rPr>
          <w:szCs w:val="22"/>
          <w:lang w:val="sr-Latn-ME"/>
        </w:rPr>
        <w:t xml:space="preserve">ukazuju da </w:t>
      </w:r>
      <w:r>
        <w:rPr>
          <w:szCs w:val="22"/>
          <w:lang w:val="sr-Latn-ME"/>
        </w:rPr>
        <w:t xml:space="preserve">je klirens </w:t>
      </w:r>
      <w:r w:rsidRPr="00897387">
        <w:rPr>
          <w:szCs w:val="22"/>
          <w:lang w:val="sr-Latn-ME"/>
        </w:rPr>
        <w:t>vedolizumab</w:t>
      </w:r>
      <w:r>
        <w:rPr>
          <w:szCs w:val="22"/>
          <w:lang w:val="sr-Latn-ME"/>
        </w:rPr>
        <w:t>a</w:t>
      </w:r>
      <w:r w:rsidRPr="00897387">
        <w:rPr>
          <w:szCs w:val="22"/>
          <w:lang w:val="sr-Latn-ME"/>
        </w:rPr>
        <w:t xml:space="preserve"> približno 0,</w:t>
      </w:r>
      <w:r>
        <w:rPr>
          <w:szCs w:val="22"/>
          <w:lang w:val="sr-Latn-ME"/>
        </w:rPr>
        <w:t>162</w:t>
      </w:r>
      <w:r w:rsidRPr="00897387">
        <w:rPr>
          <w:szCs w:val="22"/>
          <w:lang w:val="sr-Latn-ME"/>
        </w:rPr>
        <w:t xml:space="preserve"> </w:t>
      </w:r>
      <w:r>
        <w:rPr>
          <w:szCs w:val="22"/>
          <w:lang w:val="sr-Latn-ME"/>
        </w:rPr>
        <w:t>l</w:t>
      </w:r>
      <w:r w:rsidRPr="00897387">
        <w:rPr>
          <w:szCs w:val="22"/>
          <w:lang w:val="sr-Latn-ME"/>
        </w:rPr>
        <w:t>/dan</w:t>
      </w:r>
      <w:r>
        <w:rPr>
          <w:szCs w:val="22"/>
          <w:lang w:val="sr-Latn-ME"/>
        </w:rPr>
        <w:t xml:space="preserve"> (putem linearne eliminacije)</w:t>
      </w:r>
      <w:r w:rsidR="00D8342B">
        <w:rPr>
          <w:szCs w:val="22"/>
          <w:lang w:val="sr-Latn-ME"/>
        </w:rPr>
        <w:t xml:space="preserve"> </w:t>
      </w:r>
      <w:r w:rsidR="00D8342B" w:rsidRPr="003A58E8">
        <w:rPr>
          <w:szCs w:val="22"/>
          <w:lang w:val="sr-Latn-ME"/>
        </w:rPr>
        <w:t>i</w:t>
      </w:r>
      <w:r w:rsidR="00D8342B" w:rsidRPr="003A58E8">
        <w:rPr>
          <w:szCs w:val="22"/>
        </w:rPr>
        <w:t xml:space="preserve"> da je poluživot u serumu 26 dana</w:t>
      </w:r>
      <w:r w:rsidR="00D8342B">
        <w:rPr>
          <w:szCs w:val="22"/>
        </w:rPr>
        <w:t>.</w:t>
      </w:r>
      <w:r w:rsidR="00EC364F" w:rsidRPr="006F34F9">
        <w:rPr>
          <w:szCs w:val="22"/>
          <w:lang w:val="sr-Latn-ME"/>
        </w:rPr>
        <w:t xml:space="preserve"> Tačan put eliminacije vedolizumaba nije poznat. Populacione farmakokinetičke analize ukazuju da, iako niski nivoi albumina, povećana t</w:t>
      </w:r>
      <w:r w:rsidR="0018772D" w:rsidRPr="006F34F9">
        <w:rPr>
          <w:szCs w:val="22"/>
          <w:lang w:val="sr-Latn-ME"/>
        </w:rPr>
        <w:t>j</w:t>
      </w:r>
      <w:r w:rsidR="00EC364F" w:rsidRPr="006F34F9">
        <w:rPr>
          <w:szCs w:val="22"/>
          <w:lang w:val="sr-Latn-ME"/>
        </w:rPr>
        <w:t xml:space="preserve">elesna masa i </w:t>
      </w:r>
      <w:r w:rsidR="00B148F2" w:rsidRPr="006F34F9">
        <w:rPr>
          <w:szCs w:val="22"/>
          <w:lang w:val="sr-Latn-ME"/>
        </w:rPr>
        <w:t>prethodno</w:t>
      </w:r>
      <w:r w:rsidR="00EC364F" w:rsidRPr="006F34F9">
        <w:rPr>
          <w:szCs w:val="22"/>
          <w:lang w:val="sr-Latn-ME"/>
        </w:rPr>
        <w:t xml:space="preserve"> l</w:t>
      </w:r>
      <w:r w:rsidR="00A008F5" w:rsidRPr="006F34F9">
        <w:rPr>
          <w:szCs w:val="22"/>
          <w:lang w:val="sr-Latn-ME"/>
        </w:rPr>
        <w:t>ij</w:t>
      </w:r>
      <w:r w:rsidR="00EC364F" w:rsidRPr="006F34F9">
        <w:rPr>
          <w:szCs w:val="22"/>
          <w:lang w:val="sr-Latn-ME"/>
        </w:rPr>
        <w:t>ečenje l</w:t>
      </w:r>
      <w:r w:rsidR="0018772D" w:rsidRPr="006F34F9">
        <w:rPr>
          <w:szCs w:val="22"/>
          <w:lang w:val="sr-Latn-ME"/>
        </w:rPr>
        <w:t>j</w:t>
      </w:r>
      <w:r w:rsidR="00EC364F" w:rsidRPr="006F34F9">
        <w:rPr>
          <w:szCs w:val="22"/>
          <w:lang w:val="sr-Latn-ME"/>
        </w:rPr>
        <w:t>ekovima protiv TNF mogu povećati klirens vedolizumaba, opseg njihovog uticaja se ne smatra klinički značajn</w:t>
      </w:r>
      <w:r w:rsidR="00A008F5" w:rsidRPr="006F34F9">
        <w:rPr>
          <w:szCs w:val="22"/>
          <w:lang w:val="sr-Latn-ME"/>
        </w:rPr>
        <w:t>i</w:t>
      </w:r>
      <w:r w:rsidR="00EC364F" w:rsidRPr="006F34F9">
        <w:rPr>
          <w:szCs w:val="22"/>
          <w:lang w:val="sr-Latn-ME"/>
        </w:rPr>
        <w:t>m.</w:t>
      </w:r>
    </w:p>
    <w:p w14:paraId="1E526BDB" w14:textId="77777777" w:rsidR="00EC364F" w:rsidRPr="006F34F9" w:rsidRDefault="00EC364F">
      <w:pPr>
        <w:pStyle w:val="Header"/>
        <w:rPr>
          <w:szCs w:val="22"/>
          <w:lang w:val="sr-Latn-ME"/>
        </w:rPr>
      </w:pPr>
    </w:p>
    <w:p w14:paraId="5B007DCF" w14:textId="77777777" w:rsidR="00EC364F" w:rsidRPr="006F34F9" w:rsidRDefault="00EC364F">
      <w:pPr>
        <w:pStyle w:val="Header"/>
        <w:rPr>
          <w:szCs w:val="22"/>
          <w:u w:val="single"/>
          <w:lang w:val="sr-Latn-ME"/>
        </w:rPr>
      </w:pPr>
      <w:r w:rsidRPr="006F34F9">
        <w:rPr>
          <w:szCs w:val="22"/>
          <w:u w:val="single"/>
          <w:lang w:val="sr-Latn-ME"/>
        </w:rPr>
        <w:t>Linearnost</w:t>
      </w:r>
    </w:p>
    <w:p w14:paraId="3CE75274" w14:textId="77777777" w:rsidR="00EC364F" w:rsidRPr="006F34F9" w:rsidRDefault="00EC364F">
      <w:pPr>
        <w:pStyle w:val="Header"/>
        <w:rPr>
          <w:szCs w:val="22"/>
          <w:lang w:val="sr-Latn-ME"/>
        </w:rPr>
      </w:pPr>
    </w:p>
    <w:p w14:paraId="11530755" w14:textId="5E3A3ACF" w:rsidR="00EC364F" w:rsidRPr="006F34F9" w:rsidRDefault="00EC364F">
      <w:pPr>
        <w:pStyle w:val="Header"/>
        <w:rPr>
          <w:szCs w:val="22"/>
          <w:lang w:val="sr-Latn-ME"/>
        </w:rPr>
      </w:pPr>
      <w:r w:rsidRPr="006F34F9">
        <w:rPr>
          <w:szCs w:val="22"/>
          <w:lang w:val="sr-Latn-ME"/>
        </w:rPr>
        <w:t>Vedolizumab je pokazao linearnu farmakokinetiku pri serumskim koncentracijama većim od 1 mikrograma/m</w:t>
      </w:r>
      <w:r w:rsidR="00A008F5" w:rsidRPr="006F34F9">
        <w:rPr>
          <w:szCs w:val="22"/>
          <w:lang w:val="sr-Latn-ME"/>
        </w:rPr>
        <w:t>l</w:t>
      </w:r>
      <w:r w:rsidRPr="006F34F9">
        <w:rPr>
          <w:szCs w:val="22"/>
          <w:lang w:val="sr-Latn-ME"/>
        </w:rPr>
        <w:t>.</w:t>
      </w:r>
    </w:p>
    <w:p w14:paraId="394CFD87" w14:textId="77777777" w:rsidR="00EC364F" w:rsidRPr="006F34F9" w:rsidRDefault="00EC364F">
      <w:pPr>
        <w:pStyle w:val="Header"/>
        <w:rPr>
          <w:szCs w:val="22"/>
          <w:lang w:val="sr-Latn-ME"/>
        </w:rPr>
      </w:pPr>
      <w:r w:rsidRPr="006F34F9">
        <w:rPr>
          <w:szCs w:val="22"/>
          <w:lang w:val="sr-Latn-ME"/>
        </w:rPr>
        <w:t xml:space="preserve"> </w:t>
      </w:r>
    </w:p>
    <w:p w14:paraId="59A6FFFB" w14:textId="77777777" w:rsidR="00EC364F" w:rsidRPr="006F34F9" w:rsidRDefault="00EC364F">
      <w:pPr>
        <w:pStyle w:val="Header"/>
        <w:rPr>
          <w:szCs w:val="22"/>
          <w:u w:val="single"/>
          <w:lang w:val="sr-Latn-ME"/>
        </w:rPr>
      </w:pPr>
      <w:r w:rsidRPr="006F34F9">
        <w:rPr>
          <w:szCs w:val="22"/>
          <w:u w:val="single"/>
          <w:lang w:val="sr-Latn-ME"/>
        </w:rPr>
        <w:t>Posebne grupe pacijenata</w:t>
      </w:r>
    </w:p>
    <w:p w14:paraId="76B71526" w14:textId="77777777" w:rsidR="00EC364F" w:rsidRPr="006F34F9" w:rsidRDefault="00EC364F">
      <w:pPr>
        <w:pStyle w:val="Header"/>
        <w:rPr>
          <w:szCs w:val="22"/>
          <w:lang w:val="sr-Latn-ME"/>
        </w:rPr>
      </w:pPr>
    </w:p>
    <w:p w14:paraId="68B35241" w14:textId="25687B5A" w:rsidR="00EC364F" w:rsidRPr="006F34F9" w:rsidRDefault="00EC364F">
      <w:pPr>
        <w:rPr>
          <w:szCs w:val="22"/>
          <w:lang w:val="sr-Latn-ME"/>
        </w:rPr>
      </w:pPr>
      <w:r w:rsidRPr="006F34F9">
        <w:rPr>
          <w:szCs w:val="22"/>
          <w:lang w:val="sr-Latn-ME"/>
        </w:rPr>
        <w:t>Starosn</w:t>
      </w:r>
      <w:r w:rsidR="00A008F5" w:rsidRPr="006F34F9">
        <w:rPr>
          <w:szCs w:val="22"/>
          <w:lang w:val="sr-Latn-ME"/>
        </w:rPr>
        <w:t>a</w:t>
      </w:r>
      <w:r w:rsidRPr="006F34F9">
        <w:rPr>
          <w:szCs w:val="22"/>
          <w:lang w:val="sr-Latn-ME"/>
        </w:rPr>
        <w:t xml:space="preserve"> dob ne utiče na klirens vedolizumaba kod pacijenata sa ulceroznim kolitisom i Kronovom bolešću na osnovu populacione farmakokinetičke analize. Ni</w:t>
      </w:r>
      <w:r w:rsidR="0018772D" w:rsidRPr="006F34F9">
        <w:rPr>
          <w:szCs w:val="22"/>
          <w:lang w:val="sr-Latn-ME"/>
        </w:rPr>
        <w:t>je</w:t>
      </w:r>
      <w:r w:rsidRPr="006F34F9">
        <w:rPr>
          <w:szCs w:val="22"/>
          <w:lang w:val="sr-Latn-ME"/>
        </w:rPr>
        <w:t>su sprovedena formalna ispitivanja proc</w:t>
      </w:r>
      <w:r w:rsidR="0067327C" w:rsidRPr="006F34F9">
        <w:rPr>
          <w:szCs w:val="22"/>
          <w:lang w:val="sr-Latn-ME"/>
        </w:rPr>
        <w:t>j</w:t>
      </w:r>
      <w:r w:rsidRPr="006F34F9">
        <w:rPr>
          <w:szCs w:val="22"/>
          <w:lang w:val="sr-Latn-ME"/>
        </w:rPr>
        <w:t>ene uticaja oštećenja bubrega ili jetre na farmakokinetiku vedolizumaba.</w:t>
      </w:r>
    </w:p>
    <w:p w14:paraId="3A514068" w14:textId="77777777" w:rsidR="00EC364F" w:rsidRPr="006F34F9" w:rsidRDefault="00EC364F">
      <w:pPr>
        <w:rPr>
          <w:szCs w:val="22"/>
          <w:lang w:val="sr-Latn-ME"/>
        </w:rPr>
      </w:pPr>
    </w:p>
    <w:p w14:paraId="6CE07F1C" w14:textId="5E94906B" w:rsidR="00CE09F3" w:rsidRPr="006F34F9" w:rsidRDefault="00CE09F3">
      <w:pPr>
        <w:rPr>
          <w:b/>
          <w:bCs/>
          <w:szCs w:val="22"/>
          <w:lang w:val="sr-Latn-ME"/>
        </w:rPr>
      </w:pPr>
      <w:r w:rsidRPr="006F34F9">
        <w:rPr>
          <w:b/>
          <w:bCs/>
          <w:szCs w:val="22"/>
          <w:lang w:val="sr-Latn-ME"/>
        </w:rPr>
        <w:t>5.3.</w:t>
      </w:r>
      <w:r w:rsidR="00591D18" w:rsidRPr="006F34F9">
        <w:rPr>
          <w:b/>
          <w:bCs/>
          <w:szCs w:val="22"/>
          <w:lang w:val="sr-Latn-ME"/>
        </w:rPr>
        <w:t xml:space="preserve">  </w:t>
      </w:r>
      <w:r w:rsidR="008062E2" w:rsidRPr="006F34F9">
        <w:rPr>
          <w:b/>
          <w:bCs/>
          <w:szCs w:val="22"/>
          <w:lang w:val="sr-Latn-ME"/>
        </w:rPr>
        <w:t>Pre</w:t>
      </w:r>
      <w:r w:rsidRPr="006F34F9">
        <w:rPr>
          <w:b/>
          <w:bCs/>
          <w:szCs w:val="22"/>
          <w:lang w:val="sr-Latn-ME"/>
        </w:rPr>
        <w:t xml:space="preserve">tklinički podaci o </w:t>
      </w:r>
      <w:r w:rsidR="008062E2" w:rsidRPr="006F34F9">
        <w:rPr>
          <w:b/>
          <w:bCs/>
          <w:szCs w:val="22"/>
          <w:lang w:val="sr-Latn-ME"/>
        </w:rPr>
        <w:t>bezbjednost</w:t>
      </w:r>
      <w:r w:rsidRPr="006F34F9">
        <w:rPr>
          <w:b/>
          <w:bCs/>
          <w:szCs w:val="22"/>
          <w:lang w:val="sr-Latn-ME"/>
        </w:rPr>
        <w:t xml:space="preserve">i </w:t>
      </w:r>
      <w:r w:rsidR="008559D3" w:rsidRPr="006F34F9">
        <w:rPr>
          <w:b/>
          <w:bCs/>
          <w:szCs w:val="22"/>
          <w:lang w:val="sr-Latn-ME"/>
        </w:rPr>
        <w:t>lijeka</w:t>
      </w:r>
    </w:p>
    <w:p w14:paraId="6CE07F1D" w14:textId="77777777" w:rsidR="00CE09F3" w:rsidRPr="006F34F9" w:rsidRDefault="00CE09F3">
      <w:pPr>
        <w:rPr>
          <w:szCs w:val="22"/>
          <w:lang w:val="sr-Latn-ME"/>
        </w:rPr>
      </w:pPr>
    </w:p>
    <w:p w14:paraId="36D624A2" w14:textId="1BA0183B" w:rsidR="00EC364F" w:rsidRPr="006F34F9" w:rsidRDefault="0067327C">
      <w:pPr>
        <w:pStyle w:val="Header"/>
        <w:rPr>
          <w:szCs w:val="22"/>
          <w:lang w:val="sr-Latn-ME"/>
        </w:rPr>
      </w:pPr>
      <w:r w:rsidRPr="006F34F9">
        <w:rPr>
          <w:szCs w:val="22"/>
          <w:lang w:val="sr-Latn-ME"/>
        </w:rPr>
        <w:t>Pretklinički</w:t>
      </w:r>
      <w:r w:rsidR="00EC364F" w:rsidRPr="006F34F9">
        <w:rPr>
          <w:szCs w:val="22"/>
          <w:lang w:val="sr-Latn-ME"/>
        </w:rPr>
        <w:t xml:space="preserve"> podaci dobijeni iz konvencionalnih ispitivanja farmakološke </w:t>
      </w:r>
      <w:r w:rsidR="008062E2" w:rsidRPr="006F34F9">
        <w:rPr>
          <w:szCs w:val="22"/>
          <w:lang w:val="sr-Latn-ME"/>
        </w:rPr>
        <w:t>bezbjednost</w:t>
      </w:r>
      <w:r w:rsidR="00EC364F" w:rsidRPr="006F34F9">
        <w:rPr>
          <w:szCs w:val="22"/>
          <w:lang w:val="sr-Latn-ME"/>
        </w:rPr>
        <w:t>i, toksičnosti ponovljenih doza</w:t>
      </w:r>
      <w:r w:rsidR="003A58E8">
        <w:rPr>
          <w:szCs w:val="22"/>
          <w:lang w:val="sr-Latn-ME"/>
        </w:rPr>
        <w:t xml:space="preserve">, </w:t>
      </w:r>
      <w:r w:rsidR="00D8342B" w:rsidRPr="003A58E8">
        <w:rPr>
          <w:szCs w:val="22"/>
        </w:rPr>
        <w:t>genotoksičnosti, kancerogenosti, reproduktivne</w:t>
      </w:r>
      <w:r w:rsidR="00EC364F" w:rsidRPr="006F34F9">
        <w:rPr>
          <w:szCs w:val="22"/>
          <w:lang w:val="sr-Latn-ME"/>
        </w:rPr>
        <w:t xml:space="preserve"> i razvojne toksičnosti, ne ukazuju na poseban rizik za ljude.</w:t>
      </w:r>
    </w:p>
    <w:p w14:paraId="50481A9D" w14:textId="77777777" w:rsidR="00EC364F" w:rsidRPr="006F34F9" w:rsidRDefault="00EC364F">
      <w:pPr>
        <w:pStyle w:val="Header"/>
        <w:rPr>
          <w:szCs w:val="22"/>
          <w:lang w:val="sr-Latn-ME"/>
        </w:rPr>
      </w:pPr>
    </w:p>
    <w:p w14:paraId="7931E8FA" w14:textId="5E73FCF0" w:rsidR="00EC364F" w:rsidRPr="006F34F9" w:rsidRDefault="00EC364F">
      <w:pPr>
        <w:pStyle w:val="Header"/>
        <w:rPr>
          <w:szCs w:val="22"/>
          <w:lang w:val="sr-Latn-ME"/>
        </w:rPr>
      </w:pPr>
      <w:r w:rsidRPr="006F34F9">
        <w:rPr>
          <w:szCs w:val="22"/>
          <w:lang w:val="sr-Latn-ME"/>
        </w:rPr>
        <w:t>Dugoročna ispitivanja vedolizumaba na životinjama za proc</w:t>
      </w:r>
      <w:r w:rsidR="00847C1B" w:rsidRPr="006F34F9">
        <w:rPr>
          <w:szCs w:val="22"/>
          <w:lang w:val="sr-Latn-ME"/>
        </w:rPr>
        <w:t>j</w:t>
      </w:r>
      <w:r w:rsidRPr="006F34F9">
        <w:rPr>
          <w:szCs w:val="22"/>
          <w:lang w:val="sr-Latn-ME"/>
        </w:rPr>
        <w:t>enu njegovog kancerogenog potencijala ni</w:t>
      </w:r>
      <w:r w:rsidR="00847C1B" w:rsidRPr="006F34F9">
        <w:rPr>
          <w:szCs w:val="22"/>
          <w:lang w:val="sr-Latn-ME"/>
        </w:rPr>
        <w:t>je</w:t>
      </w:r>
      <w:r w:rsidRPr="006F34F9">
        <w:rPr>
          <w:szCs w:val="22"/>
          <w:lang w:val="sr-Latn-ME"/>
        </w:rPr>
        <w:t xml:space="preserve">su sprovedena jer farmakološki modeli odgovora na monoklonska </w:t>
      </w:r>
      <w:r w:rsidR="0067327C" w:rsidRPr="006F34F9">
        <w:rPr>
          <w:szCs w:val="22"/>
          <w:lang w:val="sr-Latn-ME"/>
        </w:rPr>
        <w:t>antitijela</w:t>
      </w:r>
      <w:r w:rsidRPr="006F34F9">
        <w:rPr>
          <w:szCs w:val="22"/>
          <w:lang w:val="sr-Latn-ME"/>
        </w:rPr>
        <w:t xml:space="preserve"> ne postoje. Kod vrsta koje su farmakodinamski reagovale na l</w:t>
      </w:r>
      <w:r w:rsidR="00847C1B" w:rsidRPr="006F34F9">
        <w:rPr>
          <w:szCs w:val="22"/>
          <w:lang w:val="sr-Latn-ME"/>
        </w:rPr>
        <w:t>ij</w:t>
      </w:r>
      <w:r w:rsidRPr="006F34F9">
        <w:rPr>
          <w:szCs w:val="22"/>
          <w:lang w:val="sr-Latn-ME"/>
        </w:rPr>
        <w:t xml:space="preserve">ečenje (majmuni roda </w:t>
      </w:r>
      <w:r w:rsidRPr="006F34F9">
        <w:rPr>
          <w:i/>
          <w:iCs/>
          <w:szCs w:val="22"/>
          <w:lang w:val="sr-Latn-ME"/>
        </w:rPr>
        <w:t>cynomolgus</w:t>
      </w:r>
      <w:r w:rsidRPr="006F34F9">
        <w:rPr>
          <w:szCs w:val="22"/>
          <w:lang w:val="sr-Latn-ME"/>
        </w:rPr>
        <w:t xml:space="preserve"> (makaki majmuni)) nije bilo dokaza ćelijske hiperplazije ili sistemske imunomodulacije koja bi mogla biti povezana sa onkogenezom u 13- i 26- </w:t>
      </w:r>
      <w:r w:rsidR="00A008F5" w:rsidRPr="006F34F9">
        <w:rPr>
          <w:szCs w:val="22"/>
          <w:lang w:val="sr-Latn-ME"/>
        </w:rPr>
        <w:t>nedjeljnim</w:t>
      </w:r>
      <w:r w:rsidRPr="006F34F9">
        <w:rPr>
          <w:szCs w:val="22"/>
          <w:lang w:val="sr-Latn-ME"/>
        </w:rPr>
        <w:t xml:space="preserve"> toksikološkim ispitivanjima. Takođe, ni</w:t>
      </w:r>
      <w:r w:rsidR="00847C1B" w:rsidRPr="006F34F9">
        <w:rPr>
          <w:szCs w:val="22"/>
          <w:lang w:val="sr-Latn-ME"/>
        </w:rPr>
        <w:t>je</w:t>
      </w:r>
      <w:r w:rsidRPr="006F34F9">
        <w:rPr>
          <w:szCs w:val="22"/>
          <w:lang w:val="sr-Latn-ME"/>
        </w:rPr>
        <w:t>su otkriveni efekti vedolizumaba na brzinu proliferacije ili citotoksičnost ćelijskih linija humanih tumora koje eksprimiraju integrin α</w:t>
      </w:r>
      <w:r w:rsidRPr="006F34F9">
        <w:rPr>
          <w:szCs w:val="22"/>
          <w:vertAlign w:val="subscript"/>
          <w:lang w:val="sr-Latn-ME"/>
        </w:rPr>
        <w:t>4</w:t>
      </w:r>
      <w:r w:rsidRPr="006F34F9">
        <w:rPr>
          <w:szCs w:val="22"/>
          <w:lang w:val="sr-Latn-ME"/>
        </w:rPr>
        <w:t>β</w:t>
      </w:r>
      <w:r w:rsidRPr="006F34F9">
        <w:rPr>
          <w:szCs w:val="22"/>
          <w:vertAlign w:val="subscript"/>
          <w:lang w:val="sr-Latn-ME"/>
        </w:rPr>
        <w:t>7</w:t>
      </w:r>
      <w:r w:rsidRPr="006F34F9">
        <w:rPr>
          <w:szCs w:val="22"/>
          <w:lang w:val="sr-Latn-ME"/>
        </w:rPr>
        <w:t xml:space="preserve"> in vitro.</w:t>
      </w:r>
    </w:p>
    <w:p w14:paraId="0AC3A6E6" w14:textId="77777777" w:rsidR="00EC364F" w:rsidRPr="006F34F9" w:rsidRDefault="00EC364F">
      <w:pPr>
        <w:pStyle w:val="Header"/>
        <w:rPr>
          <w:szCs w:val="22"/>
          <w:lang w:val="sr-Latn-ME"/>
        </w:rPr>
      </w:pPr>
    </w:p>
    <w:p w14:paraId="0EE68493" w14:textId="10BAC2BF" w:rsidR="00EC364F" w:rsidRPr="006F34F9" w:rsidRDefault="00EC364F">
      <w:pPr>
        <w:pStyle w:val="Header"/>
        <w:rPr>
          <w:szCs w:val="22"/>
          <w:lang w:val="sr-Latn-ME"/>
        </w:rPr>
      </w:pPr>
      <w:r w:rsidRPr="006F34F9">
        <w:rPr>
          <w:szCs w:val="22"/>
          <w:lang w:val="sr-Latn-ME"/>
        </w:rPr>
        <w:t>Ni</w:t>
      </w:r>
      <w:r w:rsidR="00847C1B" w:rsidRPr="006F34F9">
        <w:rPr>
          <w:szCs w:val="22"/>
          <w:lang w:val="sr-Latn-ME"/>
        </w:rPr>
        <w:t>je</w:t>
      </w:r>
      <w:r w:rsidRPr="006F34F9">
        <w:rPr>
          <w:szCs w:val="22"/>
          <w:lang w:val="sr-Latn-ME"/>
        </w:rPr>
        <w:t xml:space="preserve">su sprovedena ispitivanja plodnosti sa vedolizumabom kod životinja. Konačan zaključak o uticaju na reproduktivne organe mužjaka </w:t>
      </w:r>
      <w:r w:rsidR="00372858" w:rsidRPr="006F34F9">
        <w:rPr>
          <w:szCs w:val="22"/>
          <w:lang w:val="sr-Latn-ME"/>
        </w:rPr>
        <w:t>u</w:t>
      </w:r>
      <w:r w:rsidRPr="006F34F9">
        <w:rPr>
          <w:szCs w:val="22"/>
          <w:lang w:val="sr-Latn-ME"/>
        </w:rPr>
        <w:t xml:space="preserve"> ispitivanj</w:t>
      </w:r>
      <w:r w:rsidR="00372858" w:rsidRPr="006F34F9">
        <w:rPr>
          <w:szCs w:val="22"/>
          <w:lang w:val="sr-Latn-ME"/>
        </w:rPr>
        <w:t>u</w:t>
      </w:r>
      <w:r w:rsidRPr="006F34F9">
        <w:rPr>
          <w:szCs w:val="22"/>
          <w:lang w:val="sr-Latn-ME"/>
        </w:rPr>
        <w:t xml:space="preserve"> toksičnosti ponovljene doze na makaki majmunima se ne može don</w:t>
      </w:r>
      <w:r w:rsidR="00847C1B" w:rsidRPr="006F34F9">
        <w:rPr>
          <w:szCs w:val="22"/>
          <w:lang w:val="sr-Latn-ME"/>
        </w:rPr>
        <w:t>ij</w:t>
      </w:r>
      <w:r w:rsidRPr="006F34F9">
        <w:rPr>
          <w:szCs w:val="22"/>
          <w:lang w:val="sr-Latn-ME"/>
        </w:rPr>
        <w:t>eti, ali obzirom na to da se vedolizumab ne vezuje za tkivo muških reproduktivnih organa kod majmuna i ljudi i obzirom na intaktnu plodnost uočenu kod mužjaka miševa sa deficitom β7 integrina, uticaj vedolizumaba na plodnost muškaraca se ne očekuje.</w:t>
      </w:r>
    </w:p>
    <w:p w14:paraId="3C78A5AA" w14:textId="77777777" w:rsidR="00EC364F" w:rsidRPr="006F34F9" w:rsidRDefault="00EC364F">
      <w:pPr>
        <w:pStyle w:val="Header"/>
        <w:rPr>
          <w:szCs w:val="22"/>
          <w:lang w:val="sr-Latn-ME"/>
        </w:rPr>
      </w:pPr>
    </w:p>
    <w:p w14:paraId="1F0D00E6" w14:textId="27231302" w:rsidR="00591D18" w:rsidRPr="006F34F9" w:rsidRDefault="0067327C">
      <w:pPr>
        <w:rPr>
          <w:szCs w:val="22"/>
          <w:lang w:val="sr-Latn-ME"/>
        </w:rPr>
      </w:pPr>
      <w:r w:rsidRPr="006F34F9">
        <w:rPr>
          <w:szCs w:val="22"/>
          <w:lang w:val="sr-Latn-ME"/>
        </w:rPr>
        <w:t>Primjena</w:t>
      </w:r>
      <w:r w:rsidR="00EC364F" w:rsidRPr="006F34F9">
        <w:rPr>
          <w:szCs w:val="22"/>
          <w:lang w:val="sr-Latn-ME"/>
        </w:rPr>
        <w:t xml:space="preserve"> vedolizumaba kod gravidnih makaki majmuna tokom dužeg d</w:t>
      </w:r>
      <w:r w:rsidRPr="006F34F9">
        <w:rPr>
          <w:szCs w:val="22"/>
          <w:lang w:val="sr-Latn-ME"/>
        </w:rPr>
        <w:t>ij</w:t>
      </w:r>
      <w:r w:rsidR="00EC364F" w:rsidRPr="006F34F9">
        <w:rPr>
          <w:szCs w:val="22"/>
          <w:lang w:val="sr-Latn-ME"/>
        </w:rPr>
        <w:t xml:space="preserve">ela gestacije nije dokazala teratogeni uticaj, ni uticaj na </w:t>
      </w:r>
      <w:r w:rsidR="00A008F5" w:rsidRPr="006F34F9">
        <w:rPr>
          <w:szCs w:val="22"/>
          <w:lang w:val="sr-Latn-ME"/>
        </w:rPr>
        <w:t>prenatalni</w:t>
      </w:r>
      <w:r w:rsidR="00EC364F" w:rsidRPr="006F34F9">
        <w:rPr>
          <w:szCs w:val="22"/>
          <w:lang w:val="sr-Latn-ME"/>
        </w:rPr>
        <w:t xml:space="preserve"> ili postnatalni razvoj kod mladunčadi starosti do 6 m</w:t>
      </w:r>
      <w:r w:rsidR="00847C1B" w:rsidRPr="006F34F9">
        <w:rPr>
          <w:szCs w:val="22"/>
          <w:lang w:val="sr-Latn-ME"/>
        </w:rPr>
        <w:t>j</w:t>
      </w:r>
      <w:r w:rsidR="00EC364F" w:rsidRPr="006F34F9">
        <w:rPr>
          <w:szCs w:val="22"/>
          <w:lang w:val="sr-Latn-ME"/>
        </w:rPr>
        <w:t>eseci. Niske koncentracije (&lt;</w:t>
      </w:r>
      <w:r w:rsidR="00D8342B">
        <w:rPr>
          <w:szCs w:val="22"/>
          <w:lang w:val="sr-Latn-ME"/>
        </w:rPr>
        <w:t xml:space="preserve"> </w:t>
      </w:r>
      <w:r w:rsidR="00EC364F" w:rsidRPr="006F34F9">
        <w:rPr>
          <w:szCs w:val="22"/>
          <w:lang w:val="sr-Latn-ME"/>
        </w:rPr>
        <w:t>300 mikrograma/</w:t>
      </w:r>
      <w:r w:rsidR="00847C1B" w:rsidRPr="006F34F9">
        <w:rPr>
          <w:szCs w:val="22"/>
          <w:lang w:val="sr-Latn-ME"/>
        </w:rPr>
        <w:t>l</w:t>
      </w:r>
      <w:r w:rsidR="00EC364F" w:rsidRPr="006F34F9">
        <w:rPr>
          <w:szCs w:val="22"/>
          <w:lang w:val="sr-Latn-ME"/>
        </w:rPr>
        <w:t>) vedolizumaba uočene su 28. dan</w:t>
      </w:r>
      <w:r w:rsidR="00D8342B">
        <w:rPr>
          <w:szCs w:val="22"/>
          <w:lang w:val="sr-Latn-ME"/>
        </w:rPr>
        <w:t>a</w:t>
      </w:r>
      <w:r w:rsidR="00EC364F" w:rsidRPr="006F34F9">
        <w:rPr>
          <w:szCs w:val="22"/>
          <w:lang w:val="sr-Latn-ME"/>
        </w:rPr>
        <w:t xml:space="preserve"> nakon okota u ml</w:t>
      </w:r>
      <w:r w:rsidR="00A008F5" w:rsidRPr="006F34F9">
        <w:rPr>
          <w:szCs w:val="22"/>
          <w:lang w:val="sr-Latn-ME"/>
        </w:rPr>
        <w:t>ij</w:t>
      </w:r>
      <w:r w:rsidR="00EC364F" w:rsidRPr="006F34F9">
        <w:rPr>
          <w:szCs w:val="22"/>
          <w:lang w:val="sr-Latn-ME"/>
        </w:rPr>
        <w:t xml:space="preserve">eku 3 od 11 ženki makaki majmuna koje su svake druge </w:t>
      </w:r>
      <w:r w:rsidR="00A22425" w:rsidRPr="006F34F9">
        <w:rPr>
          <w:szCs w:val="22"/>
          <w:lang w:val="sr-Latn-ME"/>
        </w:rPr>
        <w:t>nedjelje</w:t>
      </w:r>
      <w:r w:rsidR="00EC364F" w:rsidRPr="006F34F9">
        <w:rPr>
          <w:szCs w:val="22"/>
          <w:lang w:val="sr-Latn-ME"/>
        </w:rPr>
        <w:t xml:space="preserve"> primale 100 mg/kg vedolizumaba, ali ne kod životinja koje su primale 10 mg/kg.</w:t>
      </w:r>
    </w:p>
    <w:p w14:paraId="6CE07F1F" w14:textId="5E10A242" w:rsidR="00CE09F3" w:rsidRPr="006F34F9" w:rsidRDefault="00CE09F3" w:rsidP="00180C9F">
      <w:pPr>
        <w:pStyle w:val="NASLOV123"/>
        <w:jc w:val="both"/>
        <w:rPr>
          <w:lang w:val="sr-Latn-ME"/>
        </w:rPr>
      </w:pPr>
      <w:r w:rsidRPr="006F34F9">
        <w:rPr>
          <w:lang w:val="sr-Latn-ME"/>
        </w:rPr>
        <w:lastRenderedPageBreak/>
        <w:t>6.</w:t>
      </w:r>
      <w:r w:rsidR="00591D18" w:rsidRPr="006F34F9">
        <w:rPr>
          <w:lang w:val="sr-Latn-ME"/>
        </w:rPr>
        <w:t xml:space="preserve">  </w:t>
      </w:r>
      <w:r w:rsidRPr="006F34F9">
        <w:rPr>
          <w:lang w:val="sr-Latn-ME"/>
        </w:rPr>
        <w:t>FARMACEUTSKI PODACI</w:t>
      </w:r>
    </w:p>
    <w:p w14:paraId="6CE07F20" w14:textId="3F2D9532" w:rsidR="00CE09F3" w:rsidRPr="006F34F9" w:rsidRDefault="00CE09F3" w:rsidP="00E708C7">
      <w:pPr>
        <w:rPr>
          <w:b/>
          <w:bCs/>
          <w:szCs w:val="22"/>
          <w:lang w:val="sr-Latn-ME"/>
        </w:rPr>
      </w:pPr>
      <w:r w:rsidRPr="006F34F9">
        <w:rPr>
          <w:b/>
          <w:bCs/>
          <w:szCs w:val="22"/>
          <w:lang w:val="sr-Latn-ME"/>
        </w:rPr>
        <w:t>6.1.</w:t>
      </w:r>
      <w:r w:rsidR="00591D18" w:rsidRPr="006F34F9">
        <w:rPr>
          <w:b/>
          <w:bCs/>
          <w:szCs w:val="22"/>
          <w:lang w:val="sr-Latn-ME"/>
        </w:rPr>
        <w:t xml:space="preserve">  </w:t>
      </w:r>
      <w:r w:rsidRPr="006F34F9">
        <w:rPr>
          <w:b/>
          <w:bCs/>
          <w:szCs w:val="22"/>
          <w:lang w:val="sr-Latn-ME"/>
        </w:rPr>
        <w:t>Lista pomoćnih supstanci</w:t>
      </w:r>
      <w:r w:rsidR="00D43BC5" w:rsidRPr="006F34F9">
        <w:rPr>
          <w:b/>
          <w:bCs/>
          <w:szCs w:val="22"/>
          <w:lang w:val="sr-Latn-ME"/>
        </w:rPr>
        <w:t xml:space="preserve"> (ekscipijenasa)</w:t>
      </w:r>
    </w:p>
    <w:p w14:paraId="6CE07F21" w14:textId="2AF6EB50" w:rsidR="00CE09F3" w:rsidRPr="006F34F9" w:rsidRDefault="00CE09F3" w:rsidP="00E708C7">
      <w:pPr>
        <w:rPr>
          <w:szCs w:val="22"/>
          <w:lang w:val="sr-Latn-ME"/>
        </w:rPr>
      </w:pPr>
    </w:p>
    <w:p w14:paraId="7C82512D" w14:textId="52C16320" w:rsidR="00EC364F" w:rsidRPr="006F34F9" w:rsidRDefault="00EC364F" w:rsidP="00E708C7">
      <w:pPr>
        <w:rPr>
          <w:szCs w:val="22"/>
          <w:lang w:val="sr-Latn-ME"/>
        </w:rPr>
      </w:pPr>
      <w:r w:rsidRPr="006F34F9">
        <w:rPr>
          <w:szCs w:val="22"/>
          <w:lang w:val="sr-Latn-ME"/>
        </w:rPr>
        <w:t>Limunska kiselina</w:t>
      </w:r>
      <w:r w:rsidR="009D3C04" w:rsidRPr="006F34F9">
        <w:rPr>
          <w:szCs w:val="22"/>
          <w:lang w:val="sr-Latn-ME"/>
        </w:rPr>
        <w:t>, mono</w:t>
      </w:r>
      <w:r w:rsidRPr="006F34F9">
        <w:rPr>
          <w:szCs w:val="22"/>
          <w:lang w:val="sr-Latn-ME"/>
        </w:rPr>
        <w:t>hidrat</w:t>
      </w:r>
    </w:p>
    <w:p w14:paraId="2E712DCD" w14:textId="2A808396" w:rsidR="00EC364F" w:rsidRPr="006F34F9" w:rsidRDefault="00EC364F" w:rsidP="00E708C7">
      <w:pPr>
        <w:rPr>
          <w:szCs w:val="22"/>
          <w:lang w:val="sr-Latn-ME"/>
        </w:rPr>
      </w:pPr>
      <w:r w:rsidRPr="006F34F9">
        <w:rPr>
          <w:szCs w:val="22"/>
          <w:lang w:val="sr-Latn-ME"/>
        </w:rPr>
        <w:t>Natrijum</w:t>
      </w:r>
      <w:r w:rsidR="009D3C04" w:rsidRPr="006F34F9">
        <w:rPr>
          <w:szCs w:val="22"/>
          <w:lang w:val="sr-Latn-ME"/>
        </w:rPr>
        <w:t xml:space="preserve"> </w:t>
      </w:r>
      <w:r w:rsidRPr="006F34F9">
        <w:rPr>
          <w:szCs w:val="22"/>
          <w:lang w:val="sr-Latn-ME"/>
        </w:rPr>
        <w:t>citrat</w:t>
      </w:r>
      <w:r w:rsidR="009D3C04" w:rsidRPr="006F34F9">
        <w:rPr>
          <w:szCs w:val="22"/>
          <w:lang w:val="sr-Latn-ME"/>
        </w:rPr>
        <w:t>,</w:t>
      </w:r>
      <w:r w:rsidR="00A41523" w:rsidRPr="006F34F9">
        <w:rPr>
          <w:szCs w:val="22"/>
          <w:lang w:val="sr-Latn-ME"/>
        </w:rPr>
        <w:t xml:space="preserve"> </w:t>
      </w:r>
      <w:r w:rsidRPr="006F34F9">
        <w:rPr>
          <w:szCs w:val="22"/>
          <w:lang w:val="sr-Latn-ME"/>
        </w:rPr>
        <w:t>dihidrat</w:t>
      </w:r>
    </w:p>
    <w:p w14:paraId="46F6CE17" w14:textId="77777777" w:rsidR="00EC364F" w:rsidRPr="006F34F9" w:rsidRDefault="00EC364F" w:rsidP="00E708C7">
      <w:pPr>
        <w:rPr>
          <w:szCs w:val="22"/>
          <w:lang w:val="sr-Latn-ME"/>
        </w:rPr>
      </w:pPr>
      <w:r w:rsidRPr="006F34F9">
        <w:rPr>
          <w:szCs w:val="22"/>
          <w:lang w:val="sr-Latn-ME"/>
        </w:rPr>
        <w:t>L</w:t>
      </w:r>
      <w:r w:rsidRPr="006F34F9">
        <w:rPr>
          <w:szCs w:val="22"/>
          <w:lang w:val="sr-Latn-ME"/>
        </w:rPr>
        <w:noBreakHyphen/>
        <w:t>histidin</w:t>
      </w:r>
    </w:p>
    <w:p w14:paraId="054D202D" w14:textId="25ACA35C" w:rsidR="00EC364F" w:rsidRPr="006F34F9" w:rsidRDefault="00EC364F" w:rsidP="00A5182D">
      <w:pPr>
        <w:rPr>
          <w:szCs w:val="22"/>
          <w:lang w:val="sr-Latn-ME"/>
        </w:rPr>
      </w:pPr>
      <w:r w:rsidRPr="006F34F9">
        <w:rPr>
          <w:szCs w:val="22"/>
          <w:lang w:val="sr-Latn-ME"/>
        </w:rPr>
        <w:t>L</w:t>
      </w:r>
      <w:r w:rsidRPr="006F34F9">
        <w:rPr>
          <w:szCs w:val="22"/>
          <w:lang w:val="sr-Latn-ME"/>
        </w:rPr>
        <w:noBreakHyphen/>
        <w:t>histidin</w:t>
      </w:r>
      <w:r w:rsidR="009D3C04" w:rsidRPr="006F34F9">
        <w:rPr>
          <w:szCs w:val="22"/>
          <w:lang w:val="sr-Latn-ME"/>
        </w:rPr>
        <w:t xml:space="preserve"> monohidro</w:t>
      </w:r>
      <w:r w:rsidRPr="006F34F9">
        <w:rPr>
          <w:szCs w:val="22"/>
          <w:lang w:val="sr-Latn-ME"/>
        </w:rPr>
        <w:t>hlorid</w:t>
      </w:r>
    </w:p>
    <w:p w14:paraId="7AD80D53" w14:textId="5F301551" w:rsidR="00EC364F" w:rsidRPr="006F34F9" w:rsidRDefault="00EC364F" w:rsidP="000B42A8">
      <w:pPr>
        <w:rPr>
          <w:szCs w:val="22"/>
          <w:lang w:val="sr-Latn-ME"/>
        </w:rPr>
      </w:pPr>
      <w:r w:rsidRPr="006F34F9">
        <w:rPr>
          <w:szCs w:val="22"/>
          <w:lang w:val="sr-Latn-ME"/>
        </w:rPr>
        <w:t>L</w:t>
      </w:r>
      <w:r w:rsidRPr="006F34F9">
        <w:rPr>
          <w:szCs w:val="22"/>
          <w:lang w:val="sr-Latn-ME"/>
        </w:rPr>
        <w:noBreakHyphen/>
        <w:t>arginin</w:t>
      </w:r>
      <w:r w:rsidR="009D3C04" w:rsidRPr="006F34F9">
        <w:rPr>
          <w:szCs w:val="22"/>
          <w:lang w:val="sr-Latn-ME"/>
        </w:rPr>
        <w:t xml:space="preserve"> hidro</w:t>
      </w:r>
      <w:r w:rsidRPr="006F34F9">
        <w:rPr>
          <w:szCs w:val="22"/>
          <w:lang w:val="sr-Latn-ME"/>
        </w:rPr>
        <w:t>hlorid</w:t>
      </w:r>
    </w:p>
    <w:p w14:paraId="4D842515" w14:textId="77777777" w:rsidR="00EC364F" w:rsidRPr="006F34F9" w:rsidRDefault="00EC364F">
      <w:pPr>
        <w:rPr>
          <w:szCs w:val="22"/>
          <w:lang w:val="sr-Latn-ME"/>
        </w:rPr>
      </w:pPr>
      <w:r w:rsidRPr="006F34F9">
        <w:rPr>
          <w:szCs w:val="22"/>
          <w:lang w:val="sr-Latn-ME"/>
        </w:rPr>
        <w:t>Polisorbat 80</w:t>
      </w:r>
    </w:p>
    <w:p w14:paraId="618F8140" w14:textId="77777777" w:rsidR="00EC364F" w:rsidRPr="006F34F9" w:rsidRDefault="00EC364F">
      <w:pPr>
        <w:rPr>
          <w:szCs w:val="22"/>
          <w:lang w:val="sr-Latn-ME"/>
        </w:rPr>
      </w:pPr>
      <w:r w:rsidRPr="006F34F9">
        <w:rPr>
          <w:szCs w:val="22"/>
          <w:lang w:val="sr-Latn-ME"/>
        </w:rPr>
        <w:t>Voda za injekcije</w:t>
      </w:r>
    </w:p>
    <w:p w14:paraId="5DAE2305" w14:textId="77777777" w:rsidR="00EC364F" w:rsidRPr="006F34F9" w:rsidRDefault="00EC364F">
      <w:pPr>
        <w:rPr>
          <w:szCs w:val="22"/>
          <w:lang w:val="sr-Latn-ME"/>
        </w:rPr>
      </w:pPr>
    </w:p>
    <w:p w14:paraId="6CE07F23" w14:textId="1F44E56A" w:rsidR="00CE09F3" w:rsidRPr="006F34F9" w:rsidRDefault="00CE09F3">
      <w:pPr>
        <w:rPr>
          <w:b/>
          <w:bCs/>
          <w:szCs w:val="22"/>
          <w:lang w:val="sr-Latn-ME"/>
        </w:rPr>
      </w:pPr>
      <w:r w:rsidRPr="006F34F9">
        <w:rPr>
          <w:b/>
          <w:bCs/>
          <w:szCs w:val="22"/>
          <w:lang w:val="sr-Latn-ME"/>
        </w:rPr>
        <w:t>6.2.</w:t>
      </w:r>
      <w:r w:rsidR="00591D18" w:rsidRPr="006F34F9">
        <w:rPr>
          <w:b/>
          <w:bCs/>
          <w:szCs w:val="22"/>
          <w:lang w:val="sr-Latn-ME"/>
        </w:rPr>
        <w:t xml:space="preserve">  </w:t>
      </w:r>
      <w:r w:rsidRPr="006F34F9">
        <w:rPr>
          <w:b/>
          <w:bCs/>
          <w:szCs w:val="22"/>
          <w:lang w:val="sr-Latn-ME"/>
        </w:rPr>
        <w:t>Inkompatibilnost</w:t>
      </w:r>
    </w:p>
    <w:p w14:paraId="439549F4" w14:textId="77777777" w:rsidR="00636D99" w:rsidRPr="006F34F9" w:rsidRDefault="00636D99">
      <w:pPr>
        <w:rPr>
          <w:b/>
          <w:bCs/>
          <w:szCs w:val="22"/>
          <w:lang w:val="sr-Latn-ME"/>
        </w:rPr>
      </w:pPr>
    </w:p>
    <w:p w14:paraId="6436E1FB" w14:textId="19055823" w:rsidR="00EC364F" w:rsidRPr="006F34F9" w:rsidRDefault="00EC364F">
      <w:pPr>
        <w:rPr>
          <w:szCs w:val="22"/>
          <w:lang w:val="sr-Latn-ME"/>
        </w:rPr>
      </w:pPr>
      <w:r w:rsidRPr="006F34F9">
        <w:rPr>
          <w:szCs w:val="22"/>
          <w:lang w:val="sr-Latn-ME"/>
        </w:rPr>
        <w:t>Zbog nedostatka ispitivanja kompatibilnosti, ovaj l</w:t>
      </w:r>
      <w:r w:rsidR="00BC4C88" w:rsidRPr="006F34F9">
        <w:rPr>
          <w:szCs w:val="22"/>
          <w:lang w:val="sr-Latn-ME"/>
        </w:rPr>
        <w:t>ij</w:t>
      </w:r>
      <w:r w:rsidRPr="006F34F9">
        <w:rPr>
          <w:szCs w:val="22"/>
          <w:lang w:val="sr-Latn-ME"/>
        </w:rPr>
        <w:t>ek se ne sm</w:t>
      </w:r>
      <w:r w:rsidR="0067327C" w:rsidRPr="006F34F9">
        <w:rPr>
          <w:szCs w:val="22"/>
          <w:lang w:val="sr-Latn-ME"/>
        </w:rPr>
        <w:t>ij</w:t>
      </w:r>
      <w:r w:rsidRPr="006F34F9">
        <w:rPr>
          <w:szCs w:val="22"/>
          <w:lang w:val="sr-Latn-ME"/>
        </w:rPr>
        <w:t>e m</w:t>
      </w:r>
      <w:r w:rsidR="0067327C" w:rsidRPr="006F34F9">
        <w:rPr>
          <w:szCs w:val="22"/>
          <w:lang w:val="sr-Latn-ME"/>
        </w:rPr>
        <w:t>ij</w:t>
      </w:r>
      <w:r w:rsidRPr="006F34F9">
        <w:rPr>
          <w:szCs w:val="22"/>
          <w:lang w:val="sr-Latn-ME"/>
        </w:rPr>
        <w:t>ešati sa drugim l</w:t>
      </w:r>
      <w:r w:rsidR="00BC4C88" w:rsidRPr="006F34F9">
        <w:rPr>
          <w:szCs w:val="22"/>
          <w:lang w:val="sr-Latn-ME"/>
        </w:rPr>
        <w:t>j</w:t>
      </w:r>
      <w:r w:rsidRPr="006F34F9">
        <w:rPr>
          <w:szCs w:val="22"/>
          <w:lang w:val="sr-Latn-ME"/>
        </w:rPr>
        <w:t>ekovima.</w:t>
      </w:r>
    </w:p>
    <w:p w14:paraId="6CE07F25" w14:textId="77777777" w:rsidR="00CE09F3" w:rsidRPr="006F34F9" w:rsidRDefault="00CE09F3">
      <w:pPr>
        <w:rPr>
          <w:szCs w:val="22"/>
          <w:lang w:val="sr-Latn-ME"/>
        </w:rPr>
      </w:pPr>
    </w:p>
    <w:p w14:paraId="6CE07F26" w14:textId="3121D7C5" w:rsidR="00CE09F3" w:rsidRPr="006F34F9" w:rsidRDefault="00CE09F3">
      <w:pPr>
        <w:rPr>
          <w:b/>
          <w:bCs/>
          <w:szCs w:val="22"/>
          <w:lang w:val="sr-Latn-ME"/>
        </w:rPr>
      </w:pPr>
      <w:r w:rsidRPr="006F34F9">
        <w:rPr>
          <w:b/>
          <w:bCs/>
          <w:szCs w:val="22"/>
          <w:lang w:val="sr-Latn-ME"/>
        </w:rPr>
        <w:t>6.3.</w:t>
      </w:r>
      <w:r w:rsidR="00591D18" w:rsidRPr="006F34F9">
        <w:rPr>
          <w:b/>
          <w:bCs/>
          <w:szCs w:val="22"/>
          <w:lang w:val="sr-Latn-ME"/>
        </w:rPr>
        <w:t xml:space="preserve">  </w:t>
      </w:r>
      <w:r w:rsidRPr="006F34F9">
        <w:rPr>
          <w:b/>
          <w:bCs/>
          <w:szCs w:val="22"/>
          <w:lang w:val="sr-Latn-ME"/>
        </w:rPr>
        <w:t>Rok upotrebe</w:t>
      </w:r>
    </w:p>
    <w:p w14:paraId="734189AC" w14:textId="77777777" w:rsidR="00636D99" w:rsidRPr="006F34F9" w:rsidRDefault="00636D99">
      <w:pPr>
        <w:rPr>
          <w:b/>
          <w:bCs/>
          <w:szCs w:val="22"/>
          <w:lang w:val="sr-Latn-ME"/>
        </w:rPr>
      </w:pPr>
    </w:p>
    <w:p w14:paraId="6CE07F27" w14:textId="38E27C3E" w:rsidR="00CE09F3" w:rsidRPr="006F34F9" w:rsidRDefault="00FD7C86">
      <w:pPr>
        <w:rPr>
          <w:szCs w:val="22"/>
          <w:lang w:val="sr-Latn-ME"/>
        </w:rPr>
      </w:pPr>
      <w:r w:rsidRPr="006F34F9">
        <w:rPr>
          <w:szCs w:val="22"/>
          <w:lang w:val="sr-Latn-ME"/>
        </w:rPr>
        <w:t>24</w:t>
      </w:r>
      <w:r w:rsidR="00EC364F" w:rsidRPr="006F34F9">
        <w:rPr>
          <w:szCs w:val="22"/>
          <w:lang w:val="sr-Latn-ME"/>
        </w:rPr>
        <w:t xml:space="preserve"> m</w:t>
      </w:r>
      <w:r w:rsidR="00636D99" w:rsidRPr="006F34F9">
        <w:rPr>
          <w:szCs w:val="22"/>
          <w:lang w:val="sr-Latn-ME"/>
        </w:rPr>
        <w:t>j</w:t>
      </w:r>
      <w:r w:rsidR="00EC364F" w:rsidRPr="006F34F9">
        <w:rPr>
          <w:szCs w:val="22"/>
          <w:lang w:val="sr-Latn-ME"/>
        </w:rPr>
        <w:t>esec</w:t>
      </w:r>
      <w:r w:rsidRPr="006F34F9">
        <w:rPr>
          <w:szCs w:val="22"/>
          <w:lang w:val="sr-Latn-ME"/>
        </w:rPr>
        <w:t>a</w:t>
      </w:r>
    </w:p>
    <w:p w14:paraId="6CE07F28" w14:textId="77777777" w:rsidR="00CE09F3" w:rsidRPr="006F34F9" w:rsidRDefault="00CE09F3">
      <w:pPr>
        <w:rPr>
          <w:szCs w:val="22"/>
          <w:lang w:val="sr-Latn-ME"/>
        </w:rPr>
      </w:pPr>
    </w:p>
    <w:p w14:paraId="6CE07F29" w14:textId="63C52C04" w:rsidR="00CE09F3" w:rsidRPr="006F34F9" w:rsidRDefault="00CE09F3">
      <w:pPr>
        <w:rPr>
          <w:b/>
          <w:bCs/>
          <w:szCs w:val="22"/>
          <w:lang w:val="sr-Latn-ME"/>
        </w:rPr>
      </w:pPr>
      <w:r w:rsidRPr="006F34F9">
        <w:rPr>
          <w:b/>
          <w:bCs/>
          <w:szCs w:val="22"/>
          <w:lang w:val="sr-Latn-ME"/>
        </w:rPr>
        <w:t>6.4.</w:t>
      </w:r>
      <w:r w:rsidR="00591D18" w:rsidRPr="006F34F9">
        <w:rPr>
          <w:b/>
          <w:bCs/>
          <w:szCs w:val="22"/>
          <w:lang w:val="sr-Latn-ME"/>
        </w:rPr>
        <w:t xml:space="preserve">  </w:t>
      </w:r>
      <w:r w:rsidRPr="006F34F9">
        <w:rPr>
          <w:b/>
          <w:bCs/>
          <w:szCs w:val="22"/>
          <w:lang w:val="sr-Latn-ME"/>
        </w:rPr>
        <w:t>Posebne m</w:t>
      </w:r>
      <w:r w:rsidR="00D43BC5" w:rsidRPr="006F34F9">
        <w:rPr>
          <w:b/>
          <w:bCs/>
          <w:szCs w:val="22"/>
          <w:lang w:val="sr-Latn-ME"/>
        </w:rPr>
        <w:t>j</w:t>
      </w:r>
      <w:r w:rsidRPr="006F34F9">
        <w:rPr>
          <w:b/>
          <w:bCs/>
          <w:szCs w:val="22"/>
          <w:lang w:val="sr-Latn-ME"/>
        </w:rPr>
        <w:t>ere o</w:t>
      </w:r>
      <w:r w:rsidR="008062E2" w:rsidRPr="006F34F9">
        <w:rPr>
          <w:b/>
          <w:bCs/>
          <w:szCs w:val="22"/>
          <w:lang w:val="sr-Latn-ME"/>
        </w:rPr>
        <w:t>prije</w:t>
      </w:r>
      <w:r w:rsidRPr="006F34F9">
        <w:rPr>
          <w:b/>
          <w:bCs/>
          <w:szCs w:val="22"/>
          <w:lang w:val="sr-Latn-ME"/>
        </w:rPr>
        <w:t>za pri čuvanju</w:t>
      </w:r>
      <w:r w:rsidR="00D43BC5" w:rsidRPr="006F34F9">
        <w:rPr>
          <w:b/>
          <w:bCs/>
          <w:szCs w:val="22"/>
          <w:lang w:val="sr-Latn-ME"/>
        </w:rPr>
        <w:t xml:space="preserve"> lijeka</w:t>
      </w:r>
    </w:p>
    <w:p w14:paraId="6CE07F2A" w14:textId="07E06E3D" w:rsidR="00CE09F3" w:rsidRPr="006F34F9" w:rsidRDefault="00CE09F3">
      <w:pPr>
        <w:rPr>
          <w:szCs w:val="22"/>
          <w:lang w:val="sr-Latn-ME"/>
        </w:rPr>
      </w:pPr>
    </w:p>
    <w:p w14:paraId="785B7987" w14:textId="63423D44" w:rsidR="00EC364F" w:rsidRPr="006F34F9" w:rsidRDefault="00EC364F">
      <w:pPr>
        <w:rPr>
          <w:szCs w:val="22"/>
          <w:lang w:val="sr-Latn-ME"/>
        </w:rPr>
      </w:pPr>
      <w:r w:rsidRPr="006F34F9">
        <w:rPr>
          <w:szCs w:val="22"/>
          <w:lang w:val="sr-Latn-ME"/>
        </w:rPr>
        <w:t>Čuvati u frižideru (2 °C</w:t>
      </w:r>
      <w:r w:rsidR="00D43BC5" w:rsidRPr="006F34F9">
        <w:rPr>
          <w:szCs w:val="22"/>
          <w:lang w:val="sr-Latn-ME"/>
        </w:rPr>
        <w:t xml:space="preserve"> – </w:t>
      </w:r>
      <w:r w:rsidRPr="006F34F9">
        <w:rPr>
          <w:szCs w:val="22"/>
          <w:lang w:val="sr-Latn-ME"/>
        </w:rPr>
        <w:t>8 °C). Napunjeni špric ili napunjeni pen čuvati u spoljašnjem pakovanju radi zaštite od sv</w:t>
      </w:r>
      <w:r w:rsidR="001056BE">
        <w:rPr>
          <w:szCs w:val="22"/>
          <w:lang w:val="sr-Latn-ME"/>
        </w:rPr>
        <w:t>j</w:t>
      </w:r>
      <w:r w:rsidRPr="006F34F9">
        <w:rPr>
          <w:szCs w:val="22"/>
          <w:lang w:val="sr-Latn-ME"/>
        </w:rPr>
        <w:t>etlosti.</w:t>
      </w:r>
    </w:p>
    <w:p w14:paraId="68522142" w14:textId="77777777" w:rsidR="00EC364F" w:rsidRPr="006F34F9" w:rsidRDefault="00EC364F">
      <w:pPr>
        <w:rPr>
          <w:szCs w:val="22"/>
          <w:lang w:val="sr-Latn-ME"/>
        </w:rPr>
      </w:pPr>
      <w:r w:rsidRPr="006F34F9">
        <w:rPr>
          <w:szCs w:val="22"/>
          <w:lang w:val="sr-Latn-ME"/>
        </w:rPr>
        <w:t>Ne zamrzavati.</w:t>
      </w:r>
    </w:p>
    <w:p w14:paraId="31D2CC80" w14:textId="77777777" w:rsidR="00EC364F" w:rsidRPr="006F34F9" w:rsidRDefault="00EC364F">
      <w:pPr>
        <w:rPr>
          <w:szCs w:val="22"/>
          <w:lang w:val="sr-Latn-ME"/>
        </w:rPr>
      </w:pPr>
    </w:p>
    <w:p w14:paraId="47F1D4AE" w14:textId="230FC67C" w:rsidR="00EC364F" w:rsidRPr="006F34F9" w:rsidRDefault="00EC364F">
      <w:pPr>
        <w:rPr>
          <w:szCs w:val="22"/>
          <w:lang w:val="sr-Latn-ME"/>
        </w:rPr>
      </w:pPr>
      <w:r w:rsidRPr="006F34F9">
        <w:rPr>
          <w:szCs w:val="22"/>
          <w:lang w:val="sr-Latn-ME"/>
        </w:rPr>
        <w:t>Po potrebi se napunjeni špric ili napunjeni pen mogu ostaviti izvan frižidera u svom originalnom pakovan</w:t>
      </w:r>
      <w:r w:rsidR="00091E79">
        <w:rPr>
          <w:szCs w:val="22"/>
          <w:lang w:val="sr-Latn-ME"/>
        </w:rPr>
        <w:t>ju na sobnoj temperaturi (do 25</w:t>
      </w:r>
      <w:r w:rsidRPr="006F34F9">
        <w:rPr>
          <w:szCs w:val="22"/>
          <w:lang w:val="sr-Latn-ME"/>
        </w:rPr>
        <w:t>°C) do 7 dana. Nemojte koristiti napunjeni špric ili napunjeni pen koje stoje izvan frižidera duže od 7 dana.</w:t>
      </w:r>
    </w:p>
    <w:p w14:paraId="6CE07F2B" w14:textId="77777777" w:rsidR="00CE09F3" w:rsidRPr="006F34F9" w:rsidRDefault="00CE09F3">
      <w:pPr>
        <w:rPr>
          <w:szCs w:val="22"/>
          <w:lang w:val="sr-Latn-ME"/>
        </w:rPr>
      </w:pPr>
    </w:p>
    <w:p w14:paraId="6CE07F2C" w14:textId="1E3678F6" w:rsidR="00CE09F3" w:rsidRPr="006F34F9" w:rsidRDefault="0022223A">
      <w:pPr>
        <w:rPr>
          <w:b/>
          <w:bCs/>
          <w:szCs w:val="22"/>
          <w:lang w:val="sr-Latn-ME"/>
        </w:rPr>
      </w:pPr>
      <w:r w:rsidRPr="006F34F9">
        <w:rPr>
          <w:b/>
          <w:bCs/>
          <w:szCs w:val="22"/>
          <w:lang w:val="sr-Latn-ME"/>
        </w:rPr>
        <w:t>6.5.</w:t>
      </w:r>
      <w:r w:rsidR="00591D18" w:rsidRPr="006F34F9">
        <w:rPr>
          <w:b/>
          <w:bCs/>
          <w:szCs w:val="22"/>
          <w:lang w:val="sr-Latn-ME"/>
        </w:rPr>
        <w:t xml:space="preserve">  </w:t>
      </w:r>
      <w:r w:rsidR="00D43BC5" w:rsidRPr="006F34F9">
        <w:rPr>
          <w:b/>
          <w:bCs/>
          <w:szCs w:val="22"/>
          <w:lang w:val="sr-Latn-ME"/>
        </w:rPr>
        <w:t>Vrsta i sadržaj pakovanja</w:t>
      </w:r>
    </w:p>
    <w:p w14:paraId="6CE07F2D" w14:textId="6C3149A7" w:rsidR="00CE09F3" w:rsidRPr="006F34F9" w:rsidRDefault="00CE09F3">
      <w:pPr>
        <w:rPr>
          <w:szCs w:val="22"/>
          <w:lang w:val="sr-Latn-ME"/>
        </w:rPr>
      </w:pPr>
    </w:p>
    <w:p w14:paraId="684069EE" w14:textId="21231F3B" w:rsidR="00EC364F" w:rsidRPr="006F34F9" w:rsidRDefault="00EC364F">
      <w:pPr>
        <w:rPr>
          <w:szCs w:val="22"/>
          <w:u w:val="single"/>
          <w:lang w:val="sr-Latn-ME"/>
        </w:rPr>
      </w:pPr>
      <w:r w:rsidRPr="006F34F9">
        <w:rPr>
          <w:szCs w:val="22"/>
          <w:u w:val="single"/>
          <w:lang w:val="sr-Latn-ME"/>
        </w:rPr>
        <w:t>Entyvio 108 mg</w:t>
      </w:r>
      <w:r w:rsidR="00A008F5" w:rsidRPr="006F34F9">
        <w:rPr>
          <w:szCs w:val="22"/>
          <w:u w:val="single"/>
          <w:lang w:val="sr-Latn-ME"/>
        </w:rPr>
        <w:t>/0,68ml</w:t>
      </w:r>
      <w:r w:rsidRPr="006F34F9">
        <w:rPr>
          <w:szCs w:val="22"/>
          <w:u w:val="single"/>
          <w:lang w:val="sr-Latn-ME"/>
        </w:rPr>
        <w:t xml:space="preserve"> rastvor za injekciju u napunjenom </w:t>
      </w:r>
      <w:r w:rsidR="00902782" w:rsidRPr="006F34F9">
        <w:rPr>
          <w:bCs/>
          <w:szCs w:val="22"/>
          <w:u w:val="single"/>
          <w:lang w:val="sr-Latn-ME"/>
        </w:rPr>
        <w:t xml:space="preserve">injekcionom </w:t>
      </w:r>
      <w:r w:rsidRPr="006F34F9">
        <w:rPr>
          <w:szCs w:val="22"/>
          <w:u w:val="single"/>
          <w:lang w:val="sr-Latn-ME"/>
        </w:rPr>
        <w:t>špricu</w:t>
      </w:r>
    </w:p>
    <w:p w14:paraId="0A2CABA0" w14:textId="77777777" w:rsidR="00EC364F" w:rsidRPr="006F34F9" w:rsidRDefault="00EC364F">
      <w:pPr>
        <w:suppressLineNumbers/>
        <w:rPr>
          <w:b/>
          <w:szCs w:val="22"/>
          <w:lang w:val="sr-Latn-ME"/>
        </w:rPr>
      </w:pPr>
    </w:p>
    <w:p w14:paraId="6EC0DCA2" w14:textId="2DB9B6D4" w:rsidR="00EC364F" w:rsidRPr="006F34F9" w:rsidRDefault="005A1666">
      <w:pPr>
        <w:suppressLineNumbers/>
        <w:rPr>
          <w:szCs w:val="22"/>
          <w:lang w:val="sr-Latn-ME"/>
        </w:rPr>
      </w:pPr>
      <w:r w:rsidRPr="006F34F9">
        <w:rPr>
          <w:szCs w:val="22"/>
          <w:lang w:val="sr-Latn-ME"/>
        </w:rPr>
        <w:t>Rastvor</w:t>
      </w:r>
      <w:r w:rsidR="00EC364F" w:rsidRPr="006F34F9">
        <w:rPr>
          <w:szCs w:val="22"/>
          <w:lang w:val="sr-Latn-ME"/>
        </w:rPr>
        <w:t xml:space="preserve"> za injekciju u stakleno</w:t>
      </w:r>
      <w:r w:rsidRPr="006F34F9">
        <w:rPr>
          <w:szCs w:val="22"/>
          <w:lang w:val="sr-Latn-ME"/>
        </w:rPr>
        <w:t>m</w:t>
      </w:r>
      <w:r w:rsidR="00EC364F" w:rsidRPr="006F34F9">
        <w:rPr>
          <w:szCs w:val="22"/>
          <w:lang w:val="sr-Latn-ME"/>
        </w:rPr>
        <w:t xml:space="preserve"> (staklo tip I) </w:t>
      </w:r>
      <w:r w:rsidRPr="006F34F9">
        <w:rPr>
          <w:szCs w:val="22"/>
          <w:lang w:val="sr-Latn-ME"/>
        </w:rPr>
        <w:t xml:space="preserve">špricu </w:t>
      </w:r>
      <w:r w:rsidR="00EC364F" w:rsidRPr="006F34F9">
        <w:rPr>
          <w:szCs w:val="22"/>
          <w:lang w:val="sr-Latn-ME"/>
        </w:rPr>
        <w:t>od 1 ml s</w:t>
      </w:r>
      <w:r w:rsidRPr="006F34F9">
        <w:rPr>
          <w:szCs w:val="22"/>
          <w:lang w:val="sr-Latn-ME"/>
        </w:rPr>
        <w:t>a</w:t>
      </w:r>
      <w:r w:rsidR="00EC364F" w:rsidRPr="006F34F9">
        <w:rPr>
          <w:szCs w:val="22"/>
          <w:lang w:val="sr-Latn-ME"/>
        </w:rPr>
        <w:t xml:space="preserve"> fiksno </w:t>
      </w:r>
      <w:r w:rsidRPr="006F34F9">
        <w:rPr>
          <w:szCs w:val="22"/>
          <w:lang w:val="sr-Latn-ME"/>
        </w:rPr>
        <w:t>pričvršćenom</w:t>
      </w:r>
      <w:r w:rsidR="00EC364F" w:rsidRPr="006F34F9">
        <w:rPr>
          <w:szCs w:val="22"/>
          <w:lang w:val="sr-Latn-ME"/>
        </w:rPr>
        <w:t xml:space="preserve"> iglom tankih </w:t>
      </w:r>
      <w:r w:rsidRPr="006F34F9">
        <w:rPr>
          <w:szCs w:val="22"/>
          <w:lang w:val="sr-Latn-ME"/>
        </w:rPr>
        <w:t>zidova</w:t>
      </w:r>
      <w:r w:rsidR="00EC364F" w:rsidRPr="006F34F9">
        <w:rPr>
          <w:szCs w:val="22"/>
          <w:lang w:val="sr-Latn-ME"/>
        </w:rPr>
        <w:t xml:space="preserve"> i du</w:t>
      </w:r>
      <w:r w:rsidRPr="006F34F9">
        <w:rPr>
          <w:szCs w:val="22"/>
          <w:lang w:val="sr-Latn-ME"/>
        </w:rPr>
        <w:t>ž</w:t>
      </w:r>
      <w:r w:rsidR="00EC364F" w:rsidRPr="006F34F9">
        <w:rPr>
          <w:szCs w:val="22"/>
          <w:lang w:val="sr-Latn-ME"/>
        </w:rPr>
        <w:t>ine 1,27 cm, od 27 G. Š</w:t>
      </w:r>
      <w:r w:rsidRPr="006F34F9">
        <w:rPr>
          <w:szCs w:val="22"/>
          <w:lang w:val="sr-Latn-ME"/>
        </w:rPr>
        <w:t>pric</w:t>
      </w:r>
      <w:r w:rsidR="00EC364F" w:rsidRPr="006F34F9">
        <w:rPr>
          <w:szCs w:val="22"/>
          <w:lang w:val="sr-Latn-ME"/>
        </w:rPr>
        <w:t xml:space="preserve"> ima gumeni poklopac igle, umetnut u plastični okvir, </w:t>
      </w:r>
      <w:r w:rsidRPr="006F34F9">
        <w:rPr>
          <w:szCs w:val="22"/>
          <w:lang w:val="sr-Latn-ME"/>
        </w:rPr>
        <w:t>kao i</w:t>
      </w:r>
      <w:r w:rsidR="00EC364F" w:rsidRPr="006F34F9">
        <w:rPr>
          <w:szCs w:val="22"/>
          <w:lang w:val="sr-Latn-ME"/>
        </w:rPr>
        <w:t xml:space="preserve"> gumeni čep.</w:t>
      </w:r>
    </w:p>
    <w:p w14:paraId="77DD25F0" w14:textId="47C4D6D6" w:rsidR="00EC364F" w:rsidRPr="006F34F9" w:rsidRDefault="00EC364F">
      <w:pPr>
        <w:suppressLineNumbers/>
        <w:rPr>
          <w:szCs w:val="22"/>
          <w:lang w:val="sr-Latn-ME"/>
        </w:rPr>
      </w:pPr>
      <w:r w:rsidRPr="006F34F9">
        <w:rPr>
          <w:szCs w:val="22"/>
          <w:lang w:val="sr-Latn-ME"/>
        </w:rPr>
        <w:t>Napunjen š</w:t>
      </w:r>
      <w:r w:rsidR="005A1666" w:rsidRPr="006F34F9">
        <w:rPr>
          <w:szCs w:val="22"/>
          <w:lang w:val="sr-Latn-ME"/>
        </w:rPr>
        <w:t>pric</w:t>
      </w:r>
      <w:r w:rsidRPr="006F34F9">
        <w:rPr>
          <w:szCs w:val="22"/>
          <w:lang w:val="sr-Latn-ME"/>
        </w:rPr>
        <w:t xml:space="preserve"> vedolizumaba za </w:t>
      </w:r>
      <w:r w:rsidR="005A1666" w:rsidRPr="006F34F9">
        <w:rPr>
          <w:szCs w:val="22"/>
          <w:lang w:val="sr-Latn-ME"/>
        </w:rPr>
        <w:t>subkutanu</w:t>
      </w:r>
      <w:r w:rsidRPr="006F34F9">
        <w:rPr>
          <w:szCs w:val="22"/>
          <w:lang w:val="sr-Latn-ME"/>
        </w:rPr>
        <w:t xml:space="preserve"> </w:t>
      </w:r>
      <w:r w:rsidR="008062E2" w:rsidRPr="006F34F9">
        <w:rPr>
          <w:szCs w:val="22"/>
          <w:lang w:val="sr-Latn-ME"/>
        </w:rPr>
        <w:t>primjenu</w:t>
      </w:r>
      <w:r w:rsidRPr="006F34F9">
        <w:rPr>
          <w:szCs w:val="22"/>
          <w:lang w:val="sr-Latn-ME"/>
        </w:rPr>
        <w:t xml:space="preserve"> je jednodozn</w:t>
      </w:r>
      <w:r w:rsidR="005A1666" w:rsidRPr="006F34F9">
        <w:rPr>
          <w:szCs w:val="22"/>
          <w:lang w:val="sr-Latn-ME"/>
        </w:rPr>
        <w:t>i</w:t>
      </w:r>
      <w:r w:rsidRPr="006F34F9">
        <w:rPr>
          <w:szCs w:val="22"/>
          <w:lang w:val="sr-Latn-ME"/>
        </w:rPr>
        <w:t xml:space="preserve"> š</w:t>
      </w:r>
      <w:r w:rsidR="005A1666" w:rsidRPr="006F34F9">
        <w:rPr>
          <w:szCs w:val="22"/>
          <w:lang w:val="sr-Latn-ME"/>
        </w:rPr>
        <w:t>pric</w:t>
      </w:r>
      <w:r w:rsidRPr="006F34F9">
        <w:rPr>
          <w:szCs w:val="22"/>
          <w:lang w:val="sr-Latn-ME"/>
        </w:rPr>
        <w:t xml:space="preserve"> za jednokratnu </w:t>
      </w:r>
      <w:r w:rsidR="008062E2" w:rsidRPr="006F34F9">
        <w:rPr>
          <w:szCs w:val="22"/>
          <w:lang w:val="sr-Latn-ME"/>
        </w:rPr>
        <w:t>primjenu</w:t>
      </w:r>
      <w:r w:rsidRPr="006F34F9">
        <w:rPr>
          <w:szCs w:val="22"/>
          <w:lang w:val="sr-Latn-ME"/>
        </w:rPr>
        <w:t xml:space="preserve"> </w:t>
      </w:r>
      <w:r w:rsidR="008559D3" w:rsidRPr="006F34F9">
        <w:rPr>
          <w:szCs w:val="22"/>
          <w:lang w:val="sr-Latn-ME"/>
        </w:rPr>
        <w:t>lijeka</w:t>
      </w:r>
      <w:r w:rsidRPr="006F34F9">
        <w:rPr>
          <w:szCs w:val="22"/>
          <w:lang w:val="sr-Latn-ME"/>
        </w:rPr>
        <w:t xml:space="preserve"> ručnim ubrizgavanjem. Svak</w:t>
      </w:r>
      <w:r w:rsidR="005A1666" w:rsidRPr="006F34F9">
        <w:rPr>
          <w:szCs w:val="22"/>
          <w:lang w:val="sr-Latn-ME"/>
        </w:rPr>
        <w:t>i</w:t>
      </w:r>
      <w:r w:rsidRPr="006F34F9">
        <w:rPr>
          <w:szCs w:val="22"/>
          <w:lang w:val="sr-Latn-ME"/>
        </w:rPr>
        <w:t xml:space="preserve"> napunjen</w:t>
      </w:r>
      <w:r w:rsidR="005A1666" w:rsidRPr="006F34F9">
        <w:rPr>
          <w:szCs w:val="22"/>
          <w:lang w:val="sr-Latn-ME"/>
        </w:rPr>
        <w:t>i</w:t>
      </w:r>
      <w:r w:rsidRPr="006F34F9">
        <w:rPr>
          <w:szCs w:val="22"/>
          <w:lang w:val="sr-Latn-ME"/>
        </w:rPr>
        <w:t xml:space="preserve"> š</w:t>
      </w:r>
      <w:r w:rsidR="005A1666" w:rsidRPr="006F34F9">
        <w:rPr>
          <w:szCs w:val="22"/>
          <w:lang w:val="sr-Latn-ME"/>
        </w:rPr>
        <w:t>pric</w:t>
      </w:r>
      <w:r w:rsidRPr="006F34F9">
        <w:rPr>
          <w:szCs w:val="22"/>
          <w:lang w:val="sr-Latn-ME"/>
        </w:rPr>
        <w:t xml:space="preserve"> o</w:t>
      </w:r>
      <w:r w:rsidR="00091E79">
        <w:rPr>
          <w:szCs w:val="22"/>
          <w:lang w:val="sr-Latn-ME"/>
        </w:rPr>
        <w:t>pr</w:t>
      </w:r>
      <w:r w:rsidR="008062E2" w:rsidRPr="006F34F9">
        <w:rPr>
          <w:szCs w:val="22"/>
          <w:lang w:val="sr-Latn-ME"/>
        </w:rPr>
        <w:t>e</w:t>
      </w:r>
      <w:r w:rsidRPr="006F34F9">
        <w:rPr>
          <w:szCs w:val="22"/>
          <w:lang w:val="sr-Latn-ME"/>
        </w:rPr>
        <w:t xml:space="preserve">mljen je sigurnosnim sklopom koji se aktivira kako bi se zaštita izvukla i blokirala </w:t>
      </w:r>
      <w:r w:rsidR="008062E2" w:rsidRPr="006F34F9">
        <w:rPr>
          <w:szCs w:val="22"/>
          <w:lang w:val="sr-Latn-ME"/>
        </w:rPr>
        <w:t>pre</w:t>
      </w:r>
      <w:r w:rsidRPr="006F34F9">
        <w:rPr>
          <w:szCs w:val="22"/>
          <w:lang w:val="sr-Latn-ME"/>
        </w:rPr>
        <w:t>ko igle kad završi ubrizgavanje.</w:t>
      </w:r>
    </w:p>
    <w:p w14:paraId="7A056863" w14:textId="77777777" w:rsidR="00EC364F" w:rsidRPr="006F34F9" w:rsidRDefault="00EC364F">
      <w:pPr>
        <w:suppressLineNumbers/>
        <w:rPr>
          <w:szCs w:val="22"/>
          <w:lang w:val="sr-Latn-ME"/>
        </w:rPr>
      </w:pPr>
    </w:p>
    <w:p w14:paraId="3C829613" w14:textId="74FCAA7E" w:rsidR="00EC364F" w:rsidRPr="006F34F9" w:rsidRDefault="00EC364F">
      <w:pPr>
        <w:suppressLineNumbers/>
        <w:rPr>
          <w:szCs w:val="22"/>
          <w:lang w:val="sr-Latn-ME"/>
        </w:rPr>
      </w:pPr>
      <w:r w:rsidRPr="006F34F9">
        <w:rPr>
          <w:szCs w:val="22"/>
          <w:lang w:val="sr-Latn-ME"/>
        </w:rPr>
        <w:t>Pak</w:t>
      </w:r>
      <w:r w:rsidR="005A1666" w:rsidRPr="006F34F9">
        <w:rPr>
          <w:szCs w:val="22"/>
          <w:lang w:val="sr-Latn-ME"/>
        </w:rPr>
        <w:t>ov</w:t>
      </w:r>
      <w:r w:rsidRPr="006F34F9">
        <w:rPr>
          <w:szCs w:val="22"/>
          <w:lang w:val="sr-Latn-ME"/>
        </w:rPr>
        <w:t>anje s</w:t>
      </w:r>
      <w:r w:rsidR="005A1666" w:rsidRPr="006F34F9">
        <w:rPr>
          <w:szCs w:val="22"/>
          <w:lang w:val="sr-Latn-ME"/>
        </w:rPr>
        <w:t>a</w:t>
      </w:r>
      <w:r w:rsidRPr="006F34F9">
        <w:rPr>
          <w:szCs w:val="22"/>
          <w:lang w:val="sr-Latn-ME"/>
        </w:rPr>
        <w:t xml:space="preserve"> 1 napunjen</w:t>
      </w:r>
      <w:r w:rsidR="005A1666" w:rsidRPr="006F34F9">
        <w:rPr>
          <w:szCs w:val="22"/>
          <w:lang w:val="sr-Latn-ME"/>
        </w:rPr>
        <w:t>i</w:t>
      </w:r>
      <w:r w:rsidRPr="006F34F9">
        <w:rPr>
          <w:szCs w:val="22"/>
          <w:lang w:val="sr-Latn-ME"/>
        </w:rPr>
        <w:t>m š</w:t>
      </w:r>
      <w:r w:rsidR="005A1666" w:rsidRPr="006F34F9">
        <w:rPr>
          <w:szCs w:val="22"/>
          <w:lang w:val="sr-Latn-ME"/>
        </w:rPr>
        <w:t>pricom</w:t>
      </w:r>
      <w:r w:rsidRPr="006F34F9">
        <w:rPr>
          <w:szCs w:val="22"/>
          <w:lang w:val="sr-Latn-ME"/>
        </w:rPr>
        <w:t xml:space="preserve"> i višestruk</w:t>
      </w:r>
      <w:r w:rsidR="009D3C04" w:rsidRPr="006F34F9">
        <w:rPr>
          <w:szCs w:val="22"/>
          <w:lang w:val="sr-Latn-ME"/>
        </w:rPr>
        <w:t>o</w:t>
      </w:r>
      <w:r w:rsidRPr="006F34F9">
        <w:rPr>
          <w:szCs w:val="22"/>
          <w:lang w:val="sr-Latn-ME"/>
        </w:rPr>
        <w:t xml:space="preserve"> pak</w:t>
      </w:r>
      <w:r w:rsidR="005A1666" w:rsidRPr="006F34F9">
        <w:rPr>
          <w:szCs w:val="22"/>
          <w:lang w:val="sr-Latn-ME"/>
        </w:rPr>
        <w:t>ov</w:t>
      </w:r>
      <w:r w:rsidRPr="006F34F9">
        <w:rPr>
          <w:szCs w:val="22"/>
          <w:lang w:val="sr-Latn-ME"/>
        </w:rPr>
        <w:t>anj</w:t>
      </w:r>
      <w:r w:rsidR="009D3C04" w:rsidRPr="006F34F9">
        <w:rPr>
          <w:szCs w:val="22"/>
          <w:lang w:val="sr-Latn-ME"/>
        </w:rPr>
        <w:t>e</w:t>
      </w:r>
      <w:r w:rsidRPr="006F34F9">
        <w:rPr>
          <w:szCs w:val="22"/>
          <w:lang w:val="sr-Latn-ME"/>
        </w:rPr>
        <w:t xml:space="preserve"> od 2 (2 </w:t>
      </w:r>
      <w:r w:rsidR="005A1666" w:rsidRPr="006F34F9">
        <w:rPr>
          <w:szCs w:val="22"/>
          <w:lang w:val="sr-Latn-ME"/>
        </w:rPr>
        <w:t>pakovanja</w:t>
      </w:r>
      <w:r w:rsidRPr="006F34F9">
        <w:rPr>
          <w:szCs w:val="22"/>
          <w:lang w:val="sr-Latn-ME"/>
        </w:rPr>
        <w:t xml:space="preserve"> od 1) napunjen</w:t>
      </w:r>
      <w:r w:rsidR="009D3C04" w:rsidRPr="006F34F9">
        <w:rPr>
          <w:szCs w:val="22"/>
          <w:lang w:val="sr-Latn-ME"/>
        </w:rPr>
        <w:t>a</w:t>
      </w:r>
      <w:r w:rsidR="00A41523" w:rsidRPr="006F34F9">
        <w:rPr>
          <w:szCs w:val="22"/>
          <w:lang w:val="sr-Latn-ME"/>
        </w:rPr>
        <w:t xml:space="preserve"> </w:t>
      </w:r>
      <w:r w:rsidRPr="006F34F9">
        <w:rPr>
          <w:szCs w:val="22"/>
          <w:lang w:val="sr-Latn-ME"/>
        </w:rPr>
        <w:t>š</w:t>
      </w:r>
      <w:r w:rsidR="005A1666" w:rsidRPr="006F34F9">
        <w:rPr>
          <w:szCs w:val="22"/>
          <w:lang w:val="sr-Latn-ME"/>
        </w:rPr>
        <w:t>pric</w:t>
      </w:r>
      <w:r w:rsidR="009D3C04" w:rsidRPr="006F34F9">
        <w:rPr>
          <w:szCs w:val="22"/>
          <w:lang w:val="sr-Latn-ME"/>
        </w:rPr>
        <w:t>a</w:t>
      </w:r>
      <w:r w:rsidRPr="006F34F9">
        <w:rPr>
          <w:szCs w:val="22"/>
          <w:lang w:val="sr-Latn-ME"/>
        </w:rPr>
        <w:t>.</w:t>
      </w:r>
    </w:p>
    <w:p w14:paraId="78C43755" w14:textId="77777777" w:rsidR="00EC364F" w:rsidRPr="006F34F9" w:rsidRDefault="00EC364F">
      <w:pPr>
        <w:suppressLineNumbers/>
        <w:rPr>
          <w:szCs w:val="22"/>
          <w:lang w:val="sr-Latn-ME"/>
        </w:rPr>
      </w:pPr>
    </w:p>
    <w:p w14:paraId="1A8BAF51" w14:textId="1B5B1B59" w:rsidR="00EC364F" w:rsidRPr="006F34F9" w:rsidRDefault="00EC364F">
      <w:pPr>
        <w:rPr>
          <w:szCs w:val="22"/>
          <w:u w:val="single"/>
          <w:lang w:val="sr-Latn-ME"/>
        </w:rPr>
      </w:pPr>
      <w:r w:rsidRPr="006F34F9">
        <w:rPr>
          <w:szCs w:val="22"/>
          <w:u w:val="single"/>
          <w:lang w:val="sr-Latn-ME"/>
        </w:rPr>
        <w:t>Entyvio 108 mg</w:t>
      </w:r>
      <w:r w:rsidR="00A008F5" w:rsidRPr="006F34F9">
        <w:rPr>
          <w:szCs w:val="22"/>
          <w:u w:val="single"/>
          <w:lang w:val="sr-Latn-ME"/>
        </w:rPr>
        <w:t>/0,68ml</w:t>
      </w:r>
      <w:r w:rsidRPr="006F34F9">
        <w:rPr>
          <w:szCs w:val="22"/>
          <w:u w:val="single"/>
          <w:lang w:val="sr-Latn-ME"/>
        </w:rPr>
        <w:t xml:space="preserve"> </w:t>
      </w:r>
      <w:r w:rsidR="005A1666" w:rsidRPr="006F34F9">
        <w:rPr>
          <w:szCs w:val="22"/>
          <w:u w:val="single"/>
          <w:lang w:val="sr-Latn-ME"/>
        </w:rPr>
        <w:t xml:space="preserve">rastvor za injekciju u napunjenom </w:t>
      </w:r>
      <w:r w:rsidR="00902782" w:rsidRPr="006F34F9">
        <w:rPr>
          <w:bCs/>
          <w:szCs w:val="22"/>
          <w:u w:val="single"/>
          <w:lang w:val="sr-Latn-ME"/>
        </w:rPr>
        <w:t xml:space="preserve">injekcionom </w:t>
      </w:r>
      <w:r w:rsidR="005A1666" w:rsidRPr="006F34F9">
        <w:rPr>
          <w:szCs w:val="22"/>
          <w:u w:val="single"/>
          <w:lang w:val="sr-Latn-ME"/>
        </w:rPr>
        <w:t>penu</w:t>
      </w:r>
    </w:p>
    <w:p w14:paraId="7BD17E94" w14:textId="77777777" w:rsidR="00EC364F" w:rsidRPr="006F34F9" w:rsidRDefault="00EC364F">
      <w:pPr>
        <w:rPr>
          <w:rFonts w:eastAsia="TimesNewRoman"/>
          <w:szCs w:val="22"/>
          <w:lang w:val="sr-Latn-ME"/>
        </w:rPr>
      </w:pPr>
    </w:p>
    <w:p w14:paraId="2EF1F0E6" w14:textId="7AC838CE" w:rsidR="00EC364F" w:rsidRPr="006F34F9" w:rsidRDefault="005A1666">
      <w:pPr>
        <w:suppressLineNumbers/>
        <w:rPr>
          <w:szCs w:val="22"/>
          <w:lang w:val="sr-Latn-ME"/>
        </w:rPr>
      </w:pPr>
      <w:r w:rsidRPr="006F34F9">
        <w:rPr>
          <w:szCs w:val="22"/>
          <w:lang w:val="sr-Latn-ME"/>
        </w:rPr>
        <w:t xml:space="preserve">Rastvor za injekciju </w:t>
      </w:r>
      <w:r w:rsidR="00EC364F" w:rsidRPr="006F34F9">
        <w:rPr>
          <w:rFonts w:eastAsia="TimesNewRoman"/>
          <w:szCs w:val="22"/>
          <w:lang w:val="sr-Latn-ME"/>
        </w:rPr>
        <w:t>u napunjeno</w:t>
      </w:r>
      <w:r w:rsidRPr="006F34F9">
        <w:rPr>
          <w:rFonts w:eastAsia="TimesNewRoman"/>
          <w:szCs w:val="22"/>
          <w:lang w:val="sr-Latn-ME"/>
        </w:rPr>
        <w:t>m</w:t>
      </w:r>
      <w:r w:rsidR="00EC364F" w:rsidRPr="006F34F9">
        <w:rPr>
          <w:rFonts w:eastAsia="TimesNewRoman"/>
          <w:szCs w:val="22"/>
          <w:lang w:val="sr-Latn-ME"/>
        </w:rPr>
        <w:t xml:space="preserve"> </w:t>
      </w:r>
      <w:r w:rsidRPr="006F34F9">
        <w:rPr>
          <w:rFonts w:eastAsia="TimesNewRoman"/>
          <w:szCs w:val="22"/>
          <w:lang w:val="sr-Latn-ME"/>
        </w:rPr>
        <w:t>penu</w:t>
      </w:r>
      <w:r w:rsidR="00EC364F" w:rsidRPr="006F34F9">
        <w:rPr>
          <w:rFonts w:eastAsia="TimesNewRoman"/>
          <w:szCs w:val="22"/>
          <w:lang w:val="sr-Latn-ME"/>
        </w:rPr>
        <w:t xml:space="preserve"> </w:t>
      </w:r>
      <w:r w:rsidR="00EC364F" w:rsidRPr="006F34F9">
        <w:rPr>
          <w:szCs w:val="22"/>
          <w:lang w:val="sr-Latn-ME"/>
        </w:rPr>
        <w:t>u stakleno</w:t>
      </w:r>
      <w:r w:rsidRPr="006F34F9">
        <w:rPr>
          <w:szCs w:val="22"/>
          <w:lang w:val="sr-Latn-ME"/>
        </w:rPr>
        <w:t>m</w:t>
      </w:r>
      <w:r w:rsidR="00EC364F" w:rsidRPr="006F34F9">
        <w:rPr>
          <w:szCs w:val="22"/>
          <w:lang w:val="sr-Latn-ME"/>
        </w:rPr>
        <w:t xml:space="preserve"> (staklo tip I) </w:t>
      </w:r>
      <w:r w:rsidRPr="006F34F9">
        <w:rPr>
          <w:szCs w:val="22"/>
          <w:lang w:val="sr-Latn-ME"/>
        </w:rPr>
        <w:t>penu</w:t>
      </w:r>
      <w:r w:rsidR="00EC364F" w:rsidRPr="006F34F9">
        <w:rPr>
          <w:szCs w:val="22"/>
          <w:lang w:val="sr-Latn-ME"/>
        </w:rPr>
        <w:t xml:space="preserve"> s</w:t>
      </w:r>
      <w:r w:rsidRPr="006F34F9">
        <w:rPr>
          <w:szCs w:val="22"/>
          <w:lang w:val="sr-Latn-ME"/>
        </w:rPr>
        <w:t>a</w:t>
      </w:r>
      <w:r w:rsidR="00EC364F" w:rsidRPr="006F34F9">
        <w:rPr>
          <w:szCs w:val="22"/>
          <w:lang w:val="sr-Latn-ME"/>
        </w:rPr>
        <w:t xml:space="preserve"> fiksno pričvršćenom iglom tankih </w:t>
      </w:r>
      <w:r w:rsidRPr="006F34F9">
        <w:rPr>
          <w:szCs w:val="22"/>
          <w:lang w:val="sr-Latn-ME"/>
        </w:rPr>
        <w:t>zidova</w:t>
      </w:r>
      <w:r w:rsidR="00EC364F" w:rsidRPr="006F34F9">
        <w:rPr>
          <w:szCs w:val="22"/>
          <w:lang w:val="sr-Latn-ME"/>
        </w:rPr>
        <w:t xml:space="preserve"> du</w:t>
      </w:r>
      <w:r w:rsidRPr="006F34F9">
        <w:rPr>
          <w:szCs w:val="22"/>
          <w:lang w:val="sr-Latn-ME"/>
        </w:rPr>
        <w:t>ž</w:t>
      </w:r>
      <w:r w:rsidR="00EC364F" w:rsidRPr="006F34F9">
        <w:rPr>
          <w:szCs w:val="22"/>
          <w:lang w:val="sr-Latn-ME"/>
        </w:rPr>
        <w:t xml:space="preserve">ine 1,27 cm, od 27 G. </w:t>
      </w:r>
      <w:r w:rsidRPr="006F34F9">
        <w:rPr>
          <w:szCs w:val="22"/>
          <w:lang w:val="sr-Latn-ME"/>
        </w:rPr>
        <w:t>Pen</w:t>
      </w:r>
      <w:r w:rsidR="00EC364F" w:rsidRPr="006F34F9">
        <w:rPr>
          <w:szCs w:val="22"/>
          <w:lang w:val="sr-Latn-ME"/>
        </w:rPr>
        <w:t xml:space="preserve"> ima gumeni poklopac igle, umetnut u plastični okvir, </w:t>
      </w:r>
      <w:r w:rsidRPr="006F34F9">
        <w:rPr>
          <w:szCs w:val="22"/>
          <w:lang w:val="sr-Latn-ME"/>
        </w:rPr>
        <w:t>kao i</w:t>
      </w:r>
      <w:r w:rsidR="00EC364F" w:rsidRPr="006F34F9">
        <w:rPr>
          <w:szCs w:val="22"/>
          <w:lang w:val="sr-Latn-ME"/>
        </w:rPr>
        <w:t xml:space="preserve"> gumeni čep.</w:t>
      </w:r>
    </w:p>
    <w:p w14:paraId="12B36839" w14:textId="45FCE974" w:rsidR="00EC364F" w:rsidRPr="006F34F9" w:rsidRDefault="00EC364F">
      <w:pPr>
        <w:rPr>
          <w:szCs w:val="22"/>
          <w:lang w:val="sr-Latn-ME"/>
        </w:rPr>
      </w:pPr>
      <w:r w:rsidRPr="006F34F9">
        <w:rPr>
          <w:szCs w:val="22"/>
          <w:lang w:val="sr-Latn-ME"/>
        </w:rPr>
        <w:t xml:space="preserve">Napunjen </w:t>
      </w:r>
      <w:r w:rsidR="005A1666" w:rsidRPr="006F34F9">
        <w:rPr>
          <w:szCs w:val="22"/>
          <w:lang w:val="sr-Latn-ME"/>
        </w:rPr>
        <w:t>pen</w:t>
      </w:r>
      <w:r w:rsidRPr="006F34F9">
        <w:rPr>
          <w:szCs w:val="22"/>
          <w:lang w:val="sr-Latn-ME"/>
        </w:rPr>
        <w:t xml:space="preserve"> vedolizumaba za </w:t>
      </w:r>
      <w:r w:rsidR="005A1666" w:rsidRPr="006F34F9">
        <w:rPr>
          <w:szCs w:val="22"/>
          <w:lang w:val="sr-Latn-ME"/>
        </w:rPr>
        <w:t>subkutanu</w:t>
      </w:r>
      <w:r w:rsidRPr="006F34F9">
        <w:rPr>
          <w:szCs w:val="22"/>
          <w:lang w:val="sr-Latn-ME"/>
        </w:rPr>
        <w:t xml:space="preserve"> primjenu je jednodozn</w:t>
      </w:r>
      <w:r w:rsidR="005A1666" w:rsidRPr="006F34F9">
        <w:rPr>
          <w:szCs w:val="22"/>
          <w:lang w:val="sr-Latn-ME"/>
        </w:rPr>
        <w:t>i</w:t>
      </w:r>
      <w:r w:rsidRPr="006F34F9">
        <w:rPr>
          <w:szCs w:val="22"/>
          <w:lang w:val="sr-Latn-ME"/>
        </w:rPr>
        <w:t xml:space="preserve"> </w:t>
      </w:r>
      <w:r w:rsidR="005A1666" w:rsidRPr="006F34F9">
        <w:rPr>
          <w:szCs w:val="22"/>
          <w:lang w:val="sr-Latn-ME"/>
        </w:rPr>
        <w:t>pen</w:t>
      </w:r>
      <w:r w:rsidRPr="006F34F9">
        <w:rPr>
          <w:szCs w:val="22"/>
          <w:lang w:val="sr-Latn-ME"/>
        </w:rPr>
        <w:t xml:space="preserve"> za jednokratnu </w:t>
      </w:r>
      <w:r w:rsidR="008062E2" w:rsidRPr="006F34F9">
        <w:rPr>
          <w:szCs w:val="22"/>
          <w:lang w:val="sr-Latn-ME"/>
        </w:rPr>
        <w:t>primjenu</w:t>
      </w:r>
      <w:r w:rsidRPr="006F34F9">
        <w:rPr>
          <w:szCs w:val="22"/>
          <w:lang w:val="sr-Latn-ME"/>
        </w:rPr>
        <w:t xml:space="preserve"> </w:t>
      </w:r>
      <w:r w:rsidR="008559D3" w:rsidRPr="006F34F9">
        <w:rPr>
          <w:szCs w:val="22"/>
          <w:lang w:val="sr-Latn-ME"/>
        </w:rPr>
        <w:t>lijeka</w:t>
      </w:r>
      <w:r w:rsidRPr="006F34F9">
        <w:rPr>
          <w:szCs w:val="22"/>
          <w:lang w:val="sr-Latn-ME"/>
        </w:rPr>
        <w:t xml:space="preserve"> mehaničkim ubrizgava</w:t>
      </w:r>
      <w:r w:rsidR="00207092">
        <w:rPr>
          <w:szCs w:val="22"/>
          <w:lang w:val="sr-Latn-ME"/>
        </w:rPr>
        <w:t>njem. Svaki napunjeni pen</w:t>
      </w:r>
      <w:r w:rsidRPr="006F34F9">
        <w:rPr>
          <w:szCs w:val="22"/>
          <w:lang w:val="sr-Latn-ME"/>
        </w:rPr>
        <w:t xml:space="preserve"> o</w:t>
      </w:r>
      <w:r w:rsidR="008062E2" w:rsidRPr="006F34F9">
        <w:rPr>
          <w:szCs w:val="22"/>
          <w:lang w:val="sr-Latn-ME"/>
        </w:rPr>
        <w:t>pre</w:t>
      </w:r>
      <w:r w:rsidR="00207092">
        <w:rPr>
          <w:szCs w:val="22"/>
          <w:lang w:val="sr-Latn-ME"/>
        </w:rPr>
        <w:t>mljen</w:t>
      </w:r>
      <w:r w:rsidRPr="006F34F9">
        <w:rPr>
          <w:szCs w:val="22"/>
          <w:lang w:val="sr-Latn-ME"/>
        </w:rPr>
        <w:t xml:space="preserve"> je automatskim štitnikom igle koji se izvlači i zaključava iznad igle kad se uređaj ukloni s</w:t>
      </w:r>
      <w:r w:rsidR="005A1666" w:rsidRPr="006F34F9">
        <w:rPr>
          <w:szCs w:val="22"/>
          <w:lang w:val="sr-Latn-ME"/>
        </w:rPr>
        <w:t>a</w:t>
      </w:r>
      <w:r w:rsidRPr="006F34F9">
        <w:rPr>
          <w:szCs w:val="22"/>
          <w:lang w:val="sr-Latn-ME"/>
        </w:rPr>
        <w:t xml:space="preserve"> </w:t>
      </w:r>
      <w:r w:rsidR="0067327C" w:rsidRPr="006F34F9">
        <w:rPr>
          <w:szCs w:val="22"/>
          <w:lang w:val="sr-Latn-ME"/>
        </w:rPr>
        <w:t>mjesta</w:t>
      </w:r>
      <w:r w:rsidRPr="006F34F9">
        <w:rPr>
          <w:szCs w:val="22"/>
          <w:lang w:val="sr-Latn-ME"/>
        </w:rPr>
        <w:t xml:space="preserve"> injekcije.</w:t>
      </w:r>
    </w:p>
    <w:p w14:paraId="07B1FCD2" w14:textId="77777777" w:rsidR="00EC364F" w:rsidRPr="006F34F9" w:rsidRDefault="00EC364F">
      <w:pPr>
        <w:rPr>
          <w:szCs w:val="22"/>
          <w:lang w:val="sr-Latn-ME"/>
        </w:rPr>
      </w:pPr>
    </w:p>
    <w:p w14:paraId="523CBAE9" w14:textId="53E205B0" w:rsidR="00EC364F" w:rsidRPr="006F34F9" w:rsidRDefault="005A1666">
      <w:pPr>
        <w:rPr>
          <w:szCs w:val="22"/>
          <w:lang w:val="sr-Latn-ME"/>
        </w:rPr>
      </w:pPr>
      <w:r w:rsidRPr="006F34F9">
        <w:rPr>
          <w:szCs w:val="22"/>
          <w:lang w:val="sr-Latn-ME"/>
        </w:rPr>
        <w:t xml:space="preserve">Pakovanje </w:t>
      </w:r>
      <w:r w:rsidR="00EC364F" w:rsidRPr="006F34F9">
        <w:rPr>
          <w:szCs w:val="22"/>
          <w:lang w:val="sr-Latn-ME"/>
        </w:rPr>
        <w:t>s</w:t>
      </w:r>
      <w:r w:rsidRPr="006F34F9">
        <w:rPr>
          <w:szCs w:val="22"/>
          <w:lang w:val="sr-Latn-ME"/>
        </w:rPr>
        <w:t>a</w:t>
      </w:r>
      <w:r w:rsidR="00EC364F" w:rsidRPr="006F34F9">
        <w:rPr>
          <w:szCs w:val="22"/>
          <w:lang w:val="sr-Latn-ME"/>
        </w:rPr>
        <w:t xml:space="preserve"> 1 napunjen</w:t>
      </w:r>
      <w:r w:rsidRPr="006F34F9">
        <w:rPr>
          <w:szCs w:val="22"/>
          <w:lang w:val="sr-Latn-ME"/>
        </w:rPr>
        <w:t>i</w:t>
      </w:r>
      <w:r w:rsidR="00EC364F" w:rsidRPr="006F34F9">
        <w:rPr>
          <w:szCs w:val="22"/>
          <w:lang w:val="sr-Latn-ME"/>
        </w:rPr>
        <w:t xml:space="preserve">m </w:t>
      </w:r>
      <w:r w:rsidRPr="006F34F9">
        <w:rPr>
          <w:szCs w:val="22"/>
          <w:lang w:val="sr-Latn-ME"/>
        </w:rPr>
        <w:t xml:space="preserve">penom </w:t>
      </w:r>
      <w:r w:rsidR="00EC364F" w:rsidRPr="006F34F9">
        <w:rPr>
          <w:szCs w:val="22"/>
          <w:lang w:val="sr-Latn-ME"/>
        </w:rPr>
        <w:t>i višestruk</w:t>
      </w:r>
      <w:r w:rsidR="009D3C04" w:rsidRPr="006F34F9">
        <w:rPr>
          <w:szCs w:val="22"/>
          <w:lang w:val="sr-Latn-ME"/>
        </w:rPr>
        <w:t>o</w:t>
      </w:r>
      <w:r w:rsidR="00EC364F" w:rsidRPr="006F34F9">
        <w:rPr>
          <w:szCs w:val="22"/>
          <w:lang w:val="sr-Latn-ME"/>
        </w:rPr>
        <w:t xml:space="preserve"> </w:t>
      </w:r>
      <w:r w:rsidRPr="006F34F9">
        <w:rPr>
          <w:szCs w:val="22"/>
          <w:lang w:val="sr-Latn-ME"/>
        </w:rPr>
        <w:t>pakovanj</w:t>
      </w:r>
      <w:r w:rsidR="009D3C04" w:rsidRPr="006F34F9">
        <w:rPr>
          <w:szCs w:val="22"/>
          <w:lang w:val="sr-Latn-ME"/>
        </w:rPr>
        <w:t>e</w:t>
      </w:r>
      <w:r w:rsidRPr="006F34F9">
        <w:rPr>
          <w:szCs w:val="22"/>
          <w:lang w:val="sr-Latn-ME"/>
        </w:rPr>
        <w:t xml:space="preserve"> </w:t>
      </w:r>
      <w:r w:rsidR="00EC364F" w:rsidRPr="006F34F9">
        <w:rPr>
          <w:szCs w:val="22"/>
          <w:lang w:val="sr-Latn-ME"/>
        </w:rPr>
        <w:t xml:space="preserve">od 2 (2 </w:t>
      </w:r>
      <w:r w:rsidRPr="006F34F9">
        <w:rPr>
          <w:szCs w:val="22"/>
          <w:lang w:val="sr-Latn-ME"/>
        </w:rPr>
        <w:t xml:space="preserve">pakovanja </w:t>
      </w:r>
      <w:r w:rsidR="00EC364F" w:rsidRPr="006F34F9">
        <w:rPr>
          <w:szCs w:val="22"/>
          <w:lang w:val="sr-Latn-ME"/>
        </w:rPr>
        <w:t>od 1) napunjen</w:t>
      </w:r>
      <w:r w:rsidR="009D3C04" w:rsidRPr="006F34F9">
        <w:rPr>
          <w:szCs w:val="22"/>
          <w:lang w:val="sr-Latn-ME"/>
        </w:rPr>
        <w:t>a</w:t>
      </w:r>
      <w:r w:rsidR="00EC364F" w:rsidRPr="006F34F9">
        <w:rPr>
          <w:szCs w:val="22"/>
          <w:lang w:val="sr-Latn-ME"/>
        </w:rPr>
        <w:t xml:space="preserve"> </w:t>
      </w:r>
      <w:r w:rsidRPr="006F34F9">
        <w:rPr>
          <w:szCs w:val="22"/>
          <w:lang w:val="sr-Latn-ME"/>
        </w:rPr>
        <w:t>pen</w:t>
      </w:r>
      <w:r w:rsidR="009D3C04" w:rsidRPr="006F34F9">
        <w:rPr>
          <w:szCs w:val="22"/>
          <w:lang w:val="sr-Latn-ME"/>
        </w:rPr>
        <w:t>a</w:t>
      </w:r>
      <w:r w:rsidR="00EC364F" w:rsidRPr="006F34F9">
        <w:rPr>
          <w:szCs w:val="22"/>
          <w:lang w:val="sr-Latn-ME"/>
        </w:rPr>
        <w:t>.</w:t>
      </w:r>
    </w:p>
    <w:p w14:paraId="7EDB6671" w14:textId="77777777" w:rsidR="00EC364F" w:rsidRPr="006F34F9" w:rsidRDefault="00EC364F">
      <w:pPr>
        <w:rPr>
          <w:szCs w:val="22"/>
          <w:lang w:val="sr-Latn-ME"/>
        </w:rPr>
      </w:pPr>
    </w:p>
    <w:p w14:paraId="41F5E92C" w14:textId="6F6F2E49" w:rsidR="00EC364F" w:rsidRPr="006F34F9" w:rsidRDefault="00EC364F">
      <w:pPr>
        <w:rPr>
          <w:szCs w:val="22"/>
          <w:lang w:val="sr-Latn-ME"/>
        </w:rPr>
      </w:pPr>
      <w:r w:rsidRPr="006F34F9">
        <w:rPr>
          <w:szCs w:val="22"/>
          <w:lang w:val="sr-Latn-ME"/>
        </w:rPr>
        <w:t xml:space="preserve">Na tržištu se ne moraju nalaziti sve veličine </w:t>
      </w:r>
      <w:r w:rsidR="005A1666" w:rsidRPr="006F34F9">
        <w:rPr>
          <w:szCs w:val="22"/>
          <w:lang w:val="sr-Latn-ME"/>
        </w:rPr>
        <w:t>pakovanja</w:t>
      </w:r>
      <w:r w:rsidRPr="006F34F9">
        <w:rPr>
          <w:szCs w:val="22"/>
          <w:lang w:val="sr-Latn-ME"/>
        </w:rPr>
        <w:t>.</w:t>
      </w:r>
    </w:p>
    <w:p w14:paraId="6CE07F2E" w14:textId="30B8811A" w:rsidR="00CE09F3" w:rsidRPr="006F34F9" w:rsidRDefault="00CE09F3">
      <w:pPr>
        <w:rPr>
          <w:b/>
          <w:bCs/>
          <w:szCs w:val="22"/>
          <w:lang w:val="sr-Latn-ME"/>
        </w:rPr>
      </w:pPr>
      <w:r w:rsidRPr="006F34F9">
        <w:rPr>
          <w:b/>
          <w:bCs/>
          <w:szCs w:val="22"/>
          <w:lang w:val="sr-Latn-ME"/>
        </w:rPr>
        <w:lastRenderedPageBreak/>
        <w:t>6.6.</w:t>
      </w:r>
      <w:r w:rsidR="00591D18" w:rsidRPr="006F34F9">
        <w:rPr>
          <w:b/>
          <w:bCs/>
          <w:szCs w:val="22"/>
          <w:lang w:val="sr-Latn-ME"/>
        </w:rPr>
        <w:t xml:space="preserve">  </w:t>
      </w:r>
      <w:r w:rsidRPr="006F34F9">
        <w:rPr>
          <w:b/>
          <w:bCs/>
          <w:szCs w:val="22"/>
          <w:lang w:val="sr-Latn-ME"/>
        </w:rPr>
        <w:t>Posebne m</w:t>
      </w:r>
      <w:r w:rsidR="0069571E" w:rsidRPr="006F34F9">
        <w:rPr>
          <w:b/>
          <w:bCs/>
          <w:szCs w:val="22"/>
          <w:lang w:val="sr-Latn-ME"/>
        </w:rPr>
        <w:t>j</w:t>
      </w:r>
      <w:r w:rsidRPr="006F34F9">
        <w:rPr>
          <w:b/>
          <w:bCs/>
          <w:szCs w:val="22"/>
          <w:lang w:val="sr-Latn-ME"/>
        </w:rPr>
        <w:t>ere o</w:t>
      </w:r>
      <w:r w:rsidR="001420FC">
        <w:rPr>
          <w:b/>
          <w:bCs/>
          <w:szCs w:val="22"/>
          <w:lang w:val="sr-Latn-ME"/>
        </w:rPr>
        <w:t>pr</w:t>
      </w:r>
      <w:r w:rsidR="008062E2" w:rsidRPr="006F34F9">
        <w:rPr>
          <w:b/>
          <w:bCs/>
          <w:szCs w:val="22"/>
          <w:lang w:val="sr-Latn-ME"/>
        </w:rPr>
        <w:t>e</w:t>
      </w:r>
      <w:r w:rsidRPr="006F34F9">
        <w:rPr>
          <w:b/>
          <w:bCs/>
          <w:szCs w:val="22"/>
          <w:lang w:val="sr-Latn-ME"/>
        </w:rPr>
        <w:t>za pri odlaganju materijala koji treba odbaciti nakon prim</w:t>
      </w:r>
      <w:r w:rsidR="0069571E" w:rsidRPr="006F34F9">
        <w:rPr>
          <w:b/>
          <w:bCs/>
          <w:szCs w:val="22"/>
          <w:lang w:val="sr-Latn-ME"/>
        </w:rPr>
        <w:t>j</w:t>
      </w:r>
      <w:r w:rsidRPr="006F34F9">
        <w:rPr>
          <w:b/>
          <w:bCs/>
          <w:szCs w:val="22"/>
          <w:lang w:val="sr-Latn-ME"/>
        </w:rPr>
        <w:t>ene l</w:t>
      </w:r>
      <w:r w:rsidR="0069571E" w:rsidRPr="006F34F9">
        <w:rPr>
          <w:b/>
          <w:bCs/>
          <w:szCs w:val="22"/>
          <w:lang w:val="sr-Latn-ME"/>
        </w:rPr>
        <w:t>ij</w:t>
      </w:r>
      <w:r w:rsidRPr="006F34F9">
        <w:rPr>
          <w:b/>
          <w:bCs/>
          <w:szCs w:val="22"/>
          <w:lang w:val="sr-Latn-ME"/>
        </w:rPr>
        <w:t>eka (i druga uputstva za rukovanje l</w:t>
      </w:r>
      <w:r w:rsidR="0069571E" w:rsidRPr="006F34F9">
        <w:rPr>
          <w:b/>
          <w:bCs/>
          <w:szCs w:val="22"/>
          <w:lang w:val="sr-Latn-ME"/>
        </w:rPr>
        <w:t>ij</w:t>
      </w:r>
      <w:r w:rsidRPr="006F34F9">
        <w:rPr>
          <w:b/>
          <w:bCs/>
          <w:szCs w:val="22"/>
          <w:lang w:val="sr-Latn-ME"/>
        </w:rPr>
        <w:t>ekom)</w:t>
      </w:r>
    </w:p>
    <w:p w14:paraId="6CE07F2F" w14:textId="77777777" w:rsidR="00CE09F3" w:rsidRPr="006F34F9" w:rsidRDefault="00CE09F3">
      <w:pPr>
        <w:rPr>
          <w:szCs w:val="22"/>
          <w:lang w:val="sr-Latn-ME"/>
        </w:rPr>
      </w:pPr>
    </w:p>
    <w:p w14:paraId="35026274" w14:textId="32387554" w:rsidR="005A1666" w:rsidRPr="006F34F9" w:rsidRDefault="005A1666">
      <w:pPr>
        <w:rPr>
          <w:szCs w:val="22"/>
          <w:u w:val="single"/>
          <w:lang w:val="sr-Latn-ME"/>
        </w:rPr>
      </w:pPr>
      <w:r w:rsidRPr="006F34F9">
        <w:rPr>
          <w:szCs w:val="22"/>
          <w:u w:val="single"/>
          <w:lang w:val="sr-Latn-ME"/>
        </w:rPr>
        <w:t>Uput</w:t>
      </w:r>
      <w:r w:rsidR="0069571E" w:rsidRPr="006F34F9">
        <w:rPr>
          <w:szCs w:val="22"/>
          <w:u w:val="single"/>
          <w:lang w:val="sr-Latn-ME"/>
        </w:rPr>
        <w:t>stva</w:t>
      </w:r>
      <w:r w:rsidRPr="006F34F9">
        <w:rPr>
          <w:szCs w:val="22"/>
          <w:u w:val="single"/>
          <w:lang w:val="sr-Latn-ME"/>
        </w:rPr>
        <w:t xml:space="preserve"> za primjenu</w:t>
      </w:r>
    </w:p>
    <w:p w14:paraId="3787CD37" w14:textId="77777777" w:rsidR="005A1666" w:rsidRPr="006F34F9" w:rsidRDefault="005A1666">
      <w:pPr>
        <w:autoSpaceDE w:val="0"/>
        <w:autoSpaceDN w:val="0"/>
        <w:adjustRightInd w:val="0"/>
        <w:rPr>
          <w:szCs w:val="22"/>
          <w:lang w:val="sr-Latn-ME"/>
        </w:rPr>
      </w:pPr>
    </w:p>
    <w:p w14:paraId="6FD87EFC" w14:textId="0827B65C" w:rsidR="005A1666" w:rsidRPr="006F34F9" w:rsidRDefault="005A1666" w:rsidP="00DC703D">
      <w:pPr>
        <w:autoSpaceDE w:val="0"/>
        <w:autoSpaceDN w:val="0"/>
        <w:adjustRightInd w:val="0"/>
        <w:jc w:val="left"/>
        <w:rPr>
          <w:szCs w:val="22"/>
          <w:lang w:val="sr-Latn-ME"/>
        </w:rPr>
      </w:pPr>
      <w:r w:rsidRPr="006F34F9">
        <w:rPr>
          <w:szCs w:val="22"/>
          <w:lang w:val="sr-Latn-ME"/>
        </w:rPr>
        <w:t>Nakon što napunjen</w:t>
      </w:r>
      <w:r w:rsidR="0069571E" w:rsidRPr="006F34F9">
        <w:rPr>
          <w:szCs w:val="22"/>
          <w:lang w:val="sr-Latn-ME"/>
        </w:rPr>
        <w:t>i</w:t>
      </w:r>
      <w:r w:rsidRPr="006F34F9">
        <w:rPr>
          <w:szCs w:val="22"/>
          <w:lang w:val="sr-Latn-ME"/>
        </w:rPr>
        <w:t xml:space="preserve"> š</w:t>
      </w:r>
      <w:r w:rsidR="0069571E" w:rsidRPr="006F34F9">
        <w:rPr>
          <w:szCs w:val="22"/>
          <w:lang w:val="sr-Latn-ME"/>
        </w:rPr>
        <w:t>pric</w:t>
      </w:r>
      <w:r w:rsidRPr="006F34F9">
        <w:rPr>
          <w:szCs w:val="22"/>
          <w:lang w:val="sr-Latn-ME"/>
        </w:rPr>
        <w:t xml:space="preserve"> ili napunjenu </w:t>
      </w:r>
      <w:r w:rsidR="0069571E" w:rsidRPr="006F34F9">
        <w:rPr>
          <w:szCs w:val="22"/>
          <w:lang w:val="sr-Latn-ME"/>
        </w:rPr>
        <w:t>pen</w:t>
      </w:r>
      <w:r w:rsidRPr="006F34F9">
        <w:rPr>
          <w:szCs w:val="22"/>
          <w:lang w:val="sr-Latn-ME"/>
        </w:rPr>
        <w:t xml:space="preserve"> izvadite ih </w:t>
      </w:r>
      <w:r w:rsidR="0069571E" w:rsidRPr="006F34F9">
        <w:rPr>
          <w:szCs w:val="22"/>
          <w:lang w:val="sr-Latn-ME"/>
        </w:rPr>
        <w:t>frižidera</w:t>
      </w:r>
      <w:r w:rsidRPr="006F34F9">
        <w:rPr>
          <w:szCs w:val="22"/>
          <w:lang w:val="sr-Latn-ME"/>
        </w:rPr>
        <w:t xml:space="preserve">, pričekajte 30 minuta prije injekcije kako bi </w:t>
      </w:r>
      <w:r w:rsidR="0069571E" w:rsidRPr="006F34F9">
        <w:rPr>
          <w:szCs w:val="22"/>
          <w:lang w:val="sr-Latn-ME"/>
        </w:rPr>
        <w:t>rastvor</w:t>
      </w:r>
      <w:r w:rsidRPr="006F34F9">
        <w:rPr>
          <w:szCs w:val="22"/>
          <w:lang w:val="sr-Latn-ME"/>
        </w:rPr>
        <w:t xml:space="preserve"> dosega</w:t>
      </w:r>
      <w:r w:rsidR="0069571E" w:rsidRPr="006F34F9">
        <w:rPr>
          <w:szCs w:val="22"/>
          <w:lang w:val="sr-Latn-ME"/>
        </w:rPr>
        <w:t>o</w:t>
      </w:r>
      <w:r w:rsidRPr="006F34F9">
        <w:rPr>
          <w:szCs w:val="22"/>
          <w:lang w:val="sr-Latn-ME"/>
        </w:rPr>
        <w:t xml:space="preserve"> sobnu temperaturu.</w:t>
      </w:r>
    </w:p>
    <w:p w14:paraId="5F8C78BD" w14:textId="77777777" w:rsidR="005A1666" w:rsidRPr="006F34F9" w:rsidRDefault="005A1666" w:rsidP="00DC703D">
      <w:pPr>
        <w:autoSpaceDE w:val="0"/>
        <w:autoSpaceDN w:val="0"/>
        <w:adjustRightInd w:val="0"/>
        <w:jc w:val="left"/>
        <w:rPr>
          <w:szCs w:val="22"/>
          <w:lang w:val="sr-Latn-ME"/>
        </w:rPr>
      </w:pPr>
    </w:p>
    <w:p w14:paraId="2B00D9C8" w14:textId="20D3DC3B" w:rsidR="005A1666" w:rsidRPr="006F34F9" w:rsidRDefault="005A1666" w:rsidP="00DC703D">
      <w:pPr>
        <w:autoSpaceDE w:val="0"/>
        <w:autoSpaceDN w:val="0"/>
        <w:adjustRightInd w:val="0"/>
        <w:jc w:val="left"/>
        <w:rPr>
          <w:szCs w:val="22"/>
          <w:lang w:val="sr-Latn-ME"/>
        </w:rPr>
      </w:pPr>
      <w:r w:rsidRPr="006F34F9">
        <w:rPr>
          <w:szCs w:val="22"/>
          <w:lang w:val="sr-Latn-ME"/>
        </w:rPr>
        <w:t xml:space="preserve">Nemojte napunjen </w:t>
      </w:r>
      <w:r w:rsidR="0069571E" w:rsidRPr="006F34F9">
        <w:rPr>
          <w:szCs w:val="22"/>
          <w:lang w:val="sr-Latn-ME"/>
        </w:rPr>
        <w:t xml:space="preserve">špric </w:t>
      </w:r>
      <w:r w:rsidRPr="006F34F9">
        <w:rPr>
          <w:szCs w:val="22"/>
          <w:lang w:val="sr-Latn-ME"/>
        </w:rPr>
        <w:t xml:space="preserve">ili </w:t>
      </w:r>
      <w:r w:rsidR="0069571E" w:rsidRPr="006F34F9">
        <w:rPr>
          <w:szCs w:val="22"/>
          <w:lang w:val="sr-Latn-ME"/>
        </w:rPr>
        <w:t xml:space="preserve">pen </w:t>
      </w:r>
      <w:r w:rsidRPr="006F34F9">
        <w:rPr>
          <w:szCs w:val="22"/>
          <w:lang w:val="sr-Latn-ME"/>
        </w:rPr>
        <w:t xml:space="preserve">izlagati </w:t>
      </w:r>
      <w:r w:rsidR="0069571E" w:rsidRPr="006F34F9">
        <w:rPr>
          <w:szCs w:val="22"/>
          <w:lang w:val="sr-Latn-ME"/>
        </w:rPr>
        <w:t>dir</w:t>
      </w:r>
      <w:r w:rsidR="0067327C" w:rsidRPr="006F34F9">
        <w:rPr>
          <w:szCs w:val="22"/>
          <w:lang w:val="sr-Latn-ME"/>
        </w:rPr>
        <w:t>ektnoj</w:t>
      </w:r>
      <w:r w:rsidRPr="006F34F9">
        <w:rPr>
          <w:szCs w:val="22"/>
          <w:lang w:val="sr-Latn-ME"/>
        </w:rPr>
        <w:t xml:space="preserve"> sunčevoj svjetlosti.</w:t>
      </w:r>
    </w:p>
    <w:p w14:paraId="5AAF8F71" w14:textId="77777777" w:rsidR="005A1666" w:rsidRPr="006F34F9" w:rsidRDefault="005A1666" w:rsidP="00DC703D">
      <w:pPr>
        <w:autoSpaceDE w:val="0"/>
        <w:autoSpaceDN w:val="0"/>
        <w:adjustRightInd w:val="0"/>
        <w:jc w:val="left"/>
        <w:rPr>
          <w:szCs w:val="22"/>
          <w:lang w:val="sr-Latn-ME"/>
        </w:rPr>
      </w:pPr>
    </w:p>
    <w:p w14:paraId="1C1ECE53" w14:textId="77777777" w:rsidR="005A1666" w:rsidRPr="006F34F9" w:rsidRDefault="005A1666" w:rsidP="00DC703D">
      <w:pPr>
        <w:autoSpaceDE w:val="0"/>
        <w:autoSpaceDN w:val="0"/>
        <w:adjustRightInd w:val="0"/>
        <w:jc w:val="left"/>
        <w:rPr>
          <w:szCs w:val="22"/>
          <w:lang w:val="sr-Latn-ME"/>
        </w:rPr>
      </w:pPr>
      <w:r w:rsidRPr="006F34F9">
        <w:rPr>
          <w:szCs w:val="22"/>
          <w:lang w:val="sr-Latn-ME"/>
        </w:rPr>
        <w:t>Ne zamrzavati. Nemojte koristiti ako je lijek bio zamrzavan.</w:t>
      </w:r>
    </w:p>
    <w:p w14:paraId="64DE0BAF" w14:textId="77777777" w:rsidR="005A1666" w:rsidRPr="006F34F9" w:rsidRDefault="005A1666" w:rsidP="00DC703D">
      <w:pPr>
        <w:autoSpaceDE w:val="0"/>
        <w:autoSpaceDN w:val="0"/>
        <w:adjustRightInd w:val="0"/>
        <w:jc w:val="left"/>
        <w:rPr>
          <w:szCs w:val="22"/>
          <w:lang w:val="sr-Latn-ME"/>
        </w:rPr>
      </w:pPr>
    </w:p>
    <w:p w14:paraId="357327FE" w14:textId="39FD2F41" w:rsidR="005A1666" w:rsidRPr="006F34F9" w:rsidRDefault="005A1666" w:rsidP="00DC703D">
      <w:pPr>
        <w:autoSpaceDE w:val="0"/>
        <w:autoSpaceDN w:val="0"/>
        <w:adjustRightInd w:val="0"/>
        <w:jc w:val="left"/>
        <w:rPr>
          <w:szCs w:val="22"/>
          <w:lang w:val="sr-Latn-ME"/>
        </w:rPr>
      </w:pPr>
      <w:r w:rsidRPr="006F34F9">
        <w:rPr>
          <w:szCs w:val="22"/>
          <w:lang w:val="sr-Latn-ME"/>
        </w:rPr>
        <w:t xml:space="preserve">Prije primjene vizualno </w:t>
      </w:r>
      <w:r w:rsidR="000A4255">
        <w:rPr>
          <w:szCs w:val="22"/>
          <w:lang w:val="sr-Latn-ME"/>
        </w:rPr>
        <w:t>pr</w:t>
      </w:r>
      <w:r w:rsidR="008062E2" w:rsidRPr="006F34F9">
        <w:rPr>
          <w:szCs w:val="22"/>
          <w:lang w:val="sr-Latn-ME"/>
        </w:rPr>
        <w:t>e</w:t>
      </w:r>
      <w:r w:rsidRPr="006F34F9">
        <w:rPr>
          <w:szCs w:val="22"/>
          <w:lang w:val="sr-Latn-ME"/>
        </w:rPr>
        <w:t xml:space="preserve">gledajte </w:t>
      </w:r>
      <w:r w:rsidR="0069571E" w:rsidRPr="006F34F9">
        <w:rPr>
          <w:szCs w:val="22"/>
          <w:lang w:val="sr-Latn-ME"/>
        </w:rPr>
        <w:t>rastvor</w:t>
      </w:r>
      <w:r w:rsidRPr="006F34F9">
        <w:rPr>
          <w:szCs w:val="22"/>
          <w:lang w:val="sr-Latn-ME"/>
        </w:rPr>
        <w:t xml:space="preserve"> kako biste isključili prisutnost vidljivih čestica ili promjenu boje. </w:t>
      </w:r>
      <w:r w:rsidR="0069571E" w:rsidRPr="006F34F9">
        <w:rPr>
          <w:szCs w:val="22"/>
          <w:lang w:val="sr-Latn-ME"/>
        </w:rPr>
        <w:t>Rastvor</w:t>
      </w:r>
      <w:r w:rsidRPr="006F34F9">
        <w:rPr>
          <w:szCs w:val="22"/>
          <w:lang w:val="sr-Latn-ME"/>
        </w:rPr>
        <w:t xml:space="preserve"> bi trebal</w:t>
      </w:r>
      <w:r w:rsidR="0069571E" w:rsidRPr="006F34F9">
        <w:rPr>
          <w:szCs w:val="22"/>
          <w:lang w:val="sr-Latn-ME"/>
        </w:rPr>
        <w:t>o</w:t>
      </w:r>
      <w:r w:rsidRPr="006F34F9">
        <w:rPr>
          <w:szCs w:val="22"/>
          <w:lang w:val="sr-Latn-ME"/>
        </w:rPr>
        <w:t xml:space="preserve"> biti bezboj</w:t>
      </w:r>
      <w:r w:rsidR="0069571E" w:rsidRPr="006F34F9">
        <w:rPr>
          <w:szCs w:val="22"/>
          <w:lang w:val="sr-Latn-ME"/>
        </w:rPr>
        <w:t>a</w:t>
      </w:r>
      <w:r w:rsidRPr="006F34F9">
        <w:rPr>
          <w:szCs w:val="22"/>
          <w:lang w:val="sr-Latn-ME"/>
        </w:rPr>
        <w:t>n do ž</w:t>
      </w:r>
      <w:r w:rsidR="000A4255">
        <w:rPr>
          <w:szCs w:val="22"/>
          <w:lang w:val="sr-Latn-ME"/>
        </w:rPr>
        <w:t>ut</w:t>
      </w:r>
      <w:r w:rsidRPr="006F34F9">
        <w:rPr>
          <w:szCs w:val="22"/>
          <w:lang w:val="sr-Latn-ME"/>
        </w:rPr>
        <w:t>. Nemojte koristiti napunjen</w:t>
      </w:r>
      <w:r w:rsidR="0069571E" w:rsidRPr="006F34F9">
        <w:rPr>
          <w:szCs w:val="22"/>
          <w:lang w:val="sr-Latn-ME"/>
        </w:rPr>
        <w:t>i</w:t>
      </w:r>
      <w:r w:rsidRPr="006F34F9">
        <w:rPr>
          <w:szCs w:val="22"/>
          <w:lang w:val="sr-Latn-ME"/>
        </w:rPr>
        <w:t xml:space="preserve"> </w:t>
      </w:r>
      <w:r w:rsidR="0069571E" w:rsidRPr="006F34F9">
        <w:rPr>
          <w:szCs w:val="22"/>
          <w:lang w:val="sr-Latn-ME"/>
        </w:rPr>
        <w:t>špric</w:t>
      </w:r>
      <w:r w:rsidRPr="006F34F9">
        <w:rPr>
          <w:szCs w:val="22"/>
          <w:lang w:val="sr-Latn-ME"/>
        </w:rPr>
        <w:t xml:space="preserve"> ili napunjen</w:t>
      </w:r>
      <w:r w:rsidR="0069571E" w:rsidRPr="006F34F9">
        <w:rPr>
          <w:szCs w:val="22"/>
          <w:lang w:val="sr-Latn-ME"/>
        </w:rPr>
        <w:t>i</w:t>
      </w:r>
      <w:r w:rsidRPr="006F34F9">
        <w:rPr>
          <w:szCs w:val="22"/>
          <w:lang w:val="sr-Latn-ME"/>
        </w:rPr>
        <w:t xml:space="preserve"> </w:t>
      </w:r>
      <w:r w:rsidR="0069571E" w:rsidRPr="006F34F9">
        <w:rPr>
          <w:szCs w:val="22"/>
          <w:lang w:val="sr-Latn-ME"/>
        </w:rPr>
        <w:t>pen</w:t>
      </w:r>
      <w:r w:rsidRPr="006F34F9">
        <w:rPr>
          <w:szCs w:val="22"/>
          <w:lang w:val="sr-Latn-ME"/>
        </w:rPr>
        <w:t xml:space="preserve"> ako su vidljive čestice ili promjena boje. </w:t>
      </w:r>
    </w:p>
    <w:p w14:paraId="1DD218F0" w14:textId="77777777" w:rsidR="005A1666" w:rsidRPr="006F34F9" w:rsidRDefault="005A1666" w:rsidP="00DC703D">
      <w:pPr>
        <w:autoSpaceDE w:val="0"/>
        <w:autoSpaceDN w:val="0"/>
        <w:adjustRightInd w:val="0"/>
        <w:jc w:val="left"/>
        <w:rPr>
          <w:szCs w:val="22"/>
          <w:lang w:val="sr-Latn-ME"/>
        </w:rPr>
      </w:pPr>
    </w:p>
    <w:p w14:paraId="2013649D" w14:textId="43881E19" w:rsidR="005A1666" w:rsidRPr="006F34F9" w:rsidRDefault="005A1666" w:rsidP="00DC703D">
      <w:pPr>
        <w:jc w:val="left"/>
        <w:rPr>
          <w:szCs w:val="22"/>
          <w:lang w:val="sr-Latn-ME"/>
        </w:rPr>
      </w:pPr>
      <w:r w:rsidRPr="006F34F9">
        <w:rPr>
          <w:szCs w:val="22"/>
          <w:lang w:val="sr-Latn-ME"/>
        </w:rPr>
        <w:t>Svak</w:t>
      </w:r>
      <w:r w:rsidR="0069571E" w:rsidRPr="006F34F9">
        <w:rPr>
          <w:szCs w:val="22"/>
          <w:lang w:val="sr-Latn-ME"/>
        </w:rPr>
        <w:t>i</w:t>
      </w:r>
      <w:r w:rsidR="000A4255">
        <w:rPr>
          <w:szCs w:val="22"/>
          <w:lang w:val="sr-Latn-ME"/>
        </w:rPr>
        <w:t xml:space="preserve"> napunjeni</w:t>
      </w:r>
      <w:r w:rsidRPr="006F34F9">
        <w:rPr>
          <w:szCs w:val="22"/>
          <w:lang w:val="sr-Latn-ME"/>
        </w:rPr>
        <w:t xml:space="preserve"> </w:t>
      </w:r>
      <w:r w:rsidR="0069571E" w:rsidRPr="006F34F9">
        <w:rPr>
          <w:szCs w:val="22"/>
          <w:lang w:val="sr-Latn-ME"/>
        </w:rPr>
        <w:t xml:space="preserve">špric ili napunjeni pen </w:t>
      </w:r>
      <w:r w:rsidRPr="006F34F9">
        <w:rPr>
          <w:szCs w:val="22"/>
          <w:lang w:val="sr-Latn-ME"/>
        </w:rPr>
        <w:t xml:space="preserve">namijenjen je samo za jednokratnu </w:t>
      </w:r>
      <w:r w:rsidR="0069571E" w:rsidRPr="006F34F9">
        <w:rPr>
          <w:szCs w:val="22"/>
          <w:lang w:val="sr-Latn-ME"/>
        </w:rPr>
        <w:t>upotrebu</w:t>
      </w:r>
      <w:r w:rsidRPr="006F34F9">
        <w:rPr>
          <w:szCs w:val="22"/>
          <w:lang w:val="sr-Latn-ME"/>
        </w:rPr>
        <w:t>.</w:t>
      </w:r>
    </w:p>
    <w:p w14:paraId="2307A212" w14:textId="77777777" w:rsidR="005A1666" w:rsidRPr="006F34F9" w:rsidRDefault="005A1666" w:rsidP="00DC703D">
      <w:pPr>
        <w:jc w:val="left"/>
        <w:rPr>
          <w:szCs w:val="22"/>
          <w:lang w:val="sr-Latn-ME"/>
        </w:rPr>
      </w:pPr>
    </w:p>
    <w:p w14:paraId="6CE07F30" w14:textId="06711F8E" w:rsidR="00CE09F3" w:rsidRPr="006F34F9" w:rsidRDefault="005A1666" w:rsidP="00DC703D">
      <w:pPr>
        <w:jc w:val="left"/>
        <w:rPr>
          <w:szCs w:val="22"/>
          <w:lang w:val="sr-Latn-ME"/>
        </w:rPr>
      </w:pPr>
      <w:r w:rsidRPr="006F34F9">
        <w:rPr>
          <w:szCs w:val="22"/>
          <w:lang w:val="sr-Latn-ME"/>
        </w:rPr>
        <w:t xml:space="preserve">Neiskorišteni lijek ili otpadni materijal potrebno je zbrinuti </w:t>
      </w:r>
      <w:r w:rsidR="0069571E" w:rsidRPr="006F34F9">
        <w:rPr>
          <w:szCs w:val="22"/>
          <w:lang w:val="sr-Latn-ME"/>
        </w:rPr>
        <w:t>u skladu</w:t>
      </w:r>
      <w:r w:rsidRPr="006F34F9">
        <w:rPr>
          <w:szCs w:val="22"/>
          <w:lang w:val="sr-Latn-ME"/>
        </w:rPr>
        <w:t xml:space="preserve"> nacionalnim propisima.</w:t>
      </w:r>
    </w:p>
    <w:p w14:paraId="3CD43752" w14:textId="619E0775" w:rsidR="00636D99" w:rsidRPr="006F34F9" w:rsidRDefault="00636D99">
      <w:pPr>
        <w:rPr>
          <w:szCs w:val="22"/>
          <w:lang w:val="sr-Latn-ME"/>
        </w:rPr>
      </w:pPr>
    </w:p>
    <w:p w14:paraId="06910CAB" w14:textId="77777777" w:rsidR="001F7037" w:rsidRPr="006F34F9" w:rsidRDefault="001F7037">
      <w:pPr>
        <w:rPr>
          <w:szCs w:val="22"/>
          <w:lang w:val="sr-Latn-ME"/>
        </w:rPr>
      </w:pPr>
    </w:p>
    <w:p w14:paraId="6CE07F31" w14:textId="3EDF3349" w:rsidR="00CE09F3" w:rsidRPr="006F34F9" w:rsidRDefault="00CE09F3" w:rsidP="00180C9F">
      <w:pPr>
        <w:pStyle w:val="NASLOV123"/>
        <w:spacing w:before="0"/>
        <w:jc w:val="both"/>
        <w:rPr>
          <w:lang w:val="sr-Latn-ME"/>
        </w:rPr>
      </w:pPr>
      <w:r w:rsidRPr="006F34F9">
        <w:rPr>
          <w:lang w:val="sr-Latn-ME"/>
        </w:rPr>
        <w:t>7.</w:t>
      </w:r>
      <w:r w:rsidR="00591D18" w:rsidRPr="006F34F9">
        <w:rPr>
          <w:lang w:val="sr-Latn-ME"/>
        </w:rPr>
        <w:t xml:space="preserve">  </w:t>
      </w:r>
      <w:r w:rsidRPr="006F34F9">
        <w:rPr>
          <w:lang w:val="sr-Latn-ME"/>
        </w:rPr>
        <w:t xml:space="preserve">NOSILAC DOZVOLE </w:t>
      </w:r>
    </w:p>
    <w:p w14:paraId="6CE07F33" w14:textId="13BF5362" w:rsidR="00CE09F3" w:rsidRPr="006F34F9" w:rsidRDefault="0069571E" w:rsidP="00180C9F">
      <w:pPr>
        <w:jc w:val="left"/>
        <w:rPr>
          <w:color w:val="1B1B1B"/>
          <w:szCs w:val="22"/>
          <w:shd w:val="clear" w:color="auto" w:fill="FFFFFF"/>
          <w:lang w:val="sr-Latn-ME"/>
        </w:rPr>
      </w:pPr>
      <w:r w:rsidRPr="006F34F9">
        <w:rPr>
          <w:color w:val="1B1B1B"/>
          <w:szCs w:val="22"/>
          <w:shd w:val="clear" w:color="auto" w:fill="FFFFFF"/>
          <w:lang w:val="sr-Latn-ME"/>
        </w:rPr>
        <w:t xml:space="preserve">Glosarij d.o.o. </w:t>
      </w:r>
    </w:p>
    <w:p w14:paraId="45D1FAE1" w14:textId="63F753BC" w:rsidR="0069571E" w:rsidRPr="006F34F9" w:rsidRDefault="0069571E" w:rsidP="00180C9F">
      <w:pPr>
        <w:jc w:val="left"/>
        <w:rPr>
          <w:szCs w:val="22"/>
          <w:lang w:val="sr-Latn-ME"/>
        </w:rPr>
      </w:pPr>
      <w:r w:rsidRPr="006F34F9">
        <w:rPr>
          <w:szCs w:val="22"/>
          <w:lang w:val="sr-Latn-ME"/>
        </w:rPr>
        <w:t>Vojislavljevića 76</w:t>
      </w:r>
      <w:r w:rsidR="00384C82" w:rsidRPr="006F34F9">
        <w:rPr>
          <w:szCs w:val="22"/>
          <w:lang w:val="sr-Latn-ME"/>
        </w:rPr>
        <w:t>, 81000 Podgorica, Crna Gora</w:t>
      </w:r>
    </w:p>
    <w:p w14:paraId="74F21DB1" w14:textId="4488CB52" w:rsidR="00636D99" w:rsidRPr="006F34F9" w:rsidRDefault="00636D99" w:rsidP="00E708C7">
      <w:pPr>
        <w:rPr>
          <w:szCs w:val="22"/>
          <w:lang w:val="sr-Latn-ME"/>
        </w:rPr>
      </w:pPr>
    </w:p>
    <w:p w14:paraId="4EECE10E" w14:textId="77777777" w:rsidR="001C313D" w:rsidRPr="006F34F9" w:rsidRDefault="001C313D" w:rsidP="00E708C7">
      <w:pPr>
        <w:rPr>
          <w:szCs w:val="22"/>
          <w:lang w:val="sr-Latn-ME"/>
        </w:rPr>
      </w:pPr>
    </w:p>
    <w:p w14:paraId="6CE07F34" w14:textId="4DA26C58" w:rsidR="00CE09F3" w:rsidRPr="006F34F9" w:rsidRDefault="00CE09F3" w:rsidP="00180C9F">
      <w:pPr>
        <w:pStyle w:val="NASLOV123"/>
        <w:spacing w:before="0"/>
        <w:jc w:val="both"/>
        <w:rPr>
          <w:bCs/>
          <w:lang w:val="sr-Latn-ME"/>
        </w:rPr>
      </w:pPr>
      <w:r w:rsidRPr="006F34F9">
        <w:rPr>
          <w:lang w:val="sr-Latn-ME"/>
        </w:rPr>
        <w:t>8.</w:t>
      </w:r>
      <w:r w:rsidR="00591D18" w:rsidRPr="006F34F9">
        <w:rPr>
          <w:lang w:val="sr-Latn-ME"/>
        </w:rPr>
        <w:t xml:space="preserve">  </w:t>
      </w:r>
      <w:r w:rsidR="0069571E" w:rsidRPr="006F34F9">
        <w:rPr>
          <w:bCs/>
          <w:lang w:val="sr-Latn-ME"/>
        </w:rPr>
        <w:t>BROJ DOZVOLE ZA STAVLJANJE LIJEKA U PROMET</w:t>
      </w:r>
    </w:p>
    <w:p w14:paraId="751A6F1A" w14:textId="1B331447" w:rsidR="00390AFA" w:rsidRPr="006F34F9" w:rsidRDefault="00390AFA" w:rsidP="00390AFA">
      <w:pPr>
        <w:rPr>
          <w:bCs/>
          <w:szCs w:val="22"/>
          <w:lang w:val="sr-Latn-ME"/>
        </w:rPr>
      </w:pPr>
      <w:r w:rsidRPr="006F34F9">
        <w:rPr>
          <w:bCs/>
          <w:szCs w:val="22"/>
          <w:lang w:val="sr-Latn-ME"/>
        </w:rPr>
        <w:t>Entyvio 108mg/0.68ml rastvor za injekciju u napunjenom injekcionom špricu, 1x0.68ml:</w:t>
      </w:r>
    </w:p>
    <w:p w14:paraId="119DA756" w14:textId="538B7481" w:rsidR="00361BFD" w:rsidRPr="006F34F9" w:rsidRDefault="00361BFD" w:rsidP="00390AFA">
      <w:pPr>
        <w:rPr>
          <w:bCs/>
          <w:szCs w:val="22"/>
          <w:lang w:val="sr-Latn-ME"/>
        </w:rPr>
      </w:pPr>
      <w:r w:rsidRPr="006F34F9">
        <w:rPr>
          <w:bCs/>
          <w:szCs w:val="22"/>
          <w:lang w:val="sr-Latn-ME"/>
        </w:rPr>
        <w:t>2030/22/1161 - 5295</w:t>
      </w:r>
    </w:p>
    <w:p w14:paraId="7F913C8E" w14:textId="1C9E972D" w:rsidR="00390AFA" w:rsidRPr="006F34F9" w:rsidRDefault="00390AFA" w:rsidP="00390AFA">
      <w:pPr>
        <w:rPr>
          <w:bCs/>
          <w:szCs w:val="22"/>
          <w:lang w:val="sr-Latn-ME"/>
        </w:rPr>
      </w:pPr>
      <w:r w:rsidRPr="006F34F9">
        <w:rPr>
          <w:bCs/>
          <w:szCs w:val="22"/>
          <w:lang w:val="sr-Latn-ME"/>
        </w:rPr>
        <w:t>Entyvio 108mg/0.68ml rastvor za injekciju u napunjenom injekcionom špricu, 2x0.68ml:</w:t>
      </w:r>
    </w:p>
    <w:p w14:paraId="01CD1032" w14:textId="22F2CAAE" w:rsidR="00390AFA" w:rsidRPr="006F34F9" w:rsidRDefault="00B80259" w:rsidP="00390AFA">
      <w:pPr>
        <w:rPr>
          <w:bCs/>
          <w:szCs w:val="22"/>
          <w:lang w:val="sr-Latn-ME"/>
        </w:rPr>
      </w:pPr>
      <w:r w:rsidRPr="006F34F9">
        <w:rPr>
          <w:bCs/>
          <w:szCs w:val="22"/>
          <w:lang w:val="sr-Latn-ME"/>
        </w:rPr>
        <w:t>2030/22/1162 - 5296</w:t>
      </w:r>
    </w:p>
    <w:p w14:paraId="12251C54" w14:textId="4B95BB05" w:rsidR="00390AFA" w:rsidRPr="006F34F9" w:rsidRDefault="00390AFA" w:rsidP="00390AFA">
      <w:pPr>
        <w:rPr>
          <w:bCs/>
          <w:szCs w:val="22"/>
          <w:lang w:val="sr-Latn-ME"/>
        </w:rPr>
      </w:pPr>
      <w:r w:rsidRPr="006F34F9">
        <w:rPr>
          <w:bCs/>
          <w:szCs w:val="22"/>
          <w:lang w:val="sr-Latn-ME"/>
        </w:rPr>
        <w:t>Entyvio 108mg/0.68ml rastvor za injekciju u napunjenom injekcionom penu, 1x0.68ml:</w:t>
      </w:r>
    </w:p>
    <w:p w14:paraId="4A348D73" w14:textId="246FE3F3" w:rsidR="00472784" w:rsidRPr="006F34F9" w:rsidRDefault="00472784" w:rsidP="00390AFA">
      <w:pPr>
        <w:rPr>
          <w:bCs/>
          <w:szCs w:val="22"/>
          <w:lang w:val="sr-Latn-ME"/>
        </w:rPr>
      </w:pPr>
      <w:r w:rsidRPr="006F34F9">
        <w:rPr>
          <w:bCs/>
          <w:szCs w:val="22"/>
          <w:lang w:val="sr-Latn-ME"/>
        </w:rPr>
        <w:t>2030/22/1159 - 5293</w:t>
      </w:r>
    </w:p>
    <w:p w14:paraId="16D840B4" w14:textId="668FB151" w:rsidR="00390AFA" w:rsidRPr="006F34F9" w:rsidRDefault="00390AFA" w:rsidP="00390AFA">
      <w:pPr>
        <w:rPr>
          <w:bCs/>
          <w:szCs w:val="22"/>
          <w:lang w:val="sr-Latn-ME"/>
        </w:rPr>
      </w:pPr>
      <w:r w:rsidRPr="006F34F9">
        <w:rPr>
          <w:bCs/>
          <w:szCs w:val="22"/>
          <w:lang w:val="sr-Latn-ME"/>
        </w:rPr>
        <w:t>Entyvio 108mg/0.68ml rastvor za injekciju u napunjenom injekcionom penu, 2x0.68ml:</w:t>
      </w:r>
    </w:p>
    <w:p w14:paraId="0136FB7B" w14:textId="719B12A3" w:rsidR="00390AFA" w:rsidRPr="006F34F9" w:rsidRDefault="00F71461" w:rsidP="00390AFA">
      <w:pPr>
        <w:rPr>
          <w:bCs/>
          <w:szCs w:val="22"/>
          <w:lang w:val="sr-Latn-ME"/>
        </w:rPr>
      </w:pPr>
      <w:r w:rsidRPr="006F34F9">
        <w:rPr>
          <w:bCs/>
          <w:szCs w:val="22"/>
          <w:lang w:val="sr-Latn-ME"/>
        </w:rPr>
        <w:t>2030/22/1160 – 5294</w:t>
      </w:r>
    </w:p>
    <w:p w14:paraId="06EF05D7" w14:textId="7C65FFA4" w:rsidR="001F7037" w:rsidRPr="006F34F9" w:rsidRDefault="001F7037" w:rsidP="00E708C7">
      <w:pPr>
        <w:rPr>
          <w:bCs/>
          <w:szCs w:val="22"/>
          <w:lang w:val="sr-Latn-ME"/>
        </w:rPr>
      </w:pPr>
    </w:p>
    <w:p w14:paraId="700D2B2A" w14:textId="77777777" w:rsidR="00390AFA" w:rsidRPr="006F34F9" w:rsidRDefault="00390AFA" w:rsidP="00E708C7">
      <w:pPr>
        <w:rPr>
          <w:szCs w:val="22"/>
          <w:lang w:val="sr-Latn-ME"/>
        </w:rPr>
      </w:pPr>
    </w:p>
    <w:p w14:paraId="6CE07F38" w14:textId="20EC1BF9" w:rsidR="00CE09F3" w:rsidRPr="006F34F9" w:rsidRDefault="00CE09F3" w:rsidP="00180C9F">
      <w:pPr>
        <w:pStyle w:val="NASLOV123"/>
        <w:spacing w:before="0"/>
        <w:jc w:val="both"/>
        <w:rPr>
          <w:lang w:val="sr-Latn-ME"/>
        </w:rPr>
      </w:pPr>
      <w:r w:rsidRPr="006F34F9">
        <w:rPr>
          <w:lang w:val="sr-Latn-ME"/>
        </w:rPr>
        <w:t>9.</w:t>
      </w:r>
      <w:r w:rsidR="00591D18" w:rsidRPr="006F34F9">
        <w:rPr>
          <w:lang w:val="sr-Latn-ME"/>
        </w:rPr>
        <w:t xml:space="preserve">  </w:t>
      </w:r>
      <w:r w:rsidRPr="006F34F9">
        <w:rPr>
          <w:lang w:val="sr-Latn-ME"/>
        </w:rPr>
        <w:t>DATUM PRVE DOZVOLE</w:t>
      </w:r>
      <w:r w:rsidR="0069571E" w:rsidRPr="006F34F9">
        <w:rPr>
          <w:lang w:val="sr-Latn-ME"/>
        </w:rPr>
        <w:t>/</w:t>
      </w:r>
      <w:r w:rsidRPr="006F34F9">
        <w:rPr>
          <w:lang w:val="sr-Latn-ME"/>
        </w:rPr>
        <w:t>OBNOVE DOZVOLE ZA STAVLJANJE L</w:t>
      </w:r>
      <w:r w:rsidR="0069571E" w:rsidRPr="006F34F9">
        <w:rPr>
          <w:lang w:val="sr-Latn-ME"/>
        </w:rPr>
        <w:t>IJ</w:t>
      </w:r>
      <w:r w:rsidRPr="006F34F9">
        <w:rPr>
          <w:lang w:val="sr-Latn-ME"/>
        </w:rPr>
        <w:t>EKA U PROMET</w:t>
      </w:r>
    </w:p>
    <w:p w14:paraId="1CF9EFEF" w14:textId="684CE515" w:rsidR="00390AFA" w:rsidRPr="006F34F9" w:rsidRDefault="000A4255" w:rsidP="00180C9F">
      <w:pPr>
        <w:pStyle w:val="NASLOV123"/>
        <w:spacing w:before="0"/>
        <w:jc w:val="both"/>
        <w:rPr>
          <w:b w:val="0"/>
          <w:lang w:val="sr-Latn-ME"/>
        </w:rPr>
      </w:pPr>
      <w:r>
        <w:rPr>
          <w:b w:val="0"/>
          <w:lang w:val="sr-Latn-ME"/>
        </w:rPr>
        <w:t>14.06.</w:t>
      </w:r>
      <w:r w:rsidR="00390AFA" w:rsidRPr="006F34F9">
        <w:rPr>
          <w:b w:val="0"/>
          <w:lang w:val="sr-Latn-ME"/>
        </w:rPr>
        <w:t>2022. godine</w:t>
      </w:r>
    </w:p>
    <w:p w14:paraId="0174C791" w14:textId="5F971B25" w:rsidR="00636D99" w:rsidRPr="006F34F9" w:rsidRDefault="00636D99" w:rsidP="00E708C7">
      <w:pPr>
        <w:rPr>
          <w:szCs w:val="22"/>
          <w:lang w:val="sr-Latn-ME"/>
        </w:rPr>
      </w:pPr>
    </w:p>
    <w:p w14:paraId="6CE07F3D" w14:textId="65B875C5" w:rsidR="00CE09F3" w:rsidRPr="006F34F9" w:rsidRDefault="00CE09F3" w:rsidP="00180C9F">
      <w:pPr>
        <w:pStyle w:val="NASLOV123"/>
        <w:spacing w:before="0"/>
        <w:jc w:val="both"/>
        <w:rPr>
          <w:lang w:val="sr-Latn-ME"/>
        </w:rPr>
      </w:pPr>
      <w:r w:rsidRPr="006F34F9">
        <w:rPr>
          <w:lang w:val="sr-Latn-ME"/>
        </w:rPr>
        <w:t>10.</w:t>
      </w:r>
      <w:r w:rsidR="00591D18" w:rsidRPr="006F34F9">
        <w:rPr>
          <w:lang w:val="sr-Latn-ME"/>
        </w:rPr>
        <w:t xml:space="preserve">  </w:t>
      </w:r>
      <w:r w:rsidRPr="006F34F9">
        <w:rPr>
          <w:lang w:val="sr-Latn-ME"/>
        </w:rPr>
        <w:t>DATUM REVIZIJE TEKSTA</w:t>
      </w:r>
    </w:p>
    <w:p w14:paraId="6CE07F43" w14:textId="371E5AEE" w:rsidR="00923865" w:rsidRPr="006F34F9" w:rsidRDefault="00D0691F" w:rsidP="00923865">
      <w:pPr>
        <w:rPr>
          <w:bCs/>
          <w:szCs w:val="22"/>
          <w:lang w:val="sr-Latn-ME"/>
        </w:rPr>
      </w:pPr>
      <w:r>
        <w:rPr>
          <w:bCs/>
          <w:szCs w:val="22"/>
          <w:lang w:val="sr-Latn-ME"/>
        </w:rPr>
        <w:t xml:space="preserve"> </w:t>
      </w:r>
      <w:r w:rsidR="001B105D">
        <w:rPr>
          <w:bCs/>
          <w:szCs w:val="22"/>
          <w:lang w:val="sr-Latn-ME"/>
        </w:rPr>
        <w:t>April, 2025.</w:t>
      </w:r>
      <w:bookmarkStart w:id="9" w:name="_GoBack"/>
      <w:bookmarkEnd w:id="9"/>
      <w:r w:rsidR="000A4255">
        <w:rPr>
          <w:bCs/>
          <w:szCs w:val="22"/>
          <w:lang w:val="sr-Latn-ME"/>
        </w:rPr>
        <w:t xml:space="preserve"> godine</w:t>
      </w:r>
    </w:p>
    <w:sectPr w:rsidR="00923865" w:rsidRPr="006F34F9" w:rsidSect="00944C83">
      <w:footerReference w:type="even" r:id="rId11"/>
      <w:footerReference w:type="default" r:id="rId12"/>
      <w:pgSz w:w="11907" w:h="16840" w:code="9"/>
      <w:pgMar w:top="1418" w:right="1418" w:bottom="1418" w:left="1418" w:header="357" w:footer="805"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ADE47F" w16cex:dateUtc="2024-09-20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FBC5E5" w16cid:durableId="61ADE4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BFBD1" w14:textId="77777777" w:rsidR="008150BB" w:rsidRDefault="008150BB">
      <w:r>
        <w:separator/>
      </w:r>
    </w:p>
  </w:endnote>
  <w:endnote w:type="continuationSeparator" w:id="0">
    <w:p w14:paraId="4C6B8AE0" w14:textId="77777777" w:rsidR="008150BB" w:rsidRDefault="0081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Yu Gothic UI"/>
    <w:charset w:val="00"/>
    <w:family w:val="auto"/>
    <w:pitch w:val="default"/>
    <w:sig w:usb0="00000087" w:usb1="08070000" w:usb2="00000010" w:usb3="00000000" w:csb0="0002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07F4A" w14:textId="77777777" w:rsidR="009F10BD" w:rsidRDefault="009F10BD"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E07F4B" w14:textId="77777777" w:rsidR="009F10BD" w:rsidRDefault="009F10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07F4C" w14:textId="242CA315" w:rsidR="009F10BD" w:rsidRDefault="008150BB"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9F10BD" w:rsidRPr="005A4234">
              <w:rPr>
                <w:sz w:val="18"/>
                <w:szCs w:val="18"/>
              </w:rPr>
              <w:fldChar w:fldCharType="begin"/>
            </w:r>
            <w:r w:rsidR="009F10BD" w:rsidRPr="005A4234">
              <w:rPr>
                <w:sz w:val="18"/>
                <w:szCs w:val="18"/>
              </w:rPr>
              <w:instrText xml:space="preserve"> PAGE </w:instrText>
            </w:r>
            <w:r w:rsidR="009F10BD" w:rsidRPr="005A4234">
              <w:rPr>
                <w:sz w:val="18"/>
                <w:szCs w:val="18"/>
              </w:rPr>
              <w:fldChar w:fldCharType="separate"/>
            </w:r>
            <w:r w:rsidR="001B105D">
              <w:rPr>
                <w:noProof/>
                <w:sz w:val="18"/>
                <w:szCs w:val="18"/>
              </w:rPr>
              <w:t>23</w:t>
            </w:r>
            <w:r w:rsidR="009F10BD" w:rsidRPr="005A4234">
              <w:rPr>
                <w:sz w:val="18"/>
                <w:szCs w:val="18"/>
              </w:rPr>
              <w:fldChar w:fldCharType="end"/>
            </w:r>
            <w:r w:rsidR="009F10BD" w:rsidRPr="005A4234">
              <w:rPr>
                <w:sz w:val="18"/>
                <w:szCs w:val="18"/>
              </w:rPr>
              <w:t xml:space="preserve"> od </w:t>
            </w:r>
            <w:r w:rsidR="009F10BD" w:rsidRPr="005A4234">
              <w:rPr>
                <w:sz w:val="18"/>
                <w:szCs w:val="18"/>
              </w:rPr>
              <w:fldChar w:fldCharType="begin"/>
            </w:r>
            <w:r w:rsidR="009F10BD" w:rsidRPr="005A4234">
              <w:rPr>
                <w:sz w:val="18"/>
                <w:szCs w:val="18"/>
              </w:rPr>
              <w:instrText xml:space="preserve"> NUMPAGES  </w:instrText>
            </w:r>
            <w:r w:rsidR="009F10BD" w:rsidRPr="005A4234">
              <w:rPr>
                <w:sz w:val="18"/>
                <w:szCs w:val="18"/>
              </w:rPr>
              <w:fldChar w:fldCharType="separate"/>
            </w:r>
            <w:r w:rsidR="001B105D">
              <w:rPr>
                <w:noProof/>
                <w:sz w:val="18"/>
                <w:szCs w:val="18"/>
              </w:rPr>
              <w:t>23</w:t>
            </w:r>
            <w:r w:rsidR="009F10BD" w:rsidRPr="005A4234">
              <w:rPr>
                <w:sz w:val="18"/>
                <w:szCs w:val="18"/>
              </w:rPr>
              <w:fldChar w:fldCharType="end"/>
            </w:r>
          </w:sdtContent>
        </w:sdt>
      </w:sdtContent>
    </w:sdt>
  </w:p>
  <w:p w14:paraId="6CE07F4D" w14:textId="77777777" w:rsidR="009F10BD" w:rsidRPr="00C536C2" w:rsidRDefault="009F10BD"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1A1BD" w14:textId="77777777" w:rsidR="008150BB" w:rsidRDefault="008150BB">
      <w:r>
        <w:separator/>
      </w:r>
    </w:p>
  </w:footnote>
  <w:footnote w:type="continuationSeparator" w:id="0">
    <w:p w14:paraId="12DC877D" w14:textId="77777777" w:rsidR="008150BB" w:rsidRDefault="00815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B"/>
    <w:multiLevelType w:val="hybridMultilevel"/>
    <w:tmpl w:val="EEA60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lvlOverride w:ilvl="0">
      <w:startOverride w:val="7"/>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69B"/>
    <w:rsid w:val="000017ED"/>
    <w:rsid w:val="0001324E"/>
    <w:rsid w:val="00017801"/>
    <w:rsid w:val="0005441C"/>
    <w:rsid w:val="0005798D"/>
    <w:rsid w:val="00063D79"/>
    <w:rsid w:val="00064273"/>
    <w:rsid w:val="000723C8"/>
    <w:rsid w:val="00083BE0"/>
    <w:rsid w:val="00091E79"/>
    <w:rsid w:val="000928DC"/>
    <w:rsid w:val="00095FB6"/>
    <w:rsid w:val="0009758B"/>
    <w:rsid w:val="000A0F4A"/>
    <w:rsid w:val="000A4255"/>
    <w:rsid w:val="000A76E4"/>
    <w:rsid w:val="000B16C7"/>
    <w:rsid w:val="000B42A8"/>
    <w:rsid w:val="000D5631"/>
    <w:rsid w:val="000D6DBC"/>
    <w:rsid w:val="000E75C0"/>
    <w:rsid w:val="000F08F4"/>
    <w:rsid w:val="000F3B2E"/>
    <w:rsid w:val="001056BE"/>
    <w:rsid w:val="00110D7A"/>
    <w:rsid w:val="001200AB"/>
    <w:rsid w:val="0013643E"/>
    <w:rsid w:val="00141639"/>
    <w:rsid w:val="0014180A"/>
    <w:rsid w:val="001420FC"/>
    <w:rsid w:val="00151F02"/>
    <w:rsid w:val="00172081"/>
    <w:rsid w:val="00173D18"/>
    <w:rsid w:val="00175772"/>
    <w:rsid w:val="00175A7E"/>
    <w:rsid w:val="001800FD"/>
    <w:rsid w:val="00180C9F"/>
    <w:rsid w:val="0018601D"/>
    <w:rsid w:val="0018772D"/>
    <w:rsid w:val="001B105D"/>
    <w:rsid w:val="001B44E1"/>
    <w:rsid w:val="001B706A"/>
    <w:rsid w:val="001C313D"/>
    <w:rsid w:val="001D10C9"/>
    <w:rsid w:val="001E0A07"/>
    <w:rsid w:val="001E1510"/>
    <w:rsid w:val="001E29CA"/>
    <w:rsid w:val="001E6145"/>
    <w:rsid w:val="001F2D4E"/>
    <w:rsid w:val="001F39B6"/>
    <w:rsid w:val="001F7037"/>
    <w:rsid w:val="002006B9"/>
    <w:rsid w:val="00207092"/>
    <w:rsid w:val="0022218E"/>
    <w:rsid w:val="0022223A"/>
    <w:rsid w:val="0024132F"/>
    <w:rsid w:val="00242DCD"/>
    <w:rsid w:val="00247C5C"/>
    <w:rsid w:val="002658DD"/>
    <w:rsid w:val="00273BE0"/>
    <w:rsid w:val="00277231"/>
    <w:rsid w:val="0028495D"/>
    <w:rsid w:val="002918C0"/>
    <w:rsid w:val="002A713F"/>
    <w:rsid w:val="002A79EF"/>
    <w:rsid w:val="002B6F6A"/>
    <w:rsid w:val="002C0FBF"/>
    <w:rsid w:val="002C254F"/>
    <w:rsid w:val="002C7225"/>
    <w:rsid w:val="002E5522"/>
    <w:rsid w:val="002F5E2F"/>
    <w:rsid w:val="00300582"/>
    <w:rsid w:val="00316FC0"/>
    <w:rsid w:val="003331C5"/>
    <w:rsid w:val="003452C0"/>
    <w:rsid w:val="00355680"/>
    <w:rsid w:val="0035691F"/>
    <w:rsid w:val="00356F7F"/>
    <w:rsid w:val="00361BFD"/>
    <w:rsid w:val="00370DDF"/>
    <w:rsid w:val="00372858"/>
    <w:rsid w:val="00383195"/>
    <w:rsid w:val="00384C82"/>
    <w:rsid w:val="00387901"/>
    <w:rsid w:val="00387C91"/>
    <w:rsid w:val="00387E13"/>
    <w:rsid w:val="00390AFA"/>
    <w:rsid w:val="003A2DF8"/>
    <w:rsid w:val="003A58E8"/>
    <w:rsid w:val="003B2082"/>
    <w:rsid w:val="003B7450"/>
    <w:rsid w:val="003C18A4"/>
    <w:rsid w:val="003C6BC5"/>
    <w:rsid w:val="003D1FD7"/>
    <w:rsid w:val="003E3EC7"/>
    <w:rsid w:val="003F5F71"/>
    <w:rsid w:val="004123CD"/>
    <w:rsid w:val="0041795E"/>
    <w:rsid w:val="004234ED"/>
    <w:rsid w:val="00427D41"/>
    <w:rsid w:val="004305EC"/>
    <w:rsid w:val="004432B2"/>
    <w:rsid w:val="00462C33"/>
    <w:rsid w:val="00467DFA"/>
    <w:rsid w:val="00472784"/>
    <w:rsid w:val="00473BCB"/>
    <w:rsid w:val="004876DA"/>
    <w:rsid w:val="00487CB1"/>
    <w:rsid w:val="00491D27"/>
    <w:rsid w:val="00492248"/>
    <w:rsid w:val="00497648"/>
    <w:rsid w:val="004B33B3"/>
    <w:rsid w:val="004B5A11"/>
    <w:rsid w:val="004B7A50"/>
    <w:rsid w:val="004C31C5"/>
    <w:rsid w:val="004D230F"/>
    <w:rsid w:val="004D3C68"/>
    <w:rsid w:val="004F3920"/>
    <w:rsid w:val="00503974"/>
    <w:rsid w:val="0052230B"/>
    <w:rsid w:val="00525A8A"/>
    <w:rsid w:val="005276F0"/>
    <w:rsid w:val="00530909"/>
    <w:rsid w:val="00550B37"/>
    <w:rsid w:val="005600EA"/>
    <w:rsid w:val="00564DFC"/>
    <w:rsid w:val="00591D18"/>
    <w:rsid w:val="005A1666"/>
    <w:rsid w:val="005B3388"/>
    <w:rsid w:val="005C3F73"/>
    <w:rsid w:val="005C6023"/>
    <w:rsid w:val="005C7891"/>
    <w:rsid w:val="005F74CA"/>
    <w:rsid w:val="00603302"/>
    <w:rsid w:val="00604E4F"/>
    <w:rsid w:val="006054EE"/>
    <w:rsid w:val="006118B6"/>
    <w:rsid w:val="00621FB8"/>
    <w:rsid w:val="00624E96"/>
    <w:rsid w:val="006270C0"/>
    <w:rsid w:val="00630195"/>
    <w:rsid w:val="00632B1C"/>
    <w:rsid w:val="00636D99"/>
    <w:rsid w:val="00644C83"/>
    <w:rsid w:val="00645FAA"/>
    <w:rsid w:val="006559AF"/>
    <w:rsid w:val="00660ED5"/>
    <w:rsid w:val="0066419A"/>
    <w:rsid w:val="00667BB9"/>
    <w:rsid w:val="0067327C"/>
    <w:rsid w:val="00685474"/>
    <w:rsid w:val="006876FF"/>
    <w:rsid w:val="00693874"/>
    <w:rsid w:val="00693F46"/>
    <w:rsid w:val="0069571E"/>
    <w:rsid w:val="006D0ADA"/>
    <w:rsid w:val="006F158F"/>
    <w:rsid w:val="006F34F9"/>
    <w:rsid w:val="00707218"/>
    <w:rsid w:val="00720FA8"/>
    <w:rsid w:val="007321BE"/>
    <w:rsid w:val="007328CE"/>
    <w:rsid w:val="00742A79"/>
    <w:rsid w:val="007459C2"/>
    <w:rsid w:val="00763044"/>
    <w:rsid w:val="00764648"/>
    <w:rsid w:val="00766E62"/>
    <w:rsid w:val="007672F3"/>
    <w:rsid w:val="00767E3F"/>
    <w:rsid w:val="00780DB3"/>
    <w:rsid w:val="007A7852"/>
    <w:rsid w:val="007B0443"/>
    <w:rsid w:val="007B16C4"/>
    <w:rsid w:val="007C2D7E"/>
    <w:rsid w:val="007D17FD"/>
    <w:rsid w:val="007D48C5"/>
    <w:rsid w:val="007E06F0"/>
    <w:rsid w:val="00800C43"/>
    <w:rsid w:val="00802DFC"/>
    <w:rsid w:val="008062E2"/>
    <w:rsid w:val="00814781"/>
    <w:rsid w:val="008150BB"/>
    <w:rsid w:val="0081724F"/>
    <w:rsid w:val="00823C07"/>
    <w:rsid w:val="00834DBB"/>
    <w:rsid w:val="008361C4"/>
    <w:rsid w:val="00842FFB"/>
    <w:rsid w:val="00847C1B"/>
    <w:rsid w:val="008553C3"/>
    <w:rsid w:val="008559D3"/>
    <w:rsid w:val="0086351A"/>
    <w:rsid w:val="00874B61"/>
    <w:rsid w:val="008929C0"/>
    <w:rsid w:val="008A02A1"/>
    <w:rsid w:val="008A48B7"/>
    <w:rsid w:val="008B3EB5"/>
    <w:rsid w:val="008C1622"/>
    <w:rsid w:val="008C5809"/>
    <w:rsid w:val="008D78C9"/>
    <w:rsid w:val="008E0FC9"/>
    <w:rsid w:val="008E53FD"/>
    <w:rsid w:val="008F1FC0"/>
    <w:rsid w:val="00902782"/>
    <w:rsid w:val="00913684"/>
    <w:rsid w:val="00923865"/>
    <w:rsid w:val="00924E83"/>
    <w:rsid w:val="00925A18"/>
    <w:rsid w:val="009275B3"/>
    <w:rsid w:val="0093016E"/>
    <w:rsid w:val="00934B4D"/>
    <w:rsid w:val="00944C83"/>
    <w:rsid w:val="00955C75"/>
    <w:rsid w:val="0095733C"/>
    <w:rsid w:val="009677DF"/>
    <w:rsid w:val="00973E9F"/>
    <w:rsid w:val="00980DE2"/>
    <w:rsid w:val="00987374"/>
    <w:rsid w:val="009903AF"/>
    <w:rsid w:val="009946F8"/>
    <w:rsid w:val="00996D95"/>
    <w:rsid w:val="00996E6B"/>
    <w:rsid w:val="009A1D64"/>
    <w:rsid w:val="009A3BB0"/>
    <w:rsid w:val="009B0CA9"/>
    <w:rsid w:val="009B1292"/>
    <w:rsid w:val="009B2430"/>
    <w:rsid w:val="009B338B"/>
    <w:rsid w:val="009B58AD"/>
    <w:rsid w:val="009B7935"/>
    <w:rsid w:val="009C7BA2"/>
    <w:rsid w:val="009D1161"/>
    <w:rsid w:val="009D3C04"/>
    <w:rsid w:val="009D667B"/>
    <w:rsid w:val="009F10BD"/>
    <w:rsid w:val="009F4449"/>
    <w:rsid w:val="009F4557"/>
    <w:rsid w:val="00A008F5"/>
    <w:rsid w:val="00A02252"/>
    <w:rsid w:val="00A070FB"/>
    <w:rsid w:val="00A075EC"/>
    <w:rsid w:val="00A127F1"/>
    <w:rsid w:val="00A1768E"/>
    <w:rsid w:val="00A22425"/>
    <w:rsid w:val="00A27130"/>
    <w:rsid w:val="00A3384D"/>
    <w:rsid w:val="00A41523"/>
    <w:rsid w:val="00A5182D"/>
    <w:rsid w:val="00A54826"/>
    <w:rsid w:val="00A623DF"/>
    <w:rsid w:val="00A7147C"/>
    <w:rsid w:val="00A7660B"/>
    <w:rsid w:val="00A86897"/>
    <w:rsid w:val="00A95380"/>
    <w:rsid w:val="00A95733"/>
    <w:rsid w:val="00AA20A9"/>
    <w:rsid w:val="00AA3783"/>
    <w:rsid w:val="00AB5465"/>
    <w:rsid w:val="00AF4D60"/>
    <w:rsid w:val="00AF66B6"/>
    <w:rsid w:val="00B148F2"/>
    <w:rsid w:val="00B2461A"/>
    <w:rsid w:val="00B26FAC"/>
    <w:rsid w:val="00B31AA2"/>
    <w:rsid w:val="00B35FE6"/>
    <w:rsid w:val="00B47E41"/>
    <w:rsid w:val="00B70A4E"/>
    <w:rsid w:val="00B7335D"/>
    <w:rsid w:val="00B74C0B"/>
    <w:rsid w:val="00B80259"/>
    <w:rsid w:val="00B8400D"/>
    <w:rsid w:val="00B93A37"/>
    <w:rsid w:val="00BA1819"/>
    <w:rsid w:val="00BA5A22"/>
    <w:rsid w:val="00BA7334"/>
    <w:rsid w:val="00BB514F"/>
    <w:rsid w:val="00BB55E5"/>
    <w:rsid w:val="00BC4C88"/>
    <w:rsid w:val="00BD725A"/>
    <w:rsid w:val="00BF3750"/>
    <w:rsid w:val="00C01243"/>
    <w:rsid w:val="00C03B89"/>
    <w:rsid w:val="00C06244"/>
    <w:rsid w:val="00C15B4F"/>
    <w:rsid w:val="00C25965"/>
    <w:rsid w:val="00C349BF"/>
    <w:rsid w:val="00C53640"/>
    <w:rsid w:val="00C536C2"/>
    <w:rsid w:val="00C55F47"/>
    <w:rsid w:val="00C56E2E"/>
    <w:rsid w:val="00C64A31"/>
    <w:rsid w:val="00C67EB4"/>
    <w:rsid w:val="00C82E8B"/>
    <w:rsid w:val="00C93FF0"/>
    <w:rsid w:val="00C9511D"/>
    <w:rsid w:val="00CA142E"/>
    <w:rsid w:val="00CC1ABF"/>
    <w:rsid w:val="00CC3771"/>
    <w:rsid w:val="00CC4C88"/>
    <w:rsid w:val="00CC5A59"/>
    <w:rsid w:val="00CD00E4"/>
    <w:rsid w:val="00CD0B1F"/>
    <w:rsid w:val="00CD1FCD"/>
    <w:rsid w:val="00CD3F96"/>
    <w:rsid w:val="00CE09F3"/>
    <w:rsid w:val="00CE76DA"/>
    <w:rsid w:val="00D066B7"/>
    <w:rsid w:val="00D0691F"/>
    <w:rsid w:val="00D11E94"/>
    <w:rsid w:val="00D30389"/>
    <w:rsid w:val="00D337F6"/>
    <w:rsid w:val="00D36F8F"/>
    <w:rsid w:val="00D43BC5"/>
    <w:rsid w:val="00D45416"/>
    <w:rsid w:val="00D52CDB"/>
    <w:rsid w:val="00D61710"/>
    <w:rsid w:val="00D6611E"/>
    <w:rsid w:val="00D7095F"/>
    <w:rsid w:val="00D8342B"/>
    <w:rsid w:val="00D85F37"/>
    <w:rsid w:val="00DB3FA3"/>
    <w:rsid w:val="00DB4534"/>
    <w:rsid w:val="00DC703D"/>
    <w:rsid w:val="00DD026A"/>
    <w:rsid w:val="00DD0778"/>
    <w:rsid w:val="00DD2A82"/>
    <w:rsid w:val="00DD597E"/>
    <w:rsid w:val="00DE4436"/>
    <w:rsid w:val="00DE61AB"/>
    <w:rsid w:val="00DF46E4"/>
    <w:rsid w:val="00E04856"/>
    <w:rsid w:val="00E0659C"/>
    <w:rsid w:val="00E11E63"/>
    <w:rsid w:val="00E26398"/>
    <w:rsid w:val="00E50CD3"/>
    <w:rsid w:val="00E56089"/>
    <w:rsid w:val="00E708C7"/>
    <w:rsid w:val="00E841AC"/>
    <w:rsid w:val="00E87BE1"/>
    <w:rsid w:val="00EA020F"/>
    <w:rsid w:val="00EA1F85"/>
    <w:rsid w:val="00EB503C"/>
    <w:rsid w:val="00EC0461"/>
    <w:rsid w:val="00EC364F"/>
    <w:rsid w:val="00EC5416"/>
    <w:rsid w:val="00ED3186"/>
    <w:rsid w:val="00ED4585"/>
    <w:rsid w:val="00ED71F6"/>
    <w:rsid w:val="00ED735F"/>
    <w:rsid w:val="00F00F3B"/>
    <w:rsid w:val="00F42610"/>
    <w:rsid w:val="00F42764"/>
    <w:rsid w:val="00F5775F"/>
    <w:rsid w:val="00F60CCC"/>
    <w:rsid w:val="00F6147F"/>
    <w:rsid w:val="00F62C15"/>
    <w:rsid w:val="00F63F24"/>
    <w:rsid w:val="00F71461"/>
    <w:rsid w:val="00F71BAC"/>
    <w:rsid w:val="00F816D3"/>
    <w:rsid w:val="00F916AC"/>
    <w:rsid w:val="00F91DAF"/>
    <w:rsid w:val="00F942E1"/>
    <w:rsid w:val="00FA0EE3"/>
    <w:rsid w:val="00FA4F6A"/>
    <w:rsid w:val="00FD106A"/>
    <w:rsid w:val="00FD3C19"/>
    <w:rsid w:val="00FD4FBD"/>
    <w:rsid w:val="00FD7C86"/>
    <w:rsid w:val="00FF0D13"/>
    <w:rsid w:val="00FF1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07ECF"/>
  <w15:docId w15:val="{197FB6BE-13AD-4AC3-895D-B90CEE3E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aliases w:val="Annotationtext,Comment Text Char Char,Char Char Char,Char Char1, Char Char Char, Char Char1, Car17,Char,Comment Text Char Char Char Char,Comment Text Char Char1 Char,Comment Text Char1 Char Char,Comment Text Char2 Char"/>
    <w:basedOn w:val="Normal"/>
    <w:link w:val="CommentTextChar"/>
    <w:qFormat/>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basedOn w:val="DefaultParagraphFont"/>
    <w:link w:val="Header"/>
    <w:uiPriority w:val="99"/>
    <w:rsid w:val="007328CE"/>
    <w:rPr>
      <w:sz w:val="22"/>
      <w:szCs w:val="24"/>
    </w:rPr>
  </w:style>
  <w:style w:type="paragraph" w:customStyle="1" w:styleId="BodyText1">
    <w:name w:val="BodyText1"/>
    <w:basedOn w:val="Normal"/>
    <w:rsid w:val="007328CE"/>
    <w:pPr>
      <w:tabs>
        <w:tab w:val="clear" w:pos="284"/>
      </w:tabs>
      <w:spacing w:before="4"/>
      <w:ind w:firstLine="317"/>
      <w:jc w:val="left"/>
    </w:pPr>
    <w:rPr>
      <w:rFonts w:ascii="Helvetica" w:eastAsia="SimSun" w:hAnsi="Helvetica"/>
      <w:snapToGrid w:val="0"/>
      <w:sz w:val="16"/>
      <w:lang w:eastAsia="en-GB"/>
    </w:rPr>
  </w:style>
  <w:style w:type="character" w:customStyle="1" w:styleId="CommentTextChar">
    <w:name w:val="Comment Text Char"/>
    <w:aliases w:val="Annotationtext Char,Comment Text Char Char Char,Char Char Char Char,Char Char1 Char, Char Char Char Char, Char Char1 Char, Car17 Char,Char Char,Comment Text Char Char Char Char Char,Comment Text Char Char1 Char Char"/>
    <w:link w:val="CommentText"/>
    <w:locked/>
    <w:rsid w:val="007328CE"/>
  </w:style>
  <w:style w:type="paragraph" w:customStyle="1" w:styleId="InstTxtParaLev">
    <w:name w:val="Inst Txt Para Lev"/>
    <w:basedOn w:val="Normal"/>
    <w:link w:val="DateChar"/>
    <w:uiPriority w:val="99"/>
    <w:rsid w:val="00DD0778"/>
    <w:pPr>
      <w:tabs>
        <w:tab w:val="clear" w:pos="284"/>
      </w:tabs>
      <w:spacing w:before="120"/>
      <w:jc w:val="left"/>
    </w:pPr>
    <w:rPr>
      <w:szCs w:val="20"/>
      <w:lang w:val="x-none" w:eastAsia="x-none"/>
    </w:rPr>
  </w:style>
  <w:style w:type="character" w:customStyle="1" w:styleId="DateChar">
    <w:name w:val="Date Char"/>
    <w:link w:val="InstTxtParaLev"/>
    <w:uiPriority w:val="99"/>
    <w:locked/>
    <w:rsid w:val="00DD0778"/>
    <w:rPr>
      <w:sz w:val="22"/>
      <w:lang w:val="x-none" w:eastAsia="x-none"/>
    </w:rPr>
  </w:style>
  <w:style w:type="paragraph" w:styleId="BodyText">
    <w:name w:val="Body Text"/>
    <w:basedOn w:val="Normal"/>
    <w:link w:val="BodyTextChar"/>
    <w:rsid w:val="00DD0778"/>
    <w:pPr>
      <w:tabs>
        <w:tab w:val="clear" w:pos="284"/>
      </w:tabs>
      <w:jc w:val="left"/>
    </w:pPr>
    <w:rPr>
      <w:i/>
      <w:color w:val="008000"/>
      <w:szCs w:val="20"/>
      <w:lang w:val="x-none" w:eastAsia="x-none"/>
    </w:rPr>
  </w:style>
  <w:style w:type="character" w:customStyle="1" w:styleId="BodyTextChar">
    <w:name w:val="Body Text Char"/>
    <w:basedOn w:val="DefaultParagraphFont"/>
    <w:link w:val="BodyText"/>
    <w:rsid w:val="00DD0778"/>
    <w:rPr>
      <w:i/>
      <w:color w:val="008000"/>
      <w:sz w:val="22"/>
      <w:lang w:val="x-none" w:eastAsia="x-none"/>
    </w:rPr>
  </w:style>
  <w:style w:type="paragraph" w:customStyle="1" w:styleId="Level3-UnnumberedHeading">
    <w:name w:val="Level 3 - Unnumbered Heading"/>
    <w:basedOn w:val="Normal"/>
    <w:rsid w:val="00DD0778"/>
    <w:pPr>
      <w:widowControl w:val="0"/>
      <w:tabs>
        <w:tab w:val="clear" w:pos="284"/>
      </w:tabs>
      <w:spacing w:before="120" w:after="240"/>
      <w:jc w:val="left"/>
    </w:pPr>
    <w:rPr>
      <w:snapToGrid w:val="0"/>
      <w:sz w:val="24"/>
      <w:u w:val="single"/>
      <w:lang w:eastAsia="en-GB"/>
    </w:rPr>
  </w:style>
  <w:style w:type="paragraph" w:styleId="NormalWeb">
    <w:name w:val="Normal (Web)"/>
    <w:basedOn w:val="Normal"/>
    <w:uiPriority w:val="99"/>
    <w:rsid w:val="001B44E1"/>
    <w:pPr>
      <w:tabs>
        <w:tab w:val="clear" w:pos="284"/>
      </w:tabs>
      <w:spacing w:before="100" w:beforeAutospacing="1" w:after="60"/>
      <w:jc w:val="left"/>
    </w:pPr>
    <w:rPr>
      <w:rFonts w:eastAsia="SimSun"/>
      <w:snapToGrid w:val="0"/>
      <w:color w:val="000000"/>
      <w:sz w:val="24"/>
      <w:lang w:eastAsia="en-GB"/>
    </w:rPr>
  </w:style>
  <w:style w:type="character" w:customStyle="1" w:styleId="DeltaViewInsertion">
    <w:name w:val="DeltaView Insertion"/>
    <w:uiPriority w:val="99"/>
    <w:rsid w:val="001B44E1"/>
    <w:rPr>
      <w:color w:val="0000FF"/>
    </w:rPr>
  </w:style>
  <w:style w:type="paragraph" w:customStyle="1" w:styleId="Default">
    <w:name w:val="Default"/>
    <w:rsid w:val="001B44E1"/>
    <w:pPr>
      <w:autoSpaceDE w:val="0"/>
      <w:autoSpaceDN w:val="0"/>
      <w:adjustRightInd w:val="0"/>
    </w:pPr>
    <w:rPr>
      <w:color w:val="000000"/>
      <w:sz w:val="24"/>
      <w:szCs w:val="24"/>
      <w:lang w:val="en-GB" w:eastAsia="en-GB"/>
    </w:rPr>
  </w:style>
  <w:style w:type="character" w:customStyle="1" w:styleId="NormalAgencyChar">
    <w:name w:val="Normal (Agency) Char"/>
    <w:locked/>
    <w:rsid w:val="001B44E1"/>
    <w:rPr>
      <w:rFonts w:ascii="Verdana" w:eastAsia="Times New Roman" w:hAnsi="Verdana"/>
      <w:sz w:val="18"/>
      <w:lang w:val="en-GB"/>
    </w:rPr>
  </w:style>
  <w:style w:type="paragraph" w:customStyle="1" w:styleId="EUtablebody-9centered">
    <w:name w:val="EU table body-9 centered"/>
    <w:basedOn w:val="Normal"/>
    <w:uiPriority w:val="99"/>
    <w:qFormat/>
    <w:rsid w:val="001B44E1"/>
    <w:pPr>
      <w:tabs>
        <w:tab w:val="clear" w:pos="284"/>
      </w:tabs>
      <w:spacing w:before="40" w:after="40"/>
      <w:jc w:val="center"/>
    </w:pPr>
    <w:rPr>
      <w:rFonts w:ascii="Verdana" w:eastAsia="SimSun" w:hAnsi="Verdana"/>
      <w:snapToGrid w:val="0"/>
      <w:sz w:val="18"/>
      <w:lang w:eastAsia="en-GB"/>
    </w:rPr>
  </w:style>
  <w:style w:type="paragraph" w:customStyle="1" w:styleId="table-body-9">
    <w:name w:val="table-body-9"/>
    <w:basedOn w:val="Normal"/>
    <w:qFormat/>
    <w:rsid w:val="001B44E1"/>
    <w:pPr>
      <w:tabs>
        <w:tab w:val="clear" w:pos="284"/>
      </w:tabs>
      <w:spacing w:before="40" w:after="40"/>
      <w:jc w:val="left"/>
    </w:pPr>
    <w:rPr>
      <w:rFonts w:eastAsia="SimSun"/>
      <w:snapToGrid w:val="0"/>
      <w:sz w:val="18"/>
      <w:lang w:eastAsia="en-GB"/>
    </w:rPr>
  </w:style>
  <w:style w:type="paragraph" w:customStyle="1" w:styleId="table-heading-9">
    <w:name w:val="table-heading-9"/>
    <w:basedOn w:val="Normal"/>
    <w:qFormat/>
    <w:rsid w:val="001B44E1"/>
    <w:pPr>
      <w:keepNext/>
      <w:widowControl w:val="0"/>
      <w:tabs>
        <w:tab w:val="clear" w:pos="284"/>
      </w:tabs>
      <w:spacing w:before="40" w:after="40"/>
      <w:jc w:val="left"/>
    </w:pPr>
    <w:rPr>
      <w:rFonts w:eastAsia="SimSun"/>
      <w:b/>
      <w:snapToGrid w:val="0"/>
      <w:sz w:val="18"/>
      <w:lang w:eastAsia="en-GB"/>
    </w:rPr>
  </w:style>
  <w:style w:type="paragraph" w:customStyle="1" w:styleId="table-heading-9centered">
    <w:name w:val="table-heading-9 centered"/>
    <w:basedOn w:val="table-heading-9"/>
    <w:qFormat/>
    <w:rsid w:val="001B44E1"/>
    <w:pPr>
      <w:jc w:val="center"/>
    </w:pPr>
  </w:style>
  <w:style w:type="paragraph" w:customStyle="1" w:styleId="CCDSBodytext">
    <w:name w:val="CCDS Body text"/>
    <w:basedOn w:val="Normal"/>
    <w:link w:val="CCDSBodytextChar"/>
    <w:qFormat/>
    <w:rsid w:val="001B44E1"/>
    <w:pPr>
      <w:tabs>
        <w:tab w:val="clear" w:pos="284"/>
      </w:tabs>
      <w:spacing w:line="360" w:lineRule="auto"/>
      <w:jc w:val="left"/>
    </w:pPr>
    <w:rPr>
      <w:sz w:val="24"/>
      <w:lang w:val="en-GB"/>
    </w:rPr>
  </w:style>
  <w:style w:type="character" w:customStyle="1" w:styleId="CCDSBodytextChar">
    <w:name w:val="CCDS Body text Char"/>
    <w:link w:val="CCDSBodytext"/>
    <w:rsid w:val="001B44E1"/>
    <w:rPr>
      <w:sz w:val="24"/>
      <w:szCs w:val="24"/>
      <w:lang w:val="en-GB"/>
    </w:rPr>
  </w:style>
  <w:style w:type="paragraph" w:customStyle="1" w:styleId="BodyText0">
    <w:name w:val="BodyText"/>
    <w:basedOn w:val="Normal"/>
    <w:link w:val="BodyTextChar0"/>
    <w:rsid w:val="00EC364F"/>
    <w:pPr>
      <w:tabs>
        <w:tab w:val="clear" w:pos="284"/>
      </w:tabs>
      <w:spacing w:before="120" w:after="240" w:line="312" w:lineRule="auto"/>
      <w:jc w:val="left"/>
    </w:pPr>
    <w:rPr>
      <w:rFonts w:eastAsia="SimSun"/>
      <w:sz w:val="24"/>
      <w:szCs w:val="20"/>
      <w:lang w:val="en-GB" w:eastAsia="en-GB"/>
    </w:rPr>
  </w:style>
  <w:style w:type="character" w:customStyle="1" w:styleId="BodyTextChar0">
    <w:name w:val="BodyText Char"/>
    <w:link w:val="BodyText0"/>
    <w:rsid w:val="00EC364F"/>
    <w:rPr>
      <w:rFonts w:eastAsia="SimSun"/>
      <w:sz w:val="24"/>
      <w:lang w:val="en-GB" w:eastAsia="en-GB"/>
    </w:rPr>
  </w:style>
  <w:style w:type="paragraph" w:customStyle="1" w:styleId="TableText">
    <w:name w:val="Table:Text"/>
    <w:link w:val="TableTextChar"/>
    <w:qFormat/>
    <w:rsid w:val="00EC364F"/>
    <w:pPr>
      <w:widowControl w:val="0"/>
      <w:spacing w:after="60"/>
    </w:pPr>
  </w:style>
  <w:style w:type="paragraph" w:customStyle="1" w:styleId="TableHeaderL">
    <w:name w:val="Table:Header L"/>
    <w:link w:val="TableHeaderLChar"/>
    <w:qFormat/>
    <w:rsid w:val="00EC364F"/>
    <w:pPr>
      <w:spacing w:after="60"/>
    </w:pPr>
    <w:rPr>
      <w:b/>
    </w:rPr>
  </w:style>
  <w:style w:type="character" w:customStyle="1" w:styleId="TableHeaderCChar">
    <w:name w:val="Table:Header C Char"/>
    <w:link w:val="TableHeaderC"/>
    <w:locked/>
    <w:rsid w:val="00EC364F"/>
    <w:rPr>
      <w:rFonts w:eastAsia="MS Mincho"/>
      <w:b/>
      <w:bCs/>
    </w:rPr>
  </w:style>
  <w:style w:type="paragraph" w:customStyle="1" w:styleId="TableHeaderC">
    <w:name w:val="Table:Header C"/>
    <w:link w:val="TableHeaderCChar"/>
    <w:qFormat/>
    <w:rsid w:val="00EC364F"/>
    <w:pPr>
      <w:widowControl w:val="0"/>
      <w:spacing w:after="60"/>
      <w:jc w:val="center"/>
    </w:pPr>
    <w:rPr>
      <w:rFonts w:eastAsia="MS Mincho"/>
      <w:b/>
      <w:bCs/>
    </w:rPr>
  </w:style>
  <w:style w:type="character" w:customStyle="1" w:styleId="TableTextChar">
    <w:name w:val="Table:Text Char"/>
    <w:link w:val="TableText"/>
    <w:locked/>
    <w:rsid w:val="00EC364F"/>
  </w:style>
  <w:style w:type="character" w:customStyle="1" w:styleId="TableHeaderLChar">
    <w:name w:val="Table:Header L Char"/>
    <w:link w:val="TableHeaderL"/>
    <w:rsid w:val="00EC364F"/>
    <w:rPr>
      <w:b/>
    </w:rPr>
  </w:style>
  <w:style w:type="paragraph" w:styleId="NoSpacing">
    <w:name w:val="No Spacing"/>
    <w:uiPriority w:val="1"/>
    <w:qFormat/>
    <w:rsid w:val="00D43BC5"/>
    <w:rPr>
      <w:sz w:val="24"/>
      <w:szCs w:val="24"/>
    </w:rPr>
  </w:style>
  <w:style w:type="character" w:styleId="Hyperlink">
    <w:name w:val="Hyperlink"/>
    <w:basedOn w:val="DefaultParagraphFont"/>
    <w:rsid w:val="00D43BC5"/>
    <w:rPr>
      <w:color w:val="0000FF" w:themeColor="hyperlink"/>
      <w:u w:val="single"/>
    </w:rPr>
  </w:style>
  <w:style w:type="paragraph" w:styleId="ListParagraph">
    <w:name w:val="List Paragraph"/>
    <w:basedOn w:val="Normal"/>
    <w:uiPriority w:val="34"/>
    <w:qFormat/>
    <w:rsid w:val="00591D18"/>
    <w:pPr>
      <w:ind w:left="720"/>
      <w:contextualSpacing/>
    </w:pPr>
  </w:style>
  <w:style w:type="paragraph" w:styleId="Revision">
    <w:name w:val="Revision"/>
    <w:hidden/>
    <w:uiPriority w:val="99"/>
    <w:semiHidden/>
    <w:rsid w:val="00FD106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23</Pages>
  <Words>9418</Words>
  <Characters>53684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62977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Berina Ljuca</cp:lastModifiedBy>
  <cp:revision>14</cp:revision>
  <cp:lastPrinted>2016-07-25T08:52:00Z</cp:lastPrinted>
  <dcterms:created xsi:type="dcterms:W3CDTF">2024-12-10T08:42:00Z</dcterms:created>
  <dcterms:modified xsi:type="dcterms:W3CDTF">2025-04-09T12:32:00Z</dcterms:modified>
</cp:coreProperties>
</file>